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12" w:lineRule="auto"/>
        <w:ind w:left="0"/>
        <w:jc w:val="center"/>
      </w:pPr>
      <w:r>
        <w:rPr>
          <w:rFonts w:ascii="맑은 고딕" w:hAnsi="맑은 고딕" w:eastAsia="맑은 고딕"/>
          <w:b/>
          <w:color w:val="1A1A1A"/>
          <w:sz w:val="34"/>
        </w:rPr>
        <w:t>복지후생규정 전부개정안</w:t>
      </w:r>
    </w:p>
    <w:p>
      <w:pPr>
        <w:spacing w:before="0" w:after="40" w:line="312" w:lineRule="auto"/>
        <w:ind w:left="0"/>
        <w:jc w:val="center"/>
      </w:pPr>
      <w:r>
        <w:rPr>
          <w:rFonts w:ascii="맑은 고딕" w:hAnsi="맑은 고딕" w:eastAsia="맑은 고딕"/>
          <w:b w:val="0"/>
          <w:color w:val="777777"/>
          <w:sz w:val="22"/>
        </w:rPr>
        <w:t>(학자금 통합·학령 연속화 / 신청 서식 사규 등재 / 위임·표기 정비)</w:t>
      </w:r>
    </w:p>
    <w:p>
      <w:pPr>
        <w:spacing w:before="0" w:after="20" w:line="312" w:lineRule="auto"/>
        <w:ind w:left="0"/>
        <w:jc w:val="center"/>
      </w:pPr>
      <w:r>
        <w:rPr>
          <w:rFonts w:ascii="맑은 고딕" w:hAnsi="맑은 고딕" w:eastAsia="맑은 고딕"/>
          <w:b w:val="0"/>
          <w:color w:val="777777"/>
          <w:sz w:val="18"/>
        </w:rPr>
        <w:t>(입안 검토용 초안 — 시행일 및 문서번호는 결재 시 확정)</w:t>
      </w:r>
    </w:p>
    <w:p>
      <w:pPr>
        <w:spacing w:before="0" w:after="20" w:line="312" w:lineRule="auto"/>
        <w:ind w:left="0"/>
        <w:jc w:val="center"/>
      </w:pPr>
      <w:r>
        <w:rPr>
          <w:rFonts w:ascii="맑은 고딕" w:hAnsi="맑은 고딕" w:eastAsia="맑은 고딕"/>
          <w:b w:val="0"/>
          <w:color w:val="1A1A1A"/>
          <w:sz w:val="20"/>
        </w:rPr>
        <w:t>[시행 2026. ○. ○.] [2026. ○. ○. 전부개정-2026-0○○]</w:t>
      </w:r>
    </w:p>
    <w:p>
      <w:pPr>
        <w:spacing w:before="0" w:after="160" w:line="312" w:lineRule="auto"/>
        <w:ind w:left="0"/>
        <w:jc w:val="center"/>
      </w:pPr>
      <w:r>
        <w:rPr>
          <w:rFonts w:ascii="맑은 고딕" w:hAnsi="맑은 고딕" w:eastAsia="맑은 고딕"/>
          <w:b w:val="0"/>
          <w:color w:val="777777"/>
          <w:sz w:val="17"/>
        </w:rPr>
        <w:t>※ 문서번호는 「사규관리규정」 제16조제1항에 따라 사규관리시스템 채번 후 기재</w:t>
      </w:r>
    </w:p>
    <w:p>
      <w:pPr>
        <w:spacing w:before="0" w:after="60" w:line="312" w:lineRule="auto"/>
        <w:ind w:left="0"/>
        <w:jc w:val="left"/>
      </w:pPr>
      <w:r>
        <w:rPr>
          <w:rFonts w:ascii="맑은 고딕" w:hAnsi="맑은 고딕" w:eastAsia="맑은 고딕"/>
          <w:b/>
          <w:color w:val="1A1A1A"/>
          <w:sz w:val="24"/>
        </w:rPr>
        <w:t>1. 개정 사유</w:t>
      </w:r>
    </w:p>
    <w:p>
      <w:pPr>
        <w:spacing w:before="0" w:after="120" w:line="312" w:lineRule="auto"/>
        <w:ind w:left="0"/>
        <w:jc w:val="left"/>
      </w:pPr>
      <w:r>
        <w:rPr>
          <w:rFonts w:ascii="맑은 고딕" w:hAnsi="맑은 고딕" w:eastAsia="맑은 고딕"/>
          <w:b w:val="0"/>
          <w:color w:val="1A1A1A"/>
          <w:sz w:val="21"/>
        </w:rPr>
        <w:t>현행 복지후생규정은 ① 같은 자녀 교육비 지원을 '장학금'(제11조)과 '미취학자녀 교육비'(제12조)로 나누어 두면서 명칭을 '장학금'과 '학자금'으로 혼용하고 있고, 그 사이의 초등학교 구간이 비어 있어 제도가 학령별로 끊겨 있다. ② 경조금·학자금·자기계발비의 신청 서식이 사규에 등재되어 있지 않아 사내 게시판의 양식만으로 운용되고 있으며, 증빙서류의 종류와 발급 시점 기준도 조문에 없다. ③ '시행지침에서 정하는 바에 의한다'·'별도로 정하는 바에 따른다'와 같이 착지가 없는 위임이 5개 조문에 남아 있고, ④ 호주제 폐지로 없어진 '호적등본', 폐지된 세목인 '육성회비' 등 현행 법령·제도와 맞지 않는 표현이 그대로 있다. ⑤ 적용대상에 '직원가족'을 포함하면서도 그 범위를 정한 조문이 없고, '준용' 조문은 하위 규범이 관계 법령을 준용한다는 역위계 문언으로 되어 있다. 이에 학자금 제도를 하나의 조문으로 통합하여 학령을 연속시키고, 신청 서식과 증빙 기준을 사규에 명시하며, 총칙 구성과 위임 착지를 「사규관리규정」(2026. 6. 23. 전부개정) 표준에 맞추어 전부개정한다.</w:t>
      </w:r>
    </w:p>
    <w:p>
      <w:pPr>
        <w:spacing w:before="0" w:after="60" w:line="312" w:lineRule="auto"/>
        <w:ind w:left="0"/>
        <w:jc w:val="left"/>
      </w:pPr>
      <w:r>
        <w:rPr>
          <w:rFonts w:ascii="맑은 고딕" w:hAnsi="맑은 고딕" w:eastAsia="맑은 고딕"/>
          <w:b/>
          <w:color w:val="1A1A1A"/>
          <w:sz w:val="24"/>
        </w:rPr>
        <w:t>2. 주요 내용</w:t>
      </w:r>
    </w:p>
    <w:p>
      <w:pPr>
        <w:spacing w:before="0" w:after="40" w:line="312" w:lineRule="auto"/>
        <w:ind w:left="170"/>
        <w:jc w:val="left"/>
      </w:pPr>
      <w:r>
        <w:rPr>
          <w:rFonts w:ascii="맑은 고딕" w:hAnsi="맑은 고딕" w:eastAsia="맑은 고딕"/>
          <w:b w:val="0"/>
          <w:color w:val="1A1A1A"/>
          <w:sz w:val="21"/>
        </w:rPr>
        <w:t>가. 학자금 제도 통합(제12조) ★ : 종전 제11조(장학금)와 제12조(미취학자녀 교육비)를 「학자금의 지급」 하나로 통합하고, 지원 대상을 미취학 → 초등학교 → 중학교 → 고등학교 → 대학교로 연속되도록 정비. 명칭을 '학자금'으로 통일 &lt;초등학교 구간의 지원 여부·금액은 인사·예산 협의로 확정 요망&gt;</w:t>
      </w:r>
    </w:p>
    <w:p>
      <w:pPr>
        <w:spacing w:before="0" w:after="40" w:line="312" w:lineRule="auto"/>
        <w:ind w:left="170"/>
        <w:jc w:val="left"/>
      </w:pPr>
      <w:r>
        <w:rPr>
          <w:rFonts w:ascii="맑은 고딕" w:hAnsi="맑은 고딕" w:eastAsia="맑은 고딕"/>
          <w:b w:val="0"/>
          <w:color w:val="1A1A1A"/>
          <w:sz w:val="21"/>
        </w:rPr>
        <w:t>나. 신청 서식의 사규 등재 ★ : 경조금 지급신청서[서식 제1호], 학자금 지원신청서[서식 제2호], 자기계발비 지원신청서[서식 제3호]를 사규에 등재(「사규관리규정」 제11조제3항). 종전에는 게시판 양식만 존재</w:t>
      </w:r>
    </w:p>
    <w:p>
      <w:pPr>
        <w:spacing w:before="0" w:after="40" w:line="312" w:lineRule="auto"/>
        <w:ind w:left="170"/>
        <w:jc w:val="left"/>
      </w:pPr>
      <w:r>
        <w:rPr>
          <w:rFonts w:ascii="맑은 고딕" w:hAnsi="맑은 고딕" w:eastAsia="맑은 고딕"/>
          <w:b w:val="0"/>
          <w:color w:val="1A1A1A"/>
          <w:sz w:val="21"/>
        </w:rPr>
        <w:t>다. 증빙 기준 신설(제11조제5항·제12조제7항) : 가족관계를 확인하는 서류는 신청일 전 3개월 이내 발급본이어야 함을 명시. 학자금 첨부서류(가족관계증명서·재학증명서·영수증)를 조문에 열거</w:t>
      </w:r>
    </w:p>
    <w:p>
      <w:pPr>
        <w:spacing w:before="0" w:after="40" w:line="312" w:lineRule="auto"/>
        <w:ind w:left="170"/>
        <w:jc w:val="left"/>
      </w:pPr>
      <w:r>
        <w:rPr>
          <w:rFonts w:ascii="맑은 고딕" w:hAnsi="맑은 고딕" w:eastAsia="맑은 고딕"/>
          <w:b w:val="0"/>
          <w:color w:val="1A1A1A"/>
          <w:sz w:val="21"/>
        </w:rPr>
        <w:t>라. 총칙 정비(제2조~제4조) : 「정의」 신설(직원·직원가족·후생급), '적용대상'→「적용범위」, '준용'의 역위계 문언을 「다른 사규와의 관계」 표준 조문으로 정정</w:t>
      </w:r>
    </w:p>
    <w:p>
      <w:pPr>
        <w:spacing w:before="0" w:after="40" w:line="312" w:lineRule="auto"/>
        <w:ind w:left="170"/>
        <w:jc w:val="left"/>
      </w:pPr>
      <w:r>
        <w:rPr>
          <w:rFonts w:ascii="맑은 고딕" w:hAnsi="맑은 고딕" w:eastAsia="맑은 고딕"/>
          <w:b w:val="0"/>
          <w:color w:val="1A1A1A"/>
          <w:sz w:val="21"/>
        </w:rPr>
        <w:t>마. 자기계발비 운영 기준 신설(제20조제2항·제3항) : 종전에는 금액(월 10만원 이내)만 있고 대상·용도·신청 절차가 전혀 없었음</w:t>
      </w:r>
    </w:p>
    <w:p>
      <w:pPr>
        <w:spacing w:before="0" w:after="40" w:line="312" w:lineRule="auto"/>
        <w:ind w:left="170"/>
        <w:jc w:val="left"/>
      </w:pPr>
      <w:r>
        <w:rPr>
          <w:rFonts w:ascii="맑은 고딕" w:hAnsi="맑은 고딕" w:eastAsia="맑은 고딕"/>
          <w:b w:val="0"/>
          <w:color w:val="1A1A1A"/>
          <w:sz w:val="21"/>
        </w:rPr>
        <w:t>바. 원격지 근무 교통비 규정화(제19조) ★ : 시행문으로만 운영해 온 근무지-거주지 간 주 1회 실비 지원을 조문화하고 통근비와의 중복 지급을 배제 &lt;「여비규정」 개정안과 중복되므로 배치 확정 요망&gt;</w:t>
      </w:r>
    </w:p>
    <w:p>
      <w:pPr>
        <w:spacing w:before="0" w:after="40" w:line="312" w:lineRule="auto"/>
        <w:ind w:left="170"/>
        <w:jc w:val="left"/>
      </w:pPr>
      <w:r>
        <w:rPr>
          <w:rFonts w:ascii="맑은 고딕" w:hAnsi="맑은 고딕" w:eastAsia="맑은 고딕"/>
          <w:b w:val="0"/>
          <w:color w:val="1A1A1A"/>
          <w:sz w:val="21"/>
        </w:rPr>
        <w:t>사. 연차휴가 보상 문언 정정(제24조제2항) ★ : 사용한 연차에 대한 추가 지급(페이백)이라는 실제 운영 취지가 드러나도록 정정 — 종전 문언은 법정 연차수당을 감액하는 것으로 오독될 소지가 있었음</w:t>
      </w:r>
    </w:p>
    <w:p>
      <w:pPr>
        <w:spacing w:before="0" w:after="40" w:line="312" w:lineRule="auto"/>
        <w:ind w:left="170"/>
        <w:jc w:val="left"/>
      </w:pPr>
      <w:r>
        <w:rPr>
          <w:rFonts w:ascii="맑은 고딕" w:hAnsi="맑은 고딕" w:eastAsia="맑은 고딕"/>
          <w:b w:val="0"/>
          <w:color w:val="1A1A1A"/>
          <w:sz w:val="21"/>
        </w:rPr>
        <w:t>아. 착지 없는 위임 정리(제6조·제13조·제15조·제16조·제26조) : '시행지침'·'별도로 정하는 바' → 「복지후생규정 시행지침」 또는 주무부서장으로 착지를 명시</w:t>
      </w:r>
    </w:p>
    <w:p>
      <w:pPr>
        <w:spacing w:before="0" w:after="40" w:line="312" w:lineRule="auto"/>
        <w:ind w:left="170"/>
        <w:jc w:val="left"/>
      </w:pPr>
      <w:r>
        <w:rPr>
          <w:rFonts w:ascii="맑은 고딕" w:hAnsi="맑은 고딕" w:eastAsia="맑은 고딕"/>
          <w:b w:val="0"/>
          <w:color w:val="1A1A1A"/>
          <w:sz w:val="21"/>
        </w:rPr>
        <w:t>자. 법령·제도 정합 : 호적등본→가족관계증명서(호주제 폐지), 육성회비→학교운영지원비, '15,000천원'→'15,000,000원', 법령 인용 형식 정비</w:t>
      </w:r>
    </w:p>
    <w:p>
      <w:pPr>
        <w:spacing w:before="0" w:after="40" w:line="312" w:lineRule="auto"/>
        <w:ind w:left="170"/>
        <w:jc w:val="left"/>
      </w:pPr>
      <w:r>
        <w:rPr>
          <w:rFonts w:ascii="맑은 고딕" w:hAnsi="맑은 고딕" w:eastAsia="맑은 고딕"/>
          <w:b w:val="0"/>
          <w:color w:val="1A1A1A"/>
          <w:sz w:val="21"/>
        </w:rPr>
        <w:t>차. 기록의 전산 갈음(제21조제2항) 및 재검토기한(제28조) 신설, 보칙 장 신설, 전 조문 표현 정비 및 부칙 정리(종전 실효)</w:t>
      </w:r>
    </w:p>
    <w:p>
      <w:r>
        <w:br w:type="page"/>
      </w:r>
    </w:p>
    <w:p>
      <w:pPr>
        <w:spacing w:before="0" w:after="160" w:line="312" w:lineRule="auto"/>
        <w:ind w:left="0"/>
        <w:jc w:val="center"/>
      </w:pPr>
      <w:r>
        <w:rPr>
          <w:rFonts w:ascii="맑은 고딕" w:hAnsi="맑은 고딕" w:eastAsia="맑은 고딕"/>
          <w:b/>
          <w:color w:val="1A1A1A"/>
          <w:sz w:val="30"/>
        </w:rPr>
        <w:t>복지후생규정</w:t>
      </w:r>
    </w:p>
    <w:p>
      <w:pPr>
        <w:spacing w:before="200" w:after="100" w:line="312" w:lineRule="auto"/>
        <w:ind w:left="0"/>
        <w:jc w:val="left"/>
      </w:pPr>
      <w:r>
        <w:rPr>
          <w:rFonts w:ascii="맑은 고딕" w:hAnsi="맑은 고딕" w:eastAsia="맑은 고딕"/>
          <w:b/>
          <w:color w:val="1A1A1A"/>
          <w:sz w:val="24"/>
        </w:rPr>
        <w:t>제1장 총칙</w:t>
      </w:r>
    </w:p>
    <w:p>
      <w:pPr>
        <w:spacing w:after="50" w:line="312" w:lineRule="auto"/>
      </w:pPr>
      <w:r>
        <w:rPr>
          <w:rFonts w:ascii="맑은 고딕" w:hAnsi="맑은 고딕" w:eastAsia="맑은 고딕"/>
          <w:b/>
          <w:color w:val="1A1A1A"/>
          <w:sz w:val="21"/>
        </w:rPr>
        <w:t>제1조(목적)</w:t>
      </w:r>
      <w:r>
        <w:rPr>
          <w:rFonts w:ascii="맑은 고딕" w:hAnsi="맑은 고딕" w:eastAsia="맑은 고딕"/>
          <w:b w:val="0"/>
          <w:color w:val="1A1A1A"/>
          <w:sz w:val="21"/>
        </w:rPr>
        <w:t xml:space="preserve"> 이 규정은 직원의 복리 증진과 보건 향상에 관한 사항 및 업무수행 중 발생한 재해의 보상에 관한 사항을 정하여 직원의 건강과 생활 안정을 도모함을 목적으로 한다.</w:t>
      </w:r>
    </w:p>
    <w:p>
      <w:pPr>
        <w:spacing w:after="50" w:line="312" w:lineRule="auto"/>
      </w:pPr>
      <w:r>
        <w:rPr>
          <w:rFonts w:ascii="맑은 고딕" w:hAnsi="맑은 고딕" w:eastAsia="맑은 고딕"/>
          <w:b/>
          <w:color w:val="1A1A1A"/>
          <w:sz w:val="21"/>
        </w:rPr>
        <w:t>제2조(정의)</w:t>
      </w:r>
      <w:r>
        <w:rPr>
          <w:rFonts w:ascii="맑은 고딕" w:hAnsi="맑은 고딕" w:eastAsia="맑은 고딕"/>
          <w:b w:val="0"/>
          <w:color w:val="1A1A1A"/>
          <w:sz w:val="21"/>
        </w:rPr>
        <w:t xml:space="preserve"> 이 규정에서 사용하는 용어의 뜻은 다음 각 호와 같다. </w:t>
      </w:r>
      <w:r>
        <w:rPr>
          <w:rFonts w:ascii="맑은 고딕" w:hAnsi="맑은 고딕" w:eastAsia="맑은 고딕"/>
          <w:b w:val="0"/>
          <w:color w:val="B03030"/>
          <w:sz w:val="19"/>
        </w:rPr>
        <w:t>&lt;신설 — 현행은 '직원가족'을 적용대상으로 하면서도 그 범위를 정한 조문이 없었음&gt;</w:t>
      </w:r>
    </w:p>
    <w:p>
      <w:pPr>
        <w:spacing w:before="0" w:after="40" w:line="312" w:lineRule="auto"/>
        <w:ind w:left="454"/>
        <w:jc w:val="left"/>
      </w:pPr>
      <w:r>
        <w:rPr>
          <w:rFonts w:ascii="맑은 고딕" w:hAnsi="맑은 고딕" w:eastAsia="맑은 고딕"/>
          <w:b w:val="0"/>
          <w:color w:val="1A1A1A"/>
          <w:sz w:val="21"/>
        </w:rPr>
        <w:t>1. "직원"이란 상임임원과 일반직원을 말한다.</w:t>
      </w:r>
    </w:p>
    <w:p>
      <w:pPr>
        <w:spacing w:before="0" w:after="40" w:line="312" w:lineRule="auto"/>
        <w:ind w:left="454"/>
        <w:jc w:val="left"/>
      </w:pPr>
      <w:r>
        <w:rPr>
          <w:rFonts w:ascii="맑은 고딕" w:hAnsi="맑은 고딕" w:eastAsia="맑은 고딕"/>
          <w:b w:val="0"/>
          <w:color w:val="1A1A1A"/>
          <w:sz w:val="21"/>
        </w:rPr>
        <w:t xml:space="preserve">2. "직원가족"이란 배우자, 직계존비속 및 19세 미만의 형제자매로서 직원과 함께 사는 사람을 말한다. </w:t>
      </w:r>
      <w:r>
        <w:rPr>
          <w:rFonts w:ascii="맑은 고딕" w:hAnsi="맑은 고딕" w:eastAsia="맑은 고딕"/>
          <w:b w:val="0"/>
          <w:color w:val="B03030"/>
          <w:sz w:val="19"/>
        </w:rPr>
        <w:t>&lt;확인 요망: 「여비규정」의 부양가족 기준과 같게 맞춤 — 실제 운영 범위 확인&gt;</w:t>
      </w:r>
    </w:p>
    <w:p>
      <w:pPr>
        <w:spacing w:before="0" w:after="40" w:line="312" w:lineRule="auto"/>
        <w:ind w:left="454"/>
        <w:jc w:val="left"/>
      </w:pPr>
      <w:r>
        <w:rPr>
          <w:rFonts w:ascii="맑은 고딕" w:hAnsi="맑은 고딕" w:eastAsia="맑은 고딕"/>
          <w:b w:val="0"/>
          <w:color w:val="1A1A1A"/>
          <w:sz w:val="21"/>
        </w:rPr>
        <w:t>3. "후생급"이란 이 규정에 따라 직원에게 지급하는 경조금, 학자금 및 그 밖의 급여를 말한다.</w:t>
      </w:r>
    </w:p>
    <w:p>
      <w:pPr>
        <w:spacing w:after="50" w:line="312" w:lineRule="auto"/>
      </w:pPr>
      <w:r>
        <w:rPr>
          <w:rFonts w:ascii="맑은 고딕" w:hAnsi="맑은 고딕" w:eastAsia="맑은 고딕"/>
          <w:b/>
          <w:color w:val="1A1A1A"/>
          <w:sz w:val="21"/>
        </w:rPr>
        <w:t>제3조(적용범위)</w:t>
      </w:r>
      <w:r>
        <w:rPr>
          <w:rFonts w:ascii="맑은 고딕" w:hAnsi="맑은 고딕" w:eastAsia="맑은 고딕"/>
          <w:b w:val="0"/>
          <w:color w:val="1A1A1A"/>
          <w:sz w:val="21"/>
        </w:rPr>
        <w:t xml:space="preserve"> 이 규정은 직원 및 직원가족에게 적용한다.</w:t>
      </w:r>
    </w:p>
    <w:p>
      <w:pPr>
        <w:spacing w:after="50" w:line="312" w:lineRule="auto"/>
      </w:pPr>
      <w:r>
        <w:rPr>
          <w:rFonts w:ascii="맑은 고딕" w:hAnsi="맑은 고딕" w:eastAsia="맑은 고딕"/>
          <w:b/>
          <w:color w:val="1A1A1A"/>
          <w:sz w:val="21"/>
        </w:rPr>
        <w:t>제4조(다른 사규와의 관계)</w:t>
      </w:r>
      <w:r>
        <w:rPr>
          <w:rFonts w:ascii="맑은 고딕" w:hAnsi="맑은 고딕" w:eastAsia="맑은 고딕"/>
          <w:b w:val="0"/>
          <w:color w:val="1A1A1A"/>
          <w:sz w:val="21"/>
        </w:rPr>
        <w:t xml:space="preserve"> 직원의 복리후생에 관하여 법령 또는 다른 사규에서 특별히 정한 것을 제외하고는 이 규정에서 정하는 바에 따른다. </w:t>
      </w:r>
      <w:r>
        <w:rPr>
          <w:rFonts w:ascii="맑은 고딕" w:hAnsi="맑은 고딕" w:eastAsia="맑은 고딕"/>
          <w:b w:val="0"/>
          <w:color w:val="B03030"/>
          <w:sz w:val="19"/>
        </w:rPr>
        <w:t>&lt;현행 제3조(준용)의 '관계법령을 준용한다'는 역위계 문구를 표준 관계 조문으로 정정&gt;</w:t>
      </w:r>
    </w:p>
    <w:p>
      <w:pPr>
        <w:spacing w:before="200" w:after="100" w:line="312" w:lineRule="auto"/>
        <w:ind w:left="0"/>
        <w:jc w:val="left"/>
      </w:pPr>
      <w:r>
        <w:rPr>
          <w:rFonts w:ascii="맑은 고딕" w:hAnsi="맑은 고딕" w:eastAsia="맑은 고딕"/>
          <w:b/>
          <w:color w:val="1A1A1A"/>
          <w:sz w:val="24"/>
        </w:rPr>
        <w:t>제2장 보건·체육·문예</w:t>
      </w:r>
    </w:p>
    <w:p>
      <w:pPr>
        <w:spacing w:after="50" w:line="312" w:lineRule="auto"/>
      </w:pPr>
      <w:r>
        <w:rPr>
          <w:rFonts w:ascii="맑은 고딕" w:hAnsi="맑은 고딕" w:eastAsia="맑은 고딕"/>
          <w:b/>
          <w:color w:val="1A1A1A"/>
          <w:sz w:val="21"/>
        </w:rPr>
        <w:t>제5조(안전 및 보건관리)</w:t>
      </w:r>
      <w:r>
        <w:rPr>
          <w:rFonts w:ascii="맑은 고딕" w:hAnsi="맑은 고딕" w:eastAsia="맑은 고딕"/>
          <w:b w:val="0"/>
          <w:color w:val="1A1A1A"/>
          <w:sz w:val="21"/>
        </w:rPr>
        <w:t xml:space="preserve"> ① 직원의 안전 및 보건관리에 관한 사항은 관계 법령에서 정하는 바에 따른다.</w:t>
      </w:r>
    </w:p>
    <w:p>
      <w:pPr>
        <w:spacing w:before="0" w:after="40" w:line="312" w:lineRule="auto"/>
        <w:ind w:left="227"/>
        <w:jc w:val="left"/>
      </w:pPr>
      <w:r>
        <w:rPr>
          <w:rFonts w:ascii="맑은 고딕" w:hAnsi="맑은 고딕" w:eastAsia="맑은 고딕"/>
          <w:b w:val="0"/>
          <w:color w:val="1A1A1A"/>
          <w:sz w:val="21"/>
        </w:rPr>
        <w:t>② 직원을 채용할 때와 그 밖에 필요하다고 인정하는 때에는 수시로 담당업무에 관하여 필요한 안전 및 위생 교육을 실시한다.</w:t>
      </w:r>
    </w:p>
    <w:p>
      <w:pPr>
        <w:spacing w:after="50" w:line="312" w:lineRule="auto"/>
      </w:pPr>
      <w:r>
        <w:rPr>
          <w:rFonts w:ascii="맑은 고딕" w:hAnsi="맑은 고딕" w:eastAsia="맑은 고딕"/>
          <w:b/>
          <w:color w:val="1A1A1A"/>
          <w:sz w:val="21"/>
        </w:rPr>
        <w:t>제6조(건강진단)</w:t>
      </w:r>
      <w:r>
        <w:rPr>
          <w:rFonts w:ascii="맑은 고딕" w:hAnsi="맑은 고딕" w:eastAsia="맑은 고딕"/>
          <w:b w:val="0"/>
          <w:color w:val="1A1A1A"/>
          <w:sz w:val="21"/>
        </w:rPr>
        <w:t xml:space="preserve"> ① 직원의 건강관리를 위하여 정기적으로 건강진단을 실시하고, 그 결과에 따라 회사는 건강 유지에 필요한 조치를 하여야 한다.</w:t>
      </w:r>
    </w:p>
    <w:p>
      <w:pPr>
        <w:spacing w:before="0" w:after="40" w:line="312" w:lineRule="auto"/>
        <w:ind w:left="227"/>
        <w:jc w:val="left"/>
      </w:pPr>
      <w:r>
        <w:rPr>
          <w:rFonts w:ascii="맑은 고딕" w:hAnsi="맑은 고딕" w:eastAsia="맑은 고딕"/>
          <w:b w:val="0"/>
          <w:color w:val="1A1A1A"/>
          <w:sz w:val="21"/>
        </w:rPr>
        <w:t>② 건강진단에 관한 세부사항은 「복지후생규정 시행지침」에서 정하는 바에 따른다.</w:t>
      </w:r>
    </w:p>
    <w:p>
      <w:pPr>
        <w:spacing w:after="50" w:line="312" w:lineRule="auto"/>
      </w:pPr>
      <w:r>
        <w:rPr>
          <w:rFonts w:ascii="맑은 고딕" w:hAnsi="맑은 고딕" w:eastAsia="맑은 고딕"/>
          <w:b/>
          <w:color w:val="1A1A1A"/>
          <w:sz w:val="21"/>
        </w:rPr>
        <w:t>제7조(의료시설)</w:t>
      </w:r>
      <w:r>
        <w:rPr>
          <w:rFonts w:ascii="맑은 고딕" w:hAnsi="맑은 고딕" w:eastAsia="맑은 고딕"/>
          <w:b w:val="0"/>
          <w:color w:val="1A1A1A"/>
          <w:sz w:val="21"/>
        </w:rPr>
        <w:t xml:space="preserve"> 직원의 건강관리와 응급 및 간이치료의 편의를 위하여 회사에 의료시설을 설치·운영할 수 있으며, 필요에 따라 외부 의료기관을 지정하여 이용할 수 있다.</w:t>
      </w:r>
    </w:p>
    <w:p>
      <w:pPr>
        <w:spacing w:after="50" w:line="312" w:lineRule="auto"/>
      </w:pPr>
      <w:r>
        <w:rPr>
          <w:rFonts w:ascii="맑은 고딕" w:hAnsi="맑은 고딕" w:eastAsia="맑은 고딕"/>
          <w:b/>
          <w:color w:val="1A1A1A"/>
          <w:sz w:val="21"/>
        </w:rPr>
        <w:t>제8조(체육·교양)</w:t>
      </w:r>
      <w:r>
        <w:rPr>
          <w:rFonts w:ascii="맑은 고딕" w:hAnsi="맑은 고딕" w:eastAsia="맑은 고딕"/>
          <w:b w:val="0"/>
          <w:color w:val="1A1A1A"/>
          <w:sz w:val="21"/>
        </w:rPr>
        <w:t xml:space="preserve"> ① 직원의 체육 진흥에 필요한 사항은 국민체육진흥에 관한 관계 법령에서 정하는 바에 따른다.</w:t>
      </w:r>
    </w:p>
    <w:p>
      <w:pPr>
        <w:spacing w:before="0" w:after="40" w:line="312" w:lineRule="auto"/>
        <w:ind w:left="227"/>
        <w:jc w:val="left"/>
      </w:pPr>
      <w:r>
        <w:rPr>
          <w:rFonts w:ascii="맑은 고딕" w:hAnsi="맑은 고딕" w:eastAsia="맑은 고딕"/>
          <w:b w:val="0"/>
          <w:color w:val="1A1A1A"/>
          <w:sz w:val="21"/>
        </w:rPr>
        <w:t>② 직원의 체력을 증진하기 위하여 필요한 경우에는 체육시설을 설치하거나 임차하여 운영할 수 있다.</w:t>
      </w:r>
    </w:p>
    <w:p>
      <w:pPr>
        <w:spacing w:before="0" w:after="40" w:line="312" w:lineRule="auto"/>
        <w:ind w:left="227"/>
        <w:jc w:val="left"/>
      </w:pPr>
      <w:r>
        <w:rPr>
          <w:rFonts w:ascii="맑은 고딕" w:hAnsi="맑은 고딕" w:eastAsia="맑은 고딕"/>
          <w:b w:val="0"/>
          <w:color w:val="1A1A1A"/>
          <w:sz w:val="21"/>
        </w:rPr>
        <w:t>③ 취미·오락 등 직원의 개별적인 상호친목활동을 제외한 공식적인 대내외 행사에 드는 경비는 회사가 부담할 수 있다.</w:t>
      </w:r>
    </w:p>
    <w:p>
      <w:pPr>
        <w:spacing w:before="0" w:after="40" w:line="312" w:lineRule="auto"/>
        <w:ind w:left="227"/>
        <w:jc w:val="left"/>
      </w:pPr>
      <w:r>
        <w:rPr>
          <w:rFonts w:ascii="맑은 고딕" w:hAnsi="맑은 고딕" w:eastAsia="맑은 고딕"/>
          <w:b w:val="0"/>
          <w:color w:val="1A1A1A"/>
          <w:sz w:val="21"/>
        </w:rPr>
        <w:t>④ 직원의 체육·교양활동과 상호친목활동을 지원하기 위하여 필요한 경우에는 장소, 시설 및 차량 운행 등의 편의를 제공할 수 있다.</w:t>
      </w:r>
    </w:p>
    <w:p>
      <w:pPr>
        <w:spacing w:before="200" w:after="100" w:line="312" w:lineRule="auto"/>
        <w:ind w:left="0"/>
        <w:jc w:val="left"/>
      </w:pPr>
      <w:r>
        <w:rPr>
          <w:rFonts w:ascii="맑은 고딕" w:hAnsi="맑은 고딕" w:eastAsia="맑은 고딕"/>
          <w:b/>
          <w:color w:val="1A1A1A"/>
          <w:sz w:val="24"/>
        </w:rPr>
        <w:t>제3장 복지·후생</w:t>
      </w:r>
    </w:p>
    <w:p>
      <w:pPr>
        <w:spacing w:after="50" w:line="312" w:lineRule="auto"/>
      </w:pPr>
      <w:r>
        <w:rPr>
          <w:rFonts w:ascii="맑은 고딕" w:hAnsi="맑은 고딕" w:eastAsia="맑은 고딕"/>
          <w:b/>
          <w:color w:val="1A1A1A"/>
          <w:sz w:val="21"/>
        </w:rPr>
        <w:t>제9조(복지후생시설의 운영)</w:t>
      </w:r>
      <w:r>
        <w:rPr>
          <w:rFonts w:ascii="맑은 고딕" w:hAnsi="맑은 고딕" w:eastAsia="맑은 고딕"/>
          <w:b w:val="0"/>
          <w:color w:val="1A1A1A"/>
          <w:sz w:val="21"/>
        </w:rPr>
        <w:t xml:space="preserve"> 직원의 복지후생 증진을 위하여 각종 후생시설을 설치·운영할 수 있다.</w:t>
      </w:r>
    </w:p>
    <w:p>
      <w:pPr>
        <w:spacing w:after="50" w:line="312" w:lineRule="auto"/>
      </w:pPr>
      <w:r>
        <w:rPr>
          <w:rFonts w:ascii="맑은 고딕" w:hAnsi="맑은 고딕" w:eastAsia="맑은 고딕"/>
          <w:b/>
          <w:color w:val="1A1A1A"/>
          <w:sz w:val="21"/>
        </w:rPr>
        <w:t>제10조(후생급의 지급대상)</w:t>
      </w:r>
      <w:r>
        <w:rPr>
          <w:rFonts w:ascii="맑은 고딕" w:hAnsi="맑은 고딕" w:eastAsia="맑은 고딕"/>
          <w:b w:val="0"/>
          <w:color w:val="1A1A1A"/>
          <w:sz w:val="21"/>
        </w:rPr>
        <w:t xml:space="preserve"> ① 후생급은 지급일 현재 재직 중인 직원에게 지급한다.</w:t>
      </w:r>
    </w:p>
    <w:p>
      <w:pPr>
        <w:spacing w:before="0" w:after="40" w:line="312" w:lineRule="auto"/>
        <w:ind w:left="227"/>
        <w:jc w:val="left"/>
      </w:pPr>
      <w:r>
        <w:rPr>
          <w:rFonts w:ascii="맑은 고딕" w:hAnsi="맑은 고딕" w:eastAsia="맑은 고딕"/>
          <w:b w:val="0"/>
          <w:color w:val="1A1A1A"/>
          <w:sz w:val="21"/>
        </w:rPr>
        <w:t>② 다음 각 호의 어느 하나에 해당하는 직원에게는 후생급을 지급하지 아니한다.</w:t>
      </w:r>
    </w:p>
    <w:p>
      <w:pPr>
        <w:spacing w:before="0" w:after="40" w:line="312" w:lineRule="auto"/>
        <w:ind w:left="454"/>
        <w:jc w:val="left"/>
      </w:pPr>
      <w:r>
        <w:rPr>
          <w:rFonts w:ascii="맑은 고딕" w:hAnsi="맑은 고딕" w:eastAsia="맑은 고딕"/>
          <w:b w:val="0"/>
          <w:color w:val="1A1A1A"/>
          <w:sz w:val="21"/>
        </w:rPr>
        <w:t>1. 지급일 현재 정직 중인 직원</w:t>
      </w:r>
    </w:p>
    <w:p>
      <w:pPr>
        <w:spacing w:before="0" w:after="40" w:line="312" w:lineRule="auto"/>
        <w:ind w:left="454"/>
        <w:jc w:val="left"/>
      </w:pPr>
      <w:r>
        <w:rPr>
          <w:rFonts w:ascii="맑은 고딕" w:hAnsi="맑은 고딕" w:eastAsia="맑은 고딕"/>
          <w:b w:val="0"/>
          <w:color w:val="1A1A1A"/>
          <w:sz w:val="21"/>
        </w:rPr>
        <w:t>2. 지급일 현재 휴직 중인 직원. 다만, 공상 또는 질병으로 인한 휴직자는 제외한다.</w:t>
      </w:r>
    </w:p>
    <w:p>
      <w:pPr>
        <w:spacing w:after="50" w:line="312" w:lineRule="auto"/>
      </w:pPr>
      <w:r>
        <w:rPr>
          <w:rFonts w:ascii="맑은 고딕" w:hAnsi="맑은 고딕" w:eastAsia="맑은 고딕"/>
          <w:b/>
          <w:color w:val="1A1A1A"/>
          <w:sz w:val="21"/>
        </w:rPr>
        <w:t>제11조(경조금의 지급)</w:t>
      </w:r>
      <w:r>
        <w:rPr>
          <w:rFonts w:ascii="맑은 고딕" w:hAnsi="맑은 고딕" w:eastAsia="맑은 고딕"/>
          <w:b w:val="0"/>
          <w:color w:val="1A1A1A"/>
          <w:sz w:val="21"/>
        </w:rPr>
        <w:t xml:space="preserve"> ① 직원의 경조사에 대해서는 경조금을 지급하며, 그 지급금액은 [별표 제1호]와 같다.</w:t>
      </w:r>
    </w:p>
    <w:p>
      <w:pPr>
        <w:spacing w:before="0" w:after="40" w:line="312" w:lineRule="auto"/>
        <w:ind w:left="227"/>
        <w:jc w:val="left"/>
      </w:pPr>
      <w:r>
        <w:rPr>
          <w:rFonts w:ascii="맑은 고딕" w:hAnsi="맑은 고딕" w:eastAsia="맑은 고딕"/>
          <w:b w:val="0"/>
          <w:color w:val="1A1A1A"/>
          <w:sz w:val="21"/>
        </w:rPr>
        <w:t xml:space="preserve">② 경조금은 해당 경조사의 발생일 또는 실제 행사일부터 24개월 이내에 지급한다. </w:t>
      </w:r>
      <w:r>
        <w:rPr>
          <w:rFonts w:ascii="맑은 고딕" w:hAnsi="맑은 고딕" w:eastAsia="맑은 고딕"/>
          <w:b w:val="0"/>
          <w:color w:val="B03030"/>
          <w:sz w:val="19"/>
        </w:rPr>
        <w:t>&lt;확인 요망: 24개월은 회계연도를 두 차례 넘겨 예산 관리가 어려움 — 6개월 또는 12개월로 단축 검토&gt;</w:t>
      </w:r>
    </w:p>
    <w:p>
      <w:pPr>
        <w:spacing w:before="0" w:after="40" w:line="312" w:lineRule="auto"/>
        <w:ind w:left="227"/>
        <w:jc w:val="left"/>
      </w:pPr>
      <w:r>
        <w:rPr>
          <w:rFonts w:ascii="맑은 고딕" w:hAnsi="맑은 고딕" w:eastAsia="맑은 고딕"/>
          <w:b w:val="0"/>
          <w:color w:val="1A1A1A"/>
          <w:sz w:val="21"/>
        </w:rPr>
        <w:t>③ 소속 부실점장은 경조사 사유가 발생한 직원으로부터 경조금 지급신청서[서식 제1호]에 따라 신청을 받는다.</w:t>
      </w:r>
    </w:p>
    <w:p>
      <w:pPr>
        <w:spacing w:before="0" w:after="40" w:line="312" w:lineRule="auto"/>
        <w:ind w:left="227"/>
        <w:jc w:val="left"/>
      </w:pPr>
      <w:r>
        <w:rPr>
          <w:rFonts w:ascii="맑은 고딕" w:hAnsi="맑은 고딕" w:eastAsia="맑은 고딕"/>
          <w:b w:val="0"/>
          <w:color w:val="1A1A1A"/>
          <w:sz w:val="21"/>
        </w:rPr>
        <w:t xml:space="preserve">④ 신청을 받은 때에는 가족관계증명서, 주민등록표 등본, 사망진단서, 청첩장, 부고장 등 해당 사실을 확인할 수 있는 서류로 지급의 적정성을 검토한 후 지급한다. 다만, 부고장이 없는 경우에는 소속 부실점장의 확인으로 갈음할 수 있다. </w:t>
      </w:r>
      <w:r>
        <w:rPr>
          <w:rFonts w:ascii="맑은 고딕" w:hAnsi="맑은 고딕" w:eastAsia="맑은 고딕"/>
          <w:b w:val="0"/>
          <w:color w:val="B03030"/>
          <w:sz w:val="19"/>
        </w:rPr>
        <w:t>&lt;현행 '호적등본'은 호주제 폐지(2008)로 없어진 서류이므로 가족관계증명서로 정정&gt;</w:t>
      </w:r>
    </w:p>
    <w:p>
      <w:pPr>
        <w:spacing w:before="0" w:after="40" w:line="312" w:lineRule="auto"/>
        <w:ind w:left="227"/>
        <w:jc w:val="left"/>
      </w:pPr>
      <w:r>
        <w:rPr>
          <w:rFonts w:ascii="맑은 고딕" w:hAnsi="맑은 고딕" w:eastAsia="맑은 고딕"/>
          <w:b w:val="0"/>
          <w:color w:val="1A1A1A"/>
          <w:sz w:val="21"/>
        </w:rPr>
        <w:t xml:space="preserve">⑤ 제4항의 가족관계를 확인하는 서류는 신청일 전 3개월 이내에 발급받은 것이어야 한다. </w:t>
      </w:r>
      <w:r>
        <w:rPr>
          <w:rFonts w:ascii="맑은 고딕" w:hAnsi="맑은 고딕" w:eastAsia="맑은 고딕"/>
          <w:b w:val="0"/>
          <w:color w:val="B03030"/>
          <w:sz w:val="19"/>
        </w:rPr>
        <w:t>&lt;신설 — 실무에서 적용해 온 기준의 규정화&gt;</w:t>
      </w:r>
    </w:p>
    <w:p>
      <w:pPr>
        <w:spacing w:after="50" w:line="312" w:lineRule="auto"/>
      </w:pPr>
      <w:r>
        <w:rPr>
          <w:rFonts w:ascii="맑은 고딕" w:hAnsi="맑은 고딕" w:eastAsia="맑은 고딕"/>
          <w:b/>
          <w:color w:val="1A1A1A"/>
          <w:sz w:val="21"/>
        </w:rPr>
        <w:t>제12조(학자금의 지급)</w:t>
      </w:r>
      <w:r>
        <w:rPr>
          <w:rFonts w:ascii="맑은 고딕" w:hAnsi="맑은 고딕" w:eastAsia="맑은 고딕"/>
          <w:b w:val="0"/>
          <w:color w:val="1A1A1A"/>
          <w:sz w:val="21"/>
        </w:rPr>
        <w:t xml:space="preserve"> ① 회사는 직원의 자녀 교육에 드는 비용을 지원하기 위하여 다음 각 호의 구분에 따라 학자금을 지급할 수 있다. </w:t>
      </w:r>
      <w:r>
        <w:rPr>
          <w:rFonts w:ascii="맑은 고딕" w:hAnsi="맑은 고딕" w:eastAsia="맑은 고딕"/>
          <w:b w:val="0"/>
          <w:color w:val="B03030"/>
          <w:sz w:val="19"/>
        </w:rPr>
        <w:t>&lt;★ 현행 제11조(장학금)와 제12조(미취학자녀 교육비)를 "학자금"으로 통합하고, 학령 구간을 미취학부터 대학까지 연속되도록 정비. 현행은 '장학금'과 '학자금'을 혼용하고 초등학교 구간이 비어 있었음&gt;</w:t>
      </w:r>
    </w:p>
    <w:p>
      <w:pPr>
        <w:spacing w:before="0" w:after="40" w:line="312" w:lineRule="auto"/>
        <w:ind w:left="454"/>
        <w:jc w:val="left"/>
      </w:pPr>
      <w:r>
        <w:rPr>
          <w:rFonts w:ascii="맑은 고딕" w:hAnsi="맑은 고딕" w:eastAsia="맑은 고딕"/>
          <w:b w:val="0"/>
          <w:color w:val="1A1A1A"/>
          <w:sz w:val="21"/>
        </w:rPr>
        <w:t>1. 미취학 자녀 : 「초·중등교육법」에 따른 유치원, 「영유아보육법」에 따른 어린이집 또는 「학원의 설립·운영 및 과외교습에 관한 법률」에 따른 학원에 다니는 자녀</w:t>
      </w:r>
    </w:p>
    <w:p>
      <w:pPr>
        <w:spacing w:before="0" w:after="40" w:line="312" w:lineRule="auto"/>
        <w:ind w:left="454"/>
        <w:jc w:val="left"/>
      </w:pPr>
      <w:r>
        <w:rPr>
          <w:rFonts w:ascii="맑은 고딕" w:hAnsi="맑은 고딕" w:eastAsia="맑은 고딕"/>
          <w:b w:val="0"/>
          <w:color w:val="1A1A1A"/>
          <w:sz w:val="21"/>
        </w:rPr>
        <w:t xml:space="preserve">2. 초등학교·중학교·고등학교에 재학 중인 자녀 </w:t>
      </w:r>
      <w:r>
        <w:rPr>
          <w:rFonts w:ascii="맑은 고딕" w:hAnsi="맑은 고딕" w:eastAsia="맑은 고딕"/>
          <w:b w:val="0"/>
          <w:color w:val="B03030"/>
          <w:sz w:val="19"/>
        </w:rPr>
        <w:t>&lt;★ 초등학교 구간 신설 — 확인 요망: 지원 여부 및 금액 결정 필요(무상교육 대상 항목 제외 시 실지출이 크지 않을 수 있음)&gt;</w:t>
      </w:r>
    </w:p>
    <w:p>
      <w:pPr>
        <w:spacing w:before="0" w:after="40" w:line="312" w:lineRule="auto"/>
        <w:ind w:left="454"/>
        <w:jc w:val="left"/>
      </w:pPr>
      <w:r>
        <w:rPr>
          <w:rFonts w:ascii="맑은 고딕" w:hAnsi="맑은 고딕" w:eastAsia="맑은 고딕"/>
          <w:b w:val="0"/>
          <w:color w:val="1A1A1A"/>
          <w:sz w:val="21"/>
        </w:rPr>
        <w:t>3. 대학교(대학원은 제외한다)에 재학 중인 자녀</w:t>
      </w:r>
    </w:p>
    <w:p>
      <w:pPr>
        <w:spacing w:before="0" w:after="40" w:line="312" w:lineRule="auto"/>
        <w:ind w:left="454"/>
        <w:jc w:val="left"/>
      </w:pPr>
      <w:r>
        <w:rPr>
          <w:rFonts w:ascii="맑은 고딕" w:hAnsi="맑은 고딕" w:eastAsia="맑은 고딕"/>
          <w:b w:val="0"/>
          <w:color w:val="1A1A1A"/>
          <w:sz w:val="21"/>
        </w:rPr>
        <w:t>4. 국외의 정규학교에 재학 중인 자녀</w:t>
      </w:r>
    </w:p>
    <w:p>
      <w:pPr>
        <w:spacing w:before="0" w:after="40" w:line="312" w:lineRule="auto"/>
        <w:ind w:left="227"/>
        <w:jc w:val="left"/>
      </w:pPr>
      <w:r>
        <w:rPr>
          <w:rFonts w:ascii="맑은 고딕" w:hAnsi="맑은 고딕" w:eastAsia="맑은 고딕"/>
          <w:b w:val="0"/>
          <w:color w:val="1A1A1A"/>
          <w:sz w:val="21"/>
        </w:rPr>
        <w:t>② 학자금의 지급기준은 다음 각 호와 같다.</w:t>
      </w:r>
    </w:p>
    <w:p>
      <w:pPr>
        <w:spacing w:before="0" w:after="40" w:line="312" w:lineRule="auto"/>
        <w:ind w:left="454"/>
        <w:jc w:val="left"/>
      </w:pPr>
      <w:r>
        <w:rPr>
          <w:rFonts w:ascii="맑은 고딕" w:hAnsi="맑은 고딕" w:eastAsia="맑은 고딕"/>
          <w:b w:val="0"/>
          <w:color w:val="1A1A1A"/>
          <w:sz w:val="21"/>
        </w:rPr>
        <w:t>1. 제1항제1호의 미취학 자녀 : 등록금의 범위에서 분기별 300,000원 이내로 하되, 지원기간은 자녀가 초등학교에 취학하기 전월까지로 하며 총 3년을 초과할 수 없다.</w:t>
      </w:r>
    </w:p>
    <w:p>
      <w:pPr>
        <w:spacing w:before="0" w:after="40" w:line="312" w:lineRule="auto"/>
        <w:ind w:left="454"/>
        <w:jc w:val="left"/>
      </w:pPr>
      <w:r>
        <w:rPr>
          <w:rFonts w:ascii="맑은 고딕" w:hAnsi="맑은 고딕" w:eastAsia="맑은 고딕"/>
          <w:b w:val="0"/>
          <w:color w:val="1A1A1A"/>
          <w:sz w:val="21"/>
        </w:rPr>
        <w:t>2. 제1항제2호 및 제3호의 자녀 : 등록금의 100퍼센트 범위. 다만, 다른 기관·단체에서 장학금을 받는 경우에는 지급하지 아니하고, 일부만 받는 경우에는 그 차액을 지급한다.</w:t>
      </w:r>
    </w:p>
    <w:p>
      <w:pPr>
        <w:spacing w:before="0" w:after="40" w:line="312" w:lineRule="auto"/>
        <w:ind w:left="454"/>
        <w:jc w:val="left"/>
      </w:pPr>
      <w:r>
        <w:rPr>
          <w:rFonts w:ascii="맑은 고딕" w:hAnsi="맑은 고딕" w:eastAsia="맑은 고딕"/>
          <w:b w:val="0"/>
          <w:color w:val="1A1A1A"/>
          <w:sz w:val="21"/>
        </w:rPr>
        <w:t>3. 제1항제4호의 국외 학교 : 지급일 현재 전신환매도율로 환산한 실납입금액을 지원하되, 중학교·고등학교는 국내 공립학교에 준하여, 대학교는 국내 직전 연도 같은 계열 등록금의 최고금액 이내로 지급한다.</w:t>
      </w:r>
    </w:p>
    <w:p>
      <w:pPr>
        <w:spacing w:before="0" w:after="40" w:line="312" w:lineRule="auto"/>
        <w:ind w:left="227"/>
        <w:jc w:val="left"/>
      </w:pPr>
      <w:r>
        <w:rPr>
          <w:rFonts w:ascii="맑은 고딕" w:hAnsi="맑은 고딕" w:eastAsia="맑은 고딕"/>
          <w:b w:val="0"/>
          <w:color w:val="1A1A1A"/>
          <w:sz w:val="21"/>
        </w:rPr>
        <w:t xml:space="preserve">③ 제2항의 등록금은 수업료, 입학금, 학교운영지원비, 학생회비, 실험실습비 및 자율적 경비 중 자치회비 등 매 학기 정례적으로 납부하는 필수 경비로 한다. </w:t>
      </w:r>
      <w:r>
        <w:rPr>
          <w:rFonts w:ascii="맑은 고딕" w:hAnsi="맑은 고딕" w:eastAsia="맑은 고딕"/>
          <w:b w:val="0"/>
          <w:color w:val="B03030"/>
          <w:sz w:val="19"/>
        </w:rPr>
        <w:t>&lt;현행 '육성회비'는 폐지된 명칭이므로 '학교운영지원비'로 정정&gt;</w:t>
      </w:r>
    </w:p>
    <w:p>
      <w:pPr>
        <w:spacing w:before="0" w:after="40" w:line="312" w:lineRule="auto"/>
        <w:ind w:left="227"/>
        <w:jc w:val="left"/>
      </w:pPr>
      <w:r>
        <w:rPr>
          <w:rFonts w:ascii="맑은 고딕" w:hAnsi="맑은 고딕" w:eastAsia="맑은 고딕"/>
          <w:b w:val="0"/>
          <w:color w:val="1A1A1A"/>
          <w:sz w:val="21"/>
        </w:rPr>
        <w:t>④ 다음 각 호의 비용은 학자금으로 지급하지 아니한다.</w:t>
      </w:r>
    </w:p>
    <w:p>
      <w:pPr>
        <w:spacing w:before="0" w:after="40" w:line="312" w:lineRule="auto"/>
        <w:ind w:left="454"/>
        <w:jc w:val="left"/>
      </w:pPr>
      <w:r>
        <w:rPr>
          <w:rFonts w:ascii="맑은 고딕" w:hAnsi="맑은 고딕" w:eastAsia="맑은 고딕"/>
          <w:b w:val="0"/>
          <w:color w:val="1A1A1A"/>
          <w:sz w:val="21"/>
        </w:rPr>
        <w:t>1. 금액이나 현물로 반대급부를 받는 비용(저축금, 보험금, 교재비, 신문대금, 피복비, 수첩대금, 보건비, 의료공제회비 등)</w:t>
      </w:r>
    </w:p>
    <w:p>
      <w:pPr>
        <w:spacing w:before="0" w:after="40" w:line="312" w:lineRule="auto"/>
        <w:ind w:left="454"/>
        <w:jc w:val="left"/>
      </w:pPr>
      <w:r>
        <w:rPr>
          <w:rFonts w:ascii="맑은 고딕" w:hAnsi="맑은 고딕" w:eastAsia="맑은 고딕"/>
          <w:b w:val="0"/>
          <w:color w:val="1A1A1A"/>
          <w:sz w:val="21"/>
        </w:rPr>
        <w:t>2. 각종 행사 준비금(수학여행비, 앨범대금 등)</w:t>
      </w:r>
    </w:p>
    <w:p>
      <w:pPr>
        <w:spacing w:before="0" w:after="40" w:line="312" w:lineRule="auto"/>
        <w:ind w:left="454"/>
        <w:jc w:val="left"/>
      </w:pPr>
      <w:r>
        <w:rPr>
          <w:rFonts w:ascii="맑은 고딕" w:hAnsi="맑은 고딕" w:eastAsia="맑은 고딕"/>
          <w:b w:val="0"/>
          <w:color w:val="1A1A1A"/>
          <w:sz w:val="21"/>
        </w:rPr>
        <w:t>3. 의연금 및 기부금</w:t>
      </w:r>
    </w:p>
    <w:p>
      <w:pPr>
        <w:spacing w:before="0" w:after="40" w:line="312" w:lineRule="auto"/>
        <w:ind w:left="454"/>
        <w:jc w:val="left"/>
      </w:pPr>
      <w:r>
        <w:rPr>
          <w:rFonts w:ascii="맑은 고딕" w:hAnsi="맑은 고딕" w:eastAsia="맑은 고딕"/>
          <w:b w:val="0"/>
          <w:color w:val="1A1A1A"/>
          <w:sz w:val="21"/>
        </w:rPr>
        <w:t>4. 자율적 경비에 포함되지 아니하는 비용</w:t>
      </w:r>
    </w:p>
    <w:p>
      <w:pPr>
        <w:spacing w:before="0" w:after="40" w:line="312" w:lineRule="auto"/>
        <w:ind w:left="454"/>
        <w:jc w:val="left"/>
      </w:pPr>
      <w:r>
        <w:rPr>
          <w:rFonts w:ascii="맑은 고딕" w:hAnsi="맑은 고딕" w:eastAsia="맑은 고딕"/>
          <w:b w:val="0"/>
          <w:color w:val="1A1A1A"/>
          <w:sz w:val="21"/>
        </w:rPr>
        <w:t>5. 편입학의 입학금</w:t>
      </w:r>
    </w:p>
    <w:p>
      <w:pPr>
        <w:spacing w:before="0" w:after="40" w:line="312" w:lineRule="auto"/>
        <w:ind w:left="454"/>
        <w:jc w:val="left"/>
      </w:pPr>
      <w:r>
        <w:rPr>
          <w:rFonts w:ascii="맑은 고딕" w:hAnsi="맑은 고딕" w:eastAsia="맑은 고딕"/>
          <w:b w:val="0"/>
          <w:color w:val="1A1A1A"/>
          <w:sz w:val="21"/>
        </w:rPr>
        <w:t>6. 그 밖에 제3항의 등록금 범위에 해당하지 아니하는 비용</w:t>
      </w:r>
    </w:p>
    <w:p>
      <w:pPr>
        <w:spacing w:before="0" w:after="40" w:line="312" w:lineRule="auto"/>
        <w:ind w:left="227"/>
        <w:jc w:val="left"/>
      </w:pPr>
      <w:r>
        <w:rPr>
          <w:rFonts w:ascii="맑은 고딕" w:hAnsi="맑은 고딕" w:eastAsia="맑은 고딕"/>
          <w:b w:val="0"/>
          <w:color w:val="1A1A1A"/>
          <w:sz w:val="21"/>
        </w:rPr>
        <w:t>⑤ 학자금은 「초·중등교육법」 및 「고등교육법」에서 정하는 수업연한 동안 지급하며, 같은 학년·같은 학기에 대하여 중복하여 지급하지 아니한다. 지원 인원은 제한하지 아니한다.</w:t>
      </w:r>
    </w:p>
    <w:p>
      <w:pPr>
        <w:spacing w:before="0" w:after="40" w:line="312" w:lineRule="auto"/>
        <w:ind w:left="227"/>
        <w:jc w:val="left"/>
      </w:pPr>
      <w:r>
        <w:rPr>
          <w:rFonts w:ascii="맑은 고딕" w:hAnsi="맑은 고딕" w:eastAsia="맑은 고딕"/>
          <w:b w:val="0"/>
          <w:color w:val="1A1A1A"/>
          <w:sz w:val="21"/>
        </w:rPr>
        <w:t>⑥ 「사내근로복지기금법」에 따라 기금을 출연한 경우에는 그 기금으로 제1항의 학자금 지급을 대신할 수 있다.</w:t>
      </w:r>
    </w:p>
    <w:p>
      <w:pPr>
        <w:spacing w:before="0" w:after="40" w:line="312" w:lineRule="auto"/>
        <w:ind w:left="227"/>
        <w:jc w:val="left"/>
      </w:pPr>
      <w:r>
        <w:rPr>
          <w:rFonts w:ascii="맑은 고딕" w:hAnsi="맑은 고딕" w:eastAsia="맑은 고딕"/>
          <w:b w:val="0"/>
          <w:color w:val="1A1A1A"/>
          <w:sz w:val="21"/>
        </w:rPr>
        <w:t xml:space="preserve">⑦ 학자금을 받으려는 직원은 학자금 지원신청서[서식 제2호]에 다음 각 호의 서류를 첨부하여 소속 부실점장에게 신청하여야 한다. 이 경우 제1호의 서류는 신청일 전 3개월 이내에 발급받은 것이어야 한다. </w:t>
      </w:r>
      <w:r>
        <w:rPr>
          <w:rFonts w:ascii="맑은 고딕" w:hAnsi="맑은 고딕" w:eastAsia="맑은 고딕"/>
          <w:b w:val="0"/>
          <w:color w:val="B03030"/>
          <w:sz w:val="19"/>
        </w:rPr>
        <w:t>&lt;신설 — 현행은 첨부서류와 발급 시점 기준이 없었음&gt;</w:t>
      </w:r>
    </w:p>
    <w:p>
      <w:pPr>
        <w:spacing w:before="0" w:after="40" w:line="312" w:lineRule="auto"/>
        <w:ind w:left="454"/>
        <w:jc w:val="left"/>
      </w:pPr>
      <w:r>
        <w:rPr>
          <w:rFonts w:ascii="맑은 고딕" w:hAnsi="맑은 고딕" w:eastAsia="맑은 고딕"/>
          <w:b w:val="0"/>
          <w:color w:val="1A1A1A"/>
          <w:sz w:val="21"/>
        </w:rPr>
        <w:t>1. 가족관계증명서</w:t>
      </w:r>
    </w:p>
    <w:p>
      <w:pPr>
        <w:spacing w:before="0" w:after="40" w:line="312" w:lineRule="auto"/>
        <w:ind w:left="454"/>
        <w:jc w:val="left"/>
      </w:pPr>
      <w:r>
        <w:rPr>
          <w:rFonts w:ascii="맑은 고딕" w:hAnsi="맑은 고딕" w:eastAsia="맑은 고딕"/>
          <w:b w:val="0"/>
          <w:color w:val="1A1A1A"/>
          <w:sz w:val="21"/>
        </w:rPr>
        <w:t>2. 재학증명서 또는 이에 준하는 서류</w:t>
      </w:r>
    </w:p>
    <w:p>
      <w:pPr>
        <w:spacing w:before="0" w:after="40" w:line="312" w:lineRule="auto"/>
        <w:ind w:left="454"/>
        <w:jc w:val="left"/>
      </w:pPr>
      <w:r>
        <w:rPr>
          <w:rFonts w:ascii="맑은 고딕" w:hAnsi="맑은 고딕" w:eastAsia="맑은 고딕"/>
          <w:b w:val="0"/>
          <w:color w:val="1A1A1A"/>
          <w:sz w:val="21"/>
        </w:rPr>
        <w:t>3. 등록금 납부 사실을 확인할 수 있는 영수증. 다만, 제1항제1호의 미취학 자녀의 경우에는 해당 교육기관이 발행한 영수증으로 한다.</w:t>
      </w:r>
    </w:p>
    <w:p>
      <w:pPr>
        <w:spacing w:before="0" w:after="40" w:line="312" w:lineRule="auto"/>
        <w:ind w:left="227"/>
        <w:jc w:val="left"/>
      </w:pPr>
      <w:r>
        <w:rPr>
          <w:rFonts w:ascii="맑은 고딕" w:hAnsi="맑은 고딕" w:eastAsia="맑은 고딕"/>
          <w:b w:val="0"/>
          <w:color w:val="1A1A1A"/>
          <w:sz w:val="21"/>
        </w:rPr>
        <w:t>⑧ 신청기한은 등록금 납부일부터 6개월까지로 한다. 다만, 제1항제1호의 미취학 자녀에 대해서는 매 분기 말까지 분기 단위로 신청한다.</w:t>
      </w:r>
    </w:p>
    <w:p>
      <w:pPr>
        <w:spacing w:before="0" w:after="40" w:line="312" w:lineRule="auto"/>
        <w:ind w:left="227"/>
        <w:jc w:val="left"/>
      </w:pPr>
      <w:r>
        <w:rPr>
          <w:rFonts w:ascii="맑은 고딕" w:hAnsi="맑은 고딕" w:eastAsia="맑은 고딕"/>
          <w:b w:val="0"/>
          <w:color w:val="1A1A1A"/>
          <w:sz w:val="21"/>
        </w:rPr>
        <w:t>⑨ 제1항의 지원 대상에는 사망한 직원의 자녀를 포함하며, 그 세부사항은 「복지후생규정 시행지침」에서 정한다.</w:t>
      </w:r>
    </w:p>
    <w:p>
      <w:pPr>
        <w:spacing w:after="50" w:line="312" w:lineRule="auto"/>
      </w:pPr>
      <w:r>
        <w:rPr>
          <w:rFonts w:ascii="맑은 고딕" w:hAnsi="맑은 고딕" w:eastAsia="맑은 고딕"/>
          <w:b/>
          <w:color w:val="1A1A1A"/>
          <w:sz w:val="21"/>
        </w:rPr>
        <w:t>제13조(주택의 대여)</w:t>
      </w:r>
      <w:r>
        <w:rPr>
          <w:rFonts w:ascii="맑은 고딕" w:hAnsi="맑은 고딕" w:eastAsia="맑은 고딕"/>
          <w:b w:val="0"/>
          <w:color w:val="1A1A1A"/>
          <w:sz w:val="21"/>
        </w:rPr>
        <w:t xml:space="preserve"> ① 근무지에 자택이 없는 부양가족 동반 부실점장에게는 회사 소유 사택이나 임차사택을 대여할 수 있다. 다만, 부실점장이 다른 지역으로 이동하였으나 부득이한 사정으로 단신 부임한 경우에도 사택을 대여할 수 있다.</w:t>
      </w:r>
    </w:p>
    <w:p>
      <w:pPr>
        <w:spacing w:before="0" w:after="40" w:line="312" w:lineRule="auto"/>
        <w:ind w:left="227"/>
        <w:jc w:val="left"/>
      </w:pPr>
      <w:r>
        <w:rPr>
          <w:rFonts w:ascii="맑은 고딕" w:hAnsi="맑은 고딕" w:eastAsia="맑은 고딕"/>
          <w:b w:val="0"/>
          <w:color w:val="1A1A1A"/>
          <w:sz w:val="21"/>
        </w:rPr>
        <w:t xml:space="preserve">② 주택 대여에 관한 세부사항은 「복지후생규정 시행지침」에서 정하는 바에 따른다. </w:t>
      </w:r>
      <w:r>
        <w:rPr>
          <w:rFonts w:ascii="맑은 고딕" w:hAnsi="맑은 고딕" w:eastAsia="맑은 고딕"/>
          <w:b w:val="0"/>
          <w:color w:val="B03030"/>
          <w:sz w:val="19"/>
        </w:rPr>
        <w:t>&lt;착지 없는 위임('별도로 정하는 바') → 시행지침 제6조 이하에 실재하므로 명시&gt;</w:t>
      </w:r>
    </w:p>
    <w:p>
      <w:pPr>
        <w:spacing w:after="50" w:line="312" w:lineRule="auto"/>
      </w:pPr>
      <w:r>
        <w:rPr>
          <w:rFonts w:ascii="맑은 고딕" w:hAnsi="맑은 고딕" w:eastAsia="맑은 고딕"/>
          <w:b/>
          <w:color w:val="1A1A1A"/>
          <w:sz w:val="21"/>
        </w:rPr>
        <w:t>제14조(대여주택의 관리·운영)</w:t>
      </w:r>
      <w:r>
        <w:rPr>
          <w:rFonts w:ascii="맑은 고딕" w:hAnsi="맑은 고딕" w:eastAsia="맑은 고딕"/>
          <w:b w:val="0"/>
          <w:color w:val="1A1A1A"/>
          <w:sz w:val="21"/>
        </w:rPr>
        <w:t xml:space="preserve"> ① 주택 임차에 따른 계약, 권리 보전 등에 관한 사항은 소속 부실점장의 책임하에 관리하여야 한다.</w:t>
      </w:r>
    </w:p>
    <w:p>
      <w:pPr>
        <w:spacing w:before="0" w:after="40" w:line="312" w:lineRule="auto"/>
        <w:ind w:left="227"/>
        <w:jc w:val="left"/>
      </w:pPr>
      <w:r>
        <w:rPr>
          <w:rFonts w:ascii="맑은 고딕" w:hAnsi="맑은 고딕" w:eastAsia="맑은 고딕"/>
          <w:b w:val="0"/>
          <w:color w:val="1A1A1A"/>
          <w:sz w:val="21"/>
        </w:rPr>
        <w:t>② 임대차계약 및 권리 보전 등에 직접 드는 부대비용은 회사가 부담한다.</w:t>
      </w:r>
    </w:p>
    <w:p>
      <w:pPr>
        <w:spacing w:after="50" w:line="312" w:lineRule="auto"/>
      </w:pPr>
      <w:r>
        <w:rPr>
          <w:rFonts w:ascii="맑은 고딕" w:hAnsi="맑은 고딕" w:eastAsia="맑은 고딕"/>
          <w:b/>
          <w:color w:val="1A1A1A"/>
          <w:sz w:val="21"/>
        </w:rPr>
        <w:t>제15조(합숙소의 설치·운영)</w:t>
      </w:r>
      <w:r>
        <w:rPr>
          <w:rFonts w:ascii="맑은 고딕" w:hAnsi="맑은 고딕" w:eastAsia="맑은 고딕"/>
          <w:b w:val="0"/>
          <w:color w:val="1A1A1A"/>
          <w:sz w:val="21"/>
        </w:rPr>
        <w:t xml:space="preserve"> ① 직원의 연수·훈련과 독신 및 단신 부임 직원의 숙식 편의를 위하여 필요한 경우에는 합숙소를 설치·운영할 수 있다.</w:t>
      </w:r>
    </w:p>
    <w:p>
      <w:pPr>
        <w:spacing w:before="0" w:after="40" w:line="312" w:lineRule="auto"/>
        <w:ind w:left="227"/>
        <w:jc w:val="left"/>
      </w:pPr>
      <w:r>
        <w:rPr>
          <w:rFonts w:ascii="맑은 고딕" w:hAnsi="맑은 고딕" w:eastAsia="맑은 고딕"/>
          <w:b w:val="0"/>
          <w:color w:val="1A1A1A"/>
          <w:sz w:val="21"/>
        </w:rPr>
        <w:t>② 합숙소의 설치·운영에 관한 사항은 「복지후생규정 시행지침」에서 정한다.</w:t>
      </w:r>
    </w:p>
    <w:p>
      <w:pPr>
        <w:spacing w:after="50" w:line="312" w:lineRule="auto"/>
      </w:pPr>
      <w:r>
        <w:rPr>
          <w:rFonts w:ascii="맑은 고딕" w:hAnsi="맑은 고딕" w:eastAsia="맑은 고딕"/>
          <w:b/>
          <w:color w:val="1A1A1A"/>
          <w:sz w:val="21"/>
        </w:rPr>
        <w:t>제16조(피복 등의 대여)</w:t>
      </w:r>
      <w:r>
        <w:rPr>
          <w:rFonts w:ascii="맑은 고딕" w:hAnsi="맑은 고딕" w:eastAsia="맑은 고딕"/>
          <w:b w:val="0"/>
          <w:color w:val="1A1A1A"/>
          <w:sz w:val="21"/>
        </w:rPr>
        <w:t xml:space="preserve"> 직원에게는 업무수행에 적합한 피복 및 근무화를 대여하거나 비치하여 착용하게 하고, 또는 구입 보조비를 지급할 수 있다. 이 경우 대여 기준과 지급 방법은 「복지후생규정 시행지침」에서 정한다. </w:t>
      </w:r>
      <w:r>
        <w:rPr>
          <w:rFonts w:ascii="맑은 고딕" w:hAnsi="맑은 고딕" w:eastAsia="맑은 고딕"/>
          <w:b w:val="0"/>
          <w:color w:val="B03030"/>
          <w:sz w:val="19"/>
        </w:rPr>
        <w:t>&lt;착지 없는 위임 정리 — 확인 요망: 시행지침에 피복 관련 조문이 없으므로 신설 또는 다른 착지 지정 필요&gt;</w:t>
      </w:r>
    </w:p>
    <w:p>
      <w:pPr>
        <w:spacing w:after="50" w:line="312" w:lineRule="auto"/>
      </w:pPr>
      <w:r>
        <w:rPr>
          <w:rFonts w:ascii="맑은 고딕" w:hAnsi="맑은 고딕" w:eastAsia="맑은 고딕"/>
          <w:b/>
          <w:color w:val="1A1A1A"/>
          <w:sz w:val="21"/>
        </w:rPr>
        <w:t>제17조(중식대의 지급)</w:t>
      </w:r>
      <w:r>
        <w:rPr>
          <w:rFonts w:ascii="맑은 고딕" w:hAnsi="맑은 고딕" w:eastAsia="맑은 고딕"/>
          <w:b w:val="0"/>
          <w:color w:val="1A1A1A"/>
          <w:sz w:val="21"/>
        </w:rPr>
        <w:t xml:space="preserve"> 해당 월에 10일 이상 출근한 직원에게는 월 200,000원을 해당 월에 지급할 수 있다. 다만, 파견·연수처에서 실물이나 실비를 제공받거나 「여비규정」에서 정한 식비를 지급받은 경우에는 그 날을 출근일 산정에서 제외한다.</w:t>
      </w:r>
    </w:p>
    <w:p>
      <w:pPr>
        <w:spacing w:after="50" w:line="312" w:lineRule="auto"/>
      </w:pPr>
      <w:r>
        <w:rPr>
          <w:rFonts w:ascii="맑은 고딕" w:hAnsi="맑은 고딕" w:eastAsia="맑은 고딕"/>
          <w:b/>
          <w:color w:val="1A1A1A"/>
          <w:sz w:val="21"/>
        </w:rPr>
        <w:t>제18조(통근비의 지급)</w:t>
      </w:r>
      <w:r>
        <w:rPr>
          <w:rFonts w:ascii="맑은 고딕" w:hAnsi="맑은 고딕" w:eastAsia="맑은 고딕"/>
          <w:b w:val="0"/>
          <w:color w:val="1A1A1A"/>
          <w:sz w:val="21"/>
        </w:rPr>
        <w:t xml:space="preserve"> 해당 월에 10일 이상 출근한 직원에게는 월 200,000원을 해당 월에 지급할 수 있다. 다만, 자가운전보조금을 지급받는 직원은 지급대상에서 제외하며, 합숙 등으로 교통비 실비가 들지 아니하거나 출장직원에게 「여비규정」에서 정한 교통비를 지급(당일 귀임하는 출장은 제외한다)한 경우에는 그 날을 출근일 산정에서 제외한다. </w:t>
      </w:r>
      <w:r>
        <w:rPr>
          <w:rFonts w:ascii="맑은 고딕" w:hAnsi="맑은 고딕" w:eastAsia="맑은 고딕"/>
          <w:b w:val="0"/>
          <w:color w:val="B03030"/>
          <w:sz w:val="19"/>
        </w:rPr>
        <w:t>&lt;확인 요망: 제17조 중식대와 지급 요건·금액이 완전히 같음 — 서로 다른 제도이므로 각각의 취지에 맞게 요건·금액을 재검토할 필요&gt;</w:t>
      </w:r>
    </w:p>
    <w:p>
      <w:pPr>
        <w:spacing w:after="50" w:line="312" w:lineRule="auto"/>
      </w:pPr>
      <w:r>
        <w:rPr>
          <w:rFonts w:ascii="맑은 고딕" w:hAnsi="맑은 고딕" w:eastAsia="맑은 고딕"/>
          <w:b/>
          <w:color w:val="1A1A1A"/>
          <w:sz w:val="21"/>
        </w:rPr>
        <w:t>제19조(원격지 근무 교통비)</w:t>
      </w:r>
      <w:r>
        <w:rPr>
          <w:rFonts w:ascii="맑은 고딕" w:hAnsi="맑은 고딕" w:eastAsia="맑은 고딕"/>
          <w:b w:val="0"/>
          <w:color w:val="1A1A1A"/>
          <w:sz w:val="21"/>
        </w:rPr>
        <w:t xml:space="preserve"> 근무지와 거주지가 서로 다른 특별시·광역시 또는 도에 속하는 직원에게는 근무지와 거주지 간의 왕복 교통비를 주 1회에 한정하여 실비로 지원할 수 있다. 이 경우 주는 월요일부터 일요일까지로 하며, 제18조의 통근비와 중복하여 지급하지 아니한다. </w:t>
      </w:r>
      <w:r>
        <w:rPr>
          <w:rFonts w:ascii="맑은 고딕" w:hAnsi="맑은 고딕" w:eastAsia="맑은 고딕"/>
          <w:b w:val="0"/>
          <w:color w:val="B03030"/>
          <w:sz w:val="19"/>
        </w:rPr>
        <w:t>&lt;확인 요망: 시행문으로만 운영해 온 지급 기준의 규정화. 「여비규정」 개정안(제38조)에도 같은 조문을 두었으므로 어느 사규에 둘지 확정 필요 — 통근비와 인접한 이 규정이 적합해 보임&gt;</w:t>
      </w:r>
    </w:p>
    <w:p>
      <w:pPr>
        <w:spacing w:after="50" w:line="312" w:lineRule="auto"/>
      </w:pPr>
      <w:r>
        <w:rPr>
          <w:rFonts w:ascii="맑은 고딕" w:hAnsi="맑은 고딕" w:eastAsia="맑은 고딕"/>
          <w:b/>
          <w:color w:val="1A1A1A"/>
          <w:sz w:val="21"/>
        </w:rPr>
        <w:t>제20조(자기계발비의 지원)</w:t>
      </w:r>
      <w:r>
        <w:rPr>
          <w:rFonts w:ascii="맑은 고딕" w:hAnsi="맑은 고딕" w:eastAsia="맑은 고딕"/>
          <w:b w:val="0"/>
          <w:color w:val="1A1A1A"/>
          <w:sz w:val="21"/>
        </w:rPr>
        <w:t xml:space="preserve"> ① 직원의 자기계발과 개인역량 강화를 위하여 매월 100,000원 이내에서 자기계발비를 지원할 수 있다.</w:t>
      </w:r>
    </w:p>
    <w:p>
      <w:pPr>
        <w:spacing w:before="0" w:after="40" w:line="312" w:lineRule="auto"/>
        <w:ind w:left="227"/>
        <w:jc w:val="left"/>
      </w:pPr>
      <w:r>
        <w:rPr>
          <w:rFonts w:ascii="맑은 고딕" w:hAnsi="맑은 고딕" w:eastAsia="맑은 고딕"/>
          <w:b w:val="0"/>
          <w:color w:val="1A1A1A"/>
          <w:sz w:val="21"/>
        </w:rPr>
        <w:t xml:space="preserve">② 자기계발비는 직무 수행이나 역량 개발과 관련된 도서 구입, 강좌 수강, 자격 취득 등에 사용한 비용을 대상으로 한다. </w:t>
      </w:r>
      <w:r>
        <w:rPr>
          <w:rFonts w:ascii="맑은 고딕" w:hAnsi="맑은 고딕" w:eastAsia="맑은 고딕"/>
          <w:b w:val="0"/>
          <w:color w:val="B03030"/>
          <w:sz w:val="19"/>
        </w:rPr>
        <w:t>&lt;신설 — 현행은 지원 대상·용도·신청 절차가 전혀 없어 매월 지급되는 금전에 통제 장치가 없었음. 확인 요망: 실제 운영 중인 인정 범위 확인&gt;</w:t>
      </w:r>
    </w:p>
    <w:p>
      <w:pPr>
        <w:spacing w:before="0" w:after="40" w:line="312" w:lineRule="auto"/>
        <w:ind w:left="227"/>
        <w:jc w:val="left"/>
      </w:pPr>
      <w:r>
        <w:rPr>
          <w:rFonts w:ascii="맑은 고딕" w:hAnsi="맑은 고딕" w:eastAsia="맑은 고딕"/>
          <w:b w:val="0"/>
          <w:color w:val="1A1A1A"/>
          <w:sz w:val="21"/>
        </w:rPr>
        <w:t xml:space="preserve">③ 자기계발비를 받으려는 직원은 사용 사실을 확인할 수 있는 영수증 등을 첨부하여 신청하여야 한다. 다만, 정액으로 지급하는 경우에는 그러하지 아니하다. </w:t>
      </w:r>
      <w:r>
        <w:rPr>
          <w:rFonts w:ascii="맑은 고딕" w:hAnsi="맑은 고딕" w:eastAsia="맑은 고딕"/>
          <w:b w:val="0"/>
          <w:color w:val="B03030"/>
          <w:sz w:val="19"/>
        </w:rPr>
        <w:t>&lt;확인 요망: 실비 정산 방식인지 정액 지급 방식인지 확정 필요&gt;</w:t>
      </w:r>
    </w:p>
    <w:p>
      <w:pPr>
        <w:spacing w:after="50" w:line="312" w:lineRule="auto"/>
      </w:pPr>
      <w:r>
        <w:rPr>
          <w:rFonts w:ascii="맑은 고딕" w:hAnsi="맑은 고딕" w:eastAsia="맑은 고딕"/>
          <w:b/>
          <w:color w:val="1A1A1A"/>
          <w:sz w:val="21"/>
        </w:rPr>
        <w:t>제21조(기록·관리)</w:t>
      </w:r>
      <w:r>
        <w:rPr>
          <w:rFonts w:ascii="맑은 고딕" w:hAnsi="맑은 고딕" w:eastAsia="맑은 고딕"/>
          <w:b w:val="0"/>
          <w:color w:val="1A1A1A"/>
          <w:sz w:val="21"/>
        </w:rPr>
        <w:t xml:space="preserve"> ① 경조금 및 학자금을 지급할 때에는 소속 부실점장이 경조금 지급 관리대장 및 학자금 지급 관리대장과 관련 증빙서류에 따라 지급현황을 명확히 하여야 한다. </w:t>
      </w:r>
      <w:r>
        <w:rPr>
          <w:rFonts w:ascii="맑은 고딕" w:hAnsi="맑은 고딕" w:eastAsia="맑은 고딕"/>
          <w:b w:val="0"/>
          <w:color w:val="B03030"/>
          <w:sz w:val="19"/>
        </w:rPr>
        <w:t>&lt;현행 대장 명칭 '부양가족 및 장학금 관리대장'을 제도 명칭에 맞추어 정정 — 확인 요망: 대장 명칭 변경 및 전산 관리 여부&gt;</w:t>
      </w:r>
    </w:p>
    <w:p>
      <w:pPr>
        <w:spacing w:before="0" w:after="40" w:line="312" w:lineRule="auto"/>
        <w:ind w:left="227"/>
        <w:jc w:val="left"/>
      </w:pPr>
      <w:r>
        <w:rPr>
          <w:rFonts w:ascii="맑은 고딕" w:hAnsi="맑은 고딕" w:eastAsia="맑은 고딕"/>
          <w:b w:val="0"/>
          <w:color w:val="1A1A1A"/>
          <w:sz w:val="21"/>
        </w:rPr>
        <w:t xml:space="preserve">② 제1항의 대장은 인사 전산시스템의 기록으로 갈음할 수 있다. </w:t>
      </w:r>
      <w:r>
        <w:rPr>
          <w:rFonts w:ascii="맑은 고딕" w:hAnsi="맑은 고딕" w:eastAsia="맑은 고딕"/>
          <w:b w:val="0"/>
          <w:color w:val="B03030"/>
          <w:sz w:val="19"/>
        </w:rPr>
        <w:t>&lt;신설 — 「인사규정」 상벌 기록과 같은 방식&gt;</w:t>
      </w:r>
    </w:p>
    <w:p>
      <w:pPr>
        <w:spacing w:before="0" w:after="40" w:line="312" w:lineRule="auto"/>
        <w:ind w:left="227"/>
        <w:jc w:val="left"/>
      </w:pPr>
      <w:r>
        <w:rPr>
          <w:rFonts w:ascii="맑은 고딕" w:hAnsi="맑은 고딕" w:eastAsia="맑은 고딕"/>
          <w:b w:val="0"/>
          <w:color w:val="1A1A1A"/>
          <w:sz w:val="21"/>
        </w:rPr>
        <w:t>③ 인사이동 시에는 제1항의 관련 서류를 철저히 인수인계하여 중복 지급되지 아니하도록 하여야 한다.</w:t>
      </w:r>
    </w:p>
    <w:p>
      <w:pPr>
        <w:spacing w:before="200" w:after="100" w:line="312" w:lineRule="auto"/>
        <w:ind w:left="0"/>
        <w:jc w:val="left"/>
      </w:pPr>
      <w:r>
        <w:rPr>
          <w:rFonts w:ascii="맑은 고딕" w:hAnsi="맑은 고딕" w:eastAsia="맑은 고딕"/>
          <w:b/>
          <w:color w:val="1A1A1A"/>
          <w:sz w:val="24"/>
        </w:rPr>
        <w:t>제4장 재해보상</w:t>
      </w:r>
    </w:p>
    <w:p>
      <w:pPr>
        <w:spacing w:after="50" w:line="312" w:lineRule="auto"/>
      </w:pPr>
      <w:r>
        <w:rPr>
          <w:rFonts w:ascii="맑은 고딕" w:hAnsi="맑은 고딕" w:eastAsia="맑은 고딕"/>
          <w:b/>
          <w:color w:val="1A1A1A"/>
          <w:sz w:val="21"/>
        </w:rPr>
        <w:t>제22조(재해보상)</w:t>
      </w:r>
      <w:r>
        <w:rPr>
          <w:rFonts w:ascii="맑은 고딕" w:hAnsi="맑은 고딕" w:eastAsia="맑은 고딕"/>
          <w:b w:val="0"/>
          <w:color w:val="1A1A1A"/>
          <w:sz w:val="21"/>
        </w:rPr>
        <w:t xml:space="preserve"> ① 직원이 부상·질병을 입거나 사망한 경우에는 다음 각 호와 같이 재해보상을 한다.</w:t>
      </w:r>
    </w:p>
    <w:p>
      <w:pPr>
        <w:spacing w:before="0" w:after="40" w:line="312" w:lineRule="auto"/>
        <w:ind w:left="454"/>
        <w:jc w:val="left"/>
      </w:pPr>
      <w:r>
        <w:rPr>
          <w:rFonts w:ascii="맑은 고딕" w:hAnsi="맑은 고딕" w:eastAsia="맑은 고딕"/>
          <w:b w:val="0"/>
          <w:color w:val="1A1A1A"/>
          <w:sz w:val="21"/>
        </w:rPr>
        <w:t>1. 업무로 인하여 부상·질병(결핵성 폐질환을 포함한다)을 입거나 사망한 경우</w:t>
      </w:r>
    </w:p>
    <w:p>
      <w:pPr>
        <w:spacing w:before="0" w:after="40" w:line="312" w:lineRule="auto"/>
        <w:ind w:left="680"/>
        <w:jc w:val="left"/>
      </w:pPr>
      <w:r>
        <w:rPr>
          <w:rFonts w:ascii="맑은 고딕" w:hAnsi="맑은 고딕" w:eastAsia="맑은 고딕"/>
          <w:b w:val="0"/>
          <w:color w:val="1A1A1A"/>
          <w:sz w:val="21"/>
        </w:rPr>
        <w:t>가. 휴업보상 : 요양기간 중 평균임금에 해당하는 금액을 지급하되, 「산업재해보상보험법」에 따른 보상금액은 감액한다.</w:t>
      </w:r>
    </w:p>
    <w:p>
      <w:pPr>
        <w:spacing w:before="0" w:after="40" w:line="312" w:lineRule="auto"/>
        <w:ind w:left="680"/>
        <w:jc w:val="left"/>
      </w:pPr>
      <w:r>
        <w:rPr>
          <w:rFonts w:ascii="맑은 고딕" w:hAnsi="맑은 고딕" w:eastAsia="맑은 고딕"/>
          <w:b w:val="0"/>
          <w:color w:val="1A1A1A"/>
          <w:sz w:val="21"/>
        </w:rPr>
        <w:t>나. 유족보상 : 평균임금의 1,300일분</w:t>
      </w:r>
    </w:p>
    <w:p>
      <w:pPr>
        <w:spacing w:before="0" w:after="40" w:line="312" w:lineRule="auto"/>
        <w:ind w:left="454"/>
        <w:jc w:val="left"/>
      </w:pPr>
      <w:r>
        <w:rPr>
          <w:rFonts w:ascii="맑은 고딕" w:hAnsi="맑은 고딕" w:eastAsia="맑은 고딕"/>
          <w:b w:val="0"/>
          <w:color w:val="1A1A1A"/>
          <w:sz w:val="21"/>
        </w:rPr>
        <w:t xml:space="preserve">2. 업무로 인한 사망이 아닌 경우 : 유족에게 15,000,000원의 유족보상금 지급 </w:t>
      </w:r>
      <w:r>
        <w:rPr>
          <w:rFonts w:ascii="맑은 고딕" w:hAnsi="맑은 고딕" w:eastAsia="맑은 고딕"/>
          <w:b w:val="0"/>
          <w:color w:val="B03030"/>
          <w:sz w:val="19"/>
        </w:rPr>
        <w:t>&lt;확인 요망: 금액 산정 시점이 오래되었을 수 있으므로 적정성 검토&gt;</w:t>
      </w:r>
    </w:p>
    <w:p>
      <w:pPr>
        <w:spacing w:before="0" w:after="40" w:line="312" w:lineRule="auto"/>
        <w:ind w:left="454"/>
        <w:jc w:val="left"/>
      </w:pPr>
      <w:r>
        <w:rPr>
          <w:rFonts w:ascii="맑은 고딕" w:hAnsi="맑은 고딕" w:eastAsia="맑은 고딕"/>
          <w:b w:val="0"/>
          <w:color w:val="1A1A1A"/>
          <w:sz w:val="21"/>
        </w:rPr>
        <w:t>3. 전염성 B형간염으로 치료를 받는 경우에는 최초 발병 후 1년 이내에서 다음 각 목과 같이 재해보상을 하되, 최초 발병일은 진료 개시일을 기준으로 한다.</w:t>
      </w:r>
    </w:p>
    <w:p>
      <w:pPr>
        <w:spacing w:before="0" w:after="40" w:line="312" w:lineRule="auto"/>
        <w:ind w:left="680"/>
        <w:jc w:val="left"/>
      </w:pPr>
      <w:r>
        <w:rPr>
          <w:rFonts w:ascii="맑은 고딕" w:hAnsi="맑은 고딕" w:eastAsia="맑은 고딕"/>
          <w:b w:val="0"/>
          <w:color w:val="1A1A1A"/>
          <w:sz w:val="21"/>
        </w:rPr>
        <w:t>가. 요양보상 : 치료비 실비</w:t>
      </w:r>
    </w:p>
    <w:p>
      <w:pPr>
        <w:spacing w:before="0" w:after="40" w:line="312" w:lineRule="auto"/>
        <w:ind w:left="680"/>
        <w:jc w:val="left"/>
      </w:pPr>
      <w:r>
        <w:rPr>
          <w:rFonts w:ascii="맑은 고딕" w:hAnsi="맑은 고딕" w:eastAsia="맑은 고딕"/>
          <w:b w:val="0"/>
          <w:color w:val="1A1A1A"/>
          <w:sz w:val="21"/>
        </w:rPr>
        <w:t>나. 휴업보상 : 요양기간 중 평균임금에 해당하는 금액</w:t>
      </w:r>
    </w:p>
    <w:p>
      <w:pPr>
        <w:spacing w:before="0" w:after="40" w:line="312" w:lineRule="auto"/>
        <w:ind w:left="227"/>
        <w:jc w:val="left"/>
      </w:pPr>
      <w:r>
        <w:rPr>
          <w:rFonts w:ascii="맑은 고딕" w:hAnsi="맑은 고딕" w:eastAsia="맑은 고딕"/>
          <w:b w:val="0"/>
          <w:color w:val="1A1A1A"/>
          <w:sz w:val="21"/>
        </w:rPr>
        <w:t>② 이 규정에서 정하지 아니한 재해보상에 관한 사항은 관계 법령에서 정하는 바에 따른다.</w:t>
      </w:r>
    </w:p>
    <w:p>
      <w:pPr>
        <w:spacing w:before="0" w:after="40" w:line="312" w:lineRule="auto"/>
        <w:ind w:left="227"/>
        <w:jc w:val="left"/>
      </w:pPr>
      <w:r>
        <w:rPr>
          <w:rFonts w:ascii="맑은 고딕" w:hAnsi="맑은 고딕" w:eastAsia="맑은 고딕"/>
          <w:b w:val="0"/>
          <w:color w:val="777777"/>
          <w:sz w:val="18"/>
        </w:rPr>
        <w:t>※ 제1항제3호의 전염성 B형간염 단독 열거는 1990년대 기준으로, 업무상 질병 일반 기준으로의 재정비를 검토할 수 있다.</w:t>
      </w:r>
    </w:p>
    <w:p>
      <w:pPr>
        <w:spacing w:after="50" w:line="312" w:lineRule="auto"/>
      </w:pPr>
      <w:r>
        <w:rPr>
          <w:rFonts w:ascii="맑은 고딕" w:hAnsi="맑은 고딕" w:eastAsia="맑은 고딕"/>
          <w:b/>
          <w:color w:val="1A1A1A"/>
          <w:sz w:val="21"/>
        </w:rPr>
        <w:t>제23조(재해부조)</w:t>
      </w:r>
      <w:r>
        <w:rPr>
          <w:rFonts w:ascii="맑은 고딕" w:hAnsi="맑은 고딕" w:eastAsia="맑은 고딕"/>
          <w:b w:val="0"/>
          <w:color w:val="1A1A1A"/>
          <w:sz w:val="21"/>
        </w:rPr>
        <w:t xml:space="preserve"> ① 직원이 수재, 화재, 그 밖의 비상재해로 주택이 소실·유실·파괴되거나 침수된 경우에는 [별표 제2호]에서 정하는 바에 따라 재해부조를 할 수 있다.</w:t>
      </w:r>
    </w:p>
    <w:p>
      <w:pPr>
        <w:spacing w:before="0" w:after="40" w:line="312" w:lineRule="auto"/>
        <w:ind w:left="227"/>
        <w:jc w:val="left"/>
      </w:pPr>
      <w:r>
        <w:rPr>
          <w:rFonts w:ascii="맑은 고딕" w:hAnsi="맑은 고딕" w:eastAsia="맑은 고딕"/>
          <w:b w:val="0"/>
          <w:color w:val="1A1A1A"/>
          <w:sz w:val="21"/>
        </w:rPr>
        <w:t>② 회사는 직원이 교통사고로 인한 인사사고를 일으켜 합의금이 필요한 경우 5,000,000원 이내에서 보조할 수 있다. 다만, 다음 각 호의 요건을 모두 충족하지 아니하는 경우에는 그러하지 아니하다.</w:t>
      </w:r>
    </w:p>
    <w:p>
      <w:pPr>
        <w:spacing w:before="0" w:after="40" w:line="312" w:lineRule="auto"/>
        <w:ind w:left="454"/>
        <w:jc w:val="left"/>
      </w:pPr>
      <w:r>
        <w:rPr>
          <w:rFonts w:ascii="맑은 고딕" w:hAnsi="맑은 고딕" w:eastAsia="맑은 고딕"/>
          <w:b w:val="0"/>
          <w:color w:val="1A1A1A"/>
          <w:sz w:val="21"/>
        </w:rPr>
        <w:t>1. 출퇴근 중 회사의 지시를 받아 업무를 수행하던 중인 경우</w:t>
      </w:r>
    </w:p>
    <w:p>
      <w:pPr>
        <w:spacing w:before="0" w:after="40" w:line="312" w:lineRule="auto"/>
        <w:ind w:left="454"/>
        <w:jc w:val="left"/>
      </w:pPr>
      <w:r>
        <w:rPr>
          <w:rFonts w:ascii="맑은 고딕" w:hAnsi="맑은 고딕" w:eastAsia="맑은 고딕"/>
          <w:b w:val="0"/>
          <w:color w:val="1A1A1A"/>
          <w:sz w:val="21"/>
        </w:rPr>
        <w:t>2. 업무시간 중 발생한 교통사고로서 회사 업무와 관련이 있는 경우</w:t>
      </w:r>
    </w:p>
    <w:p>
      <w:pPr>
        <w:spacing w:before="0" w:after="40" w:line="312" w:lineRule="auto"/>
        <w:ind w:left="454"/>
        <w:jc w:val="left"/>
      </w:pPr>
      <w:r>
        <w:rPr>
          <w:rFonts w:ascii="맑은 고딕" w:hAnsi="맑은 고딕" w:eastAsia="맑은 고딕"/>
          <w:b w:val="0"/>
          <w:color w:val="1A1A1A"/>
          <w:sz w:val="21"/>
        </w:rPr>
        <w:t>3. 가해차량이 자동차종합보험에 가입되어 있는 경우</w:t>
      </w:r>
    </w:p>
    <w:p>
      <w:pPr>
        <w:spacing w:before="0" w:after="40" w:line="312" w:lineRule="auto"/>
        <w:ind w:left="454"/>
        <w:jc w:val="left"/>
      </w:pPr>
      <w:r>
        <w:rPr>
          <w:rFonts w:ascii="맑은 고딕" w:hAnsi="맑은 고딕" w:eastAsia="맑은 고딕"/>
          <w:b w:val="0"/>
          <w:color w:val="1A1A1A"/>
          <w:sz w:val="21"/>
        </w:rPr>
        <w:t>4. 「교통사고처리 특례법」 제3조에 따른 처벌의 특례에 해당하지 아니하는 경우</w:t>
      </w:r>
    </w:p>
    <w:p>
      <w:pPr>
        <w:spacing w:before="200" w:after="100" w:line="312" w:lineRule="auto"/>
        <w:ind w:left="0"/>
        <w:jc w:val="left"/>
      </w:pPr>
      <w:r>
        <w:rPr>
          <w:rFonts w:ascii="맑은 고딕" w:hAnsi="맑은 고딕" w:eastAsia="맑은 고딕"/>
          <w:b/>
          <w:color w:val="1A1A1A"/>
          <w:sz w:val="24"/>
        </w:rPr>
        <w:t>제5장 연차휴가보상</w:t>
      </w:r>
    </w:p>
    <w:p>
      <w:pPr>
        <w:spacing w:after="50" w:line="312" w:lineRule="auto"/>
      </w:pPr>
      <w:r>
        <w:rPr>
          <w:rFonts w:ascii="맑은 고딕" w:hAnsi="맑은 고딕" w:eastAsia="맑은 고딕"/>
          <w:b/>
          <w:color w:val="1A1A1A"/>
          <w:sz w:val="21"/>
        </w:rPr>
        <w:t>제24조(지급대상)</w:t>
      </w:r>
      <w:r>
        <w:rPr>
          <w:rFonts w:ascii="맑은 고딕" w:hAnsi="맑은 고딕" w:eastAsia="맑은 고딕"/>
          <w:b w:val="0"/>
          <w:color w:val="1A1A1A"/>
          <w:sz w:val="21"/>
        </w:rPr>
        <w:t xml:space="preserve"> ① 「복무규정」에 따른 연차휴가를 사용하지 아니한 직원에게는 미사용 일수에 대하여 연차휴가 보상금을 지급한다.</w:t>
      </w:r>
    </w:p>
    <w:p>
      <w:pPr>
        <w:spacing w:before="0" w:after="40" w:line="312" w:lineRule="auto"/>
        <w:ind w:left="227"/>
        <w:jc w:val="left"/>
      </w:pPr>
      <w:r>
        <w:rPr>
          <w:rFonts w:ascii="맑은 고딕" w:hAnsi="맑은 고딕" w:eastAsia="맑은 고딕"/>
          <w:b w:val="0"/>
          <w:color w:val="1A1A1A"/>
          <w:sz w:val="21"/>
        </w:rPr>
        <w:t xml:space="preserve">② 제1항에도 불구하고 일반연차를 6일 이상 사용한 직원에게는 5일을 초과하여 사용한 일수에 대하여 개인별 연차수당의 100분의 50에 해당하는 금액(1,000원 미만은 버린다)을 추가로 지급하며, 연차휴가 보상금을 지급할 때에 정산한다. </w:t>
      </w:r>
      <w:r>
        <w:rPr>
          <w:rFonts w:ascii="맑은 고딕" w:hAnsi="맑은 고딕" w:eastAsia="맑은 고딕"/>
          <w:b w:val="0"/>
          <w:color w:val="B03030"/>
          <w:sz w:val="19"/>
        </w:rPr>
        <w:t>&lt;★ 현행 문언은 '미사용 일수 보상'을 정한 제1항과 이어지는 것처럼 읽혀 법정 연차수당을 감액하는 것으로 오독될 소지가 있음. 실제 운영은 '사용한 연차'에 대한 추가 지급(페이백)이므로 그 취지가 드러나도록 정정&gt;</w:t>
      </w:r>
    </w:p>
    <w:p>
      <w:pPr>
        <w:spacing w:before="0" w:after="40" w:line="312" w:lineRule="auto"/>
        <w:ind w:left="227"/>
        <w:jc w:val="left"/>
      </w:pPr>
      <w:r>
        <w:rPr>
          <w:rFonts w:ascii="맑은 고딕" w:hAnsi="맑은 고딕" w:eastAsia="맑은 고딕"/>
          <w:b w:val="0"/>
          <w:color w:val="1A1A1A"/>
          <w:sz w:val="21"/>
        </w:rPr>
        <w:t>③ 퇴직한 직원에게도 이미 발생한 연차휴가 보상금을 지급한다.</w:t>
      </w:r>
    </w:p>
    <w:p>
      <w:pPr>
        <w:spacing w:before="0" w:after="40" w:line="312" w:lineRule="auto"/>
        <w:ind w:left="227"/>
        <w:jc w:val="left"/>
      </w:pPr>
      <w:r>
        <w:rPr>
          <w:rFonts w:ascii="맑은 고딕" w:hAnsi="맑은 고딕" w:eastAsia="맑은 고딕"/>
          <w:b w:val="0"/>
          <w:color w:val="1A1A1A"/>
          <w:sz w:val="21"/>
        </w:rPr>
        <w:t>④ 연차휴가 활용에 따른 연차휴가 보상에 관한 사항은 주무부서의 별도 시행기준에 따른다.</w:t>
      </w:r>
    </w:p>
    <w:p>
      <w:pPr>
        <w:spacing w:after="50" w:line="312" w:lineRule="auto"/>
      </w:pPr>
      <w:r>
        <w:rPr>
          <w:rFonts w:ascii="맑은 고딕" w:hAnsi="맑은 고딕" w:eastAsia="맑은 고딕"/>
          <w:b/>
          <w:color w:val="1A1A1A"/>
          <w:sz w:val="21"/>
        </w:rPr>
        <w:t>제25조(지급기준)</w:t>
      </w:r>
      <w:r>
        <w:rPr>
          <w:rFonts w:ascii="맑은 고딕" w:hAnsi="맑은 고딕" w:eastAsia="맑은 고딕"/>
          <w:b w:val="0"/>
          <w:color w:val="1A1A1A"/>
          <w:sz w:val="21"/>
        </w:rPr>
        <w:t xml:space="preserve"> 연차휴가 보상금은 매 일수에 대하여 8시간, 매 시간에 대하여 통상임금의 12분의 1의 183분의 1에 해당하는 금액을 지급한다. </w:t>
      </w:r>
      <w:r>
        <w:rPr>
          <w:rFonts w:ascii="맑은 고딕" w:hAnsi="맑은 고딕" w:eastAsia="맑은 고딕"/>
          <w:b w:val="0"/>
          <w:color w:val="B03030"/>
          <w:sz w:val="19"/>
        </w:rPr>
        <w:t>&lt;확인 요망: 산식이 문언상 불명확함 — 실제 계산 방식을 확인하여 명확한 산식으로 정비 필요&gt;</w:t>
      </w:r>
    </w:p>
    <w:p>
      <w:pPr>
        <w:spacing w:after="50" w:line="312" w:lineRule="auto"/>
      </w:pPr>
      <w:r>
        <w:rPr>
          <w:rFonts w:ascii="맑은 고딕" w:hAnsi="맑은 고딕" w:eastAsia="맑은 고딕"/>
          <w:b/>
          <w:color w:val="1A1A1A"/>
          <w:sz w:val="21"/>
        </w:rPr>
        <w:t>제26조(지급대상기간의 구분)</w:t>
      </w:r>
      <w:r>
        <w:rPr>
          <w:rFonts w:ascii="맑은 고딕" w:hAnsi="맑은 고딕" w:eastAsia="맑은 고딕"/>
          <w:b w:val="0"/>
          <w:color w:val="1A1A1A"/>
          <w:sz w:val="21"/>
        </w:rPr>
        <w:t xml:space="preserve"> 연차휴가 보상금의 지급대상기간 구분 및 지급시기는 주무부서장이 따로 정한다. </w:t>
      </w:r>
      <w:r>
        <w:rPr>
          <w:rFonts w:ascii="맑은 고딕" w:hAnsi="맑은 고딕" w:eastAsia="맑은 고딕"/>
          <w:b w:val="0"/>
          <w:color w:val="B03030"/>
          <w:sz w:val="19"/>
        </w:rPr>
        <w:t>&lt;착지 없는 위임 정리&gt;</w:t>
      </w:r>
    </w:p>
    <w:p>
      <w:pPr>
        <w:spacing w:before="200" w:after="100" w:line="312" w:lineRule="auto"/>
        <w:ind w:left="0"/>
        <w:jc w:val="left"/>
      </w:pPr>
      <w:r>
        <w:rPr>
          <w:rFonts w:ascii="맑은 고딕" w:hAnsi="맑은 고딕" w:eastAsia="맑은 고딕"/>
          <w:b/>
          <w:color w:val="1A1A1A"/>
          <w:sz w:val="24"/>
        </w:rPr>
        <w:t>제6장 보칙</w:t>
      </w:r>
    </w:p>
    <w:p>
      <w:pPr>
        <w:spacing w:after="50" w:line="312" w:lineRule="auto"/>
      </w:pPr>
      <w:r>
        <w:rPr>
          <w:rFonts w:ascii="맑은 고딕" w:hAnsi="맑은 고딕" w:eastAsia="맑은 고딕"/>
          <w:b/>
          <w:color w:val="1A1A1A"/>
          <w:sz w:val="21"/>
        </w:rPr>
        <w:t>제27조(위임)</w:t>
      </w:r>
      <w:r>
        <w:rPr>
          <w:rFonts w:ascii="맑은 고딕" w:hAnsi="맑은 고딕" w:eastAsia="맑은 고딕"/>
          <w:b w:val="0"/>
          <w:color w:val="1A1A1A"/>
          <w:sz w:val="21"/>
        </w:rPr>
        <w:t xml:space="preserve"> 이 규정의 시행에 필요한 세부사항은 「복지후생규정 시행지침」으로 정한다.</w:t>
      </w:r>
    </w:p>
    <w:p>
      <w:pPr>
        <w:spacing w:after="50" w:line="312" w:lineRule="auto"/>
      </w:pPr>
      <w:r>
        <w:rPr>
          <w:rFonts w:ascii="맑은 고딕" w:hAnsi="맑은 고딕" w:eastAsia="맑은 고딕"/>
          <w:b/>
          <w:color w:val="1A1A1A"/>
          <w:sz w:val="21"/>
        </w:rPr>
        <w:t>제28조(재검토기한)</w:t>
      </w:r>
      <w:r>
        <w:rPr>
          <w:rFonts w:ascii="맑은 고딕" w:hAnsi="맑은 고딕" w:eastAsia="맑은 고딕"/>
          <w:b w:val="0"/>
          <w:color w:val="1A1A1A"/>
          <w:sz w:val="21"/>
        </w:rPr>
        <w:t xml:space="preserve"> 회사는 이 규정에 대하여 2026년 ○월 ○일을 기준으로 매 3년이 되는 시점마다 그 타당성을 검토하여 개선 등의 조치를 하여야 한다. </w:t>
      </w:r>
      <w:r>
        <w:rPr>
          <w:rFonts w:ascii="맑은 고딕" w:hAnsi="맑은 고딕" w:eastAsia="맑은 고딕"/>
          <w:b w:val="0"/>
          <w:color w:val="B03030"/>
          <w:sz w:val="19"/>
        </w:rPr>
        <w:t>&lt;신설&gt;</w:t>
      </w:r>
    </w:p>
    <w:p>
      <w:pPr>
        <w:spacing w:before="240" w:after="80" w:line="312" w:lineRule="auto"/>
        <w:ind w:left="0"/>
        <w:jc w:val="left"/>
      </w:pPr>
      <w:r>
        <w:rPr>
          <w:rFonts w:ascii="맑은 고딕" w:hAnsi="맑은 고딕" w:eastAsia="맑은 고딕"/>
          <w:b/>
          <w:color w:val="1A1A1A"/>
          <w:sz w:val="24"/>
        </w:rPr>
        <w:t>부 칙(2026. ○. ○.)</w:t>
      </w:r>
    </w:p>
    <w:p>
      <w:pPr>
        <w:spacing w:after="50" w:line="312" w:lineRule="auto"/>
      </w:pPr>
      <w:r>
        <w:rPr>
          <w:rFonts w:ascii="맑은 고딕" w:hAnsi="맑은 고딕" w:eastAsia="맑은 고딕"/>
          <w:b/>
          <w:color w:val="1A1A1A"/>
          <w:sz w:val="21"/>
        </w:rPr>
        <w:t>제1조(시행일)</w:t>
      </w:r>
      <w:r>
        <w:rPr>
          <w:rFonts w:ascii="맑은 고딕" w:hAnsi="맑은 고딕" w:eastAsia="맑은 고딕"/>
          <w:b w:val="0"/>
          <w:color w:val="1A1A1A"/>
          <w:sz w:val="21"/>
        </w:rPr>
        <w:t xml:space="preserve"> 이 규정은 2026년 ○월 ○일부터 시행한다.</w:t>
      </w:r>
    </w:p>
    <w:p>
      <w:pPr>
        <w:spacing w:after="50" w:line="312" w:lineRule="auto"/>
      </w:pPr>
      <w:r>
        <w:rPr>
          <w:rFonts w:ascii="맑은 고딕" w:hAnsi="맑은 고딕" w:eastAsia="맑은 고딕"/>
          <w:b/>
          <w:color w:val="1A1A1A"/>
          <w:sz w:val="21"/>
        </w:rPr>
        <w:t>제2조(학자금에 관한 경과조치)</w:t>
      </w:r>
      <w:r>
        <w:rPr>
          <w:rFonts w:ascii="맑은 고딕" w:hAnsi="맑은 고딕" w:eastAsia="맑은 고딕"/>
          <w:b w:val="0"/>
          <w:color w:val="1A1A1A"/>
          <w:sz w:val="21"/>
        </w:rPr>
        <w:t xml:space="preserve"> 이 규정 시행 전에 종전의 제11조 또는 제12조에 따라 신청한 장학금 및 미취학자녀 교육비에 대해서는 종전의 규정에 따른다.</w:t>
      </w:r>
    </w:p>
    <w:p>
      <w:pPr>
        <w:spacing w:after="50" w:line="312" w:lineRule="auto"/>
      </w:pPr>
      <w:r>
        <w:rPr>
          <w:rFonts w:ascii="맑은 고딕" w:hAnsi="맑은 고딕" w:eastAsia="맑은 고딕"/>
          <w:b/>
          <w:color w:val="1A1A1A"/>
          <w:sz w:val="21"/>
        </w:rPr>
        <w:t>제3조(다른 사규의 개정)</w:t>
      </w:r>
      <w:r>
        <w:rPr>
          <w:rFonts w:ascii="맑은 고딕" w:hAnsi="맑은 고딕" w:eastAsia="맑은 고딕"/>
          <w:b w:val="0"/>
          <w:color w:val="1A1A1A"/>
          <w:sz w:val="21"/>
        </w:rPr>
        <w:t xml:space="preserve"> 「복지후생규정 시행지침」 중 "장학금"은 각각 "학자금"으로 한다. </w:t>
      </w:r>
      <w:r>
        <w:rPr>
          <w:rFonts w:ascii="맑은 고딕" w:hAnsi="맑은 고딕" w:eastAsia="맑은 고딕"/>
          <w:b w:val="0"/>
          <w:color w:val="B03030"/>
          <w:sz w:val="19"/>
        </w:rPr>
        <w:t>&lt;확인 요망: 시행지침의 장학금 관련 조문 유무 및 표현 확인 후 확정&gt;</w:t>
      </w:r>
    </w:p>
    <w:p>
      <w:pPr>
        <w:spacing w:before="0" w:after="200" w:line="312" w:lineRule="auto"/>
        <w:ind w:left="0"/>
        <w:jc w:val="left"/>
      </w:pPr>
      <w:r>
        <w:rPr>
          <w:rFonts w:ascii="맑은 고딕" w:hAnsi="맑은 고딕" w:eastAsia="맑은 고딕"/>
          <w:b w:val="0"/>
          <w:color w:val="777777"/>
          <w:sz w:val="18"/>
        </w:rPr>
        <w:t>※ 전부개정이므로 「사규관리규정」 제21조제3항에 따라 종전의 본칙 및 부칙(1999. 10. 9. ~ 2026. 4. 1.)은 효력을 상실한다.</w:t>
      </w:r>
    </w:p>
    <w:p>
      <w:r>
        <w:br w:type="page"/>
      </w:r>
    </w:p>
    <w:p>
      <w:pPr>
        <w:spacing w:before="0" w:after="80" w:line="312" w:lineRule="auto"/>
        <w:ind w:left="0"/>
        <w:jc w:val="left"/>
      </w:pPr>
      <w:r>
        <w:rPr>
          <w:rFonts w:ascii="맑은 고딕" w:hAnsi="맑은 고딕" w:eastAsia="맑은 고딕"/>
          <w:b/>
          <w:color w:val="1A1A1A"/>
          <w:sz w:val="26"/>
        </w:rPr>
        <w:t>별표·서식 목록</w:t>
      </w:r>
    </w:p>
    <w:p>
      <w:pPr>
        <w:spacing w:before="0" w:after="40" w:line="312" w:lineRule="auto"/>
        <w:ind w:left="113"/>
        <w:jc w:val="left"/>
      </w:pPr>
      <w:r>
        <w:rPr>
          <w:rFonts w:ascii="맑은 고딕" w:hAnsi="맑은 고딕" w:eastAsia="맑은 고딕"/>
          <w:b w:val="0"/>
          <w:color w:val="1A1A1A"/>
          <w:sz w:val="21"/>
        </w:rPr>
        <w:t>[별표 제1호] 경조비 지급 기준 (내용 변경 없음 — 표기만 정비) &lt;「예산과목표」에 '팔순' 세과목이 없어 연계 정비 필요&gt;</w:t>
      </w:r>
    </w:p>
    <w:p>
      <w:pPr>
        <w:spacing w:before="0" w:after="40" w:line="312" w:lineRule="auto"/>
        <w:ind w:left="113"/>
        <w:jc w:val="left"/>
      </w:pPr>
      <w:r>
        <w:rPr>
          <w:rFonts w:ascii="맑은 고딕" w:hAnsi="맑은 고딕" w:eastAsia="맑은 고딕"/>
          <w:b w:val="0"/>
          <w:color w:val="1A1A1A"/>
          <w:sz w:val="21"/>
        </w:rPr>
        <w:t>[별표 제2호] 재해부조금 지급표 (내용 변경 없음)</w:t>
      </w:r>
    </w:p>
    <w:p>
      <w:pPr>
        <w:spacing w:before="0" w:after="40" w:line="312" w:lineRule="auto"/>
        <w:ind w:left="113"/>
        <w:jc w:val="left"/>
      </w:pPr>
      <w:r>
        <w:rPr>
          <w:rFonts w:ascii="맑은 고딕" w:hAnsi="맑은 고딕" w:eastAsia="맑은 고딕"/>
          <w:b w:val="0"/>
          <w:color w:val="1A1A1A"/>
          <w:sz w:val="21"/>
        </w:rPr>
        <w:t>[서식 제1호] 경조금 지급신청서 &lt;신설 등재 — 현행 게시판 양식을 사규 서식으로 정비&gt;</w:t>
      </w:r>
    </w:p>
    <w:p>
      <w:pPr>
        <w:spacing w:before="0" w:after="40" w:line="312" w:lineRule="auto"/>
        <w:ind w:left="113"/>
        <w:jc w:val="left"/>
      </w:pPr>
      <w:r>
        <w:rPr>
          <w:rFonts w:ascii="맑은 고딕" w:hAnsi="맑은 고딕" w:eastAsia="맑은 고딕"/>
          <w:b w:val="0"/>
          <w:color w:val="1A1A1A"/>
          <w:sz w:val="21"/>
        </w:rPr>
        <w:t>[서식 제2호] 학자금 지원신청서 &lt;신설 등재 — 학령 구분·첨부서류란 반영하여 재작성&gt;</w:t>
      </w:r>
    </w:p>
    <w:p>
      <w:pPr>
        <w:spacing w:before="0" w:after="40" w:line="312" w:lineRule="auto"/>
        <w:ind w:left="113"/>
        <w:jc w:val="left"/>
      </w:pPr>
      <w:r>
        <w:rPr>
          <w:rFonts w:ascii="맑은 고딕" w:hAnsi="맑은 고딕" w:eastAsia="맑은 고딕"/>
          <w:b w:val="0"/>
          <w:color w:val="1A1A1A"/>
          <w:sz w:val="21"/>
        </w:rPr>
        <w:t>[서식 제3호] 자기계발비 지원신청서 &lt;신설 등재 — 실비 정산 여부 확정 후 작성&gt;</w:t>
      </w:r>
    </w:p>
    <w:p>
      <w:r>
        <w:br w:type="page"/>
      </w:r>
    </w:p>
    <w:p>
      <w:pPr>
        <w:spacing w:before="0" w:after="40" w:line="312" w:lineRule="auto"/>
        <w:ind w:left="0"/>
        <w:jc w:val="left"/>
      </w:pPr>
      <w:r>
        <w:rPr>
          <w:rFonts w:ascii="맑은 고딕" w:hAnsi="맑은 고딕" w:eastAsia="맑은 고딕"/>
          <w:b/>
          <w:color w:val="1A1A1A"/>
          <w:sz w:val="26"/>
        </w:rPr>
        <w:t>검토 의견 (별지)</w:t>
      </w:r>
    </w:p>
    <w:p>
      <w:pPr>
        <w:spacing w:before="0" w:after="80" w:line="312" w:lineRule="auto"/>
        <w:ind w:left="0"/>
        <w:jc w:val="left"/>
      </w:pPr>
      <w:r>
        <w:rPr>
          <w:rFonts w:ascii="맑은 고딕" w:hAnsi="맑은 고딕" w:eastAsia="맑은 고딕"/>
          <w:b w:val="0"/>
          <w:color w:val="777777"/>
          <w:sz w:val="18"/>
        </w:rPr>
        <w:t>아래는 문안 확정 전에 협의·확인이 필요한 사항이다. 특히 제12조의 초등학교 구간은 예산 협의 결과에 따라 문안이 달라진다.</w:t>
      </w:r>
    </w:p>
    <w:p>
      <w:pPr>
        <w:spacing w:before="0" w:after="60" w:line="312" w:lineRule="auto"/>
        <w:ind w:left="113"/>
        <w:jc w:val="left"/>
      </w:pPr>
      <w:r>
        <w:rPr>
          <w:rFonts w:ascii="맑은 고딕" w:hAnsi="맑은 고딕" w:eastAsia="맑은 고딕"/>
          <w:b w:val="0"/>
          <w:color w:val="1A1A1A"/>
          <w:sz w:val="19"/>
        </w:rPr>
        <w:t>1. [정책·예산] 제12조제1항제2호 초등학교 구간 — 현행은 미취학(구 제12조)과 중학교 이상(구 제11조) 사이에 초등학교가 비어 있었다. 이번 개정에서 학령을 연속화하였으나, 초등학교는 의무교육으로 수업료·입학금이 없어 실제 지원 대상 항목이 학교운영지원비·현장학습비 등으로 한정된다. 지원 여부와 금액 상한을 인사·예산 협의로 확정할 것.</w:t>
      </w:r>
    </w:p>
    <w:p>
      <w:pPr>
        <w:spacing w:before="0" w:after="60" w:line="312" w:lineRule="auto"/>
        <w:ind w:left="113"/>
        <w:jc w:val="left"/>
      </w:pPr>
      <w:r>
        <w:rPr>
          <w:rFonts w:ascii="맑은 고딕" w:hAnsi="맑은 고딕" w:eastAsia="맑은 고딕"/>
          <w:b w:val="0"/>
          <w:color w:val="1A1A1A"/>
          <w:sz w:val="19"/>
        </w:rPr>
        <w:t>2. [확인] 제17조(중식대)와 제18조(통근비) — 두 조문의 지급 요건('해당 월 10일 이상 출근')과 금액(월 200,000원)이 완전히 같다. 서로 다른 제도이므로 각각의 취지에 맞는 요건·금액인지 재검토가 필요하다.</w:t>
      </w:r>
    </w:p>
    <w:p>
      <w:pPr>
        <w:spacing w:before="0" w:after="60" w:line="312" w:lineRule="auto"/>
        <w:ind w:left="113"/>
        <w:jc w:val="left"/>
      </w:pPr>
      <w:r>
        <w:rPr>
          <w:rFonts w:ascii="맑은 고딕" w:hAnsi="맑은 고딕" w:eastAsia="맑은 고딕"/>
          <w:b w:val="0"/>
          <w:color w:val="1A1A1A"/>
          <w:sz w:val="19"/>
        </w:rPr>
        <w:t>3. [확인] 제19조 원격지 근무 교통비 — 「여비규정」 전부개정안(v4) 제38조에도 같은 조문을 두었으므로 어느 사규에 둘지 확정해야 한다. 통근비(제18조)와 인접하고 중복 지급 배제를 함께 규율할 수 있는 이 규정이 적합해 보인다. 근거가 된 종전 시행문의 문서번호·발령일도 확인할 것.</w:t>
      </w:r>
    </w:p>
    <w:p>
      <w:pPr>
        <w:spacing w:before="0" w:after="60" w:line="312" w:lineRule="auto"/>
        <w:ind w:left="113"/>
        <w:jc w:val="left"/>
      </w:pPr>
      <w:r>
        <w:rPr>
          <w:rFonts w:ascii="맑은 고딕" w:hAnsi="맑은 고딕" w:eastAsia="맑은 고딕"/>
          <w:b w:val="0"/>
          <w:color w:val="1A1A1A"/>
          <w:sz w:val="19"/>
        </w:rPr>
        <w:t>4. [확인] 제20조 자기계발비 — 현행은 금액(월 100,000원 이내) 외에 대상·용도·신청·증빙이 전혀 없었다. 이번 안은 실비 정산을 전제로 하였으나, 실제로 정액 지급 방식이라면 제3항 단서를 본문으로 바꾸어야 한다.</w:t>
      </w:r>
    </w:p>
    <w:p>
      <w:pPr>
        <w:spacing w:before="0" w:after="60" w:line="312" w:lineRule="auto"/>
        <w:ind w:left="113"/>
        <w:jc w:val="left"/>
      </w:pPr>
      <w:r>
        <w:rPr>
          <w:rFonts w:ascii="맑은 고딕" w:hAnsi="맑은 고딕" w:eastAsia="맑은 고딕"/>
          <w:b w:val="0"/>
          <w:color w:val="1A1A1A"/>
          <w:sz w:val="19"/>
        </w:rPr>
        <w:t>5. [확인] 제24조제2항 연차휴가 보상 — 실제 운영은 '사용한 연차'에 대한 50퍼센트 추가 지급(페이백)이다. 현행 문언은 제1항(미사용 일수 보상)에 이어 붙어 있어 법정 연차수당을 절반으로 감액하는 것으로 오독될 소지가 있으므로 문언을 정정하였다. 확정 전 인사부서와 실제 산정 방식을 대조할 것.</w:t>
      </w:r>
    </w:p>
    <w:p>
      <w:pPr>
        <w:spacing w:before="0" w:after="60" w:line="312" w:lineRule="auto"/>
        <w:ind w:left="113"/>
        <w:jc w:val="left"/>
      </w:pPr>
      <w:r>
        <w:rPr>
          <w:rFonts w:ascii="맑은 고딕" w:hAnsi="맑은 고딕" w:eastAsia="맑은 고딕"/>
          <w:b w:val="0"/>
          <w:color w:val="1A1A1A"/>
          <w:sz w:val="19"/>
        </w:rPr>
        <w:t>6. [확인] 제25조 지급기준 — '매 일수에 대하여 8시간, 매 시간에 대하여 통상임금의 1/12에 1/183'이라는 현행 산식이 문언상 불명확하다. 실제 계산 방식을 확인하여 명확한 산식으로 정비할 것.</w:t>
      </w:r>
    </w:p>
    <w:p>
      <w:pPr>
        <w:spacing w:before="0" w:after="60" w:line="312" w:lineRule="auto"/>
        <w:ind w:left="113"/>
        <w:jc w:val="left"/>
      </w:pPr>
      <w:r>
        <w:rPr>
          <w:rFonts w:ascii="맑은 고딕" w:hAnsi="맑은 고딕" w:eastAsia="맑은 고딕"/>
          <w:b w:val="0"/>
          <w:color w:val="1A1A1A"/>
          <w:sz w:val="19"/>
        </w:rPr>
        <w:t>7. [서식] 경조금 지급신청서[서식 제1호]·학자금 지원신청서[서식 제2호]·자기계발비 지원신청서[서식 제3호] — 현행 서식은 사내 게시판에만 있고 사규에 등재되어 있지 않다. 이번 개정에 맞추어 서식을 정비하여 사규관리시스템에 등재해야 한다.</w:t>
      </w:r>
    </w:p>
    <w:p>
      <w:pPr>
        <w:spacing w:before="0" w:after="60" w:line="312" w:lineRule="auto"/>
        <w:ind w:left="113"/>
        <w:jc w:val="left"/>
      </w:pPr>
      <w:r>
        <w:rPr>
          <w:rFonts w:ascii="맑은 고딕" w:hAnsi="맑은 고딕" w:eastAsia="맑은 고딕"/>
          <w:b w:val="0"/>
          <w:color w:val="1A1A1A"/>
          <w:sz w:val="19"/>
        </w:rPr>
        <w:t>8. [연계] 「예산과목표」([별표 제1호], 「예산규정」) 정비 필요 — ① 경조금 세과목에 '팔순'이 없다([별표 제1호] 경조비 지급 기준에는 팔순 500천원이 있음), ② '장학금' 세과목이 유치원부터 대학교까지를 포괄하고 있어 이번 학자금 통합과 명칭을 맞출 필요가 있으며, 초등학교 구간 신설 시 세과목 추가가 필요하다.</w:t>
      </w:r>
    </w:p>
    <w:p>
      <w:pPr>
        <w:spacing w:before="0" w:after="60" w:line="312" w:lineRule="auto"/>
        <w:ind w:left="113"/>
        <w:jc w:val="left"/>
      </w:pPr>
      <w:r>
        <w:rPr>
          <w:rFonts w:ascii="맑은 고딕" w:hAnsi="맑은 고딕" w:eastAsia="맑은 고딕"/>
          <w:b w:val="0"/>
          <w:color w:val="1A1A1A"/>
          <w:sz w:val="19"/>
        </w:rPr>
        <w:t>9. [연계] 「복지후생규정 시행지침」 정비 필요 — ① 제19조(채권보전)가 두 차례 나타나는 조번호 중복 오류, ② 피복 관련 조문 부재(이 규정 제16조의 위임 착지), ③ 장학금 표현을 학자금으로 통일.</w:t>
      </w:r>
    </w:p>
    <w:p>
      <w:pPr>
        <w:spacing w:before="0" w:after="60" w:line="312" w:lineRule="auto"/>
        <w:ind w:left="113"/>
        <w:jc w:val="left"/>
      </w:pPr>
      <w:r>
        <w:rPr>
          <w:rFonts w:ascii="맑은 고딕" w:hAnsi="맑은 고딕" w:eastAsia="맑은 고딕"/>
          <w:b w:val="0"/>
          <w:color w:val="1A1A1A"/>
          <w:sz w:val="19"/>
        </w:rPr>
        <w:t>10. [정책] 제22조제1항제3호 — 전염성 B형간염만을 단독으로 열거한 것은 1990년대 기준이다. 업무상 질병 일반 기준으로의 재정비를 검토할 수 있다.</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