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ind w:left="0"/>
        <w:jc w:val="center"/>
      </w:pPr>
      <w:r>
        <w:rPr>
          <w:rFonts w:ascii="맑은 고딕" w:hAnsi="맑은 고딕" w:eastAsia="맑은 고딕"/>
          <w:b/>
          <w:color w:val="1A1A1A"/>
          <w:sz w:val="34"/>
        </w:rPr>
        <w:t>열쇠관리지침 전부개정안</w:t>
      </w:r>
    </w:p>
    <w:p>
      <w:pPr>
        <w:spacing w:before="0" w:after="20" w:line="312" w:lineRule="auto"/>
        <w:ind w:left="0"/>
        <w:jc w:val="center"/>
      </w:pPr>
      <w:r>
        <w:rPr>
          <w:rFonts w:ascii="맑은 고딕" w:hAnsi="맑은 고딕" w:eastAsia="맑은 고딕"/>
          <w:b w:val="0"/>
          <w:color w:val="777777"/>
          <w:sz w:val="18"/>
        </w:rPr>
        <w:t>(입안 검토용 초안 — 시행일 및 문서번호는 결재 시 확정)</w:t>
      </w:r>
    </w:p>
    <w:p>
      <w:pPr>
        <w:spacing w:before="0" w:after="20" w:line="312" w:lineRule="auto"/>
        <w:ind w:left="0"/>
        <w:jc w:val="center"/>
      </w:pPr>
      <w:r>
        <w:rPr>
          <w:rFonts w:ascii="맑은 고딕" w:hAnsi="맑은 고딕" w:eastAsia="맑은 고딕"/>
          <w:b w:val="0"/>
          <w:color w:val="1A1A1A"/>
          <w:sz w:val="20"/>
        </w:rPr>
        <w:t>[시행 2026. ○. ○.] [2026. ○. ○. 전부개정-2026-0○○]</w:t>
      </w:r>
    </w:p>
    <w:p>
      <w:pPr>
        <w:spacing w:before="0" w:after="160" w:line="312" w:lineRule="auto"/>
        <w:ind w:left="0"/>
        <w:jc w:val="center"/>
      </w:pPr>
      <w:r>
        <w:rPr>
          <w:rFonts w:ascii="맑은 고딕" w:hAnsi="맑은 고딕" w:eastAsia="맑은 고딕"/>
          <w:b w:val="0"/>
          <w:color w:val="777777"/>
          <w:sz w:val="17"/>
        </w:rPr>
        <w:t>※ 문서번호는 「사규관리규정」 제16조제1항에 따라 사규관리시스템 채번 후 기재</w:t>
      </w:r>
    </w:p>
    <w:p>
      <w:pPr>
        <w:spacing w:before="0" w:after="6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1. 개정 사유</w:t>
      </w:r>
    </w:p>
    <w:p>
      <w:pPr>
        <w:spacing w:before="0" w:after="12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전사 사규 정비 계획에 따라 ① 편제·표기를 「사규관리규정」(2026. 6. 23. 전부개정) 표준에 맞추고, ② 구조 결함 — 법령을 '준용'하는 역위계 문구(구 제5조), 정의 없이 쓰인 '주무부서', 항·호 논리 구조 오류(구 제8조③), 무한정 책임 문구(구 제9조), 카드류 대장의 정의 근거 부재 — 를 보정하며, ③ 어려운 표현(전도, ~토록, 기타 등)을 알기 쉬운 표현으로 정비한다. 실체 기준(관리 체계·보유 수량·승인 절차)은 변경하지 않는다.</w:t>
      </w:r>
    </w:p>
    <w:p>
      <w:pPr>
        <w:spacing w:before="0" w:after="6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2. 주요 내용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가. 총칙 표준 편제: 목적 → 정의 → 적용범위 → 다른 사규와의 관계 → 열쇠의 종류 순 재배열 (제6조 이하 조번호 유지 — 「개인정보보호 내부 관리계획」의 '열쇠관리지침 제8조' 인용이 깨지지 않아 연동 개정 불요)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나. 정의 보정: 전자카드·모바일카드 등 출입매체를 '열쇠'에 포함 — 모바일카드·실물카드 관리대장의 규범 근거 확보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다. '주무부서'를 경영전략부로 명시(미정의 용어 해소), 구 제5조(준용)의 역위계 문구를 표준 관계 조문으로 정정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라. 구 제8조③ 하위 호(전도 금지·반납)를 별도 항으로 분리(논리 구조 정정), 책임 범위 특정(구 제9조)</w:t>
      </w:r>
    </w:p>
    <w:p>
      <w:pPr>
        <w:spacing w:before="0" w:after="40" w:line="312" w:lineRule="auto"/>
        <w:ind w:left="170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마. 서식 표기 [별지 제N호 서식]→[서식 제N호], 대장 명칭 띄어쓰기 통일, 재검토기한 신설(제13조), 부칙 3개 실효 정리</w:t>
      </w:r>
    </w:p>
    <w:p>
      <w:r>
        <w:br w:type="page"/>
      </w:r>
    </w:p>
    <w:p>
      <w:pPr>
        <w:spacing w:before="0" w:after="160" w:line="312" w:lineRule="auto"/>
        <w:ind w:left="0"/>
        <w:jc w:val="center"/>
      </w:pPr>
      <w:r>
        <w:rPr>
          <w:rFonts w:ascii="맑은 고딕" w:hAnsi="맑은 고딕" w:eastAsia="맑은 고딕"/>
          <w:b/>
          <w:color w:val="1A1A1A"/>
          <w:sz w:val="30"/>
        </w:rPr>
        <w:t>열쇠관리지침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제1조(목적)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지침은 열쇠의 사용·보관 및 관리에 필요한 절차를 정하여 열쇠를 효율적으로 관리함을 목적으로 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제2조(정의)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지침에서 사용하는 용어의 뜻은 다음 각 호와 같다.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1. "열쇠"란 잠금장치 및 출입에 사용되는 모든 열쇠를 말하며, 출입에 사용되는 전자카드·모바일카드 등 출입매체를 포함한다. </w:t>
      </w:r>
      <w:r>
        <w:rPr>
          <w:rFonts w:ascii="맑은 고딕" w:hAnsi="맑은 고딕" w:eastAsia="맑은 고딕"/>
          <w:b w:val="0"/>
          <w:color w:val="B03030"/>
          <w:sz w:val="19"/>
        </w:rPr>
        <w:t>&lt;확인 요망: 대장 3종(열쇠·모바일카드·실물카드)의 근거 정비를 위해 카드류를 정의에 포함 — 운영 실태와 맞는지 확인&gt;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"열쇠 관리"란 열쇠의 구입, 보수, 변경, 등록, 양도·양수 및 이에 관련되는 모든 업무를 말한다.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제3조(적용범위)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지침은 본사 및 영업점의 모든 열쇠에 적용한다.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제4조(다른 사규와의 관계)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열쇠의 관리에 관하여 법령 또는 다른 사규에서 특별히 정한 것을 제외하고는 이 지침에서 정하는 바에 따른다.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제5조(열쇠의 종류)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각 부점에서 관리하는 열쇠의 용도별 종류는 다음 각 호와 같다.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일상용 열쇠(전자카드를 포함한다)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비상용 열쇠(전자카드를 포함한다)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제6조(관리책임자)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열쇠관리 업무는 경영전략부(이하 "주무부서"라 한다)가 총괄한다. </w:t>
      </w:r>
      <w:r>
        <w:rPr>
          <w:rFonts w:ascii="맑은 고딕" w:hAnsi="맑은 고딕" w:eastAsia="맑은 고딕"/>
          <w:b w:val="0"/>
          <w:color w:val="B03030"/>
          <w:sz w:val="19"/>
        </w:rPr>
        <w:t>&lt;확인 요망: 미정의 용어였던 '주무부서'를 경영전략부로 명시 — 맞는지 확인&gt;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각 부점장을 관리책임자로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각 부점장은 소속직원 중 열쇠관리담당자를 정하여 관리업무를 수행하게 하여야 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제7조(관리담당자의 임무)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열쇠관리담당자의 임무는 다음 각 호와 같다.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1. 열쇠 관리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2. 사무실 출입 관련 외주 보안업체 관리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3. 열쇠 관리대장[서식 제1호], 열쇠 분실·훼손 신고서[서식 제2호], 모바일카드 관리대장[서식 제3호] 및 실물카드 관리대장[서식 제4호]의 관리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4. 잠금장치에 대한 점검 및 후속조치 시행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5. 사고 발생 시 처리</w:t>
      </w:r>
    </w:p>
    <w:p>
      <w:pPr>
        <w:spacing w:before="0" w:after="40" w:line="312" w:lineRule="auto"/>
        <w:ind w:left="454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6. 그 밖의 열쇠 관련 업무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제8조(관리)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열쇠는 각 부점별로 관리한다.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각 부점은 모든 열쇠의 불출, 반납 및 그 밖의 관리에 관한 변동사항을 열쇠 관리대장, 모바일카드 관리대장 및 실물카드 관리대장에 기록하여야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각 열쇠는 최소 2개 이상 보유하여야 하며, 1개는 일상용 열쇠로 사용자에게 지급하고, 1개 이상은 비상용 열쇠로 열쇠관리담당자가 보관한다.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④ 열쇠를 지급받은 사람은 열쇠를 다른 사람에게 넘겨줄 수 없으며, 인사발령 등 반납사유가 발생한 때에는 즉시 반납하여야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⑤ 비상용 열쇠는 긴급한 사항이 발생한 때에 사용하되, 사용한 때에는 반드시 부점장에게 보고하여야 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제9조(책임)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열쇠를 지급받은 사람은 열쇠를 선량하게 보관·사용하여야 하며, 그 보관·사용에 관하여 책임을 진다.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제10조(분실 및 훼손의 보고)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열쇠를 분실하거나 훼손한 때에는 부점장 및 열쇠관리담당자에게 즉시 보고한 후 열쇠 분실·훼손 신고서[서식 제2호]를 제출하여야 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제11조(점검 및 수리)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① 열쇠관리담당자는 수시로 열쇠의 보관·관리 상태를 점검하여야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② 열쇠관리담당자는 사무실 출입 보안시스템의 점검을 담당 외주업체가 실시하도록 하고 그 결과를 확인한다.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③ 점검 결과 이상이 있는 경우에는 즉시 필요한 조치를 하여야 한다.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④ 열쇠가 분실 또는 훼손된 경우에는 부점장의 승인을 받아 복제할 수 있다.</w:t>
      </w:r>
    </w:p>
    <w:p>
      <w:pPr>
        <w:spacing w:before="0" w:after="40" w:line="312" w:lineRule="auto"/>
        <w:ind w:left="227"/>
        <w:jc w:val="left"/>
      </w:pPr>
      <w:r>
        <w:rPr>
          <w:rFonts w:ascii="맑은 고딕" w:hAnsi="맑은 고딕" w:eastAsia="맑은 고딕"/>
          <w:b w:val="0"/>
          <w:color w:val="1A1A1A"/>
          <w:sz w:val="21"/>
        </w:rPr>
        <w:t>⑤ 잠금장치가 파손된 경우에는 부점장의 승인을 받아 관련 업체를 통하여 수리할 수 있다.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제12조(사고의 보고)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열쇠의 관리 소홀로 인한 사건·사고가 발생한 때에는 즉시 주무부서에 보고하여야 하며, 사건·사고의 확대 방지를 위하여 최선의 노력을 하여야 한다.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제13조(재검토기한)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회사는 이 지침에 대하여 2026년 ○월 ○일을 기준으로 매 3년이 되는 시점마다 그 타당성을 검토하여 개선 등의 조치를 하여야 한다. </w:t>
      </w:r>
      <w:r>
        <w:rPr>
          <w:rFonts w:ascii="맑은 고딕" w:hAnsi="맑은 고딕" w:eastAsia="맑은 고딕"/>
          <w:b w:val="0"/>
          <w:color w:val="B03030"/>
          <w:sz w:val="19"/>
        </w:rPr>
        <w:t>&lt;신설&gt;</w:t>
      </w:r>
    </w:p>
    <w:p>
      <w:pPr>
        <w:spacing w:before="240" w:after="8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부 칙(2026. ○. ○.)</w:t>
      </w:r>
    </w:p>
    <w:p>
      <w:pPr>
        <w:spacing w:after="5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제1조(시행일)</w:t>
      </w:r>
      <w:r>
        <w:rPr>
          <w:rFonts w:ascii="맑은 고딕" w:hAnsi="맑은 고딕" w:eastAsia="맑은 고딕"/>
          <w:b w:val="0"/>
          <w:color w:val="1A1A1A"/>
          <w:sz w:val="21"/>
        </w:rPr>
        <w:t xml:space="preserve"> 이 지침은 2026년 ○월 ○일부터 시행한다.</w:t>
      </w:r>
    </w:p>
    <w:p>
      <w:pPr>
        <w:spacing w:before="0" w:after="16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777777"/>
          <w:sz w:val="18"/>
        </w:rPr>
        <w:t>※ 전부개정이므로 「사규관리규정」 제21조제3항에 따라 종전의 본칙 및 부칙(2017. 2. 28. ~ 2025. 7. 30. 총 3개)은 효력을 상실한다.</w:t>
      </w:r>
    </w:p>
    <w:p>
      <w:pPr>
        <w:spacing w:before="120" w:after="6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서식 목록</w:t>
      </w:r>
    </w:p>
    <w:p>
      <w:pPr>
        <w:spacing w:before="0" w:after="160" w:line="312" w:lineRule="auto"/>
        <w:ind w:left="0"/>
        <w:jc w:val="left"/>
      </w:pPr>
      <w:r>
        <w:rPr>
          <w:rFonts w:ascii="맑은 고딕" w:hAnsi="맑은 고딕" w:eastAsia="맑은 고딕"/>
          <w:b w:val="0"/>
          <w:color w:val="1A1A1A"/>
          <w:sz w:val="19"/>
        </w:rPr>
        <w:t>[서식 제1호] 열쇠 관리대장 / [서식 제2호] 열쇠 분실·훼손 신고서 / [서식 제3호] 모바일카드 관리대장 / [서식 제4호] 실물카드 관리대장 (내용 변경 없음 — 표기만 정비)</w:t>
      </w:r>
    </w:p>
    <w:p>
      <w:pPr>
        <w:spacing w:before="80" w:after="60" w:line="312" w:lineRule="auto"/>
        <w:ind w:left="0"/>
        <w:jc w:val="left"/>
      </w:pPr>
      <w:r>
        <w:rPr>
          <w:rFonts w:ascii="맑은 고딕" w:hAnsi="맑은 고딕" w:eastAsia="맑은 고딕"/>
          <w:b/>
          <w:color w:val="1A1A1A"/>
          <w:sz w:val="24"/>
        </w:rPr>
        <w:t>검토 의견</w:t>
      </w:r>
    </w:p>
    <w:p>
      <w:pPr>
        <w:spacing w:before="0" w:after="60" w:line="312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19"/>
        </w:rPr>
        <w:t>1. [확인] 제2조제1호 — 전자카드·모바일카드·실물카드를 '열쇠' 정의에 포함하도록 정비. 제5조의 종류(일상용·비상용)와 대장 3종(열쇠·모바일카드·실물카드)의 분류 축이 서로 달라, 운영 실태(카드류 관리 방식)에 맞는지 확인 필요.</w:t>
      </w:r>
    </w:p>
    <w:p>
      <w:pPr>
        <w:spacing w:before="0" w:after="60" w:line="312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19"/>
        </w:rPr>
        <w:t>2. [확인] 제6조제1항 — 현행에 정의 없이 쓰이던 '주무부서'를 경영전략부로 명시. 소관부서(머릿글)와 일치하나 확인 필요.</w:t>
      </w:r>
    </w:p>
    <w:p>
      <w:pPr>
        <w:spacing w:before="0" w:after="60" w:line="312" w:lineRule="auto"/>
        <w:ind w:left="113"/>
        <w:jc w:val="left"/>
      </w:pPr>
      <w:r>
        <w:rPr>
          <w:rFonts w:ascii="맑은 고딕" w:hAnsi="맑은 고딕" w:eastAsia="맑은 고딕"/>
          <w:b w:val="0"/>
          <w:color w:val="1A1A1A"/>
          <w:sz w:val="19"/>
        </w:rPr>
        <w:t>3. [참고] 한전KDN 보안규정은 '사무실 비상열쇠는 사옥관리 부서와 24시간 근무 부서에 비치'를 명문화 — 비상용 열쇠의 이중 비치(주무부서 예비 보관) 신설은 추후 검토 옵션.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