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기안은 그 규정을 소관하는 부서(이하 “소관부서”라 한다)의 담당자가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‘기안권자=부서장’ → 기안은 소관부서 담당자(실무자, 계장~차장). 조명 ‘기안권자’→‘기안’, ‘소관부서’ 정의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제7조(합의 및 결재)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소관부서는 개정본문과 신·구 조문대비표를 갖추어 전자결재로 결재를 받되, 그 결재 과정에서 사규를 총괄하는 경영전략부(이하 “주무부서”라 한다) 및 관련 부서의 합의를 거친다.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규정안에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주무부서는 심의 과정에서 처음의 취지를 벗어나지 않는 범위의 자구 수정이나 체계 정리를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결재는 규정은 대표이사, 지침은 전결권자까지 받는다.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합의는 (그룹웨어) 전자결재 결재선에서 진행, 결재선=규정은 대표이사·지침은 전결권자, ‘주무부서=경영전략부’ 명문화, 절차 간소화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제8조(등재 및 공포)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제7조에 따른 결재가 완료된 사규는 소관부서 담당자가 개정본문과 신·구 조문대비표를 「사규관리시스템」에 등재하고, 시스템의 전자결재를 거쳐 주무부서장의 결재를 받는다.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결재가 완료되면 사규관리시스템에서 제30조의2에 따른 문서번호가 부여되고 즉시 공포·시행된다.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경우에는 그 동의서 사본을 함께 등재한다.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반영·시스템 ★] 2차: 시스템 등재→주무부서장(경영전략부장) 결재→자동 공포·문서번호. (‘주무부서장이 등록·문서번호 부여’ 정정), 제9조 공포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 ★] 공포 절차를 제8조(등재 및 공포)로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그 시행일부터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[정합성·시스템] 모든 사규에 시행일자가 반드시 부여되므로 ‘시행일 미정 시 공포일’ 단서 삭제 — 무조건 시행일 기준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구분하며, 「별표」의 규정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 ①, ②, 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 ①, ②, 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제28조(표)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 중에서 숫자가 많이 열거되거나 유사한 내용이 열거되는 경우에는 「표」를 사용하여 규정 내용의 이해를 용이하게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표 중 간단한 표는 본칙의 조문 중에 표시하고 복잡하고 큰 표는 『별표』로 하여 부칙 다음에 둔다.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제28조(별표)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본문에 직접 넣기 어려운 표·서식·도면·별첨 등의 자료는 『별표』로 하여 부칙 다음에 배열한다.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간단한 표나 도면은 본칙의 조문 안에 표시할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[별표 통합 ★] 표·서식(별지서식)·도면(별도)을 ‘별표’로 통합, 제29·30조를 본조로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제29조(서식) 서식, 보고서의 형식을 규정에 표시하는 경우에는「별지서식」으로 하여 부칙 다음에 배열한다.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『별표』 또는 『별도(別圖)』가 있는 경우에는 그 다음에 배열한다.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[통합] 서식(별지서식)을 제28조(별표)로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제30조(도면)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조직도 등과 같이 그림으로 표시하는 것이 이해하기 쉬운 경우에는 도면을 사용한다.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도면 중 간단한 도면은 본칙의 조문 중에 표시하고, 복잡하고 큰 도면은 『별도(別圖)』로 하여 부칙 다음에 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『별표』가 있는 경우에는 그 다음에 둔다.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[통합] 도면(별도)을 제28조(별표)로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 및 부록의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“별표”란 사규의 내용을 보충하기 위하여 사규에 첨부하는 표·서식·도면·별첨 등을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“부록”이란 별표 외에 참고로 사규에 첨부하는 자료를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[신설·제3장 재정립 ★] 제3장을 ‘서식’→‘별표 및 부록’으로(별표=표·서식·별첨 / 부록=그 외)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제○조(별표의 관리)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별표는 그 사규의 일부로서 제정·개정·폐지 절차에 따라 관리하며, 「사규관리시스템」에 등재하고 제30조의2를 준용하여 개정이력을 표시한다.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별표의 번호와 제목은 『별표 제○호』의 형식으로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별표는 정식 개정 절차 + 개정이력 표시(첨부 예시 형식, 『별표 제○호』 통일)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제○조(부록의 관리) 부록은 제정·개정·폐지 절차를 거치지 않고 소관부서가 「사규관리시스템」에서 수정·관리할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부록은 정식 절차 없이 단순 수정(매뉴얼과 일치)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