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기안은 그 규정을 소관하는 부서(이하 “소관부서”라 한다)의 담당자가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‘기안권자=부서장’ → 기안은 소관부서 담당자(실무자, 계장~차장). 조명 ‘기안권자’→‘기안’, ‘소관부서’ 정의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제7조(합의 및 결재)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소관부서는 개정본문과 신·구 조문대비표를 갖추어 전자결재로 결재를 받되, 그 결재 과정에서 사규를 총괄하는 경영전략부(이하 “주무부서”라 한다) 및 관련 부서의 합의를 거친다.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규정안에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주무부서는 심의 과정에서 처음의 취지를 벗어나지 않는 범위의 자구 수정이나 체계 정리를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결재는 규정은 대표이사, 지침은 전결권자까지 받는다.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합의는 (그룹웨어) 전자결재 결재선에서 진행, 결재선=규정은 대표이사·지침은 전결권자, ‘주무부서=경영전략부’ 명문화, 절차 간소화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제8조(등재 및 공포)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제7조에 따른 결재가 완료된 사규는 소관부서 담당자가 개정본문과 신·구 조문대비표를 「사규관리시스템」에 등재하고, 시스템의 전자결재를 거쳐 주무부서장의 결재를 받는다.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결재가 완료되면 사규관리시스템에서 제30조의2에 따른 문서번호가 부여되고 즉시 공포·시행된다.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경우에는 그 동의서 사본을 함께 등재한다.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반영·시스템 ★] 2차: 시스템 등재→주무부서장(경영전략부장) 결재→자동 공포·문서번호. (‘주무부서장이 등록·문서번호 부여’ 정정), 제9조 공포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 ★] 공포 절차를 제8조(등재 및 공포)로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그 시행일부터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[정합성·시스템] 모든 사규에 시행일자가 반드시 부여되므로 ‘시행일 미정 시 공포일’ 단서 삭제 — 무조건 시행일 기준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구분하며, 「별표」의 규정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제28조(표)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 중에서 숫자가 많이 열거되거나 유사한 내용이 열거되는 경우에는 「표」를 사용하여 규정 내용의 이해를 용이하게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표 중 간단한 표는 본칙의 조문 중에 표시하고 복잡하고 큰 표는 『별표』로 하여 부칙 다음에 둔다.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제28조(별표)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본문에 직접 넣기 어려운 표·서식·도면·별첨 등의 자료는 『별표』로 하여 부칙 다음에 배열한다.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간단한 표나 도면은 본칙의 조문 안에 표시할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[별표 통합 ★] 표·서식(별지서식)·도면(별도)을 ‘별표’로 통합, 제29·30조를 본조로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제29조(서식) 서식, 보고서의 형식을 규정에 표시하는 경우에는「별지서식」으로 하여 부칙 다음에 배열한다.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『별표』 또는 『별도(別圖)』가 있는 경우에는 그 다음에 배열한다.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[통합] 서식(별지서식)을 제28조(별표)로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제30조(도면)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조직도 등과 같이 그림으로 표시하는 것이 이해하기 쉬운 경우에는 도면을 사용한다.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도면 중 간단한 도면은 본칙의 조문 중에 표시하고, 복잡하고 큰 도면은 『별도(別圖)』로 하여 부칙 다음에 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『별표』가 있는 경우에는 그 다음에 둔다.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[통합] 도면(별도)을 제28조(별표)로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 및 부록의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“별표”란 사규의 내용을 보충하기 위하여 사규에 첨부하는 표·서식·도면·별첨 등을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“부록”이란 별표 외에 참고로 사규에 첨부하는 자료를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[신설·제3장 재정립 ★] 제3장을 ‘서식’→‘별표 및 부록’으로(별표=표·서식·별첨 / 부록=그 외)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제○조(별표의 관리)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별표는 그 사규의 일부로서 제정·개정·폐지 절차에 따라 관리하며, 「사규관리시스템」에 등재하고 제30조의2를 준용하여 개정이력을 표시한다.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별표의 번호와 제목은 『별표 제○호』의 형식으로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별표는 정식 개정 절차 + 개정이력 표시(첨부 예시 형식, 『별표 제○호』 통일)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제○조(부록의 관리) 부록은 제정·개정·폐지 절차를 거치지 않고 소관부서가 「사규관리시스템」에서 수정·관리할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부록은 정식 절차 없이 단순 수정(매뉴얼과 일치)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