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color w:val="1A1A1A"/>
          <w:sz w:val="30"/>
        </w:rPr>
        <w:t>「정보보호관리 지침」 신구조문대비표</w:t>
      </w: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777777"/>
          <w:sz w:val="19"/>
        </w:rPr>
        <w:t>업무용 외부 메신저의 승인 및 이용   |   소관: IT운영부 정보보호팀</w:t>
      </w:r>
    </w:p>
    <w:p>
      <w:pPr>
        <w:spacing w:after="100"/>
        <w:jc w:val="center"/>
      </w:pPr>
      <w:r>
        <w:rPr>
          <w:rFonts w:ascii="맑은 고딕" w:hAnsi="맑은 고딕" w:eastAsia="맑은 고딕"/>
          <w:b w:val="0"/>
          <w:color w:val="777777"/>
          <w:sz w:val="16"/>
        </w:rPr>
        <w:t>파란색 = 신설·변경 문언 / 빨간색 = 확인 요망 / ★ = 실체 개정 / (선택) = 함께 검토할 수 있는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</w:tcPr>
          <w:p>
            <w:pPr>
              <w:spacing w:after="24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조문</w:t>
            </w:r>
          </w:p>
        </w:tc>
        <w:tc>
          <w:tcPr>
            <w:tcW w:type="dxa" w:w="3841"/>
          </w:tcPr>
          <w:p>
            <w:pPr>
              <w:spacing w:after="24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현 행</w:t>
            </w:r>
          </w:p>
        </w:tc>
        <w:tc>
          <w:tcPr>
            <w:tcW w:type="dxa" w:w="3841"/>
          </w:tcPr>
          <w:p>
            <w:pPr>
              <w:spacing w:after="24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개 정 안</w:t>
            </w:r>
          </w:p>
        </w:tc>
        <w:tc>
          <w:tcPr>
            <w:tcW w:type="dxa" w:w="3841"/>
          </w:tcPr>
          <w:p>
            <w:pPr>
              <w:spacing w:after="24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개정 사유</w:t>
            </w:r>
          </w:p>
        </w:tc>
      </w:tr>
      <w:tr>
        <w:tc>
          <w:tcPr>
            <w:tcW w:type="dxa" w:w="1928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제42조제1항제4호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(주요직무자의 PC 관리)</w:t>
            </w:r>
          </w:p>
        </w:tc>
        <w:tc>
          <w:tcPr>
            <w:tcW w:type="dxa" w:w="4139"/>
          </w:tcPr>
          <w:p>
            <w:pPr>
              <w:spacing w:after="24" w:line="288" w:lineRule="auto"/>
              <w:ind w:left="17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7"/>
              </w:rPr>
              <w:t>4. P2P, 웹하드, 상용 메신저 등의 인터넷 사용제한</w:t>
            </w:r>
          </w:p>
        </w:tc>
        <w:tc>
          <w:tcPr>
            <w:tcW w:type="dxa" w:w="5443"/>
          </w:tcPr>
          <w:p>
            <w:pPr>
              <w:spacing w:after="24" w:line="288" w:lineRule="auto"/>
              <w:ind w:left="17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7"/>
              </w:rPr>
              <w:t>4. P2P, 웹하드, 상용 메신저 등의 인터넷 사용제한.</w:t>
            </w: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 xml:space="preserve"> 다만, 제50조의2에 따라 승인받은 업무용 외부 메신저는 승인된 단말에서 사용할 수 있다.</w:t>
            </w:r>
          </w:p>
        </w:tc>
        <w:tc>
          <w:tcPr>
            <w:tcW w:type="dxa" w:w="3515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7"/>
              </w:rPr>
              <w:t>제3조제23호의 주요직무자 정의(중요정보·중요업무 처리자, 개인정보 다운로드 가능자, 정보시스템 접속 가능자)에 통지·추심 업무 담당자가 포함되므로, 단서가 없으면 승인을 받더라도 업무용 단말에서 이용할 수 없어 신설 조문이 무력화됨</w:t>
            </w:r>
          </w:p>
        </w:tc>
      </w:tr>
      <w:tr>
        <w:tc>
          <w:tcPr>
            <w:tcW w:type="dxa" w:w="1928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제50조제4항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(전자메일 및 메신저 사용)</w:t>
            </w:r>
          </w:p>
        </w:tc>
        <w:tc>
          <w:tcPr>
            <w:tcW w:type="dxa" w:w="4139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7"/>
              </w:rPr>
              <w:t>④ 회사에서 공식적으로 허가한 메신저 이외의 사용을 금지한다.</w:t>
            </w:r>
          </w:p>
        </w:tc>
        <w:tc>
          <w:tcPr>
            <w:tcW w:type="dxa" w:w="5443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7"/>
              </w:rPr>
              <w:t xml:space="preserve">④ 회사가 허가한 메신저는 </w:t>
            </w: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[별표 제○호]와 같으며, 그 밖의 메신저 사용을 금지한다. 다만, 제50조의2에 따라 승인받은 업무용 외부 메신저는 그러하지 아니하다.</w:t>
            </w:r>
          </w:p>
        </w:tc>
        <w:tc>
          <w:tcPr>
            <w:tcW w:type="dxa" w:w="3515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7"/>
              </w:rPr>
              <w:t>★ 현행 「공식적으로 허가한 메신저」는 허가 주체·목록·확인 방법을 모두 결여하여 임직원이 준수 여부를 판정할 수 없음. 허가 메신저를 별표로 명시하고, 별표 외 메신저는 제50조의2의 승인 절차를 거치도록 연결</w:t>
            </w:r>
          </w:p>
        </w:tc>
      </w:tr>
      <w:tr>
        <w:tc>
          <w:tcPr>
            <w:tcW w:type="dxa" w:w="1928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제50조의2 신설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(업무용 외부 메신저의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승인 및 이용)</w:t>
            </w:r>
          </w:p>
        </w:tc>
        <w:tc>
          <w:tcPr>
            <w:tcW w:type="dxa" w:w="4139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/>
                <w:color w:val="B03030"/>
                <w:sz w:val="17"/>
              </w:rPr>
              <w:t>〈신 설〉</w:t>
            </w:r>
          </w:p>
        </w:tc>
        <w:tc>
          <w:tcPr>
            <w:tcW w:type="dxa" w:w="5443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제50조의2(업무용 외부 메신저의 승인 및 이용)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① 부점장은 외부기관·업체와의 업무 협의를 위하여 [별표 제○호] 외의 메신저(이하 “업무용 외부 메신저”라 한다)를 이용하려는 경우 다음 각 호의 사항을 적어 정보보호 관리자에게 승인을 신청하여야 한다.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1. 이용 목적, 상대방 및 참여 인원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2. 이용하려는 메신저의 명칭 및 이용 단말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3. 이용 기간 및 종료 후 대화기록의 처리 방법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② 정보보호 관리자는 제1항의 신청에 대하여 「정보보호위원회지침」 제9조에 따른 정보보호실무협의회의 보안성 검토를 거쳐 그 결과를 정보보호 최고책임자에게 보고하고, 정보보호 최고책임자의 승인을 받아 이용하게 할 수 있다.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③ 이용 기간은 1년을 초과할 수 없으며, 계속 이용하려는 경우에는 제1항 및 제2항에 따라 다시 승인을 받아야 한다.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④ 업무용 외부 메신저를 통하여 다음 각 호의 정보를 주고받아서는 아니 된다.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1. 「고객정보관리지침」에 따른 고객정보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2. 고유식별정보, 계좌정보 및 생체인식정보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3. 제13조제4항에 따라 기밀 또는 대외비로 분류된 문서 및 그 내용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4. 정보시스템의 계정·비밀번호 및 접속정보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⑤ 제4항의 정보를 외부기관·업체에 전달하여야 하는 경우에는 「IT인프라 보안 지침」 제67조에 따른 망 연계시스템 또는 인가된 보조기억매체를 이용하고, 「문서관리규정」에 따라 시행문으로 처리한다.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⑥ 승인을 받은 부점장은 다음 각 호의 사항을 이행하여야 한다.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1. 참여자를 업무 수행에 필요한 최소한으로 제한하고 그 명단을 관리할 것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2. 인사이동·퇴직 또는 계약 종료 시 지체 없이 해당자를 대화방에서 배제할 것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3. 이용 기간이 끝나면 대화기록을 내려받아 보존한 후 대화방을 폐쇄할 것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⑦ 상대방이 외부업체인 경우에는 제33조에 따른 보안요구사항을 계약에 반영하고 같은 조 제2항의 서약서를 징구하여야 한다.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⑧ 정보보호 관리자는 제4항 또는 제6항을 위반한 사실을 확인한 경우 즉시 이용을 중지시키고 정보보호 최고책임자에게 보고하여야 한다.</w:t>
            </w:r>
          </w:p>
        </w:tc>
        <w:tc>
          <w:tcPr>
            <w:tcW w:type="dxa" w:w="3515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7"/>
              </w:rPr>
              <w:t>★ 신설. 현행은 「허가」만 있고 신청·심사·승인권자·이용 조건·종료 절차를 정한 조문이 없어, 허가를 받으려 해도 밟을 절차가 없는 상태. 승인 경로를 정보보호실무협의회 보안성 검토 → 정보보호 최고책임자 보고·승인으로 정하고, 제4항에 금지 정보를 열거하여 고객정보는 승인 여부와 무관하게 차단되도록 함</w:t>
            </w:r>
          </w:p>
        </w:tc>
      </w:tr>
      <w:tr>
        <w:tc>
          <w:tcPr>
            <w:tcW w:type="dxa" w:w="1928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[별표 제○호] 신설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(회사가 허가한 메신저)</w:t>
            </w:r>
          </w:p>
        </w:tc>
        <w:tc>
          <w:tcPr>
            <w:tcW w:type="dxa" w:w="4139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/>
                <w:color w:val="B03030"/>
                <w:sz w:val="17"/>
              </w:rPr>
              <w:t>〈신 설〉</w:t>
            </w:r>
          </w:p>
        </w:tc>
        <w:tc>
          <w:tcPr>
            <w:tcW w:type="dxa" w:w="5443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[별표 제○호] 회사가 허가한 메신저 (제50조제4항 관련)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 xml:space="preserve">  1. 사내 메신저 : ○○○  </w:t>
            </w:r>
            <w:r>
              <w:rPr>
                <w:rFonts w:ascii="맑은 고딕" w:hAnsi="맑은 고딕" w:eastAsia="맑은 고딕"/>
                <w:b w:val="0"/>
                <w:color w:val="B03030"/>
                <w:sz w:val="15"/>
              </w:rPr>
              <w:t>&lt;실제 운영 중인 명칭 확인&gt;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 xml:space="preserve">  2. 업무용 외부 메신저 : 제50조의2에 따라 승인받은 메신저. 승인받은 목적·기간 및 참여자의 범위에서만 이용한다.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 xml:space="preserve">  ※ 정보보호 관리자는 이 별표의 적정성을 연 1회 이상 검토하고, 변경이 필요한 경우 이 지침의 개정을 추진한다.</w:t>
            </w:r>
          </w:p>
        </w:tc>
        <w:tc>
          <w:tcPr>
            <w:tcW w:type="dxa" w:w="3515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7"/>
              </w:rPr>
              <w:t>제50조제4항의 허가 목록을 임직원이 확인할 수 있도록 명시. 「사규관리규정」 제11조제3항의 [별표 제N호] 표기를 따름. 상시 이용 수단만 별표에 두고, 개별 사업 단위의 한시 이용은 제50조의2 승인으로 처리하여 사업마다 지침을 개정하는 부담을 없앰</w:t>
            </w:r>
          </w:p>
        </w:tc>
      </w:tr>
      <w:tr>
        <w:tc>
          <w:tcPr>
            <w:tcW w:type="dxa" w:w="1928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제44조제3항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(소프트웨어 설치 및 사용)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(선택)</w:t>
            </w:r>
          </w:p>
        </w:tc>
        <w:tc>
          <w:tcPr>
            <w:tcW w:type="dxa" w:w="4139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7"/>
              </w:rPr>
              <w:t>③ 업무상 특정 소프트웨어가 필요한 경우에는 정보보호 관리자의 승인을 득한 후 사용하여야 한다.</w:t>
            </w:r>
          </w:p>
        </w:tc>
        <w:tc>
          <w:tcPr>
            <w:tcW w:type="dxa" w:w="5443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7"/>
              </w:rPr>
              <w:t>③ 업무상 특정 소프트웨어가 필요한 경우에는 정보보호 관리자의 승인을 득한 후 사용하여야 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 xml:space="preserve"> 다만, 업무용 외부 메신저는 제50조의2에 따른다.</w:t>
            </w:r>
          </w:p>
        </w:tc>
        <w:tc>
          <w:tcPr>
            <w:tcW w:type="dxa" w:w="3515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7"/>
              </w:rPr>
              <w:t>현재 외부 메신저 이용 승인의 사실상 유일한 근거이나 문언이 「소프트웨어 도입」 승인이어서, 제50조의2 신설 시 두 승인 절차가 병존하게 됨. 중복·충돌 방지용</w:t>
            </w:r>
          </w:p>
        </w:tc>
      </w:tr>
      <w:tr>
        <w:tc>
          <w:tcPr>
            <w:tcW w:type="dxa" w:w="1928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제50조제5항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(전자메일 및 메신저 사용)</w:t>
            </w:r>
          </w:p>
          <w:p>
            <w:pPr>
              <w:spacing w:after="24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(선택)</w:t>
            </w:r>
          </w:p>
        </w:tc>
        <w:tc>
          <w:tcPr>
            <w:tcW w:type="dxa" w:w="4139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7"/>
              </w:rPr>
              <w:t>⑤ 사용자는 전자메일 또는 메신저에 중요 정보를 기재 또는 포함해서는 안되며, 이를 위반하여 발생하는 불이익은 사용자의 책임으로 한다.</w:t>
            </w:r>
          </w:p>
        </w:tc>
        <w:tc>
          <w:tcPr>
            <w:tcW w:type="dxa" w:w="5443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7"/>
              </w:rPr>
              <w:t xml:space="preserve">⑤ 사용자는 전자메일 또는 메신저에 </w:t>
            </w: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제13조제4항에 따라 기밀 또는 대외비로 분류된 정보, 고객정보 및 고유식별정보를</w:t>
            </w:r>
            <w:r>
              <w:rPr>
                <w:rFonts w:ascii="맑은 고딕" w:hAnsi="맑은 고딕" w:eastAsia="맑은 고딕"/>
                <w:b w:val="0"/>
                <w:color w:val="333333"/>
                <w:sz w:val="17"/>
              </w:rPr>
              <w:t xml:space="preserve"> 기재 또는 포함해서는 </w:t>
            </w:r>
            <w:r>
              <w:rPr>
                <w:rFonts w:ascii="맑은 고딕" w:hAnsi="맑은 고딕" w:eastAsia="맑은 고딕"/>
                <w:b w:val="0"/>
                <w:color w:val="124AC8"/>
                <w:sz w:val="17"/>
              </w:rPr>
              <w:t>아니 되며, 이를 위반한 경우 관련 사규에 따라 조치한다.</w:t>
            </w:r>
          </w:p>
        </w:tc>
        <w:tc>
          <w:tcPr>
            <w:tcW w:type="dxa" w:w="3515"/>
          </w:tcPr>
          <w:p>
            <w:pPr>
              <w:spacing w:after="24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7"/>
              </w:rPr>
              <w:t>「중요 정보」가 이 지침 제3조 정의에 없어 판단 기준이 부재. 같은 지침 제13조제4항(기밀·대외비·일반)과 제49조제5항(대외비)이 이미 쓰는 분류로 통일. 후단의 「불이익은 사용자의 책임」은 회사의 관리책임을 개인에게 전가하는 문언</w:t>
            </w:r>
          </w:p>
        </w:tc>
      </w:tr>
    </w:tbl>
    <w:sectPr w:rsidR="00FC693F" w:rsidRPr="0006063C" w:rsidSect="00034616">
      <w:pgSz w:w="16838" w:h="11906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