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333333"/>
          <w:sz w:val="30"/>
        </w:rPr>
        <w:t>사규관리규정 신·구조문대비표 (종합 개정안)</w:t>
      </w:r>
    </w:p>
    <w:p>
      <w:pPr>
        <w:spacing w:after="120"/>
      </w:pPr>
      <w:r>
        <w:rPr>
          <w:rFonts w:ascii="맑은 고딕" w:hAnsi="맑은 고딕" w:eastAsia="맑은 고딕"/>
          <w:b w:val="0"/>
          <w:color w:val="888888"/>
          <w:sz w:val="16"/>
        </w:rPr>
        <w:t>※ [표현]법제처 표현정비 · [정합성]논리·일관성 · [경량화]현대화 · [시스템]사규관리시스템 반영 ｜ 변경·삭제 글자는 양쪽 칼럼에 파란색 표시</w:t>
      </w:r>
    </w:p>
    <w:tbl>
      <w:tblPr>
        <w:tblStyle w:val="TableGrid"/>
        <w:tblW w:type="auto" w:w="0"/>
        <w:jc w:val="center"/>
        <w:tblLook w:firstColumn="1" w:firstRow="1" w:lastColumn="0" w:lastRow="0" w:noHBand="0" w:noVBand="1" w:val="04A0"/>
      </w:tblPr>
      <w:tblGrid>
        <w:gridCol w:w="5046"/>
        <w:gridCol w:w="5046"/>
        <w:gridCol w:w="5046"/>
      </w:tblGrid>
      <w:tr>
        <w:tc>
          <w:tcPr>
            <w:tcW w:type="dxa" w:w="7257"/>
            <w:shd w:val="clear" w:fill="FFB800"/>
          </w:tcPr>
          <w:p>
            <w:pPr>
              <w:jc w:val="center"/>
            </w:pPr>
            <w:r>
              <w:rPr>
                <w:rFonts w:ascii="맑은 고딕" w:hAnsi="맑은 고딕" w:eastAsia="맑은 고딕"/>
                <w:b/>
                <w:color w:val="333333"/>
                <w:sz w:val="20"/>
              </w:rPr>
              <w:t>현 행</w:t>
            </w:r>
          </w:p>
        </w:tc>
        <w:tc>
          <w:tcPr>
            <w:tcW w:type="dxa" w:w="7257"/>
            <w:shd w:val="clear" w:fill="FFB800"/>
          </w:tcPr>
          <w:p>
            <w:pPr>
              <w:jc w:val="center"/>
            </w:pPr>
            <w:r>
              <w:rPr>
                <w:rFonts w:ascii="맑은 고딕" w:hAnsi="맑은 고딕" w:eastAsia="맑은 고딕"/>
                <w:b/>
                <w:color w:val="333333"/>
                <w:sz w:val="20"/>
              </w:rPr>
              <w:t>개 정 (안)</w:t>
            </w:r>
          </w:p>
        </w:tc>
        <w:tc>
          <w:tcPr>
            <w:tcW w:type="dxa" w:w="3402"/>
            <w:shd w:val="clear" w:fill="FFB800"/>
          </w:tcPr>
          <w:p>
            <w:pPr>
              <w:jc w:val="center"/>
            </w:pPr>
            <w:r>
              <w:rPr>
                <w:rFonts w:ascii="맑은 고딕" w:hAnsi="맑은 고딕" w:eastAsia="맑은 고딕"/>
                <w:b/>
                <w:color w:val="333333"/>
                <w:sz w:val="20"/>
              </w:rPr>
              <w:t>비 고</w:t>
            </w:r>
          </w:p>
        </w:tc>
      </w:tr>
      <w:tr>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등</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복</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의할</w:t>
            </w:r>
            <w:r>
              <w:rPr>
                <w:rFonts w:ascii="맑은 고딕" w:hAnsi="맑은 고딕" w:eastAsia="맑은 고딕"/>
                <w:b w:val="0"/>
                <w:color w:val="333333"/>
                <w:sz w:val="18"/>
              </w:rPr>
              <w:t xml:space="preserve"> 수 있다.</w:t>
            </w:r>
          </w:p>
        </w:tc>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따를</w:t>
            </w:r>
            <w:r>
              <w:rPr>
                <w:rFonts w:ascii="맑은 고딕" w:hAnsi="맑은 고딕" w:eastAsia="맑은 고딕"/>
                <w:b w:val="0"/>
                <w:color w:val="333333"/>
                <w:sz w:val="18"/>
              </w:rPr>
              <w:t xml:space="preserve">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제4조(규정화시 유의사항) 규정화시에는 </w:t>
            </w:r>
            <w:r>
              <w:rPr>
                <w:rFonts w:ascii="맑은 고딕" w:hAnsi="맑은 고딕" w:eastAsia="맑은 고딕"/>
                <w:b w:val="0"/>
                <w:color w:val="124AC8"/>
                <w:sz w:val="18"/>
              </w:rPr>
              <w:t>다음</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사항에 유의</w:t>
            </w:r>
            <w:r>
              <w:rPr>
                <w:rFonts w:ascii="맑은 고딕" w:hAnsi="맑은 고딕" w:eastAsia="맑은 고딕"/>
                <w:b w:val="0"/>
                <w:color w:val="333333"/>
                <w:sz w:val="18"/>
              </w:rPr>
              <w:t>하여야 한다.</w:t>
            </w:r>
          </w:p>
          <w:p>
            <w:pPr>
              <w:spacing w:after="20" w:line="269" w:lineRule="auto"/>
              <w:ind w:left="454"/>
            </w:pPr>
            <w:r>
              <w:rPr>
                <w:rFonts w:ascii="맑은 고딕" w:hAnsi="맑은 고딕" w:eastAsia="맑은 고딕"/>
                <w:b w:val="0"/>
                <w:color w:val="124AC8"/>
                <w:sz w:val="18"/>
              </w:rPr>
              <w:t>1. 계속성 : 규정사항에 관하여 상당기간 계속적 구속력을 가져야 한다.</w:t>
            </w:r>
          </w:p>
          <w:p>
            <w:pPr>
              <w:spacing w:after="20" w:line="269" w:lineRule="auto"/>
              <w:ind w:left="454"/>
            </w:pPr>
            <w:r>
              <w:rPr>
                <w:rFonts w:ascii="맑은 고딕" w:hAnsi="맑은 고딕" w:eastAsia="맑은 고딕"/>
                <w:b w:val="0"/>
                <w:color w:val="124AC8"/>
                <w:sz w:val="18"/>
              </w:rPr>
              <w:t>2. 탄력성 : 규정사항은 객관적 사정변동등에 적응하여 운용할수 있도록 탄력성있게 규제하여야 한다.</w:t>
            </w:r>
          </w:p>
          <w:p>
            <w:pPr>
              <w:spacing w:after="20" w:line="269" w:lineRule="auto"/>
              <w:ind w:left="454"/>
            </w:pPr>
            <w:r>
              <w:rPr>
                <w:rFonts w:ascii="맑은 고딕" w:hAnsi="맑은 고딕" w:eastAsia="맑은 고딕"/>
                <w:b w:val="0"/>
                <w:color w:val="124AC8"/>
                <w:sz w:val="18"/>
              </w:rPr>
              <w:t>3. 균형성 : 기존규정의 전체적 통일성과 질서에 차질이 생기지 않도록 신중히 검토하여 규제하여야 한다.</w:t>
            </w:r>
          </w:p>
          <w:p>
            <w:pPr>
              <w:spacing w:after="20" w:line="269" w:lineRule="auto"/>
              <w:ind w:left="454"/>
            </w:pPr>
            <w:r>
              <w:rPr>
                <w:rFonts w:ascii="맑은 고딕" w:hAnsi="맑은 고딕" w:eastAsia="맑은 고딕"/>
                <w:b w:val="0"/>
                <w:color w:val="124AC8"/>
                <w:sz w:val="18"/>
              </w:rPr>
              <w:t>4. 적용성 : 규정할 구체적 사항이나 내용은 보편타당성이 유지될 수 있도록 하여야 한다.</w:t>
            </w:r>
          </w:p>
          <w:p>
            <w:pPr>
              <w:spacing w:after="20" w:line="269" w:lineRule="auto"/>
              <w:ind w:left="454"/>
            </w:pPr>
            <w:r>
              <w:rPr>
                <w:rFonts w:ascii="맑은 고딕" w:hAnsi="맑은 고딕" w:eastAsia="맑은 고딕"/>
                <w:b w:val="0"/>
                <w:color w:val="124AC8"/>
                <w:sz w:val="18"/>
              </w:rPr>
              <w:t>5. 능률성 : 규정한 사항을 신속하고 용이하게 처리할 수 있도록 하여야 한다.</w:t>
            </w:r>
          </w:p>
        </w:tc>
        <w:tc>
          <w:tcPr>
            <w:tcW w:type="dxa" w:w="7257"/>
          </w:tcPr>
          <w:p>
            <w:pPr>
              <w:spacing w:after="20" w:line="269" w:lineRule="auto"/>
              <w:ind w:left="0"/>
            </w:pPr>
            <w:r/>
            <w:r>
              <w:rPr>
                <w:rFonts w:ascii="맑은 고딕" w:hAnsi="맑은 고딕" w:eastAsia="맑은 고딕"/>
                <w:b w:val="0"/>
                <w:color w:val="333333"/>
                <w:sz w:val="18"/>
              </w:rPr>
              <w:t>제4조(규정화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 유의사항) 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시에는 </w:t>
            </w:r>
            <w:r>
              <w:rPr>
                <w:rFonts w:ascii="맑은 고딕" w:hAnsi="맑은 고딕" w:eastAsia="맑은 고딕"/>
                <w:b w:val="0"/>
                <w:color w:val="124AC8"/>
                <w:sz w:val="18"/>
              </w:rPr>
              <w:t>계속성·탄력성·균형성·적용성·능률성을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고려</w:t>
            </w:r>
            <w:r>
              <w:rPr>
                <w:rFonts w:ascii="맑은 고딕" w:hAnsi="맑은 고딕" w:eastAsia="맑은 고딕"/>
                <w:b w:val="0"/>
                <w:color w:val="333333"/>
                <w:sz w:val="18"/>
              </w:rPr>
              <w:t>하여야 한다.</w:t>
            </w:r>
          </w:p>
        </w:tc>
        <w:tc>
          <w:tcPr>
            <w:tcW w:type="dxa" w:w="3402"/>
          </w:tcPr>
          <w:p>
            <w:pPr>
              <w:spacing w:after="40" w:line="276" w:lineRule="auto"/>
            </w:pPr>
            <w:r/>
            <w:r>
              <w:rPr>
                <w:rFonts w:ascii="맑은 고딕" w:hAnsi="맑은 고딕" w:eastAsia="맑은 고딕"/>
                <w:b w:val="0"/>
                <w:color w:val="333333"/>
                <w:sz w:val="16"/>
              </w:rPr>
              <w:t>[경량화] 5개 호의 추상 설명을 1개 문장으로 축약</w:t>
            </w:r>
          </w:p>
        </w:tc>
      </w:tr>
      <w:tr>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① 규정의 기안권자는 규정 담당 부서장(이하 “주무부서장” 이라 한다) 또는 당</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 규정상의 업무를 담당하는 부서장(이하 “소관부서장”이라 한다)이 된다. 다만, 그 내용이 다른 부서의 업무와 관련되는 경우에는 그 부서의 합의를 거쳐야 한다.</w:t>
            </w:r>
          </w:p>
          <w:p>
            <w:pPr>
              <w:spacing w:after="20" w:line="269" w:lineRule="auto"/>
              <w:ind w:left="227"/>
            </w:pPr>
            <w:r>
              <w:rPr>
                <w:rFonts w:ascii="맑은 고딕" w:hAnsi="맑은 고딕" w:eastAsia="맑은 고딕"/>
                <w:b w:val="0"/>
                <w:color w:val="333333"/>
                <w:sz w:val="18"/>
              </w:rPr>
              <w:t>② 규정별 소관부서는 『별표 제1호』와 같다.</w:t>
            </w:r>
          </w:p>
        </w:tc>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규정 담당 부서장(이하 “주무부서장” 이라 한다) 또는 </w:t>
            </w:r>
            <w:r>
              <w:rPr>
                <w:rFonts w:ascii="맑은 고딕" w:hAnsi="맑은 고딕" w:eastAsia="맑은 고딕"/>
                <w:b w:val="0"/>
                <w:color w:val="124AC8"/>
                <w:sz w:val="18"/>
              </w:rPr>
              <w:t>해</w:t>
            </w:r>
            <w:r>
              <w:rPr>
                <w:rFonts w:ascii="맑은 고딕" w:hAnsi="맑은 고딕" w:eastAsia="맑은 고딕"/>
                <w:b w:val="0"/>
                <w:color w:val="333333"/>
                <w:sz w:val="18"/>
              </w:rPr>
              <w:t>당 규정상의 업무를 담당하는 부서장(이하 “소관부서장”이라 한다)이 된다. 다만, 그 내용이 다른 부서의 업무와 관련되는 경우에는 그 부서의 합의를 거쳐야 한다.</w:t>
            </w:r>
          </w:p>
          <w:p>
            <w:pPr>
              <w:spacing w:after="20" w:line="269" w:lineRule="auto"/>
              <w:ind w:left="227"/>
            </w:pPr>
            <w:r>
              <w:rPr>
                <w:rFonts w:ascii="맑은 고딕" w:hAnsi="맑은 고딕" w:eastAsia="맑은 고딕"/>
                <w:b w:val="0"/>
                <w:color w:val="333333"/>
                <w:sz w:val="18"/>
              </w:rPr>
              <w:t>② 규정별 소관부서는 『별표 제1호』와 같다.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① 규정의 기안권자는 제정·개폐하고자 하는 규정의 원안, 제정·개정 이유, 신·구 조문대비표 등을 작성하여 주무부서장에게 제출하여 합의를 받아야 한다. (2024. 09. 01. 본항 개정)</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우리회사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요건의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제2항의 규정에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원안을 심의하고 수정을 요하는 사항이 있을 경우에는 소관부서장과 협의하여 수정한다. 다만, 처음의 뜻에서 벗어나지 아니하는 범위내의 자구의 수정, 체제의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회송한</w:t>
            </w:r>
            <w:r>
              <w:rPr>
                <w:rFonts w:ascii="맑은 고딕" w:hAnsi="맑은 고딕" w:eastAsia="맑은 고딕"/>
                <w:b w:val="0"/>
                <w:color w:val="333333"/>
                <w:sz w:val="18"/>
              </w:rPr>
              <w:t xml:space="preserve">다. 다만, 협의 조정되지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때에는 이견을 붙여 </w:t>
            </w:r>
            <w:r>
              <w:rPr>
                <w:rFonts w:ascii="맑은 고딕" w:hAnsi="맑은 고딕" w:eastAsia="맑은 고딕"/>
                <w:b w:val="0"/>
                <w:color w:val="124AC8"/>
                <w:sz w:val="18"/>
              </w:rPr>
              <w:t>회송한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경우에 소관부서장은 그 사유를 명시하여 즉시 주무부서장에게 통보하여야 한다.</w:t>
            </w:r>
          </w:p>
        </w:tc>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① 규정의 기안권자는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하고자 하는 규정의 원안, 제정·개정 이유, 신·구 조문대비표 등을 작성하여 주무부서장에게 제출하여 합의를 받아야 한다. (2024. 09. 01. 본항 개정)</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우리회사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요건의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제2항의 규정에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원안을 심의하고 수정을 요하는 사항이 있을 경우에는 소관부서장과 협의하여 수정한다. 다만, 처음의 뜻에서 벗어나지 아니하는 범위내의 자구의 수정, 체제의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돌려보낸</w:t>
            </w:r>
            <w:r>
              <w:rPr>
                <w:rFonts w:ascii="맑은 고딕" w:hAnsi="맑은 고딕" w:eastAsia="맑은 고딕"/>
                <w:b w:val="0"/>
                <w:color w:val="333333"/>
                <w:sz w:val="18"/>
              </w:rPr>
              <w:t xml:space="preserve">다. 다만, 협의 조정되지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때에는 이견을 붙여 </w:t>
            </w:r>
            <w:r>
              <w:rPr>
                <w:rFonts w:ascii="맑은 고딕" w:hAnsi="맑은 고딕" w:eastAsia="맑은 고딕"/>
                <w:b w:val="0"/>
                <w:color w:val="124AC8"/>
                <w:sz w:val="18"/>
              </w:rPr>
              <w:t>돌려보낸</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경우에 소관부서장은 그 사유를 명시하여 즉시 주무부서장에게 통보하여야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제8조(등록) 규정의 제정·개폐안이 결재되었을 때에는 주무부서장은 </w:t>
            </w:r>
            <w:r>
              <w:rPr>
                <w:rFonts w:ascii="맑은 고딕" w:hAnsi="맑은 고딕" w:eastAsia="맑은 고딕"/>
                <w:b w:val="0"/>
                <w:color w:val="124AC8"/>
                <w:sz w:val="18"/>
              </w:rPr>
              <w:t>문서</w:t>
            </w:r>
            <w:r>
              <w:rPr>
                <w:rFonts w:ascii="맑은 고딕" w:hAnsi="맑은 고딕" w:eastAsia="맑은 고딕"/>
                <w:b w:val="0"/>
                <w:color w:val="333333"/>
                <w:sz w:val="18"/>
              </w:rPr>
              <w:t>관리</w:t>
            </w:r>
            <w:r>
              <w:rPr>
                <w:rFonts w:ascii="맑은 고딕" w:hAnsi="맑은 고딕" w:eastAsia="맑은 고딕"/>
                <w:b w:val="0"/>
                <w:color w:val="124AC8"/>
                <w:sz w:val="18"/>
              </w:rPr>
              <w:t>규정이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하</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바</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규정등록</w:t>
            </w:r>
            <w:r>
              <w:rPr>
                <w:rFonts w:ascii="맑은 고딕" w:hAnsi="맑은 고딕" w:eastAsia="맑은 고딕"/>
                <w:b w:val="0"/>
                <w:color w:val="333333"/>
                <w:sz w:val="18"/>
              </w:rPr>
              <w:t>번호를 부여</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규정등록(</w:t>
            </w:r>
            <w:r>
              <w:rPr>
                <w:rFonts w:ascii="맑은 고딕" w:hAnsi="맑은 고딕" w:eastAsia="맑은 고딕"/>
                <w:b w:val="0"/>
                <w:color w:val="333333"/>
                <w:sz w:val="18"/>
              </w:rPr>
              <w:t>감독기관의 협의가 필요한 때에는 그 동의서 사본을 첨부</w:t>
            </w:r>
            <w:r>
              <w:rPr>
                <w:rFonts w:ascii="맑은 고딕" w:hAnsi="맑은 고딕" w:eastAsia="맑은 고딕"/>
                <w:b w:val="0"/>
                <w:color w:val="124AC8"/>
                <w:sz w:val="18"/>
              </w:rPr>
              <w:t xml:space="preserve">)을 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제8조(등록)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안이 결재되었을 때에는 주무부서장은 </w:t>
            </w:r>
            <w:r>
              <w:rPr>
                <w:rFonts w:ascii="맑은 고딕" w:hAnsi="맑은 고딕" w:eastAsia="맑은 고딕"/>
                <w:b w:val="0"/>
                <w:color w:val="124AC8"/>
                <w:sz w:val="18"/>
              </w:rPr>
              <w:t>「사규</w:t>
            </w:r>
            <w:r>
              <w:rPr>
                <w:rFonts w:ascii="맑은 고딕" w:hAnsi="맑은 고딕" w:eastAsia="맑은 고딕"/>
                <w:b w:val="0"/>
                <w:color w:val="333333"/>
                <w:sz w:val="18"/>
              </w:rPr>
              <w:t>관리</w:t>
            </w:r>
            <w:r>
              <w:rPr>
                <w:rFonts w:ascii="맑은 고딕" w:hAnsi="맑은 고딕" w:eastAsia="맑은 고딕"/>
                <w:b w:val="0"/>
                <w:color w:val="124AC8"/>
                <w:sz w:val="18"/>
              </w:rPr>
              <w:t>시스템」에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등록</w:t>
            </w:r>
            <w:r>
              <w:rPr>
                <w:rFonts w:ascii="맑은 고딕" w:hAnsi="맑은 고딕" w:eastAsia="맑은 고딕"/>
                <w:b w:val="0"/>
                <w:color w:val="333333"/>
                <w:sz w:val="18"/>
              </w:rPr>
              <w:t>하</w:t>
            </w:r>
            <w:r>
              <w:rPr>
                <w:rFonts w:ascii="맑은 고딕" w:hAnsi="맑은 고딕" w:eastAsia="맑은 고딕"/>
                <w:b w:val="0"/>
                <w:color w:val="124AC8"/>
                <w:sz w:val="18"/>
              </w:rPr>
              <w:t>며,</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제30조의2</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문서</w:t>
            </w:r>
            <w:r>
              <w:rPr>
                <w:rFonts w:ascii="맑은 고딕" w:hAnsi="맑은 고딕" w:eastAsia="맑은 고딕"/>
                <w:b w:val="0"/>
                <w:color w:val="333333"/>
                <w:sz w:val="18"/>
              </w:rPr>
              <w:t>번호</w:t>
            </w:r>
            <w:r>
              <w:rPr>
                <w:rFonts w:ascii="맑은 고딕" w:hAnsi="맑은 고딕" w:eastAsia="맑은 고딕"/>
                <w:b w:val="0"/>
                <w:color w:val="124AC8"/>
                <w:sz w:val="18"/>
              </w:rPr>
              <w:t>(구분-연도-순번)</w:t>
            </w:r>
            <w:r>
              <w:rPr>
                <w:rFonts w:ascii="맑은 고딕" w:hAnsi="맑은 고딕" w:eastAsia="맑은 고딕"/>
                <w:b w:val="0"/>
                <w:color w:val="333333"/>
                <w:sz w:val="18"/>
              </w:rPr>
              <w:t>를 부여</w:t>
            </w:r>
            <w:r>
              <w:rPr>
                <w:rFonts w:ascii="맑은 고딕" w:hAnsi="맑은 고딕" w:eastAsia="맑은 고딕"/>
                <w:b w:val="0"/>
                <w:color w:val="124AC8"/>
                <w:sz w:val="18"/>
              </w:rPr>
              <w:t>한다.</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다만, </w:t>
            </w:r>
            <w:r>
              <w:rPr>
                <w:rFonts w:ascii="맑은 고딕" w:hAnsi="맑은 고딕" w:eastAsia="맑은 고딕"/>
                <w:b w:val="0"/>
                <w:color w:val="333333"/>
                <w:sz w:val="18"/>
              </w:rPr>
              <w:t>감독기관의 협의가 필요한 때에는 그 동의서 사본을 첨부한다.</w:t>
            </w:r>
          </w:p>
        </w:tc>
        <w:tc>
          <w:tcPr>
            <w:tcW w:type="dxa" w:w="3402"/>
          </w:tcPr>
          <w:p>
            <w:pPr>
              <w:spacing w:after="40" w:line="276" w:lineRule="auto"/>
            </w:pPr>
            <w:r/>
            <w:r>
              <w:rPr>
                <w:rFonts w:ascii="맑은 고딕" w:hAnsi="맑은 고딕" w:eastAsia="맑은 고딕"/>
                <w:b w:val="0"/>
                <w:color w:val="333333"/>
                <w:sz w:val="16"/>
              </w:rPr>
              <w:t>[시스템·연계] ‘문서관리규정 연계’→사규관리시스템 등록·제30조의2 문서번호 부여로 현행화, 개폐→제정·개정·폐지</w:t>
            </w:r>
          </w:p>
        </w:tc>
      </w:tr>
      <w:tr>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시달</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 xml:space="preserve">① 주무부서장은 등록 </w:t>
            </w:r>
            <w:r>
              <w:rPr>
                <w:rFonts w:ascii="맑은 고딕" w:hAnsi="맑은 고딕" w:eastAsia="맑은 고딕"/>
                <w:b w:val="0"/>
                <w:color w:val="124AC8"/>
                <w:sz w:val="18"/>
              </w:rPr>
              <w:t>필</w:t>
            </w:r>
            <w:r>
              <w:rPr>
                <w:rFonts w:ascii="맑은 고딕" w:hAnsi="맑은 고딕" w:eastAsia="맑은 고딕"/>
                <w:b w:val="0"/>
                <w:color w:val="333333"/>
                <w:sz w:val="18"/>
              </w:rPr>
              <w:t xml:space="preserve">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규정은 대표이사 명의로, 지침은 전결권자 명의로</w:t>
            </w:r>
            <w:r>
              <w:rPr>
                <w:rFonts w:ascii="맑은 고딕" w:hAnsi="맑은 고딕" w:eastAsia="맑은 고딕"/>
                <w:b w:val="0"/>
                <w:color w:val="124AC8"/>
                <w:sz w:val="18"/>
              </w:rPr>
              <w:t>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②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하는 경우에는 제정·개폐의 사유를 간략히 명시하여야 하며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준비사항</w:t>
            </w:r>
          </w:p>
        </w:tc>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 xml:space="preserve">공포 </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① 주무부서장은 등록</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마친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규정은 대표이사 명의로, 지침은 전결권자 명의로 </w:t>
            </w:r>
            <w:r>
              <w:rPr>
                <w:rFonts w:ascii="맑은 고딕" w:hAnsi="맑은 고딕" w:eastAsia="맑은 고딕"/>
                <w:b w:val="0"/>
                <w:color w:val="124AC8"/>
                <w:sz w:val="18"/>
              </w:rPr>
              <w:t>공포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공포</w:t>
            </w:r>
            <w:r>
              <w:rPr>
                <w:rFonts w:ascii="맑은 고딕" w:hAnsi="맑은 고딕" w:eastAsia="맑은 고딕"/>
                <w:b w:val="0"/>
                <w:color w:val="333333"/>
                <w:sz w:val="18"/>
              </w:rPr>
              <w:t>하는 경우에는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사유를 간략히 명시하여야 하며</w:t>
            </w:r>
            <w:r>
              <w:rPr>
                <w:rFonts w:ascii="맑은 고딕" w:hAnsi="맑은 고딕" w:eastAsia="맑은 고딕"/>
                <w:b w:val="0"/>
                <w:color w:val="124AC8"/>
                <w:sz w:val="18"/>
              </w:rPr>
              <w:t>,</w:t>
            </w:r>
            <w:r>
              <w:rPr>
                <w:rFonts w:ascii="맑은 고딕" w:hAnsi="맑은 고딕" w:eastAsia="맑은 고딕"/>
                <w:b w:val="0"/>
                <w:color w:val="333333"/>
                <w:sz w:val="18"/>
              </w:rPr>
              <w:t xml:space="preserve">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준비사항</w:t>
            </w:r>
          </w:p>
        </w:tc>
        <w:tc>
          <w:tcPr>
            <w:tcW w:type="dxa" w:w="3402"/>
          </w:tcPr>
          <w:p>
            <w:pPr>
              <w:spacing w:after="40" w:line="276" w:lineRule="auto"/>
            </w:pPr>
            <w:r/>
            <w:r>
              <w:rPr>
                <w:rFonts w:ascii="맑은 고딕" w:hAnsi="맑은 고딕" w:eastAsia="맑은 고딕"/>
                <w:b w:val="0"/>
                <w:color w:val="333333"/>
                <w:sz w:val="16"/>
              </w:rPr>
              <w:t>[정합성·시스템·표현] 비문(‘규정을 규정은’) 정리, 시달→공포, 등록 필→등록을 마친, 개폐→제정·개정·폐지</w:t>
            </w:r>
          </w:p>
        </w:tc>
      </w:tr>
      <w:tr>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시달</w:t>
            </w:r>
            <w:r>
              <w:rPr>
                <w:rFonts w:ascii="맑은 고딕" w:hAnsi="맑은 고딕" w:eastAsia="맑은 고딕"/>
                <w:b w:val="0"/>
                <w:color w:val="333333"/>
                <w:sz w:val="18"/>
              </w:rPr>
              <w:t>일로부터 그 효력이 발생한다.</w:t>
            </w:r>
          </w:p>
        </w:tc>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공포</w:t>
            </w:r>
            <w:r>
              <w:rPr>
                <w:rFonts w:ascii="맑은 고딕" w:hAnsi="맑은 고딕" w:eastAsia="맑은 고딕"/>
                <w:b w:val="0"/>
                <w:color w:val="333333"/>
                <w:sz w:val="18"/>
              </w:rPr>
              <w:t>일로부터 그 효력이 발생한다.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아니하</w:t>
            </w:r>
            <w:r>
              <w:rPr>
                <w:rFonts w:ascii="맑은 고딕" w:hAnsi="맑은 고딕" w:eastAsia="맑은 고딕"/>
                <w:b w:val="0"/>
                <w:color w:val="333333"/>
                <w:sz w:val="18"/>
              </w:rPr>
              <w:t>는 범위 내에서 규정과 동일한 효력을 가진다. (2024. 09. 01. 본조 신설)</w:t>
            </w:r>
          </w:p>
        </w:tc>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않</w:t>
            </w:r>
            <w:r>
              <w:rPr>
                <w:rFonts w:ascii="맑은 고딕" w:hAnsi="맑은 고딕" w:eastAsia="맑은 고딕"/>
                <w:b w:val="0"/>
                <w:color w:val="333333"/>
                <w:sz w:val="18"/>
              </w:rPr>
              <w:t>는 범위 내에서 규정과 동일한 효력을 가진다.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제11조(원안의 보관) 규정의 제정·개폐의 원안은 기안부서장이 보관한다.</w:t>
            </w:r>
          </w:p>
        </w:tc>
        <w:tc>
          <w:tcPr>
            <w:tcW w:type="dxa" w:w="7257"/>
          </w:tcPr>
          <w:p>
            <w:pPr>
              <w:spacing w:after="20" w:line="269" w:lineRule="auto"/>
              <w:ind w:left="0"/>
            </w:pPr>
            <w:r/>
            <w:r>
              <w:rPr>
                <w:rFonts w:ascii="맑은 고딕" w:hAnsi="맑은 고딕" w:eastAsia="맑은 고딕"/>
                <w:b w:val="0"/>
                <w:color w:val="333333"/>
                <w:sz w:val="18"/>
              </w:rPr>
              <w:t>제11조(원안의 보관)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원안은 기안부서장이 보관한다.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시달</w:t>
            </w:r>
            <w:r>
              <w:rPr>
                <w:rFonts w:ascii="맑은 고딕" w:hAnsi="맑은 고딕" w:eastAsia="맑은 고딕"/>
                <w:b w:val="0"/>
                <w:color w:val="333333"/>
                <w:sz w:val="18"/>
              </w:rPr>
              <w:t>된 때에는 각 부실점장은 규정의 제정·개폐의 내용을 소속 직원 에게 철저히 주지시켜야 한다.</w:t>
            </w:r>
          </w:p>
        </w:tc>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공포</w:t>
            </w:r>
            <w:r>
              <w:rPr>
                <w:rFonts w:ascii="맑은 고딕" w:hAnsi="맑은 고딕" w:eastAsia="맑은 고딕"/>
                <w:b w:val="0"/>
                <w:color w:val="333333"/>
                <w:sz w:val="18"/>
              </w:rPr>
              <w:t>된 때에는 각 부실점장은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내용을 소속 직원 에게 철저히 주지시켜야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의한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개폐등 정비를 요구할 수 있다.</w:t>
            </w:r>
          </w:p>
        </w:tc>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등 정비를 요구할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124AC8"/>
                <w:sz w:val="18"/>
              </w:rPr>
              <w:t>제15조(규정집 간행)</w:t>
            </w:r>
          </w:p>
          <w:p>
            <w:pPr>
              <w:spacing w:after="20" w:line="269" w:lineRule="auto"/>
              <w:ind w:left="227"/>
            </w:pPr>
            <w:r>
              <w:rPr>
                <w:rFonts w:ascii="맑은 고딕" w:hAnsi="맑은 고딕" w:eastAsia="맑은 고딕"/>
                <w:b w:val="0"/>
                <w:color w:val="124AC8"/>
                <w:sz w:val="18"/>
              </w:rPr>
              <w:t>① 주무부서장은 규정을 전산시스템 등에 등재하여 관리하며 필요시 규정집을 간행한다.</w:t>
            </w:r>
          </w:p>
          <w:p>
            <w:pPr>
              <w:spacing w:after="20" w:line="269" w:lineRule="auto"/>
              <w:ind w:left="227"/>
            </w:pPr>
            <w:r>
              <w:rPr>
                <w:rFonts w:ascii="맑은 고딕" w:hAnsi="맑은 고딕" w:eastAsia="맑은 고딕"/>
                <w:b w:val="0"/>
                <w:color w:val="124AC8"/>
                <w:sz w:val="18"/>
              </w:rPr>
              <w:t>② 규정집은 현행 규정만을 수록하며, 현행 규정 세부사항은 『별표 제1호』의 사규목차에 의한다. (2024. 10. 24. 본항 개정)</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[경량화·시스템] ‘규정집 간행’ 불필요(시스템 검색·조회로 대체). 열람·정본은 신설 조항으로 흡수. 별표 제1호(소관부서)는 제6조②에서 유지(고아 참조 없음)</w:t>
            </w:r>
          </w:p>
        </w:tc>
      </w:tr>
      <w:tr>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본칙은「조」로 구성한다.</w:t>
            </w:r>
          </w:p>
          <w:p>
            <w:pPr>
              <w:spacing w:after="20" w:line="269" w:lineRule="auto"/>
              <w:ind w:left="227"/>
            </w:pPr>
            <w:r>
              <w:rPr>
                <w:rFonts w:ascii="맑은 고딕" w:hAnsi="맑은 고딕" w:eastAsia="맑은 고딕"/>
                <w:b w:val="0"/>
                <w:color w:val="333333"/>
                <w:sz w:val="18"/>
              </w:rPr>
              <w:t>② 여러 조문으로 된 규정은 보통「장」으로 나누며, 소분류</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더 필요</w:t>
            </w:r>
            <w:r>
              <w:rPr>
                <w:rFonts w:ascii="맑은 고딕" w:hAnsi="맑은 고딕" w:eastAsia="맑은 고딕"/>
                <w:b w:val="0"/>
                <w:color w:val="124AC8"/>
                <w:sz w:val="18"/>
              </w:rPr>
              <w:t xml:space="preserve">로 </w:t>
            </w:r>
            <w:r>
              <w:rPr>
                <w:rFonts w:ascii="맑은 고딕" w:hAnsi="맑은 고딕" w:eastAsia="맑은 고딕"/>
                <w:b w:val="0"/>
                <w:color w:val="333333"/>
                <w:sz w:val="18"/>
              </w:rPr>
              <w:t>할 때에는 절·관</w:t>
            </w:r>
            <w:r>
              <w:rPr>
                <w:rFonts w:ascii="맑은 고딕" w:hAnsi="맑은 고딕" w:eastAsia="맑은 고딕"/>
                <w:b w:val="0"/>
                <w:color w:val="124AC8"/>
                <w:sz w:val="18"/>
              </w:rPr>
              <w:t>·목</w:t>
            </w:r>
            <w:r>
              <w:rPr>
                <w:rFonts w:ascii="맑은 고딕" w:hAnsi="맑은 고딕" w:eastAsia="맑은 고딕"/>
                <w:b w:val="0"/>
                <w:color w:val="333333"/>
                <w:sz w:val="18"/>
              </w:rPr>
              <w:t>의 순으로 사용하고, 특히 조문이 많을 때에는 장의 분류 위에「편」을 둔다.</w:t>
            </w:r>
          </w:p>
          <w:p>
            <w:pPr>
              <w:spacing w:after="20" w:line="269" w:lineRule="auto"/>
              <w:ind w:left="227"/>
            </w:pPr>
            <w:r>
              <w:rPr>
                <w:rFonts w:ascii="맑은 고딕" w:hAnsi="맑은 고딕" w:eastAsia="맑은 고딕"/>
                <w:b w:val="0"/>
                <w:color w:val="333333"/>
                <w:sz w:val="18"/>
              </w:rPr>
              <w:t>③ 편·장·절·관</w:t>
            </w:r>
            <w:r>
              <w:rPr>
                <w:rFonts w:ascii="맑은 고딕" w:hAnsi="맑은 고딕" w:eastAsia="맑은 고딕"/>
                <w:b w:val="0"/>
                <w:color w:val="124AC8"/>
                <w:sz w:val="18"/>
              </w:rPr>
              <w:t>·목</w:t>
            </w:r>
            <w:r>
              <w:rPr>
                <w:rFonts w:ascii="맑은 고딕" w:hAnsi="맑은 고딕" w:eastAsia="맑은 고딕"/>
                <w:b w:val="0"/>
                <w:color w:val="333333"/>
                <w:sz w:val="18"/>
              </w:rPr>
              <w:t>에는 각각 일련번호와 제목을 붙인다. 다만, 장·절·관</w:t>
            </w:r>
            <w:r>
              <w:rPr>
                <w:rFonts w:ascii="맑은 고딕" w:hAnsi="맑은 고딕" w:eastAsia="맑은 고딕"/>
                <w:b w:val="0"/>
                <w:color w:val="124AC8"/>
                <w:sz w:val="18"/>
              </w:rPr>
              <w:t>·목</w:t>
            </w:r>
            <w:r>
              <w:rPr>
                <w:rFonts w:ascii="맑은 고딕" w:hAnsi="맑은 고딕" w:eastAsia="맑은 고딕"/>
                <w:b w:val="0"/>
                <w:color w:val="333333"/>
                <w:sz w:val="18"/>
              </w:rPr>
              <w:t>의 일련번호는 이들이 속하는 편·장·절</w:t>
            </w:r>
            <w:r>
              <w:rPr>
                <w:rFonts w:ascii="맑은 고딕" w:hAnsi="맑은 고딕" w:eastAsia="맑은 고딕"/>
                <w:b w:val="0"/>
                <w:color w:val="124AC8"/>
                <w:sz w:val="18"/>
              </w:rPr>
              <w:t>·관</w:t>
            </w:r>
            <w:r>
              <w:rPr>
                <w:rFonts w:ascii="맑은 고딕" w:hAnsi="맑은 고딕" w:eastAsia="맑은 고딕"/>
                <w:b w:val="0"/>
                <w:color w:val="333333"/>
                <w:sz w:val="18"/>
              </w:rPr>
              <w:t>이 바뀔 때마다 1부터 시작한다.</w:t>
            </w:r>
            <w:r>
              <w:rPr>
                <w:rFonts w:ascii="맑은 고딕" w:hAnsi="맑은 고딕" w:eastAsia="맑은 고딕"/>
                <w:b w:val="0"/>
                <w:color w:val="124AC8"/>
                <w:sz w:val="18"/>
              </w:rPr>
              <w:t xml:space="preserve"> (2024. 09. 01. 본항 개정)</w:t>
            </w:r>
          </w:p>
        </w:tc>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w:t>
            </w:r>
            <w:r>
              <w:rPr>
                <w:rFonts w:ascii="맑은 고딕" w:hAnsi="맑은 고딕" w:eastAsia="맑은 고딕"/>
                <w:b w:val="0"/>
                <w:color w:val="124AC8"/>
                <w:sz w:val="18"/>
              </w:rPr>
              <w:t xml:space="preserve"> </w:t>
            </w:r>
            <w:r>
              <w:rPr>
                <w:rFonts w:ascii="맑은 고딕" w:hAnsi="맑은 고딕" w:eastAsia="맑은 고딕"/>
                <w:b w:val="0"/>
                <w:color w:val="333333"/>
                <w:sz w:val="18"/>
              </w:rPr>
              <w:t>「조」로 구성한다.</w:t>
            </w:r>
          </w:p>
          <w:p>
            <w:pPr>
              <w:spacing w:after="20" w:line="269" w:lineRule="auto"/>
              <w:ind w:left="227"/>
            </w:pPr>
            <w:r>
              <w:rPr>
                <w:rFonts w:ascii="맑은 고딕" w:hAnsi="맑은 고딕" w:eastAsia="맑은 고딕"/>
                <w:b w:val="0"/>
                <w:color w:val="333333"/>
                <w:sz w:val="18"/>
              </w:rPr>
              <w:t>② 여러 조문으로 된 규정은 보통</w:t>
            </w:r>
            <w:r>
              <w:rPr>
                <w:rFonts w:ascii="맑은 고딕" w:hAnsi="맑은 고딕" w:eastAsia="맑은 고딕"/>
                <w:b w:val="0"/>
                <w:color w:val="124AC8"/>
                <w:sz w:val="18"/>
              </w:rPr>
              <w:t xml:space="preserve"> </w:t>
            </w:r>
            <w:r>
              <w:rPr>
                <w:rFonts w:ascii="맑은 고딕" w:hAnsi="맑은 고딕" w:eastAsia="맑은 고딕"/>
                <w:b w:val="0"/>
                <w:color w:val="333333"/>
                <w:sz w:val="18"/>
              </w:rPr>
              <w:t>「장」으로 나누며, 소분류</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더 필요할 때에는 절·관의 순으로 사용하고, 특히 조문이 많을 때에는 장의 분류 위에</w:t>
            </w:r>
            <w:r>
              <w:rPr>
                <w:rFonts w:ascii="맑은 고딕" w:hAnsi="맑은 고딕" w:eastAsia="맑은 고딕"/>
                <w:b w:val="0"/>
                <w:color w:val="124AC8"/>
                <w:sz w:val="18"/>
              </w:rPr>
              <w:t xml:space="preserve"> </w:t>
            </w:r>
            <w:r>
              <w:rPr>
                <w:rFonts w:ascii="맑은 고딕" w:hAnsi="맑은 고딕" w:eastAsia="맑은 고딕"/>
                <w:b w:val="0"/>
                <w:color w:val="333333"/>
                <w:sz w:val="18"/>
              </w:rPr>
              <w:t>「편」을 둔다.</w:t>
            </w:r>
          </w:p>
          <w:p>
            <w:pPr>
              <w:spacing w:after="20" w:line="269" w:lineRule="auto"/>
              <w:ind w:left="227"/>
            </w:pPr>
            <w:r>
              <w:rPr>
                <w:rFonts w:ascii="맑은 고딕" w:hAnsi="맑은 고딕" w:eastAsia="맑은 고딕"/>
                <w:b w:val="0"/>
                <w:color w:val="333333"/>
                <w:sz w:val="18"/>
              </w:rPr>
              <w:t>③ 편·장·절·관에는 각각 일련번호와 제목을 붙인다. 다만, 장·절·관의 일련번호는 이들이 속하는 편·장·절이 바뀔 때마다 1부터 시작한다.</w:t>
            </w:r>
          </w:p>
        </w:tc>
        <w:tc>
          <w:tcPr>
            <w:tcW w:type="dxa" w:w="3402"/>
          </w:tcPr>
          <w:p>
            <w:pPr>
              <w:spacing w:after="40" w:line="276" w:lineRule="auto"/>
            </w:pPr>
            <w:r/>
            <w:r>
              <w:rPr>
                <w:rFonts w:ascii="맑은 고딕" w:hAnsi="맑은 고딕" w:eastAsia="맑은 고딕"/>
                <w:b w:val="0"/>
                <w:color w:val="333333"/>
                <w:sz w:val="16"/>
              </w:rPr>
              <w:t>[정합성] ‘목’은 조 하위 단위 → 조 위 묶음(편·장·절·관)에서 삭제</w:t>
            </w:r>
          </w:p>
        </w:tc>
      </w:tr>
      <w:tr>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① 조에는 제1조부터 시작하는 일련번호를 붙이되 편·장·절·관</w:t>
            </w:r>
            <w:r>
              <w:rPr>
                <w:rFonts w:ascii="맑은 고딕" w:hAnsi="맑은 고딕" w:eastAsia="맑은 고딕"/>
                <w:b w:val="0"/>
                <w:color w:val="124AC8"/>
                <w:sz w:val="18"/>
              </w:rPr>
              <w:t>·목</w:t>
            </w:r>
            <w:r>
              <w:rPr>
                <w:rFonts w:ascii="맑은 고딕" w:hAnsi="맑은 고딕" w:eastAsia="맑은 고딕"/>
                <w:b w:val="0"/>
                <w:color w:val="333333"/>
                <w:sz w:val="18"/>
              </w:rPr>
              <w:t xml:space="preserve">이 바뀌더라도 그 번호순을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 xml:space="preserve">① 조에는 제1조부터 시작하는 일련번호를 붙이되 편·장·절·관이 바뀌더라도 그 번호순을 바꾸지 </w:t>
            </w:r>
            <w:r>
              <w:rPr>
                <w:rFonts w:ascii="맑은 고딕" w:hAnsi="맑은 고딕" w:eastAsia="맑은 고딕"/>
                <w:b w:val="0"/>
                <w:color w:val="124AC8"/>
                <w:sz w:val="18"/>
              </w:rPr>
              <w:t>않는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3402"/>
          </w:tcPr>
          <w:p>
            <w:pPr>
              <w:spacing w:after="40" w:line="276" w:lineRule="auto"/>
            </w:pPr>
            <w:r/>
            <w:r>
              <w:rPr>
                <w:rFonts w:ascii="맑은 고딕" w:hAnsi="맑은 고딕" w:eastAsia="맑은 고딕"/>
                <w:b w:val="0"/>
                <w:color w:val="333333"/>
                <w:sz w:val="16"/>
              </w:rPr>
              <w:t>[정합성·표현] ‘목’ 삭제, ‘아니한다’→‘않는다’</w:t>
            </w:r>
          </w:p>
        </w:tc>
      </w:tr>
      <w:tr>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ㆍ</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ㆍ</w:t>
            </w:r>
            <w:r>
              <w:rPr>
                <w:rFonts w:ascii="맑은 고딕" w:hAnsi="맑은 고딕" w:eastAsia="맑은 고딕"/>
                <w:b w:val="0"/>
                <w:color w:val="333333"/>
                <w:sz w:val="18"/>
              </w:rPr>
              <w:t>도면</w:t>
            </w:r>
            <w:r>
              <w:rPr>
                <w:rFonts w:ascii="맑은 고딕" w:hAnsi="맑은 고딕" w:eastAsia="맑은 고딕"/>
                <w:b w:val="0"/>
                <w:color w:val="124AC8"/>
                <w:sz w:val="18"/>
              </w:rPr>
              <w:t>ㆍ</w:t>
            </w:r>
            <w:r>
              <w:rPr>
                <w:rFonts w:ascii="맑은 고딕" w:hAnsi="맑은 고딕" w:eastAsia="맑은 고딕"/>
                <w:b w:val="0"/>
                <w:color w:val="333333"/>
                <w:sz w:val="18"/>
              </w:rPr>
              <w:t>서식(별표</w:t>
            </w:r>
            <w:r>
              <w:rPr>
                <w:rFonts w:ascii="맑은 고딕" w:hAnsi="맑은 고딕" w:eastAsia="맑은 고딕"/>
                <w:b w:val="0"/>
                <w:color w:val="124AC8"/>
                <w:sz w:val="18"/>
              </w:rPr>
              <w:t>ㆍ</w:t>
            </w:r>
            <w:r>
              <w:rPr>
                <w:rFonts w:ascii="맑은 고딕" w:hAnsi="맑은 고딕" w:eastAsia="맑은 고딕"/>
                <w:b w:val="0"/>
                <w:color w:val="333333"/>
                <w:sz w:val="18"/>
              </w:rPr>
              <w:t>별도</w:t>
            </w:r>
            <w:r>
              <w:rPr>
                <w:rFonts w:ascii="맑은 고딕" w:hAnsi="맑은 고딕" w:eastAsia="맑은 고딕"/>
                <w:b w:val="0"/>
                <w:color w:val="124AC8"/>
                <w:sz w:val="18"/>
              </w:rPr>
              <w:t>ㆍ</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아니한</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w:t>
            </w:r>
            <w:r>
              <w:rPr>
                <w:rFonts w:ascii="맑은 고딕" w:hAnsi="맑은 고딕" w:eastAsia="맑은 고딕"/>
                <w:b w:val="0"/>
                <w:color w:val="333333"/>
                <w:sz w:val="18"/>
              </w:rPr>
              <w:t>도면</w:t>
            </w:r>
            <w:r>
              <w:rPr>
                <w:rFonts w:ascii="맑은 고딕" w:hAnsi="맑은 고딕" w:eastAsia="맑은 고딕"/>
                <w:b w:val="0"/>
                <w:color w:val="124AC8"/>
                <w:sz w:val="18"/>
              </w:rPr>
              <w:t>·</w:t>
            </w:r>
            <w:r>
              <w:rPr>
                <w:rFonts w:ascii="맑은 고딕" w:hAnsi="맑은 고딕" w:eastAsia="맑은 고딕"/>
                <w:b w:val="0"/>
                <w:color w:val="333333"/>
                <w:sz w:val="18"/>
              </w:rPr>
              <w:t>서식(별표</w:t>
            </w:r>
            <w:r>
              <w:rPr>
                <w:rFonts w:ascii="맑은 고딕" w:hAnsi="맑은 고딕" w:eastAsia="맑은 고딕"/>
                <w:b w:val="0"/>
                <w:color w:val="124AC8"/>
                <w:sz w:val="18"/>
              </w:rPr>
              <w:t>·</w:t>
            </w:r>
            <w:r>
              <w:rPr>
                <w:rFonts w:ascii="맑은 고딕" w:hAnsi="맑은 고딕" w:eastAsia="맑은 고딕"/>
                <w:b w:val="0"/>
                <w:color w:val="333333"/>
                <w:sz w:val="18"/>
              </w:rPr>
              <w:t>별도</w:t>
            </w:r>
            <w:r>
              <w:rPr>
                <w:rFonts w:ascii="맑은 고딕" w:hAnsi="맑은 고딕" w:eastAsia="맑은 고딕"/>
                <w:b w:val="0"/>
                <w:color w:val="124AC8"/>
                <w:sz w:val="18"/>
              </w:rPr>
              <w:t>·</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않은</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수식 등 필요한 부호를 함께 적을 수 있다. (2024. 09. 01. 본조 신설)</w:t>
            </w:r>
          </w:p>
        </w:tc>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수식 등 필요한 부호를 함께 적을 수 있다.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ㆍ</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제38조(제정·개폐)</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개폐하여야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제정·개폐가 필요하다고 인정할 때에는 소관부서의 장에게 그 의견을 제출할 수 있다.</w:t>
            </w:r>
          </w:p>
        </w:tc>
        <w:tc>
          <w:tcPr>
            <w:tcW w:type="dxa" w:w="7257"/>
          </w:tcPr>
          <w:p>
            <w:pPr>
              <w:spacing w:after="20" w:line="269" w:lineRule="auto"/>
              <w:ind w:left="0"/>
            </w:pPr>
            <w:r/>
            <w:r>
              <w:rPr>
                <w:rFonts w:ascii="맑은 고딕" w:hAnsi="맑은 고딕" w:eastAsia="맑은 고딕"/>
                <w:b w:val="0"/>
                <w:color w:val="333333"/>
                <w:sz w:val="18"/>
              </w:rPr>
              <w:t>제38조(제정·개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가 필요하다고 인정할 때에는 소관부서의 장에게 그 의견을 제출할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제40조(서식의 심사기준) 주무부서에서 서식의 제정·개폐를 심사할 때에는 다음 사항을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의한</w:t>
            </w:r>
            <w:r>
              <w:rPr>
                <w:rFonts w:ascii="맑은 고딕" w:hAnsi="맑은 고딕" w:eastAsia="맑은 고딕"/>
                <w:b w:val="0"/>
                <w:color w:val="333333"/>
                <w:sz w:val="18"/>
              </w:rPr>
              <w:t xml:space="preserve"> 사무절차가 적합하고 실제로 필요한가</w:t>
            </w:r>
          </w:p>
          <w:p>
            <w:pPr>
              <w:spacing w:after="20" w:line="269" w:lineRule="auto"/>
              <w:ind w:left="454"/>
            </w:pPr>
            <w:r>
              <w:rPr>
                <w:rFonts w:ascii="맑은 고딕" w:hAnsi="맑은 고딕" w:eastAsia="맑은 고딕"/>
                <w:b w:val="0"/>
                <w:color w:val="333333"/>
                <w:sz w:val="18"/>
              </w:rPr>
              <w:t>2. 기존 서식과 내용이 중복된 것이 아닌가</w:t>
            </w:r>
          </w:p>
          <w:p>
            <w:pPr>
              <w:spacing w:after="20" w:line="269" w:lineRule="auto"/>
              <w:ind w:left="454"/>
            </w:pPr>
            <w:r>
              <w:rPr>
                <w:rFonts w:ascii="맑은 고딕" w:hAnsi="맑은 고딕" w:eastAsia="맑은 고딕"/>
                <w:b w:val="0"/>
                <w:color w:val="333333"/>
                <w:sz w:val="18"/>
              </w:rPr>
              <w:t>3. 서식의 기재내용과 형식이 완벽한가</w:t>
            </w:r>
          </w:p>
          <w:p>
            <w:pPr>
              <w:spacing w:after="20" w:line="269" w:lineRule="auto"/>
              <w:ind w:left="454"/>
            </w:pPr>
            <w:r>
              <w:rPr>
                <w:rFonts w:ascii="맑은 고딕" w:hAnsi="맑은 고딕" w:eastAsia="맑은 고딕"/>
                <w:b w:val="0"/>
                <w:color w:val="333333"/>
                <w:sz w:val="18"/>
              </w:rPr>
              <w:t xml:space="preserve">4. 그 서식에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사무능률의 향상을 기할 수 있는가</w:t>
            </w:r>
          </w:p>
        </w:tc>
        <w:tc>
          <w:tcPr>
            <w:tcW w:type="dxa" w:w="7257"/>
          </w:tcPr>
          <w:p>
            <w:pPr>
              <w:spacing w:after="20" w:line="269" w:lineRule="auto"/>
              <w:ind w:left="0"/>
            </w:pPr>
            <w:r/>
            <w:r>
              <w:rPr>
                <w:rFonts w:ascii="맑은 고딕" w:hAnsi="맑은 고딕" w:eastAsia="맑은 고딕"/>
                <w:b w:val="0"/>
                <w:color w:val="333333"/>
                <w:sz w:val="18"/>
              </w:rPr>
              <w:t>제40조(서식의 심사기준) 주무부서에서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를 심사할 때에는 다음 사항을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따른</w:t>
            </w:r>
            <w:r>
              <w:rPr>
                <w:rFonts w:ascii="맑은 고딕" w:hAnsi="맑은 고딕" w:eastAsia="맑은 고딕"/>
                <w:b w:val="0"/>
                <w:color w:val="333333"/>
                <w:sz w:val="18"/>
              </w:rPr>
              <w:t xml:space="preserve"> 사무절차가 적합하고 실제로 필요한가</w:t>
            </w:r>
          </w:p>
          <w:p>
            <w:pPr>
              <w:spacing w:after="20" w:line="269" w:lineRule="auto"/>
              <w:ind w:left="454"/>
            </w:pPr>
            <w:r>
              <w:rPr>
                <w:rFonts w:ascii="맑은 고딕" w:hAnsi="맑은 고딕" w:eastAsia="맑은 고딕"/>
                <w:b w:val="0"/>
                <w:color w:val="333333"/>
                <w:sz w:val="18"/>
              </w:rPr>
              <w:t>2. 기존 서식과 내용이 중복된 것이 아닌가</w:t>
            </w:r>
          </w:p>
          <w:p>
            <w:pPr>
              <w:spacing w:after="20" w:line="269" w:lineRule="auto"/>
              <w:ind w:left="454"/>
            </w:pPr>
            <w:r>
              <w:rPr>
                <w:rFonts w:ascii="맑은 고딕" w:hAnsi="맑은 고딕" w:eastAsia="맑은 고딕"/>
                <w:b w:val="0"/>
                <w:color w:val="333333"/>
                <w:sz w:val="18"/>
              </w:rPr>
              <w:t>3. 서식의 기재내용과 형식이 완벽한가</w:t>
            </w:r>
          </w:p>
          <w:p>
            <w:pPr>
              <w:spacing w:after="20" w:line="269" w:lineRule="auto"/>
              <w:ind w:left="454"/>
            </w:pPr>
            <w:r>
              <w:rPr>
                <w:rFonts w:ascii="맑은 고딕" w:hAnsi="맑은 고딕" w:eastAsia="맑은 고딕"/>
                <w:b w:val="0"/>
                <w:color w:val="333333"/>
                <w:sz w:val="18"/>
              </w:rPr>
              <w:t xml:space="preserve">4. 그 서식에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사무능률의 향상을 기할 수 있는가</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제정·개폐안이 결재되었을 때에는 소관부서장은 서식의 제정·개폐문을 주무부서장에게 제출하여 서식등록을 하여야 한다.</w:t>
            </w:r>
          </w:p>
          <w:p>
            <w:pPr>
              <w:spacing w:after="20" w:line="269" w:lineRule="auto"/>
              <w:ind w:left="227"/>
            </w:pPr>
            <w:r>
              <w:rPr>
                <w:rFonts w:ascii="맑은 고딕" w:hAnsi="맑은 고딕" w:eastAsia="맑은 고딕"/>
                <w:b w:val="0"/>
                <w:color w:val="333333"/>
                <w:sz w:val="18"/>
              </w:rPr>
              <w:t>② 주무부서는 전산시스템에 등록번호, 등록일자, 서식명칭, 소관부서 등을 입력하여 서식을 등록한다.</w:t>
            </w:r>
          </w:p>
          <w:p>
            <w:pPr>
              <w:spacing w:after="20" w:line="269" w:lineRule="auto"/>
              <w:ind w:left="227"/>
            </w:pPr>
            <w:r>
              <w:rPr>
                <w:rFonts w:ascii="맑은 고딕" w:hAnsi="맑은 고딕" w:eastAsia="맑은 고딕"/>
                <w:b w:val="0"/>
                <w:color w:val="333333"/>
                <w:sz w:val="18"/>
              </w:rPr>
              <w:t>③ 소관부서는『인쇄서식』의 경우 제1,2항의 규정에 의해 등록된 서식의 견</w:t>
            </w:r>
            <w:r>
              <w:rPr>
                <w:rFonts w:ascii="맑은 고딕" w:hAnsi="맑은 고딕" w:eastAsia="맑은 고딕"/>
                <w:b w:val="0"/>
                <w:color w:val="124AC8"/>
                <w:sz w:val="18"/>
              </w:rPr>
              <w:t>양</w:t>
            </w:r>
            <w:r>
              <w:rPr>
                <w:rFonts w:ascii="맑은 고딕" w:hAnsi="맑은 고딕" w:eastAsia="맑은 고딕"/>
                <w:b w:val="0"/>
                <w:color w:val="333333"/>
                <w:sz w:val="18"/>
              </w:rPr>
              <w:t xml:space="preserve"> 2매를 주무부서에 제출하여야 한다.</w:t>
            </w:r>
          </w:p>
        </w:tc>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안이 결재되었을 때에는 소관부서장은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문을 주무부서장에게 제출하여 서식등록을 하여야 한다.</w:t>
            </w:r>
          </w:p>
          <w:p>
            <w:pPr>
              <w:spacing w:after="20" w:line="269" w:lineRule="auto"/>
              <w:ind w:left="227"/>
            </w:pPr>
            <w:r>
              <w:rPr>
                <w:rFonts w:ascii="맑은 고딕" w:hAnsi="맑은 고딕" w:eastAsia="맑은 고딕"/>
                <w:b w:val="0"/>
                <w:color w:val="333333"/>
                <w:sz w:val="18"/>
              </w:rPr>
              <w:t>② 주무부서는 전산시스템에 등록번호, 등록일자, 서식명칭, 소관부서 등을 입력하여 서식을 등록한다.</w:t>
            </w:r>
          </w:p>
          <w:p>
            <w:pPr>
              <w:spacing w:after="20" w:line="269" w:lineRule="auto"/>
              <w:ind w:left="227"/>
            </w:pPr>
            <w:r>
              <w:rPr>
                <w:rFonts w:ascii="맑은 고딕" w:hAnsi="맑은 고딕" w:eastAsia="맑은 고딕"/>
                <w:b w:val="0"/>
                <w:color w:val="333333"/>
                <w:sz w:val="18"/>
              </w:rPr>
              <w:t>③ 소관부서는『인쇄서식』의 경우 제1,2항의 규정에 의해 등록된 서식의 견</w:t>
            </w:r>
            <w:r>
              <w:rPr>
                <w:rFonts w:ascii="맑은 고딕" w:hAnsi="맑은 고딕" w:eastAsia="맑은 고딕"/>
                <w:b w:val="0"/>
                <w:color w:val="124AC8"/>
                <w:sz w:val="18"/>
              </w:rPr>
              <w:t>본</w:t>
            </w:r>
            <w:r>
              <w:rPr>
                <w:rFonts w:ascii="맑은 고딕" w:hAnsi="맑은 고딕" w:eastAsia="맑은 고딕"/>
                <w:b w:val="0"/>
                <w:color w:val="333333"/>
                <w:sz w:val="18"/>
              </w:rPr>
              <w:t xml:space="preserve"> 2매를 주무부서에 제출하여야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제45조(전산출력자료 관리) 각종 잔액장, 명세 등 전산시스템에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일괄작성·처리·보존되는 전산출력자료의 관리에 관한 사항은 따로 정하는 바에 </w:t>
            </w:r>
            <w:r>
              <w:rPr>
                <w:rFonts w:ascii="맑은 고딕" w:hAnsi="맑은 고딕" w:eastAsia="맑은 고딕"/>
                <w:b w:val="0"/>
                <w:color w:val="124AC8"/>
                <w:sz w:val="18"/>
              </w:rPr>
              <w:t>의한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 xml:space="preserve">제45조(전산출력자료 관리) 각종 잔액장, 명세 등 전산시스템에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일괄작성·처리·보존되는 전산출력자료의 관리에 관한 사항은 따로 정하는 바에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ㆍ</w:t>
            </w:r>
            <w:r>
              <w:rPr>
                <w:rFonts w:ascii="맑은 고딕" w:hAnsi="맑은 고딕" w:eastAsia="맑은 고딕"/>
                <w:b w:val="0"/>
                <w:color w:val="333333"/>
                <w:sz w:val="18"/>
              </w:rPr>
              <w:t>정비된 규정은 이 규정에 따라 표기된 것으로 본다.</w:t>
            </w:r>
          </w:p>
        </w:tc>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w:t>
            </w:r>
            <w:r>
              <w:rPr>
                <w:rFonts w:ascii="맑은 고딕" w:hAnsi="맑은 고딕" w:eastAsia="맑은 고딕"/>
                <w:b w:val="0"/>
                <w:color w:val="333333"/>
                <w:sz w:val="18"/>
              </w:rPr>
              <w:t>정비된 규정은 이 규정에 따라 표기된 것으로 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r/>
            <w:r>
              <w:rPr>
                <w:rFonts w:ascii="맑은 고딕" w:hAnsi="맑은 고딕" w:eastAsia="맑은 고딕"/>
                <w:b/>
                <w:color w:val="C00000"/>
                <w:sz w:val="18"/>
              </w:rPr>
              <w:t>〈신설〉</w:t>
            </w:r>
          </w:p>
        </w:tc>
        <w:tc>
          <w:tcPr>
            <w:tcW w:type="dxa" w:w="7257"/>
          </w:tcPr>
          <w:p>
            <w:pPr>
              <w:spacing w:after="20" w:line="269" w:lineRule="auto"/>
              <w:ind w:left="0"/>
            </w:pPr>
            <w:r/>
            <w:r>
              <w:rPr>
                <w:rFonts w:ascii="맑은 고딕" w:hAnsi="맑은 고딕" w:eastAsia="맑은 고딕"/>
                <w:b w:val="0"/>
                <w:color w:val="124AC8"/>
                <w:sz w:val="18"/>
              </w:rPr>
              <w:t>제○조(정본 및 열람)</w:t>
            </w:r>
          </w:p>
          <w:p>
            <w:pPr>
              <w:spacing w:after="20" w:line="269" w:lineRule="auto"/>
              <w:ind w:left="227"/>
            </w:pPr>
            <w:r>
              <w:rPr>
                <w:rFonts w:ascii="맑은 고딕" w:hAnsi="맑은 고딕" w:eastAsia="맑은 고딕"/>
                <w:b w:val="0"/>
                <w:color w:val="124AC8"/>
                <w:sz w:val="18"/>
              </w:rPr>
              <w:t>① 「사규관리시스템」에 등재된 사규를 정본(正本)으로 하며, 그 내용이 인쇄물 등 다른 사본과 다를 때에는 정본에 따른다.</w:t>
            </w:r>
          </w:p>
          <w:p>
            <w:pPr>
              <w:spacing w:after="20" w:line="269" w:lineRule="auto"/>
              <w:ind w:left="227"/>
            </w:pPr>
            <w:r>
              <w:rPr>
                <w:rFonts w:ascii="맑은 고딕" w:hAnsi="맑은 고딕" w:eastAsia="맑은 고딕"/>
                <w:b w:val="0"/>
                <w:color w:val="124AC8"/>
                <w:sz w:val="18"/>
              </w:rPr>
              <w:t>② 임직원은 사규관리시스템을 통하여 사규를 열람한다.</w:t>
            </w:r>
          </w:p>
        </w:tc>
        <w:tc>
          <w:tcPr>
            <w:tcW w:type="dxa" w:w="3402"/>
          </w:tcPr>
          <w:p>
            <w:pPr>
              <w:spacing w:after="40" w:line="276" w:lineRule="auto"/>
            </w:pPr>
            <w:r/>
            <w:r>
              <w:rPr>
                <w:rFonts w:ascii="맑은 고딕" w:hAnsi="맑은 고딕" w:eastAsia="맑은 고딕"/>
                <w:b w:val="0"/>
                <w:color w:val="333333"/>
                <w:sz w:val="16"/>
              </w:rPr>
              <w:t>[시스템·신설] 정본 채택(승인). 제15조 삭제분(열람) 흡수</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