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 글자는 양쪽 칼럼에 파란색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모든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통제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회사의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성문화된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“지침”이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 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계속적인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구속력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가지는 규범으로서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성문화 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“외규”라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 법령 또는 법령에 의하여 발하여진 명령, 규칙과 감독기관의 규정 또는 지침 등으로 성문화된 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“서식”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 계속적으로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보고서, 장부, 전표, 계약서류 기타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 인쇄 또는 등사한 모든 사무용지를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 외규의 제정 또는 개정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2이상을 개정하거나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거듭한 결과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된 조항 또는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“지침”이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시행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 보충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필요한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“외규”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 법령과 법령에 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정해진 명령·규칙, 감독기관의 규정·지침 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구속력을 가지는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외부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“서식”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규정·지침에서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이상을 개정하거나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상당기간 계속적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구속력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가져야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규정사항은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객관적 사정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적응하여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탄력성있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규제하여야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질서에 차질이 생기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않도록 신중히 검토하여 규제하여야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구체적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타당성이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유지될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처리할 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 유의사항) 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일시적·잠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적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기간 계속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맞추어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지나치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경직되지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않게 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 충돌하거나 중복되지 않고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체계의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경우에만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쉽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담당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 “주무부서장”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한다) 또는 당해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장”이라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한다)이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 거쳐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주무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 소관부서장으로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“주무부서장”이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② 규정별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「별표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제1호」와 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기안하려는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제정·개폐하고자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원안, 제정·개정 이유, 신·구 조문대비표 등을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(2024. 09. 0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우리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주무부서장은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요하는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자구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결재과정에서 수정되거나 시행할 수 없게된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서류를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③ 주무부서장은 제2항에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취지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범위의 자구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다른 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과정에서 수정되거나 시행할 수 없게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제8조(등록) 규정의 제정·개폐안이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)을 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제8조(등록)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「사규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시스템」에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제30조의2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(구분-연도-순번)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다만,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주무부서장은 등록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공포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주무부서장은 등록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사유를 간략히 명시하여야 하며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부터 발생한다. 다만,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별도로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시행일을 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 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제10조(효력발생일) 규정의 효력은 원칙적으로 시행일부터 발생한다. 다만, 시행일을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따로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 관련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「사규관리시스템」에 보존한다. 다만, 별도의 원본 보관이 필요한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규정은 다음의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 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부칙으로 구분하여 「별지서식」의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 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024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10. 24. 본호 개정) 2.「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업무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법령 등의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부칙으로 구분하여 「별지서식」의 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절차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표현하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화되어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세칙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나타내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지침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때에는 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각각 일련번호와 제목을 붙인다. 다만, 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일련번호는 이들이 속하는 편·장·절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필요할 때에는 절·관의 순으로 사용하고, 특히 조문이 많을 때에는 장의 분류 위에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제19조(본칙의 배열) 본칙은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전체에 통용되는 원칙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기본적인 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적합한 순서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부속적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본칙, 별칙,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제19조(본칙의 배열) 본칙은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 호의 순서로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부속적 조문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조에는 제1조부터 시작하는 일련번호를 붙이되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조에는 제1조부터 시작하는 일련번호를 붙이되 편·장·절·관이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인용하고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 제○조”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함께 적는다. 다만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같은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“제○조부터 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까지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인용하는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사항을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부칙에는 본칙 조번호와 별개의 일련번호를 붙인다. 다만, 부칙이 간단한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내용을 규정하는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 . . 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각 호의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조번호와 별개의 일련번호를 붙인다. 다만, 부칙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간단한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···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식의 구어체를 사용한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문장은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 같이 평서형으로 끝맺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제33조(주어) 조문의 주어는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그러나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제33조(주어) 조문의 주어는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표시한다.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설명, 조의 제목, 주, 보기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」각괄호는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부분을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명백히 표시하는 경우에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 부호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 등 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소괄호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큰따옴표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 ” : 용어를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거나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특정 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 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성질상의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분류나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 있는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되어 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데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하고자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관계있는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제출처등),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 등은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관계있는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제출처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등은 규정에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 단, 『전산서식』은 조제년월 대신에 등록년월을 표시한다.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딸린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