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312" w:lineRule="auto"/>
        <w:ind w:left="0"/>
        <w:jc w:val="center"/>
      </w:pPr>
      <w:r>
        <w:rPr>
          <w:rFonts w:ascii="맑은 고딕" w:hAnsi="맑은 고딕" w:eastAsia="맑은 고딕"/>
          <w:b/>
          <w:color w:val="1A1A1A"/>
          <w:sz w:val="32"/>
        </w:rPr>
        <w:t>업무용 외부 메신저 이용을 위한 사규 개정 검토</w:t>
      </w:r>
    </w:p>
    <w:p>
      <w:pPr>
        <w:spacing w:before="0" w:after="20" w:line="312" w:lineRule="auto"/>
        <w:ind w:left="0"/>
        <w:jc w:val="center"/>
      </w:pPr>
      <w:r>
        <w:rPr>
          <w:rFonts w:ascii="맑은 고딕" w:hAnsi="맑은 고딕" w:eastAsia="맑은 고딕"/>
          <w:b w:val="0"/>
          <w:color w:val="777777"/>
          <w:sz w:val="21"/>
        </w:rPr>
        <w:t>— HF 통지 업무 관련 카카오워크 이용 검토 및 정보보호팀 개정 요청 —</w:t>
      </w:r>
    </w:p>
    <w:p>
      <w:pPr>
        <w:spacing w:before="0" w:after="200" w:line="312" w:lineRule="auto"/>
        <w:ind w:left="0"/>
        <w:jc w:val="center"/>
      </w:pPr>
      <w:r>
        <w:rPr>
          <w:rFonts w:ascii="맑은 고딕" w:hAnsi="맑은 고딕" w:eastAsia="맑은 고딕"/>
          <w:b w:val="0"/>
          <w:color w:val="777777"/>
          <w:sz w:val="18"/>
        </w:rPr>
        <w:t>경영전략부 | 2026. ○. ○.</w:t>
      </w:r>
    </w:p>
    <w:p>
      <w:pPr>
        <w:spacing w:before="80" w:after="60" w:line="312" w:lineRule="auto"/>
        <w:ind w:left="0"/>
        <w:jc w:val="left"/>
      </w:pPr>
      <w:r>
        <w:rPr>
          <w:rFonts w:ascii="맑은 고딕" w:hAnsi="맑은 고딕" w:eastAsia="맑은 고딕"/>
          <w:b/>
          <w:color w:val="1A1A1A"/>
          <w:sz w:val="24"/>
        </w:rPr>
        <w:t>1. 검토 배경</w:t>
      </w:r>
    </w:p>
    <w:p>
      <w:pPr>
        <w:spacing w:before="0" w:after="160" w:line="312" w:lineRule="auto"/>
        <w:ind w:left="0"/>
        <w:jc w:val="left"/>
      </w:pPr>
      <w:r>
        <w:rPr>
          <w:rFonts w:ascii="맑은 고딕" w:hAnsi="맑은 고딕" w:eastAsia="맑은 고딕"/>
          <w:b w:val="0"/>
          <w:color w:val="1A1A1A"/>
          <w:sz w:val="20"/>
        </w:rPr>
        <w:t>HF 통지 업무 수주에 따라 사업 상대 업체가 원활한 업무 협의를 위하여 카카오워크 이용을 요청하였다. 고객정보는 일절 주고받지 않고 업무 현황 공유와 일정 협의에만 이용하는 것을 전제로, 현행 사규상 이용 가능 여부와 개정 필요 사항을 검토하였다.</w:t>
      </w:r>
    </w:p>
    <w:p>
      <w:pPr>
        <w:spacing w:before="0" w:after="60" w:line="312" w:lineRule="auto"/>
        <w:ind w:left="0"/>
        <w:jc w:val="left"/>
      </w:pPr>
      <w:r>
        <w:rPr>
          <w:rFonts w:ascii="맑은 고딕" w:hAnsi="맑은 고딕" w:eastAsia="맑은 고딕"/>
          <w:b/>
          <w:color w:val="1A1A1A"/>
          <w:sz w:val="24"/>
        </w:rPr>
        <w:t>2. 검토 결론</w:t>
      </w:r>
    </w:p>
    <w:p>
      <w:pPr>
        <w:spacing w:before="0" w:after="60" w:line="312" w:lineRule="auto"/>
        <w:ind w:left="170"/>
        <w:jc w:val="left"/>
      </w:pPr>
      <w:r>
        <w:rPr>
          <w:rFonts w:ascii="맑은 고딕" w:hAnsi="맑은 고딕" w:eastAsia="맑은 고딕"/>
          <w:b w:val="0"/>
          <w:color w:val="1A1A1A"/>
          <w:sz w:val="20"/>
        </w:rPr>
        <w:t>가. 고객정보를 주고받지 않는다는 전제에서도 현행 사규상 이용은 불가하다. 「정보보호관리 지침」 제50조제4항이 회사가 허가한 메신저 외의 사용을 내용과 무관하게 금지하고 있고, 허가 절차·주체·목록이 사규에 없어 허가를 받을 방법 자체가 없다.</w:t>
      </w:r>
    </w:p>
    <w:p>
      <w:pPr>
        <w:spacing w:before="0" w:after="60" w:line="312" w:lineRule="auto"/>
        <w:ind w:left="170"/>
        <w:jc w:val="left"/>
      </w:pPr>
      <w:r>
        <w:rPr>
          <w:rFonts w:ascii="맑은 고딕" w:hAnsi="맑은 고딕" w:eastAsia="맑은 고딕"/>
          <w:b w:val="0"/>
          <w:color w:val="1A1A1A"/>
          <w:sz w:val="20"/>
        </w:rPr>
        <w:t>나. 다만 같은 지침 제44조제3항(업무상 필요한 소프트웨어의 정보보호 관리자 승인)을 근거로 한시적 이용 승인을 받는 해석이 가능하다. 이 해석의 가부는 정보보호팀 확인이 필요하다.</w:t>
      </w:r>
    </w:p>
    <w:p>
      <w:pPr>
        <w:spacing w:before="0" w:after="60" w:line="312" w:lineRule="auto"/>
        <w:ind w:left="170"/>
        <w:jc w:val="left"/>
      </w:pPr>
      <w:r>
        <w:rPr>
          <w:rFonts w:ascii="맑은 고딕" w:hAnsi="맑은 고딕" w:eastAsia="맑은 고딕"/>
          <w:b w:val="0"/>
          <w:color w:val="1A1A1A"/>
          <w:sz w:val="20"/>
        </w:rPr>
        <w:t>다. 담당자가 제3조제23호의 주요직무자에 해당하면 제42조제1항제4호에 따라 업무용 PC에서의 상용 메신저 이용이 제한되므로, 단말을 분리하거나 정보보호위원회 승인을 받아야 한다.</w:t>
      </w:r>
    </w:p>
    <w:p>
      <w:pPr>
        <w:spacing w:before="0" w:after="60" w:line="312" w:lineRule="auto"/>
        <w:ind w:left="170"/>
        <w:jc w:val="left"/>
      </w:pPr>
      <w:r>
        <w:rPr>
          <w:rFonts w:ascii="맑은 고딕" w:hAnsi="맑은 고딕" w:eastAsia="맑은 고딕"/>
          <w:b w:val="0"/>
          <w:color w:val="1A1A1A"/>
          <w:sz w:val="20"/>
        </w:rPr>
        <w:t>라. 안정적인 근거를 두려면 「정보보호관리 지침」·「정보보호위원회 지침」·「문서관리규정」 3개 사규의 연동 개정이 필요하다. 이 중 「문서관리규정」만 경영전략부 소관이다.</w:t>
      </w:r>
    </w:p>
    <w:p>
      <w:r>
        <w:br w:type="page"/>
      </w:r>
    </w:p>
    <w:p>
      <w:pPr>
        <w:spacing w:before="0" w:after="80" w:line="312" w:lineRule="auto"/>
        <w:ind w:left="0"/>
        <w:jc w:val="left"/>
      </w:pPr>
      <w:r>
        <w:rPr>
          <w:rFonts w:ascii="맑은 고딕" w:hAnsi="맑은 고딕" w:eastAsia="맑은 고딕"/>
          <w:b/>
          <w:color w:val="1A1A1A"/>
          <w:sz w:val="24"/>
        </w:rPr>
        <w:t>3. 현행 사규 저촉·관련 사항</w:t>
      </w:r>
    </w:p>
    <w:tbl>
      <w:tblPr>
        <w:tblStyle w:val="TableGrid"/>
        <w:tblW w:type="auto" w:w="0"/>
        <w:tblLook w:firstColumn="1" w:firstRow="1" w:lastColumn="0" w:lastRow="0" w:noHBand="0" w:noVBand="1" w:val="04A0"/>
      </w:tblPr>
      <w:tblGrid>
        <w:gridCol w:w="3326"/>
        <w:gridCol w:w="3326"/>
        <w:gridCol w:w="3326"/>
      </w:tblGrid>
      <w:tr>
        <w:tc>
          <w:tcPr>
            <w:tcW w:type="dxa" w:w="3326"/>
          </w:tcPr>
          <w:p>
            <w:pPr>
              <w:spacing w:after="24" w:line="283" w:lineRule="auto"/>
              <w:jc w:val="center"/>
            </w:pPr>
            <w:r/>
            <w:r>
              <w:rPr>
                <w:rFonts w:ascii="맑은 고딕" w:hAnsi="맑은 고딕" w:eastAsia="맑은 고딕"/>
                <w:b/>
                <w:color w:val="1A1A1A"/>
                <w:sz w:val="18"/>
              </w:rPr>
              <w:t>사규·조문</w:t>
            </w:r>
          </w:p>
        </w:tc>
        <w:tc>
          <w:tcPr>
            <w:tcW w:type="dxa" w:w="3326"/>
          </w:tcPr>
          <w:p>
            <w:pPr>
              <w:spacing w:after="24" w:line="283" w:lineRule="auto"/>
              <w:jc w:val="center"/>
            </w:pPr>
            <w:r/>
            <w:r>
              <w:rPr>
                <w:rFonts w:ascii="맑은 고딕" w:hAnsi="맑은 고딕" w:eastAsia="맑은 고딕"/>
                <w:b/>
                <w:color w:val="1A1A1A"/>
                <w:sz w:val="18"/>
              </w:rPr>
              <w:t>현행 내용</w:t>
            </w:r>
          </w:p>
        </w:tc>
        <w:tc>
          <w:tcPr>
            <w:tcW w:type="dxa" w:w="3326"/>
          </w:tcPr>
          <w:p>
            <w:pPr>
              <w:spacing w:after="24" w:line="283" w:lineRule="auto"/>
              <w:jc w:val="center"/>
            </w:pPr>
            <w:r/>
            <w:r>
              <w:rPr>
                <w:rFonts w:ascii="맑은 고딕" w:hAnsi="맑은 고딕" w:eastAsia="맑은 고딕"/>
                <w:b/>
                <w:color w:val="1A1A1A"/>
                <w:sz w:val="18"/>
              </w:rPr>
              <w:t>검토 결과</w:t>
            </w:r>
          </w:p>
        </w:tc>
      </w:tr>
      <w:tr>
        <w:tc>
          <w:tcPr>
            <w:tcW w:type="dxa" w:w="2835"/>
          </w:tcPr>
          <w:p>
            <w:pPr>
              <w:spacing w:after="24" w:line="283" w:lineRule="auto"/>
            </w:pPr>
            <w:r/>
            <w:r>
              <w:rPr>
                <w:rFonts w:ascii="맑은 고딕" w:hAnsi="맑은 고딕" w:eastAsia="맑은 고딕"/>
                <w:b/>
                <w:color w:val="1A1A1A"/>
                <w:sz w:val="17"/>
              </w:rPr>
              <w:t>「정보보호관리 지침」 제50조제4항</w:t>
            </w:r>
          </w:p>
        </w:tc>
        <w:tc>
          <w:tcPr>
            <w:tcW w:type="dxa" w:w="3175"/>
          </w:tcPr>
          <w:p>
            <w:pPr>
              <w:spacing w:after="24" w:line="283" w:lineRule="auto"/>
            </w:pPr>
            <w:r/>
            <w:r>
              <w:rPr>
                <w:rFonts w:ascii="맑은 고딕" w:hAnsi="맑은 고딕" w:eastAsia="맑은 고딕"/>
                <w:b w:val="0"/>
                <w:color w:val="333333"/>
                <w:sz w:val="17"/>
              </w:rPr>
              <w:t>회사에서 공식적으로 허가한 메신저 이외의 사용을 금지한다.</w:t>
            </w:r>
          </w:p>
        </w:tc>
        <w:tc>
          <w:tcPr>
            <w:tcW w:type="dxa" w:w="3912"/>
          </w:tcPr>
          <w:p>
            <w:pPr>
              <w:spacing w:after="24" w:line="283" w:lineRule="auto"/>
            </w:pPr>
            <w:r/>
            <w:r>
              <w:rPr>
                <w:rFonts w:ascii="맑은 고딕" w:hAnsi="맑은 고딕" w:eastAsia="맑은 고딕"/>
                <w:b w:val="0"/>
                <w:color w:val="333333"/>
                <w:sz w:val="17"/>
              </w:rPr>
              <w:t>허가 주체·목록·확인 방법이 모두 없어 카카오워크가 허가 대상인지 판정 불가. 내용과 무관하게 이용 자체가 금지되는 상태</w:t>
            </w:r>
          </w:p>
        </w:tc>
      </w:tr>
      <w:tr>
        <w:tc>
          <w:tcPr>
            <w:tcW w:type="dxa" w:w="2835"/>
          </w:tcPr>
          <w:p>
            <w:pPr>
              <w:spacing w:after="24" w:line="283" w:lineRule="auto"/>
            </w:pPr>
            <w:r/>
            <w:r>
              <w:rPr>
                <w:rFonts w:ascii="맑은 고딕" w:hAnsi="맑은 고딕" w:eastAsia="맑은 고딕"/>
                <w:b/>
                <w:color w:val="1A1A1A"/>
                <w:sz w:val="17"/>
              </w:rPr>
              <w:t>「정보보호관리 지침」 제44조제1항·제3항</w:t>
            </w:r>
          </w:p>
        </w:tc>
        <w:tc>
          <w:tcPr>
            <w:tcW w:type="dxa" w:w="3175"/>
          </w:tcPr>
          <w:p>
            <w:pPr>
              <w:spacing w:after="24" w:line="283" w:lineRule="auto"/>
            </w:pPr>
            <w:r/>
            <w:r>
              <w:rPr>
                <w:rFonts w:ascii="맑은 고딕" w:hAnsi="맑은 고딕" w:eastAsia="맑은 고딕"/>
                <w:b w:val="0"/>
                <w:color w:val="333333"/>
                <w:sz w:val="17"/>
              </w:rPr>
              <w:t>회사에서 제공하는 업무용 소프트웨어만 사용 / 업무상 필요 시 정보보호 관리자 승인</w:t>
            </w:r>
          </w:p>
        </w:tc>
        <w:tc>
          <w:tcPr>
            <w:tcW w:type="dxa" w:w="3912"/>
          </w:tcPr>
          <w:p>
            <w:pPr>
              <w:spacing w:after="24" w:line="283" w:lineRule="auto"/>
            </w:pPr>
            <w:r/>
            <w:r>
              <w:rPr>
                <w:rFonts w:ascii="맑은 고딕" w:hAnsi="맑은 고딕" w:eastAsia="맑은 고딕"/>
                <w:b w:val="0"/>
                <w:color w:val="333333"/>
                <w:sz w:val="17"/>
              </w:rPr>
              <w:t>현재 유일하게 작동하는 승인 착지. 다만 '소프트웨어 도입' 승인이어서 이용 범위·참여자·정보 유형 통제는 불가</w:t>
            </w:r>
          </w:p>
        </w:tc>
      </w:tr>
      <w:tr>
        <w:tc>
          <w:tcPr>
            <w:tcW w:type="dxa" w:w="2835"/>
          </w:tcPr>
          <w:p>
            <w:pPr>
              <w:spacing w:after="24" w:line="283" w:lineRule="auto"/>
            </w:pPr>
            <w:r/>
            <w:r>
              <w:rPr>
                <w:rFonts w:ascii="맑은 고딕" w:hAnsi="맑은 고딕" w:eastAsia="맑은 고딕"/>
                <w:b/>
                <w:color w:val="1A1A1A"/>
                <w:sz w:val="17"/>
              </w:rPr>
              <w:t>「정보보호관리 지침」 제42조제1항제4호</w:t>
            </w:r>
          </w:p>
        </w:tc>
        <w:tc>
          <w:tcPr>
            <w:tcW w:type="dxa" w:w="3175"/>
          </w:tcPr>
          <w:p>
            <w:pPr>
              <w:spacing w:after="24" w:line="283" w:lineRule="auto"/>
            </w:pPr>
            <w:r/>
            <w:r>
              <w:rPr>
                <w:rFonts w:ascii="맑은 고딕" w:hAnsi="맑은 고딕" w:eastAsia="맑은 고딕"/>
                <w:b w:val="0"/>
                <w:color w:val="333333"/>
                <w:sz w:val="17"/>
              </w:rPr>
              <w:t>주요직무자 PC는 상용 메신저 등의 인터넷 사용제한</w:t>
            </w:r>
          </w:p>
        </w:tc>
        <w:tc>
          <w:tcPr>
            <w:tcW w:type="dxa" w:w="3912"/>
          </w:tcPr>
          <w:p>
            <w:pPr>
              <w:spacing w:after="24" w:line="283" w:lineRule="auto"/>
            </w:pPr>
            <w:r/>
            <w:r>
              <w:rPr>
                <w:rFonts w:ascii="맑은 고딕" w:hAnsi="맑은 고딕" w:eastAsia="맑은 고딕"/>
                <w:b w:val="0"/>
                <w:color w:val="333333"/>
                <w:sz w:val="17"/>
              </w:rPr>
              <w:t>제3조제23호상 통지 업무 담당자는 주요직무자에 해당할 가능성이 높음. 업무용 PC 설치가 막히므로 단말 분리 또는 단서 신설 필요</w:t>
            </w:r>
          </w:p>
        </w:tc>
      </w:tr>
      <w:tr>
        <w:tc>
          <w:tcPr>
            <w:tcW w:type="dxa" w:w="2835"/>
          </w:tcPr>
          <w:p>
            <w:pPr>
              <w:spacing w:after="24" w:line="283" w:lineRule="auto"/>
            </w:pPr>
            <w:r/>
            <w:r>
              <w:rPr>
                <w:rFonts w:ascii="맑은 고딕" w:hAnsi="맑은 고딕" w:eastAsia="맑은 고딕"/>
                <w:b/>
                <w:color w:val="1A1A1A"/>
                <w:sz w:val="17"/>
              </w:rPr>
              <w:t>「고객정보관리 지침」 제12조제8항제3호</w:t>
            </w:r>
          </w:p>
        </w:tc>
        <w:tc>
          <w:tcPr>
            <w:tcW w:type="dxa" w:w="3175"/>
          </w:tcPr>
          <w:p>
            <w:pPr>
              <w:spacing w:after="24" w:line="283" w:lineRule="auto"/>
            </w:pPr>
            <w:r/>
            <w:r>
              <w:rPr>
                <w:rFonts w:ascii="맑은 고딕" w:hAnsi="맑은 고딕" w:eastAsia="맑은 고딕"/>
                <w:b w:val="0"/>
                <w:color w:val="333333"/>
                <w:sz w:val="17"/>
              </w:rPr>
              <w:t>외부 연계 메일·메신저를 이용한 고객정보 송신 금지</w:t>
            </w:r>
          </w:p>
        </w:tc>
        <w:tc>
          <w:tcPr>
            <w:tcW w:type="dxa" w:w="3912"/>
          </w:tcPr>
          <w:p>
            <w:pPr>
              <w:spacing w:after="24" w:line="283" w:lineRule="auto"/>
            </w:pPr>
            <w:r/>
            <w:r>
              <w:rPr>
                <w:rFonts w:ascii="맑은 고딕" w:hAnsi="맑은 고딕" w:eastAsia="맑은 고딕"/>
                <w:b w:val="0"/>
                <w:color w:val="333333"/>
                <w:sz w:val="17"/>
              </w:rPr>
              <w:t>고객정보를 주고받지 않는다는 전제에서는 미적용. 다만 전제가 깨지면 승인 여부와 무관하게 위반</w:t>
            </w:r>
          </w:p>
        </w:tc>
      </w:tr>
      <w:tr>
        <w:tc>
          <w:tcPr>
            <w:tcW w:type="dxa" w:w="2835"/>
          </w:tcPr>
          <w:p>
            <w:pPr>
              <w:spacing w:after="24" w:line="283" w:lineRule="auto"/>
            </w:pPr>
            <w:r/>
            <w:r>
              <w:rPr>
                <w:rFonts w:ascii="맑은 고딕" w:hAnsi="맑은 고딕" w:eastAsia="맑은 고딕"/>
                <w:b/>
                <w:color w:val="1A1A1A"/>
                <w:sz w:val="17"/>
              </w:rPr>
              <w:t>「IT인프라 보안 지침」 제66조제2항·제67조</w:t>
            </w:r>
          </w:p>
        </w:tc>
        <w:tc>
          <w:tcPr>
            <w:tcW w:type="dxa" w:w="3175"/>
          </w:tcPr>
          <w:p>
            <w:pPr>
              <w:spacing w:after="24" w:line="283" w:lineRule="auto"/>
            </w:pPr>
            <w:r/>
            <w:r>
              <w:rPr>
                <w:rFonts w:ascii="맑은 고딕" w:hAnsi="맑은 고딕" w:eastAsia="맑은 고딕"/>
                <w:b w:val="0"/>
                <w:color w:val="333333"/>
                <w:sz w:val="17"/>
              </w:rPr>
              <w:t>망분리 예외는 정보보호위원회 승인 / 내·외부 망간 자료전달은 망 연계시스템·인가된 매체</w:t>
            </w:r>
          </w:p>
        </w:tc>
        <w:tc>
          <w:tcPr>
            <w:tcW w:type="dxa" w:w="3912"/>
          </w:tcPr>
          <w:p>
            <w:pPr>
              <w:spacing w:after="24" w:line="283" w:lineRule="auto"/>
            </w:pPr>
            <w:r/>
            <w:r>
              <w:rPr>
                <w:rFonts w:ascii="맑은 고딕" w:hAnsi="맑은 고딕" w:eastAsia="맑은 고딕"/>
                <w:b w:val="0"/>
                <w:color w:val="333333"/>
                <w:sz w:val="17"/>
              </w:rPr>
              <w:t>업무망 PC에서 이용하려면 위원회 승인 필요. 파일 전달은 메신저가 아닌 인가된 경로로만</w:t>
            </w:r>
          </w:p>
        </w:tc>
      </w:tr>
      <w:tr>
        <w:tc>
          <w:tcPr>
            <w:tcW w:type="dxa" w:w="2835"/>
          </w:tcPr>
          <w:p>
            <w:pPr>
              <w:spacing w:after="24" w:line="283" w:lineRule="auto"/>
            </w:pPr>
            <w:r/>
            <w:r>
              <w:rPr>
                <w:rFonts w:ascii="맑은 고딕" w:hAnsi="맑은 고딕" w:eastAsia="맑은 고딕"/>
                <w:b/>
                <w:color w:val="1A1A1A"/>
                <w:sz w:val="17"/>
              </w:rPr>
              <w:t>「정보보호규정」 제12조·제13조,</w:t>
            </w:r>
          </w:p>
          <w:p>
            <w:pPr>
              <w:spacing w:after="24" w:line="283" w:lineRule="auto"/>
            </w:pPr>
            <w:r>
              <w:rPr>
                <w:rFonts w:ascii="맑은 고딕" w:hAnsi="맑은 고딕" w:eastAsia="맑은 고딕"/>
                <w:b/>
                <w:color w:val="1A1A1A"/>
                <w:sz w:val="17"/>
              </w:rPr>
              <w:t>「정보보호관리 지침」 제33조</w:t>
            </w:r>
          </w:p>
        </w:tc>
        <w:tc>
          <w:tcPr>
            <w:tcW w:type="dxa" w:w="3175"/>
          </w:tcPr>
          <w:p>
            <w:pPr>
              <w:spacing w:after="24" w:line="283" w:lineRule="auto"/>
            </w:pPr>
            <w:r/>
            <w:r>
              <w:rPr>
                <w:rFonts w:ascii="맑은 고딕" w:hAnsi="맑은 고딕" w:eastAsia="맑은 고딕"/>
                <w:b w:val="0"/>
                <w:color w:val="333333"/>
                <w:sz w:val="17"/>
              </w:rPr>
              <w:t>외부업체 계약 시 보안요구사항 반영, 정보보호·비밀유지 서약서 징구</w:t>
            </w:r>
          </w:p>
        </w:tc>
        <w:tc>
          <w:tcPr>
            <w:tcW w:type="dxa" w:w="3912"/>
          </w:tcPr>
          <w:p>
            <w:pPr>
              <w:spacing w:after="24" w:line="283" w:lineRule="auto"/>
            </w:pPr>
            <w:r/>
            <w:r>
              <w:rPr>
                <w:rFonts w:ascii="맑은 고딕" w:hAnsi="맑은 고딕" w:eastAsia="맑은 고딕"/>
                <w:b w:val="0"/>
                <w:color w:val="333333"/>
                <w:sz w:val="17"/>
              </w:rPr>
              <w:t>상대 업체 참여자에 대해 이행 필요. 개정과 무관하게 지금 해야 하는 사항</w:t>
            </w:r>
          </w:p>
        </w:tc>
      </w:tr>
      <w:tr>
        <w:tc>
          <w:tcPr>
            <w:tcW w:type="dxa" w:w="2835"/>
          </w:tcPr>
          <w:p>
            <w:pPr>
              <w:spacing w:after="24" w:line="283" w:lineRule="auto"/>
            </w:pPr>
            <w:r/>
            <w:r>
              <w:rPr>
                <w:rFonts w:ascii="맑은 고딕" w:hAnsi="맑은 고딕" w:eastAsia="맑은 고딕"/>
                <w:b/>
                <w:color w:val="1A1A1A"/>
                <w:sz w:val="17"/>
              </w:rPr>
              <w:t>「임직원 법규준수 행동기준」 제11조의2·제12조</w:t>
            </w:r>
          </w:p>
        </w:tc>
        <w:tc>
          <w:tcPr>
            <w:tcW w:type="dxa" w:w="3175"/>
          </w:tcPr>
          <w:p>
            <w:pPr>
              <w:spacing w:after="24" w:line="283" w:lineRule="auto"/>
            </w:pPr>
            <w:r/>
            <w:r>
              <w:rPr>
                <w:rFonts w:ascii="맑은 고딕" w:hAnsi="맑은 고딕" w:eastAsia="맑은 고딕"/>
                <w:b w:val="0"/>
                <w:color w:val="333333"/>
                <w:sz w:val="17"/>
              </w:rPr>
              <w:t>업무용 정보통신수단 송수신 정보의 소유권은 회사 / 대외 자료 송부 시 누설방지 주의의무</w:t>
            </w:r>
          </w:p>
        </w:tc>
        <w:tc>
          <w:tcPr>
            <w:tcW w:type="dxa" w:w="3912"/>
          </w:tcPr>
          <w:p>
            <w:pPr>
              <w:spacing w:after="24" w:line="283" w:lineRule="auto"/>
            </w:pPr>
            <w:r/>
            <w:r>
              <w:rPr>
                <w:rFonts w:ascii="맑은 고딕" w:hAnsi="맑은 고딕" w:eastAsia="맑은 고딕"/>
                <w:b w:val="0"/>
                <w:color w:val="333333"/>
                <w:sz w:val="17"/>
              </w:rPr>
              <w:t>선언적 규범. 별도 개정 없이 준수 대상</w:t>
            </w:r>
          </w:p>
        </w:tc>
      </w:tr>
      <w:tr>
        <w:tc>
          <w:tcPr>
            <w:tcW w:type="dxa" w:w="2835"/>
          </w:tcPr>
          <w:p>
            <w:pPr>
              <w:spacing w:after="24" w:line="283" w:lineRule="auto"/>
            </w:pPr>
            <w:r/>
            <w:r>
              <w:rPr>
                <w:rFonts w:ascii="맑은 고딕" w:hAnsi="맑은 고딕" w:eastAsia="맑은 고딕"/>
                <w:b/>
                <w:color w:val="1A1A1A"/>
                <w:sz w:val="17"/>
              </w:rPr>
              <w:t>「문서관리규정」 제2조</w:t>
            </w:r>
          </w:p>
        </w:tc>
        <w:tc>
          <w:tcPr>
            <w:tcW w:type="dxa" w:w="3175"/>
          </w:tcPr>
          <w:p>
            <w:pPr>
              <w:spacing w:after="24" w:line="283" w:lineRule="auto"/>
            </w:pPr>
            <w:r/>
            <w:r>
              <w:rPr>
                <w:rFonts w:ascii="맑은 고딕" w:hAnsi="맑은 고딕" w:eastAsia="맑은 고딕"/>
                <w:b w:val="0"/>
                <w:color w:val="333333"/>
                <w:sz w:val="17"/>
              </w:rPr>
              <w:t>문서 범위에 전자우편은 있으나 메신저는 없음</w:t>
            </w:r>
          </w:p>
        </w:tc>
        <w:tc>
          <w:tcPr>
            <w:tcW w:type="dxa" w:w="3912"/>
          </w:tcPr>
          <w:p>
            <w:pPr>
              <w:spacing w:after="24" w:line="283" w:lineRule="auto"/>
            </w:pPr>
            <w:r/>
            <w:r>
              <w:rPr>
                <w:rFonts w:ascii="맑은 고딕" w:hAnsi="맑은 고딕" w:eastAsia="맑은 고딕"/>
                <w:b w:val="0"/>
                <w:color w:val="333333"/>
                <w:sz w:val="17"/>
              </w:rPr>
              <w:t>메신저 협의가 사규상 문서가 아니어서 기록·보존 공백</w:t>
            </w:r>
          </w:p>
        </w:tc>
      </w:tr>
    </w:tbl>
    <w:p>
      <w:pPr>
        <w:spacing w:before="0" w:after="120" w:line="312" w:lineRule="auto"/>
        <w:ind w:left="0"/>
        <w:jc w:val="left"/>
      </w:pPr>
    </w:p>
    <w:p>
      <w:pPr>
        <w:spacing w:before="160" w:after="60" w:line="312" w:lineRule="auto"/>
        <w:ind w:left="0"/>
        <w:jc w:val="left"/>
      </w:pPr>
      <w:r>
        <w:rPr>
          <w:rFonts w:ascii="맑은 고딕" w:hAnsi="맑은 고딕" w:eastAsia="맑은 고딕"/>
          <w:b/>
          <w:color w:val="1A1A1A"/>
          <w:sz w:val="24"/>
        </w:rPr>
        <w:t>4. 개정이 필요한 이유 — 문언 결함</w:t>
      </w:r>
    </w:p>
    <w:p>
      <w:pPr>
        <w:spacing w:before="0" w:after="60" w:line="312" w:lineRule="auto"/>
        <w:ind w:left="170"/>
        <w:jc w:val="left"/>
      </w:pPr>
      <w:r>
        <w:rPr>
          <w:rFonts w:ascii="맑은 고딕" w:hAnsi="맑은 고딕" w:eastAsia="맑은 고딕"/>
          <w:b w:val="0"/>
          <w:color w:val="1A1A1A"/>
          <w:sz w:val="20"/>
        </w:rPr>
        <w:t>가. 「정보보호관리 지침」 제50조제4항의 「회사에서 공식적으로 허가한 메신저」는 허가 주체, 허가 목록, 확인 방법을 모두 결여하고 있어 임직원이 준수 여부를 판정할 수 없다. 허가받은 정보통신수단을 별표로 명시할 필요가 있다.</w:t>
      </w:r>
    </w:p>
    <w:p>
      <w:pPr>
        <w:spacing w:before="0" w:after="60" w:line="312" w:lineRule="auto"/>
        <w:ind w:left="170"/>
        <w:jc w:val="left"/>
      </w:pPr>
      <w:r>
        <w:rPr>
          <w:rFonts w:ascii="맑은 고딕" w:hAnsi="맑은 고딕" w:eastAsia="맑은 고딕"/>
          <w:b w:val="0"/>
          <w:color w:val="1A1A1A"/>
          <w:sz w:val="20"/>
        </w:rPr>
        <w:t>나. 같은 조 제5항의 「중요 정보」는 이 지침 제3조 정의에 없다. 같은 지침이 제13조제4항에서는 「기밀·대외비·일반」으로, 제49조제5항에서는 「대외비」로 쓰고 있어 용어가 세 갈래로 갈라져 있다.</w:t>
      </w:r>
    </w:p>
    <w:p>
      <w:pPr>
        <w:spacing w:before="0" w:after="60" w:line="312" w:lineRule="auto"/>
        <w:ind w:left="170"/>
        <w:jc w:val="left"/>
      </w:pPr>
      <w:r>
        <w:rPr>
          <w:rFonts w:ascii="맑은 고딕" w:hAnsi="맑은 고딕" w:eastAsia="맑은 고딕"/>
          <w:b w:val="0"/>
          <w:color w:val="1A1A1A"/>
          <w:sz w:val="20"/>
        </w:rPr>
        <w:t>다. 「허가」만 있고 신청·심사·승인권자·이용 조건·종료 절차를 정한 조문이 없다. 착지 없는 금지에 해당한다.</w:t>
      </w:r>
    </w:p>
    <w:p>
      <w:pPr>
        <w:spacing w:before="0" w:after="60" w:line="312" w:lineRule="auto"/>
        <w:ind w:left="170"/>
        <w:jc w:val="left"/>
      </w:pPr>
      <w:r>
        <w:rPr>
          <w:rFonts w:ascii="맑은 고딕" w:hAnsi="맑은 고딕" w:eastAsia="맑은 고딕"/>
          <w:b w:val="0"/>
          <w:color w:val="1A1A1A"/>
          <w:sz w:val="20"/>
        </w:rPr>
        <w:t>라. 「정보보호위원회 지침」 제4조제1항의 심의사항 5개에 외부 서비스 도입·이용 승인이 없어, 위원회 승인을 요구하는 조문을 두더라도 착지할 곳이 없다.</w:t>
      </w:r>
    </w:p>
    <w:p>
      <w:pPr>
        <w:spacing w:before="0" w:after="60" w:line="312" w:lineRule="auto"/>
        <w:ind w:left="170"/>
        <w:jc w:val="left"/>
      </w:pPr>
      <w:r>
        <w:rPr>
          <w:rFonts w:ascii="맑은 고딕" w:hAnsi="맑은 고딕" w:eastAsia="맑은 고딕"/>
          <w:b w:val="0"/>
          <w:color w:val="1A1A1A"/>
          <w:sz w:val="20"/>
        </w:rPr>
        <w:t>마. 「문서관리규정」 제2조의 문서 범위에 메신저가 없어 메신저 협의가 사규상 문서가 아니다.</w:t>
      </w:r>
    </w:p>
    <w:p>
      <w:r>
        <w:br w:type="page"/>
      </w:r>
    </w:p>
    <w:p>
      <w:pPr>
        <w:spacing w:before="0" w:after="40" w:line="312" w:lineRule="auto"/>
        <w:ind w:left="0"/>
        <w:jc w:val="left"/>
      </w:pPr>
      <w:r>
        <w:rPr>
          <w:rFonts w:ascii="맑은 고딕" w:hAnsi="맑은 고딕" w:eastAsia="맑은 고딕"/>
          <w:b/>
          <w:color w:val="1A1A1A"/>
          <w:sz w:val="24"/>
        </w:rPr>
        <w:t>5. 신구조문대비표</w:t>
      </w:r>
    </w:p>
    <w:p>
      <w:pPr>
        <w:spacing w:before="0" w:after="100" w:line="312" w:lineRule="auto"/>
        <w:ind w:left="0"/>
        <w:jc w:val="left"/>
      </w:pPr>
      <w:r>
        <w:rPr>
          <w:rFonts w:ascii="맑은 고딕" w:hAnsi="맑은 고딕" w:eastAsia="맑은 고딕"/>
          <w:b w:val="0"/>
          <w:color w:val="777777"/>
          <w:sz w:val="17"/>
        </w:rPr>
        <w:t>파란색 = 신설·변경 문언 / 빨간색 = 확인 요망 / ★ = 실체 개정</w:t>
      </w:r>
    </w:p>
    <w:p>
      <w:pPr>
        <w:spacing w:before="180" w:after="60"/>
      </w:pPr>
      <w:r>
        <w:rPr>
          <w:rFonts w:ascii="맑은 고딕" w:hAnsi="맑은 고딕" w:eastAsia="맑은 고딕"/>
          <w:b/>
          <w:color w:val="1A1A1A"/>
          <w:sz w:val="22"/>
        </w:rPr>
        <w:t>「정보보호관리 지침」(8-7)</w:t>
      </w:r>
      <w:r>
        <w:rPr>
          <w:rFonts w:ascii="맑은 고딕" w:hAnsi="맑은 고딕" w:eastAsia="맑은 고딕"/>
          <w:b w:val="0"/>
          <w:color w:val="777777"/>
          <w:sz w:val="18"/>
        </w:rPr>
        <w:t xml:space="preserve">   소관: IT운영부 정보보호팀</w:t>
      </w:r>
    </w:p>
    <w:tbl>
      <w:tblPr>
        <w:tblStyle w:val="TableGrid"/>
        <w:tblW w:type="auto" w:w="0"/>
        <w:tblLook w:firstColumn="1" w:firstRow="1" w:lastColumn="0" w:lastRow="0" w:noHBand="0" w:noVBand="1" w:val="04A0"/>
      </w:tblPr>
      <w:tblGrid>
        <w:gridCol w:w="2494"/>
        <w:gridCol w:w="2494"/>
        <w:gridCol w:w="2494"/>
        <w:gridCol w:w="2494"/>
      </w:tblGrid>
      <w:tr>
        <w:tc>
          <w:tcPr>
            <w:tcW w:type="dxa" w:w="2494"/>
          </w:tcPr>
          <w:p>
            <w:pPr>
              <w:spacing w:after="24" w:line="283" w:lineRule="auto"/>
              <w:jc w:val="center"/>
            </w:pPr>
            <w:r/>
            <w:r>
              <w:rPr>
                <w:rFonts w:ascii="맑은 고딕" w:hAnsi="맑은 고딕" w:eastAsia="맑은 고딕"/>
                <w:b/>
                <w:color w:val="1A1A1A"/>
                <w:sz w:val="18"/>
              </w:rPr>
              <w:t>조문</w:t>
            </w:r>
          </w:p>
        </w:tc>
        <w:tc>
          <w:tcPr>
            <w:tcW w:type="dxa" w:w="2494"/>
          </w:tcPr>
          <w:p>
            <w:pPr>
              <w:spacing w:after="24" w:line="283" w:lineRule="auto"/>
              <w:jc w:val="center"/>
            </w:pPr>
            <w:r/>
            <w:r>
              <w:rPr>
                <w:rFonts w:ascii="맑은 고딕" w:hAnsi="맑은 고딕" w:eastAsia="맑은 고딕"/>
                <w:b/>
                <w:color w:val="1A1A1A"/>
                <w:sz w:val="18"/>
              </w:rPr>
              <w:t>현 행</w:t>
            </w:r>
          </w:p>
        </w:tc>
        <w:tc>
          <w:tcPr>
            <w:tcW w:type="dxa" w:w="2494"/>
          </w:tcPr>
          <w:p>
            <w:pPr>
              <w:spacing w:after="24" w:line="283" w:lineRule="auto"/>
              <w:jc w:val="center"/>
            </w:pPr>
            <w:r/>
            <w:r>
              <w:rPr>
                <w:rFonts w:ascii="맑은 고딕" w:hAnsi="맑은 고딕" w:eastAsia="맑은 고딕"/>
                <w:b/>
                <w:color w:val="1A1A1A"/>
                <w:sz w:val="18"/>
              </w:rPr>
              <w:t>개 정 안</w:t>
            </w:r>
          </w:p>
        </w:tc>
        <w:tc>
          <w:tcPr>
            <w:tcW w:type="dxa" w:w="2494"/>
          </w:tcPr>
          <w:p>
            <w:pPr>
              <w:spacing w:after="24" w:line="283" w:lineRule="auto"/>
              <w:jc w:val="center"/>
            </w:pPr>
            <w:r/>
            <w:r>
              <w:rPr>
                <w:rFonts w:ascii="맑은 고딕" w:hAnsi="맑은 고딕" w:eastAsia="맑은 고딕"/>
                <w:b/>
                <w:color w:val="1A1A1A"/>
                <w:sz w:val="18"/>
              </w:rPr>
              <w:t>수정 사유</w:t>
            </w:r>
          </w:p>
        </w:tc>
      </w:tr>
      <w:tr>
        <w:tc>
          <w:tcPr>
            <w:tcW w:type="dxa" w:w="1644"/>
          </w:tcPr>
          <w:p>
            <w:pPr>
              <w:spacing w:after="24" w:line="283" w:lineRule="auto"/>
            </w:pPr>
            <w:r/>
            <w:r>
              <w:rPr>
                <w:rFonts w:ascii="맑은 고딕" w:hAnsi="맑은 고딕" w:eastAsia="맑은 고딕"/>
                <w:b/>
                <w:color w:val="1A1A1A"/>
                <w:sz w:val="17"/>
              </w:rPr>
              <w:t>제42조제1항제4호</w:t>
            </w:r>
          </w:p>
          <w:p>
            <w:pPr>
              <w:spacing w:after="24" w:line="283" w:lineRule="auto"/>
            </w:pPr>
            <w:r>
              <w:rPr>
                <w:rFonts w:ascii="맑은 고딕" w:hAnsi="맑은 고딕" w:eastAsia="맑은 고딕"/>
                <w:b/>
                <w:color w:val="1A1A1A"/>
                <w:sz w:val="17"/>
              </w:rPr>
              <w:t>(주요직무자의 PC 관리)</w:t>
            </w:r>
          </w:p>
        </w:tc>
        <w:tc>
          <w:tcPr>
            <w:tcW w:type="dxa" w:w="2608"/>
          </w:tcPr>
          <w:p>
            <w:pPr>
              <w:spacing w:after="24" w:line="283" w:lineRule="auto"/>
              <w:ind w:left="170"/>
            </w:pPr>
            <w:r/>
            <w:r>
              <w:rPr>
                <w:rFonts w:ascii="맑은 고딕" w:hAnsi="맑은 고딕" w:eastAsia="맑은 고딕"/>
                <w:b w:val="0"/>
                <w:color w:val="333333"/>
                <w:sz w:val="17"/>
              </w:rPr>
              <w:t>4. P2P, 웹하드, 상용 메신저 등의 인터넷 사용제한</w:t>
            </w:r>
          </w:p>
        </w:tc>
        <w:tc>
          <w:tcPr>
            <w:tcW w:type="dxa" w:w="3061"/>
          </w:tcPr>
          <w:p>
            <w:pPr>
              <w:spacing w:after="24" w:line="283" w:lineRule="auto"/>
              <w:ind w:left="170"/>
            </w:pPr>
            <w:r/>
            <w:r>
              <w:rPr>
                <w:rFonts w:ascii="맑은 고딕" w:hAnsi="맑은 고딕" w:eastAsia="맑은 고딕"/>
                <w:b w:val="0"/>
                <w:color w:val="333333"/>
                <w:sz w:val="17"/>
              </w:rPr>
              <w:t>4. P2P, 웹하드, 상용 메신저 등의 인터넷 사용제한.</w:t>
            </w:r>
            <w:r>
              <w:rPr>
                <w:rFonts w:ascii="맑은 고딕" w:hAnsi="맑은 고딕" w:eastAsia="맑은 고딕"/>
                <w:b w:val="0"/>
                <w:color w:val="124AC8"/>
                <w:sz w:val="17"/>
              </w:rPr>
              <w:t xml:space="preserve"> 다만, 제50조의2에 따라 승인받은 업무용 외부 메신저는 승인된 단말에서 사용할 수 있다.</w:t>
            </w:r>
          </w:p>
        </w:tc>
        <w:tc>
          <w:tcPr>
            <w:tcW w:type="dxa" w:w="2608"/>
          </w:tcPr>
          <w:p>
            <w:pPr>
              <w:spacing w:after="24" w:line="283" w:lineRule="auto"/>
            </w:pPr>
            <w:r/>
            <w:r>
              <w:rPr>
                <w:rFonts w:ascii="맑은 고딕" w:hAnsi="맑은 고딕" w:eastAsia="맑은 고딕"/>
                <w:b w:val="0"/>
                <w:color w:val="333333"/>
                <w:sz w:val="17"/>
              </w:rPr>
              <w:t>★ 제3조제23호의 주요직무자 정의(중요정보·중요업무 처리자, 개인정보 다운로드 가능자, 정보시스템 접속 가능자)에 통지·추심 업무 담당자가 포함되므로, 현행대로면 고객정보를 다루지 않는 단순 업무 협의용 메신저까지 전면 차단됨. 승인 절차와 연결한 단서를 둠</w:t>
            </w:r>
          </w:p>
        </w:tc>
      </w:tr>
      <w:tr>
        <w:tc>
          <w:tcPr>
            <w:tcW w:type="dxa" w:w="1644"/>
          </w:tcPr>
          <w:p>
            <w:pPr>
              <w:spacing w:after="24" w:line="283" w:lineRule="auto"/>
            </w:pPr>
            <w:r/>
            <w:r>
              <w:rPr>
                <w:rFonts w:ascii="맑은 고딕" w:hAnsi="맑은 고딕" w:eastAsia="맑은 고딕"/>
                <w:b/>
                <w:color w:val="1A1A1A"/>
                <w:sz w:val="17"/>
              </w:rPr>
              <w:t>제44조제3항</w:t>
            </w:r>
          </w:p>
          <w:p>
            <w:pPr>
              <w:spacing w:after="24" w:line="283" w:lineRule="auto"/>
            </w:pPr>
            <w:r>
              <w:rPr>
                <w:rFonts w:ascii="맑은 고딕" w:hAnsi="맑은 고딕" w:eastAsia="맑은 고딕"/>
                <w:b/>
                <w:color w:val="1A1A1A"/>
                <w:sz w:val="17"/>
              </w:rPr>
              <w:t>(소프트웨어 설치 및 사용)</w:t>
            </w:r>
          </w:p>
        </w:tc>
        <w:tc>
          <w:tcPr>
            <w:tcW w:type="dxa" w:w="2608"/>
          </w:tcPr>
          <w:p>
            <w:pPr>
              <w:spacing w:after="24" w:line="283" w:lineRule="auto"/>
            </w:pPr>
            <w:r/>
            <w:r>
              <w:rPr>
                <w:rFonts w:ascii="맑은 고딕" w:hAnsi="맑은 고딕" w:eastAsia="맑은 고딕"/>
                <w:b w:val="0"/>
                <w:color w:val="333333"/>
                <w:sz w:val="17"/>
              </w:rPr>
              <w:t>③ 업무상 특정 소프트웨어가 필요한 경우에는 정보보호 관리자의 승인을 득한 후 사용하여야 한다.</w:t>
            </w:r>
          </w:p>
        </w:tc>
        <w:tc>
          <w:tcPr>
            <w:tcW w:type="dxa" w:w="3061"/>
          </w:tcPr>
          <w:p>
            <w:pPr>
              <w:spacing w:after="24" w:line="283" w:lineRule="auto"/>
            </w:pPr>
            <w:r/>
            <w:r>
              <w:rPr>
                <w:rFonts w:ascii="맑은 고딕" w:hAnsi="맑은 고딕" w:eastAsia="맑은 고딕"/>
                <w:b w:val="0"/>
                <w:color w:val="333333"/>
                <w:sz w:val="17"/>
              </w:rPr>
              <w:t>③ 업무상 특정 소프트웨어가 필요한 경우에는 정보보호 관리자의 승인을 득한 후 사용하여야 한다.</w:t>
            </w:r>
            <w:r>
              <w:rPr>
                <w:rFonts w:ascii="맑은 고딕" w:hAnsi="맑은 고딕" w:eastAsia="맑은 고딕"/>
                <w:b w:val="0"/>
                <w:color w:val="124AC8"/>
                <w:sz w:val="17"/>
              </w:rPr>
              <w:t xml:space="preserve"> 다만, 외부 메신저 등 외부기관·업체와의 통신에 이용하는 정보통신수단은 제50조의2에 따른다.</w:t>
            </w:r>
          </w:p>
        </w:tc>
        <w:tc>
          <w:tcPr>
            <w:tcW w:type="dxa" w:w="2608"/>
          </w:tcPr>
          <w:p>
            <w:pPr>
              <w:spacing w:after="24" w:line="283" w:lineRule="auto"/>
            </w:pPr>
            <w:r/>
            <w:r>
              <w:rPr>
                <w:rFonts w:ascii="맑은 고딕" w:hAnsi="맑은 고딕" w:eastAsia="맑은 고딕"/>
                <w:b w:val="0"/>
                <w:color w:val="333333"/>
                <w:sz w:val="17"/>
              </w:rPr>
              <w:t>현재 외부 메신저 이용의 유일한 승인 착지가 이 조항이나, 문언이 '소프트웨어' 도입 승인이어서 이용 범위·참여자·정보 유형 통제가 불가능. 제50조의2로 승인 절차를 일원화하고 중복·충돌을 방지</w:t>
            </w:r>
          </w:p>
        </w:tc>
      </w:tr>
      <w:tr>
        <w:tc>
          <w:tcPr>
            <w:tcW w:type="dxa" w:w="1644"/>
          </w:tcPr>
          <w:p>
            <w:pPr>
              <w:spacing w:after="24" w:line="283" w:lineRule="auto"/>
            </w:pPr>
            <w:r/>
            <w:r>
              <w:rPr>
                <w:rFonts w:ascii="맑은 고딕" w:hAnsi="맑은 고딕" w:eastAsia="맑은 고딕"/>
                <w:b/>
                <w:color w:val="1A1A1A"/>
                <w:sz w:val="17"/>
              </w:rPr>
              <w:t>제50조제4항</w:t>
            </w:r>
          </w:p>
          <w:p>
            <w:pPr>
              <w:spacing w:after="24" w:line="283" w:lineRule="auto"/>
            </w:pPr>
            <w:r>
              <w:rPr>
                <w:rFonts w:ascii="맑은 고딕" w:hAnsi="맑은 고딕" w:eastAsia="맑은 고딕"/>
                <w:b/>
                <w:color w:val="1A1A1A"/>
                <w:sz w:val="17"/>
              </w:rPr>
              <w:t>(전자메일 및 메신저 사용)</w:t>
            </w:r>
          </w:p>
        </w:tc>
        <w:tc>
          <w:tcPr>
            <w:tcW w:type="dxa" w:w="2608"/>
          </w:tcPr>
          <w:p>
            <w:pPr>
              <w:spacing w:after="24" w:line="283" w:lineRule="auto"/>
            </w:pPr>
            <w:r/>
            <w:r>
              <w:rPr>
                <w:rFonts w:ascii="맑은 고딕" w:hAnsi="맑은 고딕" w:eastAsia="맑은 고딕"/>
                <w:b w:val="0"/>
                <w:color w:val="333333"/>
                <w:sz w:val="17"/>
              </w:rPr>
              <w:t>④ 회사에서 공식적으로 허가한 메신저 이외의 사용을 금지한다.</w:t>
            </w:r>
          </w:p>
        </w:tc>
        <w:tc>
          <w:tcPr>
            <w:tcW w:type="dxa" w:w="3061"/>
          </w:tcPr>
          <w:p>
            <w:pPr>
              <w:spacing w:after="24" w:line="283" w:lineRule="auto"/>
            </w:pPr>
            <w:r/>
            <w:r>
              <w:rPr>
                <w:rFonts w:ascii="맑은 고딕" w:hAnsi="맑은 고딕" w:eastAsia="맑은 고딕"/>
                <w:b w:val="0"/>
                <w:color w:val="333333"/>
                <w:sz w:val="17"/>
              </w:rPr>
              <w:t xml:space="preserve">④ 회사가 허가한 </w:t>
            </w:r>
            <w:r>
              <w:rPr>
                <w:rFonts w:ascii="맑은 고딕" w:hAnsi="맑은 고딕" w:eastAsia="맑은 고딕"/>
                <w:b w:val="0"/>
                <w:color w:val="124AC8"/>
                <w:sz w:val="17"/>
              </w:rPr>
              <w:t>정보통신수단은 [별표 제○호]와 같으며, 그 밖의 메신저 및 외부 통신수단의 업무 이용을 금지한다. 다만, 제50조의2에 따라 승인받은 업무용 외부 메신저는 그러하지 아니하다.</w:t>
            </w:r>
            <w:r>
              <w:rPr>
                <w:rFonts w:ascii="맑은 고딕" w:hAnsi="맑은 고딕" w:eastAsia="맑은 고딕"/>
                <w:b w:val="0"/>
                <w:color w:val="333333"/>
                <w:sz w:val="17"/>
              </w:rPr>
              <w:t xml:space="preserve"> </w:t>
            </w:r>
            <w:r>
              <w:rPr>
                <w:rFonts w:ascii="맑은 고딕" w:hAnsi="맑은 고딕" w:eastAsia="맑은 고딕"/>
                <w:b w:val="0"/>
                <w:color w:val="B03030"/>
                <w:sz w:val="15"/>
              </w:rPr>
              <w:t>&lt;별표 번호는 소관부서 채번&gt;</w:t>
            </w:r>
          </w:p>
        </w:tc>
        <w:tc>
          <w:tcPr>
            <w:tcW w:type="dxa" w:w="2608"/>
          </w:tcPr>
          <w:p>
            <w:pPr>
              <w:spacing w:after="24" w:line="283" w:lineRule="auto"/>
            </w:pPr>
            <w:r/>
            <w:r>
              <w:rPr>
                <w:rFonts w:ascii="맑은 고딕" w:hAnsi="맑은 고딕" w:eastAsia="맑은 고딕"/>
                <w:b w:val="0"/>
                <w:color w:val="333333"/>
                <w:sz w:val="17"/>
              </w:rPr>
              <w:t>★ '공식적으로 허가한 메신저'가 허가 주체·목록·확인 방법을 모두 결여하여 준수 여부를 판정할 수 없음. 허가 목록을 별표로 명시하여 임직원이 확인 가능하게 하고, 목록 외 수단은 승인 절차를 거치도록 함</w:t>
            </w:r>
          </w:p>
        </w:tc>
      </w:tr>
      <w:tr>
        <w:tc>
          <w:tcPr>
            <w:tcW w:type="dxa" w:w="1644"/>
          </w:tcPr>
          <w:p>
            <w:pPr>
              <w:spacing w:after="24" w:line="283" w:lineRule="auto"/>
            </w:pPr>
            <w:r/>
            <w:r>
              <w:rPr>
                <w:rFonts w:ascii="맑은 고딕" w:hAnsi="맑은 고딕" w:eastAsia="맑은 고딕"/>
                <w:b/>
                <w:color w:val="1A1A1A"/>
                <w:sz w:val="17"/>
              </w:rPr>
              <w:t>제50조제5항</w:t>
            </w:r>
          </w:p>
          <w:p>
            <w:pPr>
              <w:spacing w:after="24" w:line="283" w:lineRule="auto"/>
            </w:pPr>
            <w:r>
              <w:rPr>
                <w:rFonts w:ascii="맑은 고딕" w:hAnsi="맑은 고딕" w:eastAsia="맑은 고딕"/>
                <w:b/>
                <w:color w:val="1A1A1A"/>
                <w:sz w:val="17"/>
              </w:rPr>
              <w:t>(전자메일 및 메신저 사용)</w:t>
            </w:r>
          </w:p>
        </w:tc>
        <w:tc>
          <w:tcPr>
            <w:tcW w:type="dxa" w:w="2608"/>
          </w:tcPr>
          <w:p>
            <w:pPr>
              <w:spacing w:after="24" w:line="283" w:lineRule="auto"/>
            </w:pPr>
            <w:r/>
            <w:r>
              <w:rPr>
                <w:rFonts w:ascii="맑은 고딕" w:hAnsi="맑은 고딕" w:eastAsia="맑은 고딕"/>
                <w:b w:val="0"/>
                <w:color w:val="333333"/>
                <w:sz w:val="17"/>
              </w:rPr>
              <w:t>⑤ 사용자는 전자메일 또는 메신저에 중요 정보를 기재 또는 포함해서는 안되며, 이를 위반하여 발생하는 불이익은 사용자의 책임으로 한다.</w:t>
            </w:r>
          </w:p>
        </w:tc>
        <w:tc>
          <w:tcPr>
            <w:tcW w:type="dxa" w:w="3061"/>
          </w:tcPr>
          <w:p>
            <w:pPr>
              <w:spacing w:after="24" w:line="283" w:lineRule="auto"/>
            </w:pPr>
            <w:r/>
            <w:r>
              <w:rPr>
                <w:rFonts w:ascii="맑은 고딕" w:hAnsi="맑은 고딕" w:eastAsia="맑은 고딕"/>
                <w:b w:val="0"/>
                <w:color w:val="333333"/>
                <w:sz w:val="17"/>
              </w:rPr>
              <w:t xml:space="preserve">⑤ 사용자는 전자메일 또는 메신저에 </w:t>
            </w:r>
            <w:r>
              <w:rPr>
                <w:rFonts w:ascii="맑은 고딕" w:hAnsi="맑은 고딕" w:eastAsia="맑은 고딕"/>
                <w:b w:val="0"/>
                <w:color w:val="124AC8"/>
                <w:sz w:val="17"/>
              </w:rPr>
              <w:t>제13조제4항에 따라 기밀 또는 대외비로 분류된 정보, 고객정보 및 고유식별정보를</w:t>
            </w:r>
            <w:r>
              <w:rPr>
                <w:rFonts w:ascii="맑은 고딕" w:hAnsi="맑은 고딕" w:eastAsia="맑은 고딕"/>
                <w:b w:val="0"/>
                <w:color w:val="333333"/>
                <w:sz w:val="17"/>
              </w:rPr>
              <w:t xml:space="preserve"> 기재 또는 포함해서는 </w:t>
            </w:r>
            <w:r>
              <w:rPr>
                <w:rFonts w:ascii="맑은 고딕" w:hAnsi="맑은 고딕" w:eastAsia="맑은 고딕"/>
                <w:b w:val="0"/>
                <w:color w:val="124AC8"/>
                <w:sz w:val="17"/>
              </w:rPr>
              <w:t>아니 되며, 이를 위반한 경우 관련 사규에 따라 조치한다.</w:t>
            </w:r>
          </w:p>
        </w:tc>
        <w:tc>
          <w:tcPr>
            <w:tcW w:type="dxa" w:w="2608"/>
          </w:tcPr>
          <w:p>
            <w:pPr>
              <w:spacing w:after="24" w:line="283" w:lineRule="auto"/>
            </w:pPr>
            <w:r/>
            <w:r>
              <w:rPr>
                <w:rFonts w:ascii="맑은 고딕" w:hAnsi="맑은 고딕" w:eastAsia="맑은 고딕"/>
                <w:b w:val="0"/>
                <w:color w:val="333333"/>
                <w:sz w:val="17"/>
              </w:rPr>
              <w:t>'중요 정보'가 이 지침 제3조 정의에 없어 판단 기준이 부재. 같은 지침 제13조제4항(기밀·대외비·일반)과 제49조제5항('대외비')이 이미 쓰는 분류 체계로 통일. 후단의 '불이익은 사용자의 책임'은 회사의 관리책임을 개인에게 전가하는 문언이어서 정비</w:t>
            </w:r>
          </w:p>
        </w:tc>
      </w:tr>
      <w:tr>
        <w:tc>
          <w:tcPr>
            <w:tcW w:type="dxa" w:w="1644"/>
          </w:tcPr>
          <w:p>
            <w:pPr>
              <w:spacing w:after="24" w:line="283" w:lineRule="auto"/>
            </w:pPr>
            <w:r/>
            <w:r>
              <w:rPr>
                <w:rFonts w:ascii="맑은 고딕" w:hAnsi="맑은 고딕" w:eastAsia="맑은 고딕"/>
                <w:b/>
                <w:color w:val="1A1A1A"/>
                <w:sz w:val="17"/>
              </w:rPr>
              <w:t>제50조의2 신설</w:t>
            </w:r>
          </w:p>
          <w:p>
            <w:pPr>
              <w:spacing w:after="24" w:line="283" w:lineRule="auto"/>
            </w:pPr>
            <w:r>
              <w:rPr>
                <w:rFonts w:ascii="맑은 고딕" w:hAnsi="맑은 고딕" w:eastAsia="맑은 고딕"/>
                <w:b/>
                <w:color w:val="1A1A1A"/>
                <w:sz w:val="17"/>
              </w:rPr>
              <w:t>(업무용 외부 메신저의</w:t>
            </w:r>
          </w:p>
          <w:p>
            <w:pPr>
              <w:spacing w:after="24" w:line="283" w:lineRule="auto"/>
            </w:pPr>
            <w:r>
              <w:rPr>
                <w:rFonts w:ascii="맑은 고딕" w:hAnsi="맑은 고딕" w:eastAsia="맑은 고딕"/>
                <w:b/>
                <w:color w:val="1A1A1A"/>
                <w:sz w:val="17"/>
              </w:rPr>
              <w:t>승인 및 이용)</w:t>
            </w:r>
          </w:p>
        </w:tc>
        <w:tc>
          <w:tcPr>
            <w:tcW w:type="dxa" w:w="2608"/>
          </w:tcPr>
          <w:p>
            <w:pPr>
              <w:spacing w:after="24" w:line="283" w:lineRule="auto"/>
            </w:pPr>
            <w:r/>
            <w:r>
              <w:rPr>
                <w:rFonts w:ascii="맑은 고딕" w:hAnsi="맑은 고딕" w:eastAsia="맑은 고딕"/>
                <w:b/>
                <w:color w:val="B03030"/>
                <w:sz w:val="17"/>
              </w:rPr>
              <w:t>〈신 설〉</w:t>
            </w:r>
          </w:p>
        </w:tc>
        <w:tc>
          <w:tcPr>
            <w:tcW w:type="dxa" w:w="3061"/>
          </w:tcPr>
          <w:p>
            <w:pPr>
              <w:spacing w:after="24" w:line="283" w:lineRule="auto"/>
            </w:pPr>
            <w:r/>
            <w:r>
              <w:rPr>
                <w:rFonts w:ascii="맑은 고딕" w:hAnsi="맑은 고딕" w:eastAsia="맑은 고딕"/>
                <w:b w:val="0"/>
                <w:color w:val="124AC8"/>
                <w:sz w:val="17"/>
              </w:rPr>
              <w:t>제50조의2(업무용 외부 메신저의 승인 및 이용) ① 부점장은 외부기관·업체와의 업무 협의를 위하여 [별표 제○호] 외의 메신저를 이용하려는 경우 다음 각 호의 사항을 적어 정보보호 관리자에게 승인을 신청하여야 한다.</w:t>
            </w:r>
          </w:p>
          <w:p>
            <w:pPr>
              <w:spacing w:after="24" w:line="283" w:lineRule="auto"/>
            </w:pPr>
            <w:r>
              <w:rPr>
                <w:rFonts w:ascii="맑은 고딕" w:hAnsi="맑은 고딕" w:eastAsia="맑은 고딕"/>
                <w:b w:val="0"/>
                <w:color w:val="124AC8"/>
                <w:sz w:val="17"/>
              </w:rPr>
              <w:t>1. 이용 목적, 상대방 및 참여 인원</w:t>
            </w:r>
          </w:p>
          <w:p>
            <w:pPr>
              <w:spacing w:after="24" w:line="283" w:lineRule="auto"/>
            </w:pPr>
            <w:r>
              <w:rPr>
                <w:rFonts w:ascii="맑은 고딕" w:hAnsi="맑은 고딕" w:eastAsia="맑은 고딕"/>
                <w:b w:val="0"/>
                <w:color w:val="124AC8"/>
                <w:sz w:val="17"/>
              </w:rPr>
              <w:t>2. 이용할 단말의 종류</w:t>
            </w:r>
          </w:p>
          <w:p>
            <w:pPr>
              <w:spacing w:after="24" w:line="283" w:lineRule="auto"/>
            </w:pPr>
            <w:r>
              <w:rPr>
                <w:rFonts w:ascii="맑은 고딕" w:hAnsi="맑은 고딕" w:eastAsia="맑은 고딕"/>
                <w:b w:val="0"/>
                <w:color w:val="124AC8"/>
                <w:sz w:val="17"/>
              </w:rPr>
              <w:t>3. 이용 기간 및 종료 후 대화기록의 처리 방법</w:t>
            </w:r>
          </w:p>
          <w:p>
            <w:pPr>
              <w:spacing w:after="24" w:line="283" w:lineRule="auto"/>
            </w:pPr>
            <w:r>
              <w:rPr>
                <w:rFonts w:ascii="맑은 고딕" w:hAnsi="맑은 고딕" w:eastAsia="맑은 고딕"/>
                <w:b w:val="0"/>
                <w:color w:val="124AC8"/>
                <w:sz w:val="17"/>
              </w:rPr>
              <w:t>② 정보보호 관리자는 「정보보호위원회 지침」 제9조에 따른 실무협의회의 보안성 검토를 거쳐 승인 여부를 결정한다. 다만, 주요직무자의 업무용 PC에서 이용하는 경우에는 정보보호위원회의 승인을 받아야 한다.</w:t>
            </w:r>
          </w:p>
          <w:p>
            <w:pPr>
              <w:spacing w:after="24" w:line="283" w:lineRule="auto"/>
            </w:pPr>
            <w:r>
              <w:rPr>
                <w:rFonts w:ascii="맑은 고딕" w:hAnsi="맑은 고딕" w:eastAsia="맑은 고딕"/>
                <w:b w:val="0"/>
                <w:color w:val="124AC8"/>
                <w:sz w:val="17"/>
              </w:rPr>
              <w:t>③ 이용 기간은 1년을 초과할 수 없으며, 계속 이용하려는 경우에는 재승인을 받아야 한다.</w:t>
            </w:r>
          </w:p>
          <w:p>
            <w:pPr>
              <w:spacing w:after="24" w:line="283" w:lineRule="auto"/>
            </w:pPr>
            <w:r>
              <w:rPr>
                <w:rFonts w:ascii="맑은 고딕" w:hAnsi="맑은 고딕" w:eastAsia="맑은 고딕"/>
                <w:b w:val="0"/>
                <w:color w:val="124AC8"/>
                <w:sz w:val="17"/>
              </w:rPr>
              <w:t>④ 승인받은 외부 메신저를 통하여 다음 각 호의 정보를 주고받아서는 아니 된다.</w:t>
            </w:r>
          </w:p>
          <w:p>
            <w:pPr>
              <w:spacing w:after="24" w:line="283" w:lineRule="auto"/>
            </w:pPr>
            <w:r>
              <w:rPr>
                <w:rFonts w:ascii="맑은 고딕" w:hAnsi="맑은 고딕" w:eastAsia="맑은 고딕"/>
                <w:b w:val="0"/>
                <w:color w:val="124AC8"/>
                <w:sz w:val="17"/>
              </w:rPr>
              <w:t>1. 「고객정보관리지침」에 따른 고객정보</w:t>
            </w:r>
          </w:p>
          <w:p>
            <w:pPr>
              <w:spacing w:after="24" w:line="283" w:lineRule="auto"/>
            </w:pPr>
            <w:r>
              <w:rPr>
                <w:rFonts w:ascii="맑은 고딕" w:hAnsi="맑은 고딕" w:eastAsia="맑은 고딕"/>
                <w:b w:val="0"/>
                <w:color w:val="124AC8"/>
                <w:sz w:val="17"/>
              </w:rPr>
              <w:t>2. 고유식별정보, 계좌정보 및 생체인식정보</w:t>
            </w:r>
          </w:p>
          <w:p>
            <w:pPr>
              <w:spacing w:after="24" w:line="283" w:lineRule="auto"/>
            </w:pPr>
            <w:r>
              <w:rPr>
                <w:rFonts w:ascii="맑은 고딕" w:hAnsi="맑은 고딕" w:eastAsia="맑은 고딕"/>
                <w:b w:val="0"/>
                <w:color w:val="124AC8"/>
                <w:sz w:val="17"/>
              </w:rPr>
              <w:t>3. 제13조제4항에 따라 기밀 또는 대외비로 분류된 문서 및 그 내용</w:t>
            </w:r>
          </w:p>
          <w:p>
            <w:pPr>
              <w:spacing w:after="24" w:line="283" w:lineRule="auto"/>
            </w:pPr>
            <w:r>
              <w:rPr>
                <w:rFonts w:ascii="맑은 고딕" w:hAnsi="맑은 고딕" w:eastAsia="맑은 고딕"/>
                <w:b w:val="0"/>
                <w:color w:val="124AC8"/>
                <w:sz w:val="17"/>
              </w:rPr>
              <w:t>4. 정보시스템의 계정·비밀번호 및 접속정보</w:t>
            </w:r>
          </w:p>
          <w:p>
            <w:pPr>
              <w:spacing w:after="24" w:line="283" w:lineRule="auto"/>
            </w:pPr>
            <w:r>
              <w:rPr>
                <w:rFonts w:ascii="맑은 고딕" w:hAnsi="맑은 고딕" w:eastAsia="맑은 고딕"/>
                <w:b w:val="0"/>
                <w:color w:val="124AC8"/>
                <w:sz w:val="17"/>
              </w:rPr>
              <w:t>⑤ 제4항의 정보를 외부기관·업체에 전달하여야 하는 경우에는 「IT인프라 보안 지침」 제67조에 따른 망 연계시스템 또는 인가된 보조기억매체를 이용하고, 「문서관리규정」에 따라 시행문으로 처리한다.</w:t>
            </w:r>
          </w:p>
          <w:p>
            <w:pPr>
              <w:spacing w:after="24" w:line="283" w:lineRule="auto"/>
            </w:pPr>
            <w:r>
              <w:rPr>
                <w:rFonts w:ascii="맑은 고딕" w:hAnsi="맑은 고딕" w:eastAsia="맑은 고딕"/>
                <w:b w:val="0"/>
                <w:color w:val="124AC8"/>
                <w:sz w:val="17"/>
              </w:rPr>
              <w:t>⑥ 부점장은 참여자를 업무 수행에 필요한 최소한으로 제한하고, 인사이동·퇴직 또는 계약 종료 시 지체 없이 해당자를 대화방에서 배제하며, 이용 기간이 끝나면 대화기록을 내려받아 보존한 후 대화방을 폐쇄하여야 한다.</w:t>
            </w:r>
          </w:p>
          <w:p>
            <w:pPr>
              <w:spacing w:after="24" w:line="283" w:lineRule="auto"/>
            </w:pPr>
            <w:r>
              <w:rPr>
                <w:rFonts w:ascii="맑은 고딕" w:hAnsi="맑은 고딕" w:eastAsia="맑은 고딕"/>
                <w:b w:val="0"/>
                <w:color w:val="124AC8"/>
                <w:sz w:val="17"/>
              </w:rPr>
              <w:t>⑦ 상대방이 외부업체인 경우에는 제33조에 따른 보안요구사항을 계약에 반영하고 정보보호서약서 및 비밀유지 서약서를 징구하여야 한다.</w:t>
            </w:r>
          </w:p>
          <w:p>
            <w:pPr>
              <w:spacing w:after="24" w:line="283" w:lineRule="auto"/>
            </w:pPr>
            <w:r>
              <w:rPr>
                <w:rFonts w:ascii="맑은 고딕" w:hAnsi="맑은 고딕" w:eastAsia="맑은 고딕"/>
                <w:b w:val="0"/>
                <w:color w:val="124AC8"/>
                <w:sz w:val="17"/>
              </w:rPr>
              <w:t>⑧ 정보보호 관리자는 제4항을 위반한 사실을 확인한 경우 즉시 이용을 중지시키고 필요한 조치를 하여야 한다.</w:t>
            </w:r>
          </w:p>
        </w:tc>
        <w:tc>
          <w:tcPr>
            <w:tcW w:type="dxa" w:w="2608"/>
          </w:tcPr>
          <w:p>
            <w:pPr>
              <w:spacing w:after="24" w:line="283" w:lineRule="auto"/>
            </w:pPr>
            <w:r/>
            <w:r>
              <w:rPr>
                <w:rFonts w:ascii="맑은 고딕" w:hAnsi="맑은 고딕" w:eastAsia="맑은 고딕"/>
                <w:b w:val="0"/>
                <w:color w:val="333333"/>
                <w:sz w:val="17"/>
              </w:rPr>
              <w:t>★ 신설. 현행은 '허가'만 있고 신청·심사·승인권자·이용 조건·종료 절차가 전무하여, 허가를 받으려 해도 밟을 절차가 없음. 승인 요건과 금지 정보 유형을 명시하여 고객정보는 승인 여부와 무관하게 차단되도록 설계</w:t>
            </w:r>
          </w:p>
        </w:tc>
      </w:tr>
      <w:tr>
        <w:tc>
          <w:tcPr>
            <w:tcW w:type="dxa" w:w="1644"/>
          </w:tcPr>
          <w:p>
            <w:pPr>
              <w:spacing w:after="24" w:line="283" w:lineRule="auto"/>
            </w:pPr>
            <w:r/>
            <w:r>
              <w:rPr>
                <w:rFonts w:ascii="맑은 고딕" w:hAnsi="맑은 고딕" w:eastAsia="맑은 고딕"/>
                <w:b/>
                <w:color w:val="1A1A1A"/>
                <w:sz w:val="17"/>
              </w:rPr>
              <w:t>[별표 제○호] 신설</w:t>
            </w:r>
          </w:p>
          <w:p>
            <w:pPr>
              <w:spacing w:after="24" w:line="283" w:lineRule="auto"/>
            </w:pPr>
            <w:r>
              <w:rPr>
                <w:rFonts w:ascii="맑은 고딕" w:hAnsi="맑은 고딕" w:eastAsia="맑은 고딕"/>
                <w:b/>
                <w:color w:val="1A1A1A"/>
                <w:sz w:val="17"/>
              </w:rPr>
              <w:t>(허가된 정보통신수단)</w:t>
            </w:r>
          </w:p>
        </w:tc>
        <w:tc>
          <w:tcPr>
            <w:tcW w:type="dxa" w:w="2608"/>
          </w:tcPr>
          <w:p>
            <w:pPr>
              <w:spacing w:after="24" w:line="283" w:lineRule="auto"/>
            </w:pPr>
            <w:r/>
            <w:r>
              <w:rPr>
                <w:rFonts w:ascii="맑은 고딕" w:hAnsi="맑은 고딕" w:eastAsia="맑은 고딕"/>
                <w:b/>
                <w:color w:val="B03030"/>
                <w:sz w:val="17"/>
              </w:rPr>
              <w:t>〈신 설〉</w:t>
            </w:r>
          </w:p>
        </w:tc>
        <w:tc>
          <w:tcPr>
            <w:tcW w:type="dxa" w:w="3061"/>
          </w:tcPr>
          <w:p>
            <w:pPr>
              <w:spacing w:after="24" w:line="283" w:lineRule="auto"/>
            </w:pPr>
            <w:r/>
            <w:r>
              <w:rPr>
                <w:rFonts w:ascii="맑은 고딕" w:hAnsi="맑은 고딕" w:eastAsia="맑은 고딕"/>
                <w:b w:val="0"/>
                <w:color w:val="124AC8"/>
                <w:sz w:val="17"/>
              </w:rPr>
              <w:t>[별표 제○호] 회사가 허가한 정보통신수단 (제50조제4항 관련)</w:t>
            </w:r>
          </w:p>
          <w:p>
            <w:pPr>
              <w:spacing w:after="24" w:line="283" w:lineRule="auto"/>
            </w:pPr>
            <w:r>
              <w:rPr>
                <w:rFonts w:ascii="맑은 고딕" w:hAnsi="맑은 고딕" w:eastAsia="맑은 고딕"/>
                <w:b w:val="0"/>
                <w:color w:val="124AC8"/>
                <w:sz w:val="17"/>
              </w:rPr>
              <w:t xml:space="preserve">  1. 사내 전자우편 시스템 : 그룹웨어 메일</w:t>
            </w:r>
          </w:p>
          <w:p>
            <w:pPr>
              <w:spacing w:after="24" w:line="283" w:lineRule="auto"/>
            </w:pPr>
            <w:r>
              <w:rPr>
                <w:rFonts w:ascii="맑은 고딕" w:hAnsi="맑은 고딕" w:eastAsia="맑은 고딕"/>
                <w:b w:val="0"/>
                <w:color w:val="124AC8"/>
                <w:sz w:val="17"/>
              </w:rPr>
              <w:t xml:space="preserve">  2. 사내 메신저 : ○○○ </w:t>
            </w:r>
            <w:r>
              <w:rPr>
                <w:rFonts w:ascii="맑은 고딕" w:hAnsi="맑은 고딕" w:eastAsia="맑은 고딕"/>
                <w:b w:val="0"/>
                <w:color w:val="B03030"/>
                <w:sz w:val="15"/>
              </w:rPr>
              <w:t>&lt;실제 운영 중인 명칭 확인&gt;</w:t>
            </w:r>
          </w:p>
          <w:p>
            <w:pPr>
              <w:spacing w:after="24" w:line="283" w:lineRule="auto"/>
            </w:pPr>
            <w:r>
              <w:rPr>
                <w:rFonts w:ascii="맑은 고딕" w:hAnsi="맑은 고딕" w:eastAsia="맑은 고딕"/>
                <w:b w:val="0"/>
                <w:color w:val="124AC8"/>
                <w:sz w:val="17"/>
              </w:rPr>
              <w:t xml:space="preserve">  3. 업무용 외부 메신저 : 제50조의2에 따라 승인받은 것에 한한다</w:t>
            </w:r>
          </w:p>
          <w:p>
            <w:pPr>
              <w:spacing w:after="24" w:line="283" w:lineRule="auto"/>
            </w:pPr>
            <w:r>
              <w:rPr>
                <w:rFonts w:ascii="맑은 고딕" w:hAnsi="맑은 고딕" w:eastAsia="맑은 고딕"/>
                <w:b w:val="0"/>
                <w:color w:val="124AC8"/>
                <w:sz w:val="17"/>
              </w:rPr>
              <w:t xml:space="preserve">  ※ 정보보호 관리자는 이 목록의 적정성을 연 1회 이상 검토하고, 변경이 필요한 경우 이 지침의 개정을 추진한다.</w:t>
            </w:r>
          </w:p>
        </w:tc>
        <w:tc>
          <w:tcPr>
            <w:tcW w:type="dxa" w:w="2608"/>
          </w:tcPr>
          <w:p>
            <w:pPr>
              <w:spacing w:after="24" w:line="283" w:lineRule="auto"/>
            </w:pPr>
            <w:r/>
            <w:r>
              <w:rPr>
                <w:rFonts w:ascii="맑은 고딕" w:hAnsi="맑은 고딕" w:eastAsia="맑은 고딕"/>
                <w:b w:val="0"/>
                <w:color w:val="333333"/>
                <w:sz w:val="17"/>
              </w:rPr>
              <w:t>허가 목록을 사규에 명시하여 임직원이 확인 가능하게 함. 「사규관리규정」 제11조제3항의 [별표 제N호] 표기를 따름. 도구가 자주 바뀌는 점을 고려해 상시 이용 수단만 별표에 두고, 개별 사업 단위의 한시 이용은 제50조의2 승인으로 처리</w:t>
            </w:r>
          </w:p>
        </w:tc>
      </w:tr>
    </w:tbl>
    <w:p>
      <w:pPr>
        <w:spacing w:before="180" w:after="60"/>
      </w:pPr>
      <w:r>
        <w:rPr>
          <w:rFonts w:ascii="맑은 고딕" w:hAnsi="맑은 고딕" w:eastAsia="맑은 고딕"/>
          <w:b/>
          <w:color w:val="1A1A1A"/>
          <w:sz w:val="22"/>
        </w:rPr>
        <w:t>「정보보호위원회 지침」(3-4)</w:t>
      </w:r>
      <w:r>
        <w:rPr>
          <w:rFonts w:ascii="맑은 고딕" w:hAnsi="맑은 고딕" w:eastAsia="맑은 고딕"/>
          <w:b w:val="0"/>
          <w:color w:val="777777"/>
          <w:sz w:val="18"/>
        </w:rPr>
        <w:t xml:space="preserve">   소관: 정보보호팀</w:t>
      </w:r>
    </w:p>
    <w:tbl>
      <w:tblPr>
        <w:tblStyle w:val="TableGrid"/>
        <w:tblW w:type="auto" w:w="0"/>
        <w:tblLook w:firstColumn="1" w:firstRow="1" w:lastColumn="0" w:lastRow="0" w:noHBand="0" w:noVBand="1" w:val="04A0"/>
      </w:tblPr>
      <w:tblGrid>
        <w:gridCol w:w="2494"/>
        <w:gridCol w:w="2494"/>
        <w:gridCol w:w="2494"/>
        <w:gridCol w:w="2494"/>
      </w:tblGrid>
      <w:tr>
        <w:tc>
          <w:tcPr>
            <w:tcW w:type="dxa" w:w="2494"/>
          </w:tcPr>
          <w:p>
            <w:pPr>
              <w:spacing w:after="24" w:line="283" w:lineRule="auto"/>
              <w:jc w:val="center"/>
            </w:pPr>
            <w:r/>
            <w:r>
              <w:rPr>
                <w:rFonts w:ascii="맑은 고딕" w:hAnsi="맑은 고딕" w:eastAsia="맑은 고딕"/>
                <w:b/>
                <w:color w:val="1A1A1A"/>
                <w:sz w:val="18"/>
              </w:rPr>
              <w:t>조문</w:t>
            </w:r>
          </w:p>
        </w:tc>
        <w:tc>
          <w:tcPr>
            <w:tcW w:type="dxa" w:w="2494"/>
          </w:tcPr>
          <w:p>
            <w:pPr>
              <w:spacing w:after="24" w:line="283" w:lineRule="auto"/>
              <w:jc w:val="center"/>
            </w:pPr>
            <w:r/>
            <w:r>
              <w:rPr>
                <w:rFonts w:ascii="맑은 고딕" w:hAnsi="맑은 고딕" w:eastAsia="맑은 고딕"/>
                <w:b/>
                <w:color w:val="1A1A1A"/>
                <w:sz w:val="18"/>
              </w:rPr>
              <w:t>현 행</w:t>
            </w:r>
          </w:p>
        </w:tc>
        <w:tc>
          <w:tcPr>
            <w:tcW w:type="dxa" w:w="2494"/>
          </w:tcPr>
          <w:p>
            <w:pPr>
              <w:spacing w:after="24" w:line="283" w:lineRule="auto"/>
              <w:jc w:val="center"/>
            </w:pPr>
            <w:r/>
            <w:r>
              <w:rPr>
                <w:rFonts w:ascii="맑은 고딕" w:hAnsi="맑은 고딕" w:eastAsia="맑은 고딕"/>
                <w:b/>
                <w:color w:val="1A1A1A"/>
                <w:sz w:val="18"/>
              </w:rPr>
              <w:t>개 정 안</w:t>
            </w:r>
          </w:p>
        </w:tc>
        <w:tc>
          <w:tcPr>
            <w:tcW w:type="dxa" w:w="2494"/>
          </w:tcPr>
          <w:p>
            <w:pPr>
              <w:spacing w:after="24" w:line="283" w:lineRule="auto"/>
              <w:jc w:val="center"/>
            </w:pPr>
            <w:r/>
            <w:r>
              <w:rPr>
                <w:rFonts w:ascii="맑은 고딕" w:hAnsi="맑은 고딕" w:eastAsia="맑은 고딕"/>
                <w:b/>
                <w:color w:val="1A1A1A"/>
                <w:sz w:val="18"/>
              </w:rPr>
              <w:t>수정 사유</w:t>
            </w:r>
          </w:p>
        </w:tc>
      </w:tr>
      <w:tr>
        <w:tc>
          <w:tcPr>
            <w:tcW w:type="dxa" w:w="1644"/>
          </w:tcPr>
          <w:p>
            <w:pPr>
              <w:spacing w:after="24" w:line="283" w:lineRule="auto"/>
            </w:pPr>
            <w:r/>
            <w:r>
              <w:rPr>
                <w:rFonts w:ascii="맑은 고딕" w:hAnsi="맑은 고딕" w:eastAsia="맑은 고딕"/>
                <w:b/>
                <w:color w:val="1A1A1A"/>
                <w:sz w:val="17"/>
              </w:rPr>
              <w:t>제4조제1항</w:t>
            </w:r>
          </w:p>
          <w:p>
            <w:pPr>
              <w:spacing w:after="24" w:line="283" w:lineRule="auto"/>
            </w:pPr>
            <w:r>
              <w:rPr>
                <w:rFonts w:ascii="맑은 고딕" w:hAnsi="맑은 고딕" w:eastAsia="맑은 고딕"/>
                <w:b/>
                <w:color w:val="1A1A1A"/>
                <w:sz w:val="17"/>
              </w:rPr>
              <w:t>(심의·의결사항)</w:t>
            </w:r>
          </w:p>
        </w:tc>
        <w:tc>
          <w:tcPr>
            <w:tcW w:type="dxa" w:w="2608"/>
          </w:tcPr>
          <w:p>
            <w:pPr>
              <w:spacing w:after="24" w:line="283" w:lineRule="auto"/>
            </w:pPr>
            <w:r/>
            <w:r>
              <w:rPr>
                <w:rFonts w:ascii="맑은 고딕" w:hAnsi="맑은 고딕" w:eastAsia="맑은 고딕"/>
                <w:b w:val="0"/>
                <w:color w:val="333333"/>
                <w:sz w:val="17"/>
              </w:rPr>
              <w:t>① 위원회의 심의·의결사항은 다음 각 호와 같다.</w:t>
            </w:r>
          </w:p>
          <w:p>
            <w:pPr>
              <w:spacing w:after="24" w:line="283" w:lineRule="auto"/>
              <w:ind w:left="170"/>
            </w:pPr>
            <w:r>
              <w:rPr>
                <w:rFonts w:ascii="맑은 고딕" w:hAnsi="맑은 고딕" w:eastAsia="맑은 고딕"/>
                <w:b w:val="0"/>
                <w:color w:val="333333"/>
                <w:sz w:val="17"/>
              </w:rPr>
              <w:t>1. 정보보호를 위한 전략 및 계획의 수립(예산 및 인력 포함)</w:t>
            </w:r>
          </w:p>
          <w:p>
            <w:pPr>
              <w:spacing w:after="24" w:line="283" w:lineRule="auto"/>
              <w:ind w:left="170"/>
            </w:pPr>
            <w:r>
              <w:rPr>
                <w:rFonts w:ascii="맑은 고딕" w:hAnsi="맑은 고딕" w:eastAsia="맑은 고딕"/>
                <w:b w:val="0"/>
                <w:color w:val="333333"/>
                <w:sz w:val="17"/>
              </w:rPr>
              <w:t>2. 정보보호정책 제·개정에 대한 심의 및 의결</w:t>
            </w:r>
          </w:p>
          <w:p>
            <w:pPr>
              <w:spacing w:after="24" w:line="283" w:lineRule="auto"/>
              <w:ind w:left="170"/>
            </w:pPr>
            <w:r>
              <w:rPr>
                <w:rFonts w:ascii="맑은 고딕" w:hAnsi="맑은 고딕" w:eastAsia="맑은 고딕"/>
                <w:b w:val="0"/>
                <w:color w:val="333333"/>
                <w:sz w:val="17"/>
              </w:rPr>
              <w:t>3. 취약점 분석평가 결과 및 보완조치의 이행계획에 관한 사항</w:t>
            </w:r>
          </w:p>
          <w:p>
            <w:pPr>
              <w:spacing w:after="24" w:line="283" w:lineRule="auto"/>
              <w:ind w:left="170"/>
            </w:pPr>
            <w:r>
              <w:rPr>
                <w:rFonts w:ascii="맑은 고딕" w:hAnsi="맑은 고딕" w:eastAsia="맑은 고딕"/>
                <w:b w:val="0"/>
                <w:color w:val="333333"/>
                <w:sz w:val="17"/>
              </w:rPr>
              <w:t>4. 중대한 전산보안사고 및 전산보안관련 규정 위반자에 대한 보고</w:t>
            </w:r>
          </w:p>
          <w:p>
            <w:pPr>
              <w:spacing w:after="24" w:line="283" w:lineRule="auto"/>
              <w:ind w:left="170"/>
            </w:pPr>
            <w:r>
              <w:rPr>
                <w:rFonts w:ascii="맑은 고딕" w:hAnsi="맑은 고딕" w:eastAsia="맑은 고딕"/>
                <w:b w:val="0"/>
                <w:color w:val="333333"/>
                <w:sz w:val="17"/>
              </w:rPr>
              <w:t>5. 기타 정보보호위원회 의장이 정보보안업무 수행에 필요하다고 정한 사항</w:t>
            </w:r>
          </w:p>
        </w:tc>
        <w:tc>
          <w:tcPr>
            <w:tcW w:type="dxa" w:w="3061"/>
          </w:tcPr>
          <w:p>
            <w:pPr>
              <w:spacing w:after="24" w:line="283" w:lineRule="auto"/>
            </w:pPr>
            <w:r/>
            <w:r>
              <w:rPr>
                <w:rFonts w:ascii="맑은 고딕" w:hAnsi="맑은 고딕" w:eastAsia="맑은 고딕"/>
                <w:b w:val="0"/>
                <w:color w:val="333333"/>
                <w:sz w:val="17"/>
              </w:rPr>
              <w:t>① 위원회의 심의·의결사항은 다음 각 호와 같다.</w:t>
            </w:r>
          </w:p>
          <w:p>
            <w:pPr>
              <w:spacing w:after="24" w:line="283" w:lineRule="auto"/>
              <w:ind w:left="170"/>
            </w:pPr>
            <w:r>
              <w:rPr>
                <w:rFonts w:ascii="맑은 고딕" w:hAnsi="맑은 고딕" w:eastAsia="맑은 고딕"/>
                <w:b w:val="0"/>
                <w:color w:val="333333"/>
                <w:sz w:val="17"/>
              </w:rPr>
              <w:t>1. 정보보호를 위한 전략 및 계획의 수립(예산 및 인력 포함)</w:t>
            </w:r>
          </w:p>
          <w:p>
            <w:pPr>
              <w:spacing w:after="24" w:line="283" w:lineRule="auto"/>
              <w:ind w:left="170"/>
            </w:pPr>
            <w:r>
              <w:rPr>
                <w:rFonts w:ascii="맑은 고딕" w:hAnsi="맑은 고딕" w:eastAsia="맑은 고딕"/>
                <w:b w:val="0"/>
                <w:color w:val="333333"/>
                <w:sz w:val="17"/>
              </w:rPr>
              <w:t>2. 정보보호정책 제·개정에 대한 심의 및 의결</w:t>
            </w:r>
          </w:p>
          <w:p>
            <w:pPr>
              <w:spacing w:after="24" w:line="283" w:lineRule="auto"/>
              <w:ind w:left="170"/>
            </w:pPr>
            <w:r>
              <w:rPr>
                <w:rFonts w:ascii="맑은 고딕" w:hAnsi="맑은 고딕" w:eastAsia="맑은 고딕"/>
                <w:b w:val="0"/>
                <w:color w:val="333333"/>
                <w:sz w:val="17"/>
              </w:rPr>
              <w:t>3. 취약점 분석평가 결과 및 보완조치의 이행계획에 관한 사항</w:t>
            </w:r>
          </w:p>
          <w:p>
            <w:pPr>
              <w:spacing w:after="24" w:line="283" w:lineRule="auto"/>
              <w:ind w:left="170"/>
            </w:pPr>
            <w:r>
              <w:rPr>
                <w:rFonts w:ascii="맑은 고딕" w:hAnsi="맑은 고딕" w:eastAsia="맑은 고딕"/>
                <w:b w:val="0"/>
                <w:color w:val="333333"/>
                <w:sz w:val="17"/>
              </w:rPr>
              <w:t>4. 중대한 전산보안사고 및 전산보안관련 규정 위반자에 대한 보고</w:t>
            </w:r>
          </w:p>
          <w:p>
            <w:pPr>
              <w:spacing w:after="24" w:line="283" w:lineRule="auto"/>
            </w:pPr>
            <w:r>
              <w:rPr>
                <w:rFonts w:ascii="맑은 고딕" w:hAnsi="맑은 고딕" w:eastAsia="맑은 고딕"/>
                <w:b w:val="0"/>
                <w:color w:val="124AC8"/>
                <w:sz w:val="17"/>
              </w:rPr>
              <w:t>5. 외부 정보통신서비스(업무용 메신저, 협업도구, 클라우드 서비스 등)의 업무 이용 승인 및 승인의 취소</w:t>
            </w:r>
          </w:p>
          <w:p>
            <w:pPr>
              <w:spacing w:after="24" w:line="283" w:lineRule="auto"/>
            </w:pPr>
            <w:r>
              <w:rPr>
                <w:rFonts w:ascii="맑은 고딕" w:hAnsi="맑은 고딕" w:eastAsia="맑은 고딕"/>
                <w:b w:val="0"/>
                <w:color w:val="124AC8"/>
                <w:sz w:val="17"/>
              </w:rPr>
              <w:t>6.</w:t>
            </w:r>
            <w:r>
              <w:rPr>
                <w:rFonts w:ascii="맑은 고딕" w:hAnsi="맑은 고딕" w:eastAsia="맑은 고딕"/>
                <w:b w:val="0"/>
                <w:color w:val="333333"/>
                <w:sz w:val="17"/>
              </w:rPr>
              <w:t xml:space="preserve"> 기타 정보보호위원회 의장이 정보보안업무 수행에 필요하다고 정한 사항</w:t>
            </w:r>
          </w:p>
        </w:tc>
        <w:tc>
          <w:tcPr>
            <w:tcW w:type="dxa" w:w="2608"/>
          </w:tcPr>
          <w:p>
            <w:pPr>
              <w:spacing w:after="24" w:line="283" w:lineRule="auto"/>
            </w:pPr>
            <w:r/>
            <w:r>
              <w:rPr>
                <w:rFonts w:ascii="맑은 고딕" w:hAnsi="맑은 고딕" w:eastAsia="맑은 고딕"/>
                <w:b w:val="0"/>
                <w:color w:val="333333"/>
                <w:sz w:val="17"/>
              </w:rPr>
              <w:t>현행 심의사항 5개에 외부 서비스 도입·이용 승인이 없어, 「정보보호관리 지침」 제50조의2제2항 단서의 위원회 승인이 착지할 곳이 없음. 「IT인프라 보안 지침」 제66조제2항(망분리 예외의 위원회 승인)과도 같은 층위로 정리</w:t>
            </w:r>
          </w:p>
        </w:tc>
      </w:tr>
    </w:tbl>
    <w:p>
      <w:pPr>
        <w:spacing w:before="180" w:after="60"/>
      </w:pPr>
      <w:r>
        <w:rPr>
          <w:rFonts w:ascii="맑은 고딕" w:hAnsi="맑은 고딕" w:eastAsia="맑은 고딕"/>
          <w:b/>
          <w:color w:val="1A1A1A"/>
          <w:sz w:val="22"/>
        </w:rPr>
        <w:t>「문서관리규정」(7-2)</w:t>
      </w:r>
      <w:r>
        <w:rPr>
          <w:rFonts w:ascii="맑은 고딕" w:hAnsi="맑은 고딕" w:eastAsia="맑은 고딕"/>
          <w:b w:val="0"/>
          <w:color w:val="777777"/>
          <w:sz w:val="18"/>
        </w:rPr>
        <w:t xml:space="preserve">   소관: 경영전략부</w:t>
      </w:r>
    </w:p>
    <w:tbl>
      <w:tblPr>
        <w:tblStyle w:val="TableGrid"/>
        <w:tblW w:type="auto" w:w="0"/>
        <w:tblLook w:firstColumn="1" w:firstRow="1" w:lastColumn="0" w:lastRow="0" w:noHBand="0" w:noVBand="1" w:val="04A0"/>
      </w:tblPr>
      <w:tblGrid>
        <w:gridCol w:w="2494"/>
        <w:gridCol w:w="2494"/>
        <w:gridCol w:w="2494"/>
        <w:gridCol w:w="2494"/>
      </w:tblGrid>
      <w:tr>
        <w:tc>
          <w:tcPr>
            <w:tcW w:type="dxa" w:w="2494"/>
          </w:tcPr>
          <w:p>
            <w:pPr>
              <w:spacing w:after="24" w:line="283" w:lineRule="auto"/>
              <w:jc w:val="center"/>
            </w:pPr>
            <w:r/>
            <w:r>
              <w:rPr>
                <w:rFonts w:ascii="맑은 고딕" w:hAnsi="맑은 고딕" w:eastAsia="맑은 고딕"/>
                <w:b/>
                <w:color w:val="1A1A1A"/>
                <w:sz w:val="18"/>
              </w:rPr>
              <w:t>조문</w:t>
            </w:r>
          </w:p>
        </w:tc>
        <w:tc>
          <w:tcPr>
            <w:tcW w:type="dxa" w:w="2494"/>
          </w:tcPr>
          <w:p>
            <w:pPr>
              <w:spacing w:after="24" w:line="283" w:lineRule="auto"/>
              <w:jc w:val="center"/>
            </w:pPr>
            <w:r/>
            <w:r>
              <w:rPr>
                <w:rFonts w:ascii="맑은 고딕" w:hAnsi="맑은 고딕" w:eastAsia="맑은 고딕"/>
                <w:b/>
                <w:color w:val="1A1A1A"/>
                <w:sz w:val="18"/>
              </w:rPr>
              <w:t>현 행</w:t>
            </w:r>
          </w:p>
        </w:tc>
        <w:tc>
          <w:tcPr>
            <w:tcW w:type="dxa" w:w="2494"/>
          </w:tcPr>
          <w:p>
            <w:pPr>
              <w:spacing w:after="24" w:line="283" w:lineRule="auto"/>
              <w:jc w:val="center"/>
            </w:pPr>
            <w:r/>
            <w:r>
              <w:rPr>
                <w:rFonts w:ascii="맑은 고딕" w:hAnsi="맑은 고딕" w:eastAsia="맑은 고딕"/>
                <w:b/>
                <w:color w:val="1A1A1A"/>
                <w:sz w:val="18"/>
              </w:rPr>
              <w:t>개 정 안</w:t>
            </w:r>
          </w:p>
        </w:tc>
        <w:tc>
          <w:tcPr>
            <w:tcW w:type="dxa" w:w="2494"/>
          </w:tcPr>
          <w:p>
            <w:pPr>
              <w:spacing w:after="24" w:line="283" w:lineRule="auto"/>
              <w:jc w:val="center"/>
            </w:pPr>
            <w:r/>
            <w:r>
              <w:rPr>
                <w:rFonts w:ascii="맑은 고딕" w:hAnsi="맑은 고딕" w:eastAsia="맑은 고딕"/>
                <w:b/>
                <w:color w:val="1A1A1A"/>
                <w:sz w:val="18"/>
              </w:rPr>
              <w:t>수정 사유</w:t>
            </w:r>
          </w:p>
        </w:tc>
      </w:tr>
      <w:tr>
        <w:tc>
          <w:tcPr>
            <w:tcW w:type="dxa" w:w="1644"/>
          </w:tcPr>
          <w:p>
            <w:pPr>
              <w:spacing w:after="24" w:line="283" w:lineRule="auto"/>
            </w:pPr>
            <w:r/>
            <w:r>
              <w:rPr>
                <w:rFonts w:ascii="맑은 고딕" w:hAnsi="맑은 고딕" w:eastAsia="맑은 고딕"/>
                <w:b/>
                <w:color w:val="1A1A1A"/>
                <w:sz w:val="17"/>
              </w:rPr>
              <w:t>제2조</w:t>
            </w:r>
          </w:p>
          <w:p>
            <w:pPr>
              <w:spacing w:after="24" w:line="283" w:lineRule="auto"/>
            </w:pPr>
            <w:r>
              <w:rPr>
                <w:rFonts w:ascii="맑은 고딕" w:hAnsi="맑은 고딕" w:eastAsia="맑은 고딕"/>
                <w:b/>
                <w:color w:val="1A1A1A"/>
                <w:sz w:val="17"/>
              </w:rPr>
              <w:t>(문서의 범위)</w:t>
            </w:r>
          </w:p>
        </w:tc>
        <w:tc>
          <w:tcPr>
            <w:tcW w:type="dxa" w:w="2608"/>
          </w:tcPr>
          <w:p>
            <w:pPr>
              <w:spacing w:after="24" w:line="283" w:lineRule="auto"/>
            </w:pPr>
            <w:r/>
            <w:r>
              <w:rPr>
                <w:rFonts w:ascii="맑은 고딕" w:hAnsi="맑은 고딕" w:eastAsia="맑은 고딕"/>
                <w:b w:val="0"/>
                <w:color w:val="333333"/>
                <w:sz w:val="17"/>
              </w:rPr>
              <w:t>이 규정에서 문서라 함은 업무수행을 위하여 사용하는 서류(조사, 조회, 보고 등), 마이크로필름, 팩시밀리문서, 전산자료출력, 전자우편에 의하여 작성 또는 접수되는 모든 문서를 말한다.</w:t>
            </w:r>
          </w:p>
        </w:tc>
        <w:tc>
          <w:tcPr>
            <w:tcW w:type="dxa" w:w="3061"/>
          </w:tcPr>
          <w:p>
            <w:pPr>
              <w:spacing w:after="24" w:line="283" w:lineRule="auto"/>
            </w:pPr>
            <w:r/>
            <w:r>
              <w:rPr>
                <w:rFonts w:ascii="맑은 고딕" w:hAnsi="맑은 고딕" w:eastAsia="맑은 고딕"/>
                <w:b w:val="0"/>
                <w:color w:val="333333"/>
                <w:sz w:val="17"/>
              </w:rPr>
              <w:t xml:space="preserve">이 규정에서 문서라 함은 업무수행을 위하여 사용하는 서류(조사, 조회, 보고 등), 마이크로필름, 팩시밀리문서, 전산자료출력, 전자우편 </w:t>
            </w:r>
            <w:r>
              <w:rPr>
                <w:rFonts w:ascii="맑은 고딕" w:hAnsi="맑은 고딕" w:eastAsia="맑은 고딕"/>
                <w:b w:val="0"/>
                <w:color w:val="124AC8"/>
                <w:sz w:val="17"/>
              </w:rPr>
              <w:t>및 회사가 허가한 업무용 메신저에</w:t>
            </w:r>
            <w:r>
              <w:rPr>
                <w:rFonts w:ascii="맑은 고딕" w:hAnsi="맑은 고딕" w:eastAsia="맑은 고딕"/>
                <w:b w:val="0"/>
                <w:color w:val="333333"/>
                <w:sz w:val="17"/>
              </w:rPr>
              <w:t xml:space="preserve"> 의하여 작성 또는 접수되는 모든 문서를 말한다.</w:t>
            </w:r>
          </w:p>
        </w:tc>
        <w:tc>
          <w:tcPr>
            <w:tcW w:type="dxa" w:w="2608"/>
          </w:tcPr>
          <w:p>
            <w:pPr>
              <w:spacing w:after="24" w:line="283" w:lineRule="auto"/>
            </w:pPr>
            <w:r/>
            <w:r>
              <w:rPr>
                <w:rFonts w:ascii="맑은 고딕" w:hAnsi="맑은 고딕" w:eastAsia="맑은 고딕"/>
                <w:b w:val="0"/>
                <w:color w:val="333333"/>
                <w:sz w:val="17"/>
              </w:rPr>
              <w:t>현행 문서 범위에 메신저가 없어, 메신저로 오간 업무 협의가 사규상 문서가 아님. 보존·감사 대상에서 빠져 분쟁 시 근거가 남지 않음</w:t>
            </w:r>
          </w:p>
        </w:tc>
      </w:tr>
      <w:tr>
        <w:tc>
          <w:tcPr>
            <w:tcW w:type="dxa" w:w="1644"/>
          </w:tcPr>
          <w:p>
            <w:pPr>
              <w:spacing w:after="24" w:line="283" w:lineRule="auto"/>
            </w:pPr>
            <w:r/>
            <w:r>
              <w:rPr>
                <w:rFonts w:ascii="맑은 고딕" w:hAnsi="맑은 고딕" w:eastAsia="맑은 고딕"/>
                <w:b/>
                <w:color w:val="1A1A1A"/>
                <w:sz w:val="17"/>
              </w:rPr>
              <w:t>제15조의2 신설</w:t>
            </w:r>
          </w:p>
          <w:p>
            <w:pPr>
              <w:spacing w:after="24" w:line="283" w:lineRule="auto"/>
            </w:pPr>
            <w:r>
              <w:rPr>
                <w:rFonts w:ascii="맑은 고딕" w:hAnsi="맑은 고딕" w:eastAsia="맑은 고딕"/>
                <w:b/>
                <w:color w:val="1A1A1A"/>
                <w:sz w:val="17"/>
              </w:rPr>
              <w:t>(메신저 협의 결과의 처리)</w:t>
            </w:r>
          </w:p>
        </w:tc>
        <w:tc>
          <w:tcPr>
            <w:tcW w:type="dxa" w:w="2608"/>
          </w:tcPr>
          <w:p>
            <w:pPr>
              <w:spacing w:after="24" w:line="283" w:lineRule="auto"/>
            </w:pPr>
            <w:r/>
            <w:r>
              <w:rPr>
                <w:rFonts w:ascii="맑은 고딕" w:hAnsi="맑은 고딕" w:eastAsia="맑은 고딕"/>
                <w:b/>
                <w:color w:val="B03030"/>
                <w:sz w:val="17"/>
              </w:rPr>
              <w:t>〈신 설〉</w:t>
            </w:r>
          </w:p>
        </w:tc>
        <w:tc>
          <w:tcPr>
            <w:tcW w:type="dxa" w:w="3061"/>
          </w:tcPr>
          <w:p>
            <w:pPr>
              <w:spacing w:after="24" w:line="283" w:lineRule="auto"/>
            </w:pPr>
            <w:r/>
            <w:r>
              <w:rPr>
                <w:rFonts w:ascii="맑은 고딕" w:hAnsi="맑은 고딕" w:eastAsia="맑은 고딕"/>
                <w:b w:val="0"/>
                <w:color w:val="124AC8"/>
                <w:sz w:val="17"/>
              </w:rPr>
              <w:t>제15조의2(메신저 협의 결과의 처리) 회사가 허가한 업무용 메신저를 통한 협의 중 계약·비용·일정의 변경 등 의사결정에 해당하는 사항은 기안문 또는 시행문으로 정본화하여야 하며, 메신저 대화만으로 회사의 의사표시를 갈음할 수 없다.</w:t>
            </w:r>
          </w:p>
        </w:tc>
        <w:tc>
          <w:tcPr>
            <w:tcW w:type="dxa" w:w="2608"/>
          </w:tcPr>
          <w:p>
            <w:pPr>
              <w:spacing w:after="24" w:line="283" w:lineRule="auto"/>
            </w:pPr>
            <w:r/>
            <w:r>
              <w:rPr>
                <w:rFonts w:ascii="맑은 고딕" w:hAnsi="맑은 고딕" w:eastAsia="맑은 고딕"/>
                <w:b w:val="0"/>
                <w:color w:val="333333"/>
                <w:sz w:val="17"/>
              </w:rPr>
              <w:t>★ 신설. 메신저 대화가 회사의 의사표시로 오인될 위험을 차단하고, 결재 절차(제8조·제10조)를 우회하지 못하도록 함. 경영전략부 소관이므로 이번 시행직인체계 개편 건과 함께 추진 가능</w:t>
            </w:r>
          </w:p>
        </w:tc>
      </w:tr>
    </w:tbl>
    <w:p>
      <w:pPr>
        <w:spacing w:before="180" w:after="60"/>
      </w:pPr>
      <w:r>
        <w:rPr>
          <w:rFonts w:ascii="맑은 고딕" w:hAnsi="맑은 고딕" w:eastAsia="맑은 고딕"/>
          <w:b/>
          <w:color w:val="1A1A1A"/>
          <w:sz w:val="22"/>
        </w:rPr>
        <w:t>「고객정보관리 지침」(8-5) — 선택</w:t>
      </w:r>
      <w:r>
        <w:rPr>
          <w:rFonts w:ascii="맑은 고딕" w:hAnsi="맑은 고딕" w:eastAsia="맑은 고딕"/>
          <w:b w:val="0"/>
          <w:color w:val="777777"/>
          <w:sz w:val="18"/>
        </w:rPr>
        <w:t xml:space="preserve">   소관: IT운영부 정보보호팀</w:t>
      </w:r>
    </w:p>
    <w:tbl>
      <w:tblPr>
        <w:tblStyle w:val="TableGrid"/>
        <w:tblW w:type="auto" w:w="0"/>
        <w:tblLook w:firstColumn="1" w:firstRow="1" w:lastColumn="0" w:lastRow="0" w:noHBand="0" w:noVBand="1" w:val="04A0"/>
      </w:tblPr>
      <w:tblGrid>
        <w:gridCol w:w="2494"/>
        <w:gridCol w:w="2494"/>
        <w:gridCol w:w="2494"/>
        <w:gridCol w:w="2494"/>
      </w:tblGrid>
      <w:tr>
        <w:tc>
          <w:tcPr>
            <w:tcW w:type="dxa" w:w="2494"/>
          </w:tcPr>
          <w:p>
            <w:pPr>
              <w:spacing w:after="24" w:line="283" w:lineRule="auto"/>
              <w:jc w:val="center"/>
            </w:pPr>
            <w:r/>
            <w:r>
              <w:rPr>
                <w:rFonts w:ascii="맑은 고딕" w:hAnsi="맑은 고딕" w:eastAsia="맑은 고딕"/>
                <w:b/>
                <w:color w:val="1A1A1A"/>
                <w:sz w:val="18"/>
              </w:rPr>
              <w:t>조문</w:t>
            </w:r>
          </w:p>
        </w:tc>
        <w:tc>
          <w:tcPr>
            <w:tcW w:type="dxa" w:w="2494"/>
          </w:tcPr>
          <w:p>
            <w:pPr>
              <w:spacing w:after="24" w:line="283" w:lineRule="auto"/>
              <w:jc w:val="center"/>
            </w:pPr>
            <w:r/>
            <w:r>
              <w:rPr>
                <w:rFonts w:ascii="맑은 고딕" w:hAnsi="맑은 고딕" w:eastAsia="맑은 고딕"/>
                <w:b/>
                <w:color w:val="1A1A1A"/>
                <w:sz w:val="18"/>
              </w:rPr>
              <w:t>현 행</w:t>
            </w:r>
          </w:p>
        </w:tc>
        <w:tc>
          <w:tcPr>
            <w:tcW w:type="dxa" w:w="2494"/>
          </w:tcPr>
          <w:p>
            <w:pPr>
              <w:spacing w:after="24" w:line="283" w:lineRule="auto"/>
              <w:jc w:val="center"/>
            </w:pPr>
            <w:r/>
            <w:r>
              <w:rPr>
                <w:rFonts w:ascii="맑은 고딕" w:hAnsi="맑은 고딕" w:eastAsia="맑은 고딕"/>
                <w:b/>
                <w:color w:val="1A1A1A"/>
                <w:sz w:val="18"/>
              </w:rPr>
              <w:t>개 정 안</w:t>
            </w:r>
          </w:p>
        </w:tc>
        <w:tc>
          <w:tcPr>
            <w:tcW w:type="dxa" w:w="2494"/>
          </w:tcPr>
          <w:p>
            <w:pPr>
              <w:spacing w:after="24" w:line="283" w:lineRule="auto"/>
              <w:jc w:val="center"/>
            </w:pPr>
            <w:r/>
            <w:r>
              <w:rPr>
                <w:rFonts w:ascii="맑은 고딕" w:hAnsi="맑은 고딕" w:eastAsia="맑은 고딕"/>
                <w:b/>
                <w:color w:val="1A1A1A"/>
                <w:sz w:val="18"/>
              </w:rPr>
              <w:t>수정 사유</w:t>
            </w:r>
          </w:p>
        </w:tc>
      </w:tr>
      <w:tr>
        <w:tc>
          <w:tcPr>
            <w:tcW w:type="dxa" w:w="1644"/>
          </w:tcPr>
          <w:p>
            <w:pPr>
              <w:spacing w:after="24" w:line="283" w:lineRule="auto"/>
            </w:pPr>
            <w:r/>
            <w:r>
              <w:rPr>
                <w:rFonts w:ascii="맑은 고딕" w:hAnsi="맑은 고딕" w:eastAsia="맑은 고딕"/>
                <w:b/>
                <w:color w:val="1A1A1A"/>
                <w:sz w:val="17"/>
              </w:rPr>
              <w:t>제12조제8항제3호</w:t>
            </w:r>
          </w:p>
          <w:p>
            <w:pPr>
              <w:spacing w:after="24" w:line="283" w:lineRule="auto"/>
            </w:pPr>
            <w:r>
              <w:rPr>
                <w:rFonts w:ascii="맑은 고딕" w:hAnsi="맑은 고딕" w:eastAsia="맑은 고딕"/>
                <w:b/>
                <w:color w:val="1A1A1A"/>
                <w:sz w:val="17"/>
              </w:rPr>
              <w:t>(고객정보에 대한 보관 및 관리)</w:t>
            </w:r>
          </w:p>
        </w:tc>
        <w:tc>
          <w:tcPr>
            <w:tcW w:type="dxa" w:w="2608"/>
          </w:tcPr>
          <w:p>
            <w:pPr>
              <w:spacing w:after="24" w:line="283" w:lineRule="auto"/>
              <w:ind w:left="170"/>
            </w:pPr>
            <w:r/>
            <w:r>
              <w:rPr>
                <w:rFonts w:ascii="맑은 고딕" w:hAnsi="맑은 고딕" w:eastAsia="맑은 고딕"/>
                <w:b w:val="0"/>
                <w:color w:val="333333"/>
                <w:sz w:val="17"/>
              </w:rPr>
              <w:t>3. 외부와 연계된 인터넷 메일∙메신저 등을 이용한 고객정보의 송신 행위</w:t>
            </w:r>
          </w:p>
        </w:tc>
        <w:tc>
          <w:tcPr>
            <w:tcW w:type="dxa" w:w="3061"/>
          </w:tcPr>
          <w:p>
            <w:pPr>
              <w:spacing w:after="24" w:line="283" w:lineRule="auto"/>
              <w:ind w:left="170"/>
            </w:pPr>
            <w:r/>
            <w:r>
              <w:rPr>
                <w:rFonts w:ascii="맑은 고딕" w:hAnsi="맑은 고딕" w:eastAsia="맑은 고딕"/>
                <w:b w:val="0"/>
                <w:color w:val="333333"/>
                <w:sz w:val="17"/>
              </w:rPr>
              <w:t>3. 외부와 연계된 인터넷 메일∙메신저 등을 이용한 고객정보의 송신 행위.</w:t>
            </w:r>
            <w:r>
              <w:rPr>
                <w:rFonts w:ascii="맑은 고딕" w:hAnsi="맑은 고딕" w:eastAsia="맑은 고딕"/>
                <w:b w:val="0"/>
                <w:color w:val="124AC8"/>
                <w:sz w:val="17"/>
              </w:rPr>
              <w:t xml:space="preserve"> 이 경우 「정보보호관리지침」 제50조의2에 따라 승인받은 외부 메신저를 포함한다.</w:t>
            </w:r>
          </w:p>
        </w:tc>
        <w:tc>
          <w:tcPr>
            <w:tcW w:type="dxa" w:w="2608"/>
          </w:tcPr>
          <w:p>
            <w:pPr>
              <w:spacing w:after="24" w:line="283" w:lineRule="auto"/>
            </w:pPr>
            <w:r/>
            <w:r>
              <w:rPr>
                <w:rFonts w:ascii="맑은 고딕" w:hAnsi="맑은 고딕" w:eastAsia="맑은 고딕"/>
                <w:b w:val="0"/>
                <w:color w:val="333333"/>
                <w:sz w:val="17"/>
              </w:rPr>
              <w:t>실체 변경 없음. 제50조의2 승인이 이 금지의 예외인 것으로 현장에서 오독될 위험을 차단하는 확인 규정. 개정하지 않아도 현행 문언만으로 금지가 성립하므로 선택 사항</w:t>
            </w:r>
          </w:p>
        </w:tc>
      </w:tr>
    </w:tbl>
    <w:p>
      <w:r>
        <w:br w:type="page"/>
      </w:r>
    </w:p>
    <w:p>
      <w:pPr>
        <w:spacing w:before="0" w:after="60" w:line="312" w:lineRule="auto"/>
        <w:ind w:left="0"/>
        <w:jc w:val="left"/>
      </w:pPr>
      <w:r>
        <w:rPr>
          <w:rFonts w:ascii="맑은 고딕" w:hAnsi="맑은 고딕" w:eastAsia="맑은 고딕"/>
          <w:b/>
          <w:color w:val="1A1A1A"/>
          <w:sz w:val="24"/>
        </w:rPr>
        <w:t>6. 개정 전 실무 조치 (즉시 이행)</w:t>
      </w:r>
    </w:p>
    <w:p>
      <w:pPr>
        <w:spacing w:before="0" w:after="60" w:line="312" w:lineRule="auto"/>
        <w:ind w:left="170"/>
        <w:jc w:val="left"/>
      </w:pPr>
      <w:r>
        <w:rPr>
          <w:rFonts w:ascii="맑은 고딕" w:hAnsi="맑은 고딕" w:eastAsia="맑은 고딕"/>
          <w:b w:val="0"/>
          <w:color w:val="1A1A1A"/>
          <w:sz w:val="20"/>
        </w:rPr>
        <w:t>가. 정보보호팀에 「정보보호관리 지침」 제44조제3항에 따른 이용 승인을 신청한다. 신청서에 이용 목적, 상대방, 참여자 명단, 주고받을 정보의 범위(고객정보 일절 제외), 이용 기간, 종료 후 처리 방법을 명시한다.</w:t>
      </w:r>
    </w:p>
    <w:p>
      <w:pPr>
        <w:spacing w:before="0" w:after="60" w:line="312" w:lineRule="auto"/>
        <w:ind w:left="170"/>
        <w:jc w:val="left"/>
      </w:pPr>
      <w:r>
        <w:rPr>
          <w:rFonts w:ascii="맑은 고딕" w:hAnsi="맑은 고딕" w:eastAsia="맑은 고딕"/>
          <w:b w:val="0"/>
          <w:color w:val="1A1A1A"/>
          <w:sz w:val="20"/>
        </w:rPr>
        <w:t>나. 담당자의 주요직무자 해당 여부를 확인받고, 해당하면 업무용 PC가 아닌 인터넷 전용 PC 또는 모바일기기로 이용을 한정한다. 업무용 PC 이용이 불가피하면 「IT인프라 보안 지침」 제66조제2항에 따라 정보보호위원회 승인을 받는다.</w:t>
      </w:r>
    </w:p>
    <w:p>
      <w:pPr>
        <w:spacing w:before="0" w:after="60" w:line="312" w:lineRule="auto"/>
        <w:ind w:left="170"/>
        <w:jc w:val="left"/>
      </w:pPr>
      <w:r>
        <w:rPr>
          <w:rFonts w:ascii="맑은 고딕" w:hAnsi="맑은 고딕" w:eastAsia="맑은 고딕"/>
          <w:b w:val="0"/>
          <w:color w:val="1A1A1A"/>
          <w:sz w:val="20"/>
        </w:rPr>
        <w:t>다. 상대 업체와의 계약에 「정보보호규정」 제12조 및 「정보보호관리 지침」 제33조제1항의 보안요구사항이 반영되어 있는지 확인하고, 참여자로부터 정보보호서약서 및 비밀유지 서약서를 징구한다.</w:t>
      </w:r>
    </w:p>
    <w:p>
      <w:pPr>
        <w:spacing w:before="0" w:after="60" w:line="312" w:lineRule="auto"/>
        <w:ind w:left="170"/>
        <w:jc w:val="left"/>
      </w:pPr>
      <w:r>
        <w:rPr>
          <w:rFonts w:ascii="맑은 고딕" w:hAnsi="맑은 고딕" w:eastAsia="맑은 고딕"/>
          <w:b w:val="0"/>
          <w:color w:val="1A1A1A"/>
          <w:sz w:val="20"/>
        </w:rPr>
        <w:t>라. 통지 대상자 명단·통지 결과 등 고객정보는 「고객정보관리지침」 제12조제8항제3호에 따라 승인 여부와 무관하게 메신저로 주고받지 아니하며, 「IT인프라 보안 지침」 제67조의 인가된 경로만 이용한다.</w:t>
      </w:r>
    </w:p>
    <w:p>
      <w:pPr>
        <w:spacing w:before="0" w:after="60" w:line="312" w:lineRule="auto"/>
        <w:ind w:left="170"/>
        <w:jc w:val="left"/>
      </w:pPr>
      <w:r>
        <w:rPr>
          <w:rFonts w:ascii="맑은 고딕" w:hAnsi="맑은 고딕" w:eastAsia="맑은 고딕"/>
          <w:b w:val="0"/>
          <w:color w:val="1A1A1A"/>
          <w:sz w:val="20"/>
        </w:rPr>
        <w:t>마. 계약·비용·일정 변경 등 의사결정 사항은 기안문 또는 시행문으로 정본화한다.</w:t>
      </w:r>
    </w:p>
    <w:p>
      <w:pPr>
        <w:spacing w:before="160" w:after="60" w:line="312" w:lineRule="auto"/>
        <w:ind w:left="0"/>
        <w:jc w:val="left"/>
      </w:pPr>
      <w:r>
        <w:rPr>
          <w:rFonts w:ascii="맑은 고딕" w:hAnsi="맑은 고딕" w:eastAsia="맑은 고딕"/>
          <w:b/>
          <w:color w:val="1A1A1A"/>
          <w:sz w:val="24"/>
        </w:rPr>
        <w:t>7. 확인 요망</w:t>
      </w:r>
    </w:p>
    <w:p>
      <w:pPr>
        <w:spacing w:before="0" w:after="60" w:line="312" w:lineRule="auto"/>
        <w:ind w:left="170"/>
        <w:jc w:val="left"/>
      </w:pPr>
      <w:r>
        <w:rPr>
          <w:rFonts w:ascii="맑은 고딕" w:hAnsi="맑은 고딕" w:eastAsia="맑은 고딕"/>
          <w:b w:val="0"/>
          <w:color w:val="1A1A1A"/>
          <w:sz w:val="20"/>
        </w:rPr>
        <w:t>가. 제44조제3항을 외부 메신저 이용 승인의 근거로 해석할 수 있는지 — 정보보호팀 확인 필요.</w:t>
      </w:r>
    </w:p>
    <w:p>
      <w:pPr>
        <w:spacing w:before="0" w:after="60" w:line="312" w:lineRule="auto"/>
        <w:ind w:left="170"/>
        <w:jc w:val="left"/>
      </w:pPr>
      <w:r>
        <w:rPr>
          <w:rFonts w:ascii="맑은 고딕" w:hAnsi="맑은 고딕" w:eastAsia="맑은 고딕"/>
          <w:b w:val="0"/>
          <w:color w:val="1A1A1A"/>
          <w:sz w:val="20"/>
        </w:rPr>
        <w:t>나. 현재 사내에서 운영 중인 전자우편·메신저의 공식 명칭 — 별표 작성에 필요.</w:t>
      </w:r>
    </w:p>
    <w:p>
      <w:pPr>
        <w:spacing w:before="0" w:after="60" w:line="312" w:lineRule="auto"/>
        <w:ind w:left="170"/>
        <w:jc w:val="left"/>
      </w:pPr>
      <w:r>
        <w:rPr>
          <w:rFonts w:ascii="맑은 고딕" w:hAnsi="맑은 고딕" w:eastAsia="맑은 고딕"/>
          <w:b w:val="0"/>
          <w:color w:val="1A1A1A"/>
          <w:sz w:val="20"/>
        </w:rPr>
        <w:t>다. 상대 업체의 법적 지위(수탁자·공동수급체·발주처 협력사) — 수탁자인 경우 「업무위탁 운용에 관한 지침」 제11조 및 제16조제3호가 추가로 적용된다.</w:t>
      </w:r>
    </w:p>
    <w:p>
      <w:pPr>
        <w:spacing w:before="0" w:after="60" w:line="312" w:lineRule="auto"/>
        <w:ind w:left="170"/>
        <w:jc w:val="left"/>
      </w:pPr>
      <w:r>
        <w:rPr>
          <w:rFonts w:ascii="맑은 고딕" w:hAnsi="맑은 고딕" w:eastAsia="맑은 고딕"/>
          <w:b w:val="0"/>
          <w:color w:val="1A1A1A"/>
          <w:sz w:val="20"/>
        </w:rPr>
        <w:t>라. 전자금융감독규정 및 신용정보업감독규정상 외부 메신저 이용 제한 여부 — 법령 원문 미보유로 본 검토에서 확인하지 못하였다. 정보보호팀 및 준법 담당 부서 확인 필요.</w:t>
      </w:r>
    </w:p>
    <w:p>
      <w:pPr>
        <w:spacing w:before="0" w:after="60" w:line="312" w:lineRule="auto"/>
        <w:ind w:left="170"/>
        <w:jc w:val="left"/>
      </w:pPr>
      <w:r>
        <w:rPr>
          <w:rFonts w:ascii="맑은 고딕" w:hAnsi="맑은 고딕" w:eastAsia="맑은 고딕"/>
          <w:b w:val="0"/>
          <w:color w:val="1A1A1A"/>
          <w:sz w:val="20"/>
        </w:rPr>
        <w:t>마. [별표 제○호]의 번호 — 「정보보호관리 지침」 소관부서 채번.</w:t>
      </w:r>
    </w:p>
    <w:sectPr w:rsidR="00FC693F" w:rsidRPr="0006063C" w:rsidSect="00034616">
      <w:pgSz w:w="11906" w:h="16838"/>
      <w:pgMar w:top="1020" w:right="964" w:bottom="907"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