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89DF1">
      <w:pPr>
        <w:pStyle w:val="2"/>
        <w:bidi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《</w:t>
      </w:r>
      <w:r>
        <w:rPr>
          <w:rFonts w:hint="default" w:ascii="Times New Roman" w:hAnsi="Times New Roman" w:cs="Times New Roman"/>
          <w:lang w:val="en-US" w:eastAsia="zh-CN"/>
        </w:rPr>
        <w:t>Learned Adaptive Mesh Generation</w:t>
      </w:r>
      <w:r>
        <w:rPr>
          <w:rFonts w:hint="eastAsia" w:cs="Times New Roman"/>
          <w:lang w:val="en-US" w:eastAsia="zh-CN"/>
        </w:rPr>
        <w:t>》2025-05</w:t>
      </w:r>
    </w:p>
    <w:p w14:paraId="5D19CBDC">
      <w:pPr>
        <w:rPr>
          <w:rFonts w:hint="eastAsia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摘要：椭圆型偏微分方程（PDEs）在计算物理问题（热传导、引力、静电学等）的平衡条件中起核心作用。椭圆型PDE的高效求解方法对计算机图形学也具有重要意义，因为这些方法通过局部控制编码全局平滑性，从而得到稳定且行为良好的解。泊松方程是一种线性椭圆型PDE，常作为评估新提出求解器的典型候选模型。在任意三维域（例如涡轮叶片的三维扫描模型）上求解泊松方程计算成本高昂，且计算量随离散化呈二次增长。科研与工业领域的传统工作流采用有限元法（FEM）的变体，但蒙特卡洛（MC）方法的一些关键优势已被识别。</w:t>
      </w:r>
    </w:p>
    <w:p w14:paraId="0EBD1CC1">
      <w:pPr>
        <w:rPr>
          <w:rFonts w:hint="eastAsia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本文核心思路是利用泊松方程的稀疏近似解（通过FEM或MC获得），一次性推断出自适应离散化方案。我们通过训练一个轻量级神经网络实现这一目标，该网络可跨形状和边界条件泛化。我们提出的算法——学习型自适应网格生成（LAMG）——</w:t>
      </w:r>
      <w:r>
        <w:rPr>
          <w:rFonts w:hint="eastAsia" w:cs="Times New Roman"/>
          <w:sz w:val="21"/>
          <w:szCs w:val="32"/>
          <w:highlight w:val="yellow"/>
          <w:lang w:val="en-US" w:eastAsia="zh-CN"/>
        </w:rPr>
        <w:t>将粗粒度解映射为定义局部（自适应）空间分辨率的尺寸场。</w:t>
      </w:r>
      <w:r>
        <w:rPr>
          <w:rFonts w:hint="eastAsia" w:cs="Times New Roman"/>
          <w:sz w:val="21"/>
          <w:szCs w:val="32"/>
          <w:lang w:val="en-US" w:eastAsia="zh-CN"/>
        </w:rPr>
        <w:t>不同于直接预测高分辨率解，该输出空间是我们方法的独特之处。我们使用标准方法生成符合尺寸场的四面体网格，并在自适应网格上通过一次FEM计算得到解。也就是说，我们的神经网络充当了一种计算成本高昂方法的代理模型，该方法原本需要多次（迭代）FEM求解。我们通过系统实验验证了LAMG的通用性、可控性、鲁棒性和效率。</w:t>
      </w:r>
    </w:p>
    <w:p w14:paraId="5FB44183">
      <w:pPr>
        <w:rPr>
          <w:rFonts w:hint="eastAsia" w:cs="Times New Roman"/>
          <w:sz w:val="21"/>
          <w:szCs w:val="32"/>
          <w:lang w:val="en-US" w:eastAsia="zh-CN"/>
        </w:rPr>
      </w:pPr>
    </w:p>
    <w:p w14:paraId="6ADB27EA">
      <w:pPr>
        <w:rPr>
          <w:rFonts w:hint="eastAsia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来自爱丁堡大学，2025年5月发表在arXiv上，提出了一种基于学习的自适应网格生成方法，用于加速3D域上Poisson方程的求解；</w:t>
      </w:r>
    </w:p>
    <w:p w14:paraId="067A9201">
      <w:pPr>
        <w:rPr>
          <w:rFonts w:hint="eastAsia" w:cs="Times New Roman"/>
          <w:sz w:val="21"/>
          <w:szCs w:val="32"/>
          <w:lang w:val="en-US" w:eastAsia="zh-CN"/>
        </w:rPr>
      </w:pPr>
    </w:p>
    <w:p w14:paraId="2B6AE1FE">
      <w:pPr>
        <w:rPr>
          <w:rFonts w:hint="default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1、问题定义与动机</w:t>
      </w:r>
    </w:p>
    <w:p w14:paraId="23174EB6">
      <w:pPr>
        <w:numPr>
          <w:ilvl w:val="0"/>
          <w:numId w:val="1"/>
        </w:numPr>
        <w:ind w:left="420" w:leftChars="0" w:hanging="420" w:firstLineChars="0"/>
        <w:rPr>
          <w:rFonts w:hint="eastAsia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论文要解决的核心问题是：给定一个3D边界网格和边界条件，如何高效求解Poisson方程（Dirichlet边界条件）。</w:t>
      </w:r>
    </w:p>
    <w:p w14:paraId="523251A6">
      <w:pPr>
        <w:numPr>
          <w:ilvl w:val="0"/>
          <w:numId w:val="1"/>
        </w:numPr>
        <w:ind w:left="420" w:leftChars="0" w:hanging="420" w:firstLineChars="0"/>
        <w:rPr>
          <w:rFonts w:hint="eastAsia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传统方法痛点，包括：FEM在均匀网格上计算代价随离散化二次增长；AMR（自适应网格细化）虽然能局部加密但需要多次迭代求解FEM来估计误差，计算昂贵且产生不规则网格；Monte Carlo方法（如Walk on Spheres）虽不依赖网格但收敛慢、有噪声。</w:t>
      </w:r>
    </w:p>
    <w:p w14:paraId="4E339C89">
      <w:pPr>
        <w:numPr>
          <w:ilvl w:val="0"/>
          <w:numId w:val="1"/>
        </w:numPr>
        <w:ind w:left="420" w:leftChars="0" w:hanging="420" w:firstLineChars="0"/>
        <w:rPr>
          <w:rFonts w:hint="eastAsia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LAMG的核心假设是：稀疏的MC估计已经揭示了解的空间结构，轻量级神经网络可以从中推断出自适应的sizing field，从而一次性生成自适应网格，只需跑一次FEM。</w:t>
      </w:r>
    </w:p>
    <w:p w14:paraId="0D407B72">
      <w:pPr>
        <w:widowControl w:val="0"/>
        <w:numPr>
          <w:ilvl w:val="0"/>
          <w:numId w:val="2"/>
        </w:numPr>
        <w:spacing w:line="360" w:lineRule="auto"/>
        <w:jc w:val="both"/>
        <w:rPr>
          <w:rFonts w:hint="eastAsia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方法架构（pipeline）</w:t>
      </w:r>
    </w:p>
    <w:p w14:paraId="664C3322">
      <w:pPr>
        <w:widowControl w:val="0"/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cs="Times New Roman"/>
          <w:sz w:val="21"/>
          <w:szCs w:val="32"/>
          <w:lang w:val="en-US" w:eastAsia="zh-CN"/>
        </w:rPr>
      </w:pPr>
      <w:r>
        <w:rPr>
          <w:rFonts w:hint="default" w:cs="Times New Roman"/>
          <w:sz w:val="21"/>
          <w:szCs w:val="32"/>
          <w:lang w:val="en-US" w:eastAsia="zh-CN"/>
        </w:rPr>
        <w:t>Step 1: 稀疏MC采样。在域内采样n个点，每个点做m 次随机游走（WoS）</w:t>
      </w:r>
      <w:r>
        <w:rPr>
          <w:rFonts w:hint="eastAsia" w:cs="Times New Roman"/>
          <w:sz w:val="21"/>
          <w:szCs w:val="32"/>
          <w:lang w:val="en-US" w:eastAsia="zh-CN"/>
        </w:rPr>
        <w:t>，</w:t>
      </w:r>
      <w:r>
        <w:rPr>
          <w:rFonts w:hint="default" w:cs="Times New Roman"/>
          <w:sz w:val="21"/>
          <w:szCs w:val="32"/>
          <w:lang w:val="en-US" w:eastAsia="zh-CN"/>
        </w:rPr>
        <w:t>得到Poisson方程解的稀疏估计{(xi,ui)}</w:t>
      </w:r>
    </w:p>
    <w:p w14:paraId="32E6295E">
      <w:pPr>
        <w:widowControl w:val="0"/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cs="Times New Roman"/>
          <w:sz w:val="21"/>
          <w:szCs w:val="32"/>
          <w:lang w:val="en-US" w:eastAsia="zh-CN"/>
        </w:rPr>
      </w:pPr>
      <w:r>
        <w:rPr>
          <w:rFonts w:hint="default" w:cs="Times New Roman"/>
          <w:sz w:val="21"/>
          <w:szCs w:val="32"/>
          <w:lang w:val="en-US" w:eastAsia="zh-CN"/>
        </w:rPr>
        <w:t>Step 2: 神经网络预测sizing field。 将稀疏采样点构建kNN图（边需完全在域内），然后通过 Encoder → GNN → Decoder 预测每个采样点的sizing field值 si</w:t>
      </w:r>
    </w:p>
    <w:p w14:paraId="7F1AA003">
      <w:pPr>
        <w:widowControl w:val="0"/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cs="Times New Roman"/>
          <w:sz w:val="21"/>
          <w:szCs w:val="32"/>
          <w:lang w:val="en-US" w:eastAsia="zh-CN"/>
        </w:rPr>
      </w:pPr>
      <w:r>
        <w:rPr>
          <w:rFonts w:hint="default" w:cs="Times New Roman"/>
          <w:sz w:val="21"/>
          <w:szCs w:val="32"/>
          <w:lang w:val="en-US" w:eastAsia="zh-CN"/>
        </w:rPr>
        <w:t>Step 3: 自适应网格生成。 用预测的sizing field驱动Gmsh或fTetWild等工具生成四面体网格。</w:t>
      </w:r>
    </w:p>
    <w:p w14:paraId="2621C87B">
      <w:pPr>
        <w:widowControl w:val="0"/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eastAsia" w:cs="Times New Roman"/>
          <w:sz w:val="21"/>
          <w:szCs w:val="32"/>
          <w:lang w:val="en-US" w:eastAsia="zh-CN"/>
        </w:rPr>
      </w:pPr>
      <w:r>
        <w:rPr>
          <w:rFonts w:hint="default" w:cs="Times New Roman"/>
          <w:sz w:val="21"/>
          <w:szCs w:val="32"/>
          <w:lang w:val="en-US" w:eastAsia="zh-CN"/>
        </w:rPr>
        <w:t>Step 4: 一次FEM求解。 在自适应网格上用MFEM求解Poisson方程。</w:t>
      </w:r>
    </w:p>
    <w:p w14:paraId="1F14FCB4">
      <w:pPr>
        <w:rPr>
          <w:rFonts w:hint="eastAsia" w:cs="Times New Roman"/>
          <w:sz w:val="21"/>
          <w:szCs w:val="32"/>
          <w:lang w:val="en-US" w:eastAsia="zh-CN"/>
        </w:rPr>
      </w:pPr>
      <w:r>
        <w:drawing>
          <wp:inline distT="0" distB="0" distL="114300" distR="114300">
            <wp:extent cx="4114800" cy="1809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CFA6">
      <w:pPr>
        <w:rPr>
          <w:rFonts w:hint="eastAsia" w:cs="Times New Roman"/>
          <w:lang w:val="en-US" w:eastAsia="zh-CN"/>
        </w:rPr>
      </w:pPr>
    </w:p>
    <w:p w14:paraId="47F18801">
      <w:pPr>
        <w:rPr>
          <w:rFonts w:hint="default" w:cs="Times New Roman"/>
          <w:sz w:val="21"/>
          <w:szCs w:val="32"/>
          <w:lang w:val="en-US" w:eastAsia="zh-CN"/>
        </w:rPr>
      </w:pPr>
      <w:r>
        <w:rPr>
          <w:rFonts w:hint="eastAsia" w:cs="Times New Roman"/>
          <w:sz w:val="21"/>
          <w:szCs w:val="32"/>
          <w:lang w:val="en-US" w:eastAsia="zh-CN"/>
        </w:rPr>
        <w:t>3、网络结构</w:t>
      </w:r>
    </w:p>
    <w:p w14:paraId="523C10C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网络非常轻量，采用经典的 Encoder-Processor-Decoder 架构：</w:t>
      </w:r>
    </w:p>
    <w:p w14:paraId="2F50AC59">
      <w:pPr>
        <w:numPr>
          <w:ilvl w:val="0"/>
          <w:numId w:val="3"/>
        </w:numPr>
        <w:ind w:left="42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Encoder: 2层MLP，n×1→n×8→n×16，ReLU激活。输入仅为MC估计值</w:t>
      </w:r>
      <w:r>
        <w:rPr>
          <w:rFonts w:hint="eastAsia"/>
          <w:sz w:val="21"/>
          <w:szCs w:val="21"/>
          <w:lang w:val="en-US" w:eastAsia="zh-CN"/>
        </w:rPr>
        <w:t>U</w:t>
      </w:r>
      <w:r>
        <w:rPr>
          <w:rFonts w:hint="default"/>
          <w:sz w:val="21"/>
          <w:szCs w:val="21"/>
          <w:lang w:val="en-US" w:eastAsia="zh-CN"/>
        </w:rPr>
        <w:t>（1维标量），不包含坐标信息（坐标通过图结构隐式编码）。</w:t>
      </w:r>
    </w:p>
    <w:p w14:paraId="61B7135B">
      <w:pPr>
        <w:numPr>
          <w:ilvl w:val="0"/>
          <w:numId w:val="3"/>
        </w:numPr>
        <w:ind w:left="42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GNN Processor: 2层（大模型3层），消息传递机制比较独特——聚合函数为</w:t>
      </w:r>
      <w:r>
        <w:rPr>
          <w:rFonts w:hint="default"/>
          <w:sz w:val="21"/>
          <w:szCs w:val="21"/>
          <w:highlight w:val="yellow"/>
          <w:lang w:val="en-US" w:eastAsia="zh-CN"/>
        </w:rPr>
        <w:t>距离加权的特征差异范数</w:t>
      </w:r>
      <w:r>
        <w:rPr>
          <w:rFonts w:hint="default"/>
          <w:sz w:val="21"/>
          <w:szCs w:val="21"/>
          <w:lang w:val="en-US" w:eastAsia="zh-CN"/>
        </w:rPr>
        <w:t>：</w:t>
      </w:r>
    </w:p>
    <w:p w14:paraId="18E142B9">
      <w:pPr>
        <w:numPr>
          <w:ilvl w:val="0"/>
          <w:numId w:val="0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486025" cy="876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6FB1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其中 emax是图中最长边长度，起归一化作用。每</w:t>
      </w:r>
      <w:r>
        <w:rPr>
          <w:rFonts w:hint="default"/>
          <w:color w:val="FF0000"/>
          <w:sz w:val="21"/>
          <w:szCs w:val="21"/>
          <w:lang w:val="en-US" w:eastAsia="zh-CN"/>
        </w:rPr>
        <w:t>层GNN前后各有一个 16×16线性层+ReLU</w:t>
      </w:r>
      <w:r>
        <w:rPr>
          <w:rFonts w:hint="default"/>
          <w:sz w:val="21"/>
          <w:szCs w:val="21"/>
          <w:lang w:val="en-US" w:eastAsia="zh-CN"/>
        </w:rPr>
        <w:t>。</w:t>
      </w:r>
    </w:p>
    <w:p w14:paraId="4EEE70A5">
      <w:pPr>
        <w:numPr>
          <w:ilvl w:val="0"/>
          <w:numId w:val="3"/>
        </w:numPr>
        <w:ind w:left="42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Decoder: 2层MLP，n×16→n×8→n×1，输出标量sizing field。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4420FED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最大的模型（hθ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default"/>
          <w:sz w:val="21"/>
          <w:szCs w:val="21"/>
          <w:lang w:val="en-US" w:eastAsia="zh-CN"/>
        </w:rPr>
        <w:t>）也仅有约22K可学习参数，非常轻量。</w:t>
      </w:r>
    </w:p>
    <w:p w14:paraId="3B6904EA">
      <w:pPr>
        <w:rPr>
          <w:rFonts w:hint="default"/>
          <w:sz w:val="21"/>
          <w:szCs w:val="21"/>
          <w:lang w:val="en-US" w:eastAsia="zh-CN"/>
        </w:rPr>
      </w:pPr>
    </w:p>
    <w:p w14:paraId="0CAA8A71"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4、训练策略</w:t>
      </w:r>
    </w:p>
    <w:p w14:paraId="1D5C0BDD">
      <w:pPr>
        <w:numPr>
          <w:ilvl w:val="0"/>
          <w:numId w:val="4"/>
        </w:numPr>
        <w:ind w:left="42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监督信号来源</w:t>
      </w:r>
      <w:r>
        <w:rPr>
          <w:rFonts w:hint="default"/>
          <w:sz w:val="21"/>
          <w:szCs w:val="21"/>
          <w:lang w:val="en-US" w:eastAsia="zh-CN"/>
        </w:rPr>
        <w:t>：通过AMR（使用ZZ误差估计器）在每个PDE问题上迭代细化，得到</w:t>
      </w:r>
      <w:bookmarkStart w:id="0" w:name="_GoBack"/>
      <w:bookmarkEnd w:id="0"/>
      <w:r>
        <w:rPr>
          <w:rFonts w:hint="default"/>
          <w:sz w:val="21"/>
          <w:szCs w:val="21"/>
          <w:lang w:val="en-US" w:eastAsia="zh-CN"/>
        </w:rPr>
        <w:t>自适应网格后，从四面体体积反算sizing field作为ground truth：</w:t>
      </w:r>
    </w:p>
    <w:p w14:paraId="305C1F02">
      <w:pPr>
        <w:numPr>
          <w:ilvl w:val="0"/>
          <w:numId w:val="0"/>
        </w:numPr>
        <w:ind w:left="2520" w:leftChars="0" w:firstLine="420" w:firstLineChars="0"/>
      </w:pPr>
      <w:r>
        <w:drawing>
          <wp:inline distT="0" distB="0" distL="114300" distR="114300">
            <wp:extent cx="1362075" cy="419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A43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5FCAB0">
      <w:pPr>
        <w:numPr>
          <w:ilvl w:val="0"/>
          <w:numId w:val="4"/>
        </w:numPr>
        <w:ind w:left="42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损失函数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hint="default"/>
          <w:sz w:val="21"/>
          <w:szCs w:val="21"/>
          <w:lang w:val="en-US" w:eastAsia="zh-CN"/>
        </w:rPr>
        <w:t>L=L1+αL2​</w:t>
      </w:r>
    </w:p>
    <w:p w14:paraId="5DA7064B">
      <w:pPr>
        <w:numPr>
          <w:ilvl w:val="1"/>
          <w:numId w:val="4"/>
        </w:numPr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L1是标准的Huber Loss（</w:t>
      </w:r>
      <w:r>
        <w:rPr>
          <w:rFonts w:hint="eastAsia"/>
          <w:sz w:val="21"/>
          <w:szCs w:val="21"/>
          <w:lang w:val="en-US" w:eastAsia="zh-CN"/>
        </w:rPr>
        <w:t xml:space="preserve">smooth </w:t>
      </w:r>
      <w:r>
        <w:rPr>
          <w:rFonts w:hint="default"/>
          <w:sz w:val="21"/>
          <w:szCs w:val="21"/>
          <w:lang w:val="en-US" w:eastAsia="zh-CN"/>
        </w:rPr>
        <w:t>L1</w:t>
      </w:r>
      <w:r>
        <w:rPr>
          <w:rFonts w:hint="eastAsia"/>
          <w:sz w:val="21"/>
          <w:szCs w:val="21"/>
          <w:lang w:val="en-US" w:eastAsia="zh-CN"/>
        </w:rPr>
        <w:t>）</w:t>
      </w:r>
      <w:r>
        <w:rPr>
          <w:rFonts w:hint="default"/>
          <w:sz w:val="21"/>
          <w:szCs w:val="21"/>
          <w:lang w:val="en-US" w:eastAsia="zh-CN"/>
        </w:rPr>
        <w:t>，L2是重要性加权MSE，通过sigmoid权重对特别稀疏或密集区域加大关注（s↓=0.05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s↑=0.17为阈值），确保网络在sizing field的极端值处预测准确。</w:t>
      </w:r>
    </w:p>
    <w:p w14:paraId="6DE9D28E">
      <w:pPr>
        <w:numPr>
          <w:ilvl w:val="0"/>
          <w:numId w:val="0"/>
        </w:numPr>
        <w:ind w:left="420" w:leftChars="0"/>
        <w:rPr>
          <w:rFonts w:hint="default"/>
          <w:sz w:val="21"/>
          <w:szCs w:val="21"/>
          <w:lang w:val="en-US" w:eastAsia="zh-CN"/>
        </w:rPr>
      </w:pPr>
    </w:p>
    <w:p w14:paraId="0BF353AD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数据生成：边界条件用40–50个随机高斯函数定义，源项用20–30个随机半径的球体，每个形状生成多个PDE实例。</w:t>
      </w:r>
    </w:p>
    <w:p w14:paraId="3484AAB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FF0000"/>
          <w:sz w:val="21"/>
          <w:szCs w:val="21"/>
          <w:lang w:val="en-US" w:eastAsia="zh-CN"/>
        </w:rPr>
      </w:pPr>
    </w:p>
    <w:p w14:paraId="7B66B99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5、实验设置与结果</w:t>
      </w:r>
    </w:p>
    <w:p w14:paraId="26FF90D8">
      <w:pPr>
        <w:widowControl w:val="0"/>
        <w:numPr>
          <w:ilvl w:val="0"/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4550410" cy="1924685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5923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</w:rPr>
      </w:pPr>
      <w:r>
        <w:rPr>
          <w:rFonts w:hint="eastAsia"/>
          <w:sz w:val="21"/>
          <w:szCs w:val="32"/>
        </w:rPr>
        <w:t>核心结论：</w:t>
      </w:r>
      <w:r>
        <w:rPr>
          <w:rFonts w:hint="eastAsia"/>
          <w:color w:val="FF0000"/>
          <w:sz w:val="21"/>
          <w:szCs w:val="32"/>
        </w:rPr>
        <w:t>在相似误差水平下，LAMG比AMR、MC、AMG快2–4倍</w:t>
      </w:r>
      <w:r>
        <w:rPr>
          <w:rFonts w:hint="eastAsia"/>
          <w:sz w:val="21"/>
          <w:szCs w:val="32"/>
        </w:rPr>
        <w:t>。在582个Thingi10k模型上，LAMG大多在20秒内完成，而AMR约75秒，AMG约90秒。</w:t>
      </w:r>
    </w:p>
    <w:p w14:paraId="1749B9D8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</w:rPr>
      </w:pPr>
      <w:r>
        <w:rPr>
          <w:rFonts w:hint="eastAsia"/>
          <w:sz w:val="21"/>
          <w:szCs w:val="32"/>
        </w:rPr>
        <w:t>鲁棒性：对MC参数 m（随机游走次数）和 n（采样点数）不敏感，即使超出训练分布范围也能保持合理精度。</w:t>
      </w:r>
    </w:p>
    <w:p w14:paraId="35F767C0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sz w:val="21"/>
          <w:szCs w:val="32"/>
        </w:rPr>
      </w:pPr>
      <w:r>
        <w:rPr>
          <w:rFonts w:hint="eastAsia"/>
          <w:sz w:val="21"/>
          <w:szCs w:val="32"/>
        </w:rPr>
        <w:t>可控性：通过缩放因子η可平滑调节sizing field，实现精度-速度的权衡。</w:t>
      </w:r>
    </w:p>
    <w:p w14:paraId="7290A13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1"/>
          <w:szCs w:val="32"/>
        </w:rPr>
      </w:pPr>
    </w:p>
    <w:p w14:paraId="5C55186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eastAsiaTheme="minor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6、总结</w:t>
      </w:r>
    </w:p>
    <w:p w14:paraId="3BDADA69">
      <w:pPr>
        <w:widowControl w:val="0"/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  <w:highlight w:val="none"/>
        </w:rPr>
      </w:pPr>
      <w:r>
        <w:rPr>
          <w:rFonts w:hint="eastAsia"/>
          <w:sz w:val="21"/>
          <w:szCs w:val="32"/>
          <w:highlight w:val="none"/>
        </w:rPr>
        <w:t>LAMG是一篇思路简洁、实验扎实的工作。它的核心创新在于</w:t>
      </w:r>
      <w:r>
        <w:rPr>
          <w:rFonts w:hint="eastAsia"/>
          <w:color w:val="FF0000"/>
          <w:sz w:val="21"/>
          <w:szCs w:val="32"/>
          <w:highlight w:val="none"/>
        </w:rPr>
        <w:t>用稀疏MC估计作为"便宜的先验"来指导sizing field预测</w:t>
      </w:r>
      <w:r>
        <w:rPr>
          <w:rFonts w:hint="eastAsia"/>
          <w:sz w:val="21"/>
          <w:szCs w:val="32"/>
          <w:highlight w:val="none"/>
        </w:rPr>
        <w:t>，避免了AMR的迭代代价。网络设计极度轻量，</w:t>
      </w:r>
      <w:r>
        <w:rPr>
          <w:rFonts w:hint="eastAsia"/>
          <w:sz w:val="21"/>
          <w:szCs w:val="32"/>
          <w:highlight w:val="yellow"/>
        </w:rPr>
        <w:t>泛化性通过Thingi10k的大规模验证得到证实</w:t>
      </w:r>
      <w:r>
        <w:rPr>
          <w:rFonts w:hint="eastAsia"/>
          <w:sz w:val="21"/>
          <w:szCs w:val="32"/>
          <w:highlight w:val="none"/>
        </w:rPr>
        <w:t>。</w:t>
      </w:r>
    </w:p>
    <w:p w14:paraId="32C8E265">
      <w:pPr>
        <w:widowControl w:val="0"/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</w:rPr>
      </w:pPr>
      <w:r>
        <w:rPr>
          <w:rFonts w:hint="eastAsia"/>
          <w:sz w:val="21"/>
          <w:szCs w:val="32"/>
        </w:rPr>
        <w:t>对你而言，这篇论文最大的价值在于提供了一个"非几何驱动的sizing field预测"的对比参照——它证明了lightweight GNN + sizing field + 标准网格生成器这条路线是可行的，但它的输入依赖PDE信息（MC估计），而你的方向是从纯CAD几何出发，两者在输入端形成互补。</w:t>
      </w:r>
    </w:p>
    <w:p w14:paraId="26F040C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1"/>
          <w:szCs w:val="32"/>
        </w:rPr>
      </w:pPr>
    </w:p>
    <w:p w14:paraId="60D3411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7、关键差异与局限（对你的研究有启发意义）：</w:t>
      </w:r>
    </w:p>
    <w:p w14:paraId="7ECD4928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输入表示不同。LAMG的输入是MC估计值（需要先做Monte Carlo采样），而非几何本身。这意味着它是PDE-aware的sizing field预测，而你和AMBER关注的是geometry-aware的sizing field（从CAD/B-rep直接预测）。两者解决的是不同层面的问题。</w:t>
      </w:r>
    </w:p>
    <w:p w14:paraId="6D029F83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不直接处理CAD/B-rep。LAMG输入是边界三角网格+边界条件，不涉及B-rep拓扑信息。这恰恰是你想填补的研究空白——直接从B-rep编码几何语义来预测sizing field。</w:t>
      </w:r>
    </w:p>
    <w:p w14:paraId="491DCAC4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  <w:lang w:val="en-US" w:eastAsia="zh-CN"/>
        </w:rPr>
      </w:pPr>
      <w:r>
        <w:rPr>
          <w:rFonts w:hint="eastAsia"/>
          <w:color w:val="FF0000"/>
          <w:sz w:val="21"/>
          <w:szCs w:val="32"/>
          <w:lang w:val="en-US" w:eastAsia="zh-CN"/>
        </w:rPr>
        <w:t>仅限Poisson方程</w:t>
      </w:r>
      <w:r>
        <w:rPr>
          <w:rFonts w:hint="eastAsia"/>
          <w:sz w:val="21"/>
          <w:szCs w:val="32"/>
          <w:lang w:val="en-US" w:eastAsia="zh-CN"/>
        </w:rPr>
        <w:t>。 LAMG依赖MC求解器提供初始解估计，因此受限于MC方法能处理的PDE类型。你的方向（纯几何驱动的sizing field）不受此限制。</w:t>
      </w:r>
    </w:p>
    <w:p w14:paraId="57348A0E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网络极度轻量。 最大仅22K参数，说明sizing field预测本身可能不需要很重的网络——这对你选择B-rep encoder后接怎样规模的预测头有参考价值。</w:t>
      </w:r>
    </w:p>
    <w:p w14:paraId="7ABF6DF5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highlight w:val="yellow"/>
          <w:lang w:val="en-US" w:eastAsia="zh-CN"/>
        </w:rPr>
        <w:t>sizing field的监督信号。 LAMG用AMR反算的四面体体积作为ground truth</w:t>
      </w:r>
      <w:r>
        <w:rPr>
          <w:rFonts w:hint="eastAsia"/>
          <w:sz w:val="21"/>
          <w:szCs w:val="32"/>
          <w:lang w:val="en-US" w:eastAsia="zh-CN"/>
        </w:rPr>
        <w:t>，AMBER用DAgger + 专家模拟器。两种监督方式各有利弊，可以在你的论文中进行对比讨论。</w:t>
      </w:r>
    </w:p>
    <w:p w14:paraId="1CD19108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eastAsiaTheme="minor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评价指标不同。 LAMG用FEM求解的 L2相对误差（因为它的目标是加速PDE求解），AMBER用Density-Aware Chamfer Distance。如果你的工作是纯几何驱动的，DCD可能更合适；</w:t>
      </w:r>
      <w:r>
        <w:rPr>
          <w:rFonts w:hint="eastAsia"/>
          <w:color w:val="FF0000"/>
          <w:sz w:val="21"/>
          <w:szCs w:val="32"/>
          <w:lang w:val="en-US" w:eastAsia="zh-CN"/>
        </w:rPr>
        <w:t>如果加入PDE-awareness，可以借鉴LAMG的评价体系</w:t>
      </w:r>
      <w:r>
        <w:rPr>
          <w:rFonts w:hint="eastAsia"/>
          <w:sz w:val="21"/>
          <w:szCs w:val="32"/>
          <w:lang w:val="en-US" w:eastAsia="zh-CN"/>
        </w:rPr>
        <w:t>。</w:t>
      </w:r>
    </w:p>
    <w:p w14:paraId="1708C0DC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eastAsiaTheme="minorEastAsia"/>
          <w:sz w:val="21"/>
          <w:szCs w:val="32"/>
          <w:lang w:val="en-US" w:eastAsia="zh-CN"/>
        </w:rPr>
      </w:pPr>
      <w:r>
        <w:drawing>
          <wp:inline distT="0" distB="0" distL="114300" distR="114300">
            <wp:extent cx="4967605" cy="2175510"/>
            <wp:effectExtent l="0" t="0" r="444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281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1"/>
          <w:szCs w:val="32"/>
        </w:rPr>
      </w:pPr>
      <w:r>
        <w:drawing>
          <wp:inline distT="0" distB="0" distL="114300" distR="114300">
            <wp:extent cx="5267960" cy="563880"/>
            <wp:effectExtent l="9525" t="9525" r="18415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3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E67AC4">
      <w:pPr>
        <w:widowControl w:val="0"/>
        <w:numPr>
          <w:ilvl w:val="0"/>
          <w:numId w:val="0"/>
        </w:numPr>
        <w:spacing w:line="360" w:lineRule="auto"/>
        <w:ind w:leftChars="0"/>
        <w:jc w:val="both"/>
      </w:pPr>
    </w:p>
    <w:p w14:paraId="5836477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PDE，偏微分方程， 描述的是一个连续的场（例如：一整块铁板上的温度分布。温度 u既取决于时间 t，也取决于空间位置 x 和 y）。</w:t>
      </w:r>
    </w:p>
    <w:p w14:paraId="16CD4D7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Poisson方程是偏微分方程领域中最经典、最重要的一类椭圆型方程</w:t>
      </w:r>
    </w:p>
    <w:p w14:paraId="17521A8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1"/>
          <w:szCs w:val="32"/>
          <w:lang w:val="en-US" w:eastAsia="zh-CN"/>
        </w:rPr>
      </w:pPr>
      <w:r>
        <w:rPr>
          <w:rFonts w:hint="eastAsia"/>
          <w:sz w:val="21"/>
          <w:szCs w:val="32"/>
          <w:lang w:val="en-US" w:eastAsia="zh-CN"/>
        </w:rPr>
        <w:t>如果说</w:t>
      </w:r>
      <w:r>
        <w:rPr>
          <w:rFonts w:hint="default"/>
          <w:sz w:val="21"/>
          <w:szCs w:val="32"/>
          <w:lang w:val="en-US" w:eastAsia="zh-CN"/>
        </w:rPr>
        <w:t>PDE是描述自然界的语言，那么Poisson方程就是描述“稳定的平衡”或“势场与源的关系”的基础语句。</w:t>
      </w:r>
    </w:p>
    <w:p w14:paraId="3C66A110">
      <w:pPr>
        <w:widowControl w:val="0"/>
        <w:numPr>
          <w:ilvl w:val="0"/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4236085" cy="2350135"/>
            <wp:effectExtent l="9525" t="9525" r="1206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350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8EEC96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拉普拉斯方程：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abla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vertAlign w:val="superscript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u=0</w:t>
      </w:r>
      <w:r>
        <w:rPr>
          <w:rFonts w:hint="eastAsia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是 Poisson 方程的特殊情况（当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f=0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时）。</w:t>
      </w:r>
    </w:p>
    <w:p w14:paraId="7EF4BA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它描述的是</w:t>
      </w: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没有源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的区域：比如在真空中（没有电荷的地方）的电场，或者橡皮膜上没有手指按压的区域。</w:t>
      </w:r>
    </w:p>
    <w:p w14:paraId="3CBBA90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p w14:paraId="7DCBA3A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p w14:paraId="4B2DB1D9">
      <w:pPr>
        <w:pStyle w:val="2"/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《3DMeshNet: A three-dimensional differential neural network for structured mesh generation》Graphical Models，SCI-3，2025</w:t>
      </w:r>
    </w:p>
    <w:p w14:paraId="37EA1E5C">
      <w:pPr>
        <w:rPr>
          <w:rFonts w:hint="default"/>
          <w:sz w:val="18"/>
          <w:szCs w:val="24"/>
          <w:lang w:val="en-US" w:eastAsia="zh-CN"/>
        </w:rPr>
      </w:pPr>
      <w:r>
        <w:rPr>
          <w:rFonts w:hint="default"/>
          <w:sz w:val="18"/>
          <w:szCs w:val="24"/>
          <w:lang w:val="en-US" w:eastAsia="zh-CN"/>
        </w:rPr>
        <w:t>3DMeshNet：一种用于结构化网格生成的三维差分神经网络</w:t>
      </w:r>
    </w:p>
    <w:p w14:paraId="07552A71">
      <w:pPr>
        <w:rPr>
          <w:rFonts w:hint="default"/>
          <w:sz w:val="24"/>
          <w:szCs w:val="40"/>
          <w:lang w:val="en-US" w:eastAsia="zh-CN"/>
        </w:rPr>
      </w:pPr>
    </w:p>
    <w:p w14:paraId="3B8CDC71">
      <w:pPr>
        <w:rPr>
          <w:rFonts w:hint="default"/>
          <w:sz w:val="24"/>
          <w:szCs w:val="40"/>
          <w:lang w:val="en-US" w:eastAsia="zh-CN"/>
        </w:rPr>
      </w:pPr>
    </w:p>
    <w:p w14:paraId="7ABFE1A3">
      <w:pPr>
        <w:rPr>
          <w:rFonts w:hint="default"/>
          <w:sz w:val="24"/>
          <w:szCs w:val="40"/>
          <w:lang w:val="en-US" w:eastAsia="zh-CN"/>
        </w:rPr>
      </w:pPr>
    </w:p>
    <w:p w14:paraId="1D161FC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《Non-iterative generation of optimized meshes for finite element simulations with deep learning》Machine Learning for Computational Science and Engineering</w:t>
      </w:r>
      <w:r>
        <w:rPr>
          <w:rFonts w:hint="eastAsia"/>
          <w:lang w:val="en-US" w:eastAsia="zh-CN"/>
        </w:rPr>
        <w:t>，2025</w:t>
      </w:r>
    </w:p>
    <w:p w14:paraId="4069E48A">
      <w:pPr>
        <w:rPr>
          <w:rFonts w:hint="default"/>
          <w:sz w:val="24"/>
          <w:szCs w:val="40"/>
          <w:lang w:val="en-US" w:eastAsia="zh-CN"/>
        </w:rPr>
      </w:pPr>
      <w:r>
        <w:rPr>
          <w:rFonts w:hint="default"/>
          <w:sz w:val="24"/>
          <w:szCs w:val="40"/>
          <w:lang w:val="en-US" w:eastAsia="zh-CN"/>
        </w:rPr>
        <w:t>基于深度学习的有限元模拟优化网格非迭代式生成方法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27286"/>
    <w:multiLevelType w:val="singleLevel"/>
    <w:tmpl w:val="969272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A725AE0"/>
    <w:multiLevelType w:val="multilevel"/>
    <w:tmpl w:val="9A725A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046FDB97"/>
    <w:multiLevelType w:val="multilevel"/>
    <w:tmpl w:val="046FDB9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10AED13C"/>
    <w:multiLevelType w:val="singleLevel"/>
    <w:tmpl w:val="10AED1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7666041"/>
    <w:multiLevelType w:val="multilevel"/>
    <w:tmpl w:val="676660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78DED3A4"/>
    <w:multiLevelType w:val="singleLevel"/>
    <w:tmpl w:val="78DED3A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37889"/>
    <w:rsid w:val="02AF2D47"/>
    <w:rsid w:val="0A837889"/>
    <w:rsid w:val="0B9F0D16"/>
    <w:rsid w:val="0BD726FC"/>
    <w:rsid w:val="286F5520"/>
    <w:rsid w:val="43493889"/>
    <w:rsid w:val="44C153E6"/>
    <w:rsid w:val="497B3CC8"/>
    <w:rsid w:val="682A40DD"/>
    <w:rsid w:val="6D8E5823"/>
    <w:rsid w:val="72FB3988"/>
    <w:rsid w:val="7365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/>
      <w:b/>
      <w:kern w:val="44"/>
      <w:sz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80" w:lineRule="auto"/>
      <w:outlineLvl w:val="3"/>
    </w:pPr>
    <w:rPr>
      <w:rFonts w:ascii="Times New Roman" w:hAnsi="Times New Roman"/>
      <w:b/>
      <w:sz w:val="21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4"/>
    </w:pPr>
    <w:rPr>
      <w:b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2359</Words>
  <Characters>3341</Characters>
  <Lines>0</Lines>
  <Paragraphs>0</Paragraphs>
  <TotalTime>557</TotalTime>
  <ScaleCrop>false</ScaleCrop>
  <LinksUpToDate>false</LinksUpToDate>
  <CharactersWithSpaces>3449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2026-03-16T05:07:00Z</dcterms:created>
  <dc:creator>。</dc:creator>
  <cp:lastModifiedBy>。</cp:lastModifiedBy>
  <dcterms:modified xsi:type="dcterms:W3CDTF">2026-03-20T18:38:36Z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ADB68B657F4F4DE9A1D70248B1DEC6ED_11</vt:lpwstr>
  </property>
  <property fmtid="{D5CDD505-2E9C-101B-9397-08002B2CF9AE}" pid="4" name="KSOTemplateDocerSaveRecord">
    <vt:lpwstr>eyJoZGlkIjoiN2VlYmYzMjkxZTI0OTljM2E0MTBiOGEzMzY4ODI0N2IiLCJ1c2VySWQiOiIxMjgyNzcyMjE1In0=</vt:lpwstr>
  </property>
</Properties>
</file>