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Enterprise Policy Search Agent</w:t>
      </w:r>
    </w:p>
    <w:p>
      <w:pPr>
        <w:jc w:val="center"/>
      </w:pPr>
      <w:r>
        <w:rPr>
          <w:sz w:val="22"/>
        </w:rPr>
        <w:t>Technical documentation</w:t>
      </w:r>
    </w:p>
    <w:p>
      <w:pPr>
        <w:jc w:val="center"/>
      </w:pPr>
      <w:r>
        <w:t>Version 1.0  |  2026-03-21</w:t>
      </w:r>
    </w:p>
    <w:p/>
    <w:p>
      <w:pPr>
        <w:pStyle w:val="Heading1"/>
      </w:pPr>
      <w:r>
        <w:t>1. Introduction</w:t>
      </w:r>
    </w:p>
    <w:p>
      <w:pPr>
        <w:spacing w:after="120"/>
      </w:pPr>
      <w:r>
        <w:t>This document describes the Enterprise Policy Search Agent: a web application built with FastAPI that searches and answers questions over indexed enterprise content using Google Cloud Vertex AI Search (Discovery Engine). An optional ingestion pipeline can pull files from Google Drive into Cloud Storage and use Document AI for OCR when PDFs are image-based (scanned).</w:t>
      </w:r>
    </w:p>
    <w:p>
      <w:pPr>
        <w:pStyle w:val="Heading1"/>
      </w:pPr>
      <w:r>
        <w:t>2. System overview</w:t>
      </w:r>
    </w:p>
    <w:p>
      <w:pPr>
        <w:spacing w:after="120"/>
      </w:pPr>
      <w:r>
        <w:t>The application exposes a browser UI (Jinja2 templates and static assets) and JSON APIs. Search uses the Discovery Engine Search API; conversational answer generation uses answer_query with citations mapped back to retrieved documents. A grounding status (strong, partial, or weak) reflects overlap between the user query and retrieved text.</w:t>
      </w:r>
    </w:p>
    <w:p>
      <w:pPr>
        <w:pStyle w:val="ListBullet"/>
      </w:pPr>
      <w:r>
        <w:t>POST /api/search — ranked document hits with snippets and extractive segments.</w:t>
      </w:r>
    </w:p>
    <w:p>
      <w:pPr>
        <w:pStyle w:val="ListBullet"/>
      </w:pPr>
      <w:r>
        <w:t>POST /api/ask — generated answer, citations, references, and grounding_status.</w:t>
      </w:r>
    </w:p>
    <w:p>
      <w:pPr>
        <w:pStyle w:val="ListBullet"/>
      </w:pPr>
      <w:r>
        <w:t>GET / — interactive web UI.</w:t>
      </w:r>
    </w:p>
    <w:p>
      <w:pPr>
        <w:pStyle w:val="ListBullet"/>
      </w:pPr>
      <w:r>
        <w:t>GET /health — liveness check.</w:t>
      </w:r>
    </w:p>
    <w:p>
      <w:pPr>
        <w:pStyle w:val="Heading1"/>
      </w:pPr>
      <w:r>
        <w:t>3. Prerequisites</w:t>
      </w:r>
    </w:p>
    <w:p>
      <w:pPr>
        <w:pStyle w:val="ListBullet"/>
      </w:pPr>
      <w:r>
        <w:t>Python 3.10 or newer (recommended).</w:t>
      </w:r>
    </w:p>
    <w:p>
      <w:pPr>
        <w:pStyle w:val="ListBullet"/>
      </w:pPr>
      <w:r>
        <w:t>A Google Cloud project with Vertex AI Search configured and a datastore (for example documents in Google Cloud Storage).</w:t>
      </w:r>
    </w:p>
    <w:p>
      <w:pPr>
        <w:pStyle w:val="ListBullet"/>
      </w:pPr>
      <w:r>
        <w:t>Relevant APIs enabled: Discovery Engine; optionally Document AI, Cloud Storage, and Google Drive for ingestion.</w:t>
      </w:r>
    </w:p>
    <w:p>
      <w:pPr>
        <w:pStyle w:val="ListBullet"/>
      </w:pPr>
      <w:r>
        <w:t>Application Default Credentials for API access (for example gcloud auth application-default login locally, or a service account in production).</w:t>
      </w:r>
    </w:p>
    <w:p>
      <w:pPr>
        <w:pStyle w:val="Heading1"/>
      </w:pPr>
      <w:r>
        <w:t>4. Configuration</w:t>
      </w:r>
    </w:p>
    <w:p>
      <w:pPr>
        <w:spacing w:after="120"/>
      </w:pPr>
      <w:r>
        <w:t>Create a file named .env in the project root. The application loads variables with python-dotenv. PROJECT_ID and APP_ID are required.</w:t>
      </w:r>
    </w:p>
    <w:tbl>
      <w:tblPr>
        <w:tblStyle w:val="TableGrid"/>
        <w:tblW w:type="auto" w:w="0"/>
        <w:tblLook w:firstColumn="1" w:firstRow="1" w:lastColumn="0" w:lastRow="0" w:noHBand="0" w:noVBand="1" w:val="04A0"/>
      </w:tblPr>
      <w:tblGrid>
        <w:gridCol w:w="4320"/>
        <w:gridCol w:w="4320"/>
      </w:tblGrid>
      <w:tr>
        <w:tc>
          <w:tcPr>
            <w:tcW w:type="dxa" w:w="4320"/>
          </w:tcPr>
          <w:p>
            <w:r>
              <w:t>Variable</w:t>
            </w:r>
          </w:p>
        </w:tc>
        <w:tc>
          <w:tcPr>
            <w:tcW w:type="dxa" w:w="4320"/>
          </w:tcPr>
          <w:p>
            <w:r>
              <w:t>Description</w:t>
            </w:r>
          </w:p>
        </w:tc>
      </w:tr>
      <w:tr>
        <w:tc>
          <w:tcPr>
            <w:tcW w:type="dxa" w:w="4320"/>
          </w:tcPr>
          <w:p>
            <w:r>
              <w:t>PROJECT_ID</w:t>
            </w:r>
          </w:p>
        </w:tc>
        <w:tc>
          <w:tcPr>
            <w:tcW w:type="dxa" w:w="4320"/>
          </w:tcPr>
          <w:p>
            <w:r>
              <w:t>Google Cloud project ID.</w:t>
            </w:r>
          </w:p>
        </w:tc>
      </w:tr>
      <w:tr>
        <w:tc>
          <w:tcPr>
            <w:tcW w:type="dxa" w:w="4320"/>
          </w:tcPr>
          <w:p>
            <w:r>
              <w:t>APP_ID</w:t>
            </w:r>
          </w:p>
        </w:tc>
        <w:tc>
          <w:tcPr>
            <w:tcW w:type="dxa" w:w="4320"/>
          </w:tcPr>
          <w:p>
            <w:r>
              <w:t>Vertex AI Search engine ID.</w:t>
            </w:r>
          </w:p>
        </w:tc>
      </w:tr>
      <w:tr>
        <w:tc>
          <w:tcPr>
            <w:tcW w:type="dxa" w:w="4320"/>
          </w:tcPr>
          <w:p>
            <w:r>
              <w:t>LOCATION</w:t>
            </w:r>
          </w:p>
        </w:tc>
        <w:tc>
          <w:tcPr>
            <w:tcW w:type="dxa" w:w="4320"/>
          </w:tcPr>
          <w:p>
            <w:r>
              <w:t>Engine location (default: global). Use the region that matches your engine.</w:t>
            </w:r>
          </w:p>
        </w:tc>
      </w:tr>
      <w:tr>
        <w:tc>
          <w:tcPr>
            <w:tcW w:type="dxa" w:w="4320"/>
          </w:tcPr>
          <w:p>
            <w:r>
              <w:t>PORT</w:t>
            </w:r>
          </w:p>
        </w:tc>
        <w:tc>
          <w:tcPr>
            <w:tcW w:type="dxa" w:w="4320"/>
          </w:tcPr>
          <w:p>
            <w:r>
              <w:t>HTTP port for the web server (default: 8000).</w:t>
            </w:r>
          </w:p>
        </w:tc>
      </w:tr>
    </w:tbl>
    <w:p>
      <w:pPr>
        <w:spacing w:after="120"/>
      </w:pPr>
      <w:r>
        <w:t>Serving configuration resource names are built in app/vertex_search.py: default_search for search and default_serving_config for answers. Adjust these names if your engine uses different serving configs.</w:t>
      </w:r>
    </w:p>
    <w:p>
      <w:pPr>
        <w:pStyle w:val="Heading1"/>
      </w:pPr>
      <w:r>
        <w:t>5. Installation and operation</w:t>
      </w:r>
    </w:p>
    <w:p>
      <w:pPr>
        <w:spacing w:after="120"/>
      </w:pPr>
      <w:r>
        <w:t>From the project root, using a virtual environment:</w:t>
      </w:r>
    </w:p>
    <w:p>
      <w:pPr>
        <w:pStyle w:val="ListNumber"/>
      </w:pPr>
      <w:r>
        <w:t>python -m venv .venv</w:t>
      </w:r>
    </w:p>
    <w:p>
      <w:pPr>
        <w:pStyle w:val="ListNumber"/>
      </w:pPr>
      <w:r>
        <w:t>.venv\Scripts\activate   (Windows)</w:t>
      </w:r>
    </w:p>
    <w:p>
      <w:pPr>
        <w:pStyle w:val="ListNumber"/>
      </w:pPr>
      <w:r>
        <w:t>pip install -r requirements.txt</w:t>
      </w:r>
    </w:p>
    <w:p>
      <w:pPr>
        <w:pStyle w:val="ListNumber"/>
      </w:pPr>
      <w:r>
        <w:t>python -m app.main</w:t>
      </w:r>
    </w:p>
    <w:p>
      <w:pPr>
        <w:spacing w:after="120"/>
      </w:pPr>
      <w:r>
        <w:t>Alternatively run uvicorn: uvicorn app.main:app --reload --host 127.0.0.1 --port 8000 (or the port set in PORT). Open http://127.0.0.1:8000 in a browser.</w:t>
      </w:r>
    </w:p>
    <w:p>
      <w:pPr>
        <w:pStyle w:val="Heading1"/>
      </w:pPr>
      <w:r>
        <w:t>6. API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Method and path</w:t>
            </w:r>
          </w:p>
        </w:tc>
        <w:tc>
          <w:tcPr>
            <w:tcW w:type="dxa" w:w="2880"/>
          </w:tcPr>
          <w:p>
            <w:r>
              <w:t>Request body (JSON)</w:t>
            </w:r>
          </w:p>
        </w:tc>
        <w:tc>
          <w:tcPr>
            <w:tcW w:type="dxa" w:w="2880"/>
          </w:tcPr>
          <w:p>
            <w:r>
              <w:t>Response highlights</w:t>
            </w:r>
          </w:p>
        </w:tc>
      </w:tr>
      <w:tr>
        <w:tc>
          <w:tcPr>
            <w:tcW w:type="dxa" w:w="2880"/>
          </w:tcPr>
          <w:p>
            <w:r>
              <w:t>POST /api/search</w:t>
            </w:r>
          </w:p>
        </w:tc>
        <w:tc>
          <w:tcPr>
            <w:tcW w:type="dxa" w:w="2880"/>
          </w:tcPr>
          <w:p>
            <w:r>
              <w:t>question; optional user_pseudo_id</w:t>
            </w:r>
          </w:p>
        </w:tc>
        <w:tc>
          <w:tcPr>
            <w:tcW w:type="dxa" w:w="2880"/>
          </w:tcPr>
          <w:p>
            <w:r>
              <w:t>results: array of document hits</w:t>
            </w:r>
          </w:p>
        </w:tc>
      </w:tr>
      <w:tr>
        <w:tc>
          <w:tcPr>
            <w:tcW w:type="dxa" w:w="2880"/>
          </w:tcPr>
          <w:p>
            <w:r>
              <w:t>POST /api/ask</w:t>
            </w:r>
          </w:p>
        </w:tc>
        <w:tc>
          <w:tcPr>
            <w:tcW w:type="dxa" w:w="2880"/>
          </w:tcPr>
          <w:p>
            <w:r>
              <w:t>question; optional user_pseudo_id, session_id</w:t>
            </w:r>
          </w:p>
        </w:tc>
        <w:tc>
          <w:tcPr>
            <w:tcW w:type="dxa" w:w="2880"/>
          </w:tcPr>
          <w:p>
            <w:r>
              <w:t>answer, citations, references, grounding_status</w:t>
            </w:r>
          </w:p>
        </w:tc>
      </w:tr>
    </w:tbl>
    <w:p>
      <w:pPr>
        <w:pStyle w:val="Heading1"/>
      </w:pPr>
      <w:r>
        <w:t>7. Optional ingestion pipeline</w:t>
      </w:r>
    </w:p>
    <w:p>
      <w:pPr>
        <w:spacing w:after="120"/>
      </w:pPr>
      <w:r>
        <w:t>Module app/ingestion/ingest_drive_to_gcs.py implements OAuth to Google Drive, downloads or exports files from a configured folder, archives raw objects under archive/processed/ in a bucket, and writes processed outputs under processed/. PDFs are classified as scanned or text-based; scanned PDFs are sent to Document AI and stored as .txt. Constants (folder ID, bucket, processor ID, project) are at the top of the script and must be set for your environment.</w:t>
      </w:r>
    </w:p>
    <w:p>
      <w:pPr>
        <w:spacing w:after="120"/>
      </w:pPr>
      <w:r>
        <w:t>Run: python -m app.ingestion.ingest_drive_to_gcs</w:t>
      </w:r>
    </w:p>
    <w:p>
      <w:pPr>
        <w:pStyle w:val="Heading1"/>
      </w:pPr>
      <w:r>
        <w:t>8. Project structure</w:t>
      </w:r>
    </w:p>
    <w:p>
      <w:pPr>
        <w:pStyle w:val="ListBullet"/>
      </w:pPr>
      <w:r>
        <w:t>app/main.py — FastAPI application, routes, static files, templates</w:t>
      </w:r>
    </w:p>
    <w:p>
      <w:pPr>
        <w:pStyle w:val="ListBullet"/>
      </w:pPr>
      <w:r>
        <w:t>app/config.py — environment configuration</w:t>
      </w:r>
    </w:p>
    <w:p>
      <w:pPr>
        <w:pStyle w:val="ListBullet"/>
      </w:pPr>
      <w:r>
        <w:t>app/vertex_search.py — Discovery Engine search and answer generation</w:t>
      </w:r>
    </w:p>
    <w:p>
      <w:pPr>
        <w:pStyle w:val="ListBullet"/>
      </w:pPr>
      <w:r>
        <w:t>app/templates/, app/static/ — web UI</w:t>
      </w:r>
    </w:p>
    <w:p>
      <w:pPr>
        <w:pStyle w:val="ListBullet"/>
      </w:pPr>
      <w:r>
        <w:t>app/ingestion/ — Drive to GCS and OCR helpers</w:t>
      </w:r>
    </w:p>
    <w:p>
      <w:pPr>
        <w:pStyle w:val="Heading1"/>
      </w:pPr>
      <w:r>
        <w:t>9. Security</w:t>
      </w:r>
    </w:p>
    <w:p>
      <w:pPr>
        <w:spacing w:after="120"/>
      </w:pPr>
      <w:r>
        <w:t>Do not commit .env, credentials.json, token.json, or service account keys. Treat user_pseudo_id and session_id as identifiers under your governance for Vertex AI Search analytics and sessions.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