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DIABACAR</w:t>
      </w:r>
    </w:p>
    <w:p>
      <w:pPr>
        <w:jc w:val="center"/>
      </w:pPr>
      <w:r>
        <w:rPr>
          <w:b/>
          <w:color w:val="12B1FC"/>
          <w:sz w:val="20"/>
        </w:rPr>
        <w:t>DOCUMENT 06</w:t>
      </w:r>
    </w:p>
    <w:p>
      <w:pPr>
        <w:pStyle w:val="Title"/>
        <w:jc w:val="center"/>
      </w:pPr>
      <w:r>
        <w:t>Design System et Charte UI</w:t>
      </w:r>
    </w:p>
    <w:p>
      <w:pPr>
        <w:jc w:val="center"/>
      </w:pPr>
      <w:r>
        <w:rPr>
          <w:color w:val="5B6676"/>
          <w:sz w:val="22"/>
        </w:rPr>
        <w:t>Identité visuelle et composants numériques DIABACAR</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DIABACAR - Chine → Sénégal</w:t>
            </w:r>
          </w:p>
        </w:tc>
      </w:tr>
    </w:tbl>
    <w:p>
      <w:pPr>
        <w:spacing w:before="320"/>
        <w:jc w:val="center"/>
      </w:pPr>
      <w:r>
        <w:rPr>
          <w:i/>
          <w:color w:val="5B6676"/>
          <w:sz w:val="16"/>
        </w:rPr>
        <w:t>Document de travail confidentiel - Toute évolution structurante doit rester cohérente avec le corpus DIABACAR.</w:t>
      </w:r>
    </w:p>
    <w:p>
      <w:r>
        <w:br w:type="page"/>
      </w:r>
    </w:p>
    <w:p>
      <w:pPr>
        <w:pStyle w:val="Heading1"/>
      </w:pPr>
      <w:r>
        <w:t>1. ADN visuel</w:t>
      </w:r>
    </w:p>
    <w:p>
      <w:r>
        <w:t>L’identité DIABACAR doit traduire mobilité, technologie, confiance et commerce international. Le logo fourni est la source chromatique. L’interface publique privilégie un fond clair et automobile ; le bleu nuit structure navigation, zones premium et back-office.</w:t>
      </w:r>
    </w:p>
    <w:p>
      <w:pPr>
        <w:pStyle w:val="Heading1"/>
      </w:pPr>
      <w:r>
        <w:t>2. Palette officielle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Token</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HEX</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Primary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#0165E3</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CTA principal, liens actifs, éléments clés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Primary Strong</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#0056D1</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Hover/pressed</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Accent</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#12B1FC</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Highlights, éléments technologiques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Accent Light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#40D2FD</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Décor, badges secondaires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Dark</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#012E75</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Headers, navigation, titres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Midnight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#001434</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Footer, surfaces très sombres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Surface</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#FFFFFF</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Fond principal</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Surface Soft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#F5FAFF</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Cartes/sections secondaires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Border</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#C7D8EB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Séparateurs</w:t>
            </w:r>
          </w:p>
        </w:tc>
      </w:tr>
    </w:tbl>
    <w:p>
      <w:pPr>
        <w:spacing w:after="20"/>
      </w:pPr>
    </w:p>
    <w:p>
      <w:pPr>
        <w:pStyle w:val="Heading2"/>
      </w:pPr>
      <w:r>
        <w:t>2.1 Couleurs fonctionnelles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État</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Couleur recommandée</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Règle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Succès</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#16834B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Disponible, validé, livré</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Alerte</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#D97706</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Réservé, à vérifier</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Erreur</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#C0392B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Non éligible, refus, action destructive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Neutre</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#5B6676</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Informations secondaires</w:t>
            </w:r>
          </w:p>
        </w:tc>
      </w:tr>
    </w:tbl>
    <w:p>
      <w:pPr>
        <w:spacing w:after="20"/>
      </w:pPr>
    </w:p>
    <w:p>
      <w:pPr>
        <w:pStyle w:val="Heading1"/>
      </w:pPr>
      <w:r>
        <w:t>3. Logo</w:t>
      </w:r>
    </w:p>
    <w:p>
      <w:pPr>
        <w:pStyle w:val="ListBullet"/>
        <w:spacing w:after="40"/>
      </w:pPr>
      <w:r>
        <w:t>Utiliser le logo fourni sans recoloration arbitraire.</w:t>
      </w:r>
    </w:p>
    <w:p>
      <w:pPr>
        <w:pStyle w:val="ListBullet"/>
        <w:spacing w:after="40"/>
      </w:pPr>
      <w:r>
        <w:t>Conserver une zone de respiration au moins égale à la hauteur du “D” autour du logo.</w:t>
      </w:r>
    </w:p>
    <w:p>
      <w:pPr>
        <w:pStyle w:val="ListBullet"/>
        <w:spacing w:after="40"/>
      </w:pPr>
      <w:r>
        <w:t>Sur fond sombre, vérifier le contraste et préférer la version validée ; ne pas ajouter ombre/contour non prévu.</w:t>
      </w:r>
    </w:p>
    <w:p>
      <w:pPr>
        <w:pStyle w:val="ListBullet"/>
        <w:spacing w:after="40"/>
      </w:pPr>
      <w:r>
        <w:t>Favicon et avatar doivent dériver d’une version simplifiée validée, pas d’un recadrage aléatoire.</w:t>
      </w:r>
    </w:p>
    <w:p>
      <w:pPr>
        <w:pStyle w:val="Heading1"/>
      </w:pPr>
      <w:r>
        <w:t>4. Typographie web</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38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Rôle</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Police</w:t>
            </w:r>
          </w:p>
        </w:tc>
        <w:tc>
          <w:tcPr>
            <w:tcW w:type="dxa" w:w="379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Fallback</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Interface / titres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Inter ou Geist</w:t>
            </w:r>
          </w:p>
        </w:tc>
        <w:tc>
          <w:tcPr>
            <w:tcW w:type="dxa" w:w="3798"/>
            <w:vAlign w:val="top"/>
            <w:tcBorders>
              <w:top w:val="single" w:sz="3" w:color="C7D8EB"/>
              <w:left w:val="single" w:sz="3" w:color="C7D8EB"/>
              <w:bottom w:val="single" w:sz="3" w:color="C7D8EB"/>
              <w:right w:val="single" w:sz="3" w:color="C7D8EB"/>
            </w:tcBorders>
          </w:tcPr>
          <w:p>
            <w:pPr>
              <w:spacing w:after="0"/>
            </w:pPr>
            <w:r>
              <w:rPr>
                <w:color w:val="142033"/>
                <w:sz w:val="16"/>
              </w:rPr>
              <w:t>Arial, sans-serif</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Arabe</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Noto Sans Arabic</w:t>
            </w:r>
          </w:p>
        </w:tc>
        <w:tc>
          <w:tcPr>
            <w:tcW w:type="dxa" w:w="379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Arial, sans-serif</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Données / références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Inter / tabular numerals</w:t>
            </w:r>
          </w:p>
        </w:tc>
        <w:tc>
          <w:tcPr>
            <w:tcW w:type="dxa" w:w="3798"/>
            <w:vAlign w:val="top"/>
            <w:tcBorders>
              <w:top w:val="single" w:sz="3" w:color="C7D8EB"/>
              <w:left w:val="single" w:sz="3" w:color="C7D8EB"/>
              <w:bottom w:val="single" w:sz="3" w:color="C7D8EB"/>
              <w:right w:val="single" w:sz="3" w:color="C7D8EB"/>
            </w:tcBorders>
          </w:tcPr>
          <w:p>
            <w:pPr>
              <w:spacing w:after="0"/>
            </w:pPr>
            <w:r>
              <w:rPr>
                <w:color w:val="142033"/>
                <w:sz w:val="16"/>
              </w:rPr>
              <w:t>Arial</w:t>
            </w:r>
          </w:p>
        </w:tc>
      </w:tr>
    </w:tbl>
    <w:p>
      <w:pPr>
        <w:spacing w:after="20"/>
      </w:pPr>
    </w:p>
    <w:p>
      <w:pPr>
        <w:pStyle w:val="Heading1"/>
      </w:pPr>
      <w:r>
        <w:t>5. Échelle typographique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Token</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Taille indicative</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Display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40-48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Hero desktop</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H1</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30-36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Titre page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H2</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22-28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Section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H3</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18-20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Sous-section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Body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16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Texte public</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Small</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13-14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Métadonnées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Admin Dense</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14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Tableaux back-office</w:t>
            </w:r>
          </w:p>
        </w:tc>
      </w:tr>
    </w:tbl>
    <w:p>
      <w:pPr>
        <w:spacing w:after="20"/>
      </w:pPr>
    </w:p>
    <w:p>
      <w:pPr>
        <w:pStyle w:val="Heading1"/>
      </w:pPr>
      <w:r>
        <w:t>6. Espacement et grille</w:t>
      </w:r>
    </w:p>
    <w:p>
      <w:pPr>
        <w:pStyle w:val="ListBullet"/>
        <w:spacing w:after="40"/>
      </w:pPr>
      <w:r>
        <w:t>Échelle 4/8 px : 4, 8, 12, 16, 24, 32, 48, 64.</w:t>
      </w:r>
    </w:p>
    <w:p>
      <w:pPr>
        <w:pStyle w:val="ListBullet"/>
        <w:spacing w:after="40"/>
      </w:pPr>
      <w:r>
        <w:t>Largeur de contenu desktop publique : 1200-1280 px ; admin peut être plus large.</w:t>
      </w:r>
    </w:p>
    <w:p>
      <w:pPr>
        <w:pStyle w:val="ListBullet"/>
        <w:spacing w:after="40"/>
      </w:pPr>
      <w:r>
        <w:t>Gutters mobiles : 16 px minimum.</w:t>
      </w:r>
    </w:p>
    <w:p>
      <w:pPr>
        <w:pStyle w:val="ListBullet"/>
        <w:spacing w:after="40"/>
      </w:pPr>
      <w:r>
        <w:t>Rayons : 10-14 px pour cards, 8-10 px pour inputs, pill pour badges.</w:t>
      </w:r>
    </w:p>
    <w:p>
      <w:pPr>
        <w:pStyle w:val="Heading1"/>
      </w:pPr>
      <w:r>
        <w:t>7. Composants principaux</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Composant</w:t>
            </w:r>
          </w:p>
        </w:tc>
        <w:tc>
          <w:tcPr>
            <w:tcW w:type="dxa" w:w="6803"/>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Variantes / règles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Button</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Primary, Secondary, Ghost, Destructive ; hauteur mobile ≥44 px</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VehicleCard</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Image 4:3, badges, nom, specs courtes, prix, favori, CTA</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Badge</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État, localisation, profil client ; texte toujours présent, jamais couleur seule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PriceBlock</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véhicule, transport, devise, label Revendeur si autorisé</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Input</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Label visible, aide, erreur, état disabled/read-only</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DataTable</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Header fixe, tri, filtres, pagination ; version card sur mobile admin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Modal</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Actions courtes uniquement ; pages dédiées pour formulaires longs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BottomSheet</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Filtres et choix rapides sur mobile</w:t>
            </w:r>
          </w:p>
        </w:tc>
      </w:tr>
    </w:tbl>
    <w:p>
      <w:pPr>
        <w:spacing w:after="20"/>
      </w:pPr>
    </w:p>
    <w:p>
      <w:pPr>
        <w:pStyle w:val="Heading1"/>
      </w:pPr>
      <w:r>
        <w:t>8. Carte véhicule</w:t>
      </w:r>
    </w:p>
    <w:p>
      <w:pPr>
        <w:pStyle w:val="ListBullet"/>
        <w:spacing w:after="40"/>
      </w:pPr>
      <w:r>
        <w:t>Image lisible ; badge NEW/USED et localisation.</w:t>
      </w:r>
    </w:p>
    <w:p>
      <w:pPr>
        <w:pStyle w:val="ListBullet"/>
        <w:spacing w:after="40"/>
      </w:pPr>
      <w:r>
        <w:t>Nom/année en hiérarchie forte.</w:t>
      </w:r>
    </w:p>
    <w:p>
      <w:pPr>
        <w:pStyle w:val="ListBullet"/>
        <w:spacing w:after="40"/>
      </w:pPr>
      <w:r>
        <w:t>2 à 4 specs maximum sur carte ; détails sur fiche.</w:t>
      </w:r>
    </w:p>
    <w:p>
      <w:pPr>
        <w:pStyle w:val="ListBullet"/>
        <w:spacing w:after="40"/>
      </w:pPr>
      <w:r>
        <w:t>Prix applicable mis en évidence ; “Tarif Revendeur” uniquement pour APPROVED.</w:t>
      </w:r>
    </w:p>
    <w:p>
      <w:pPr>
        <w:pStyle w:val="ListBullet"/>
        <w:spacing w:after="40"/>
      </w:pPr>
      <w:r>
        <w:t>Icône favori accessible au clavier et lecteur d’écran.</w:t>
      </w:r>
    </w:p>
    <w:p>
      <w:pPr>
        <w:pStyle w:val="Heading1"/>
      </w:pPr>
      <w:r>
        <w:t>9. Fiche véhicule</w:t>
      </w:r>
    </w:p>
    <w:p>
      <w:pPr>
        <w:pStyle w:val="ListBullet"/>
        <w:spacing w:after="40"/>
      </w:pPr>
      <w:r>
        <w:t>Galerie photo/vidéo immersive sans masquer les informations.</w:t>
      </w:r>
    </w:p>
    <w:p>
      <w:pPr>
        <w:pStyle w:val="ListBullet"/>
        <w:spacing w:after="40"/>
      </w:pPr>
      <w:r>
        <w:t>CTA mobile sticky : WhatsApp principal, Enregistrer secondaire.</w:t>
      </w:r>
    </w:p>
    <w:p>
      <w:pPr>
        <w:pStyle w:val="ListBullet"/>
        <w:spacing w:after="40"/>
      </w:pPr>
      <w:r>
        <w:t>Prix véhicule et transport séparés.</w:t>
      </w:r>
    </w:p>
    <w:p>
      <w:pPr>
        <w:pStyle w:val="ListBullet"/>
        <w:spacing w:after="40"/>
      </w:pPr>
      <w:r>
        <w:t>Éligibilité import rendue visible près du bloc d’achat.</w:t>
      </w:r>
    </w:p>
    <w:p>
      <w:pPr>
        <w:pStyle w:val="ListBullet"/>
        <w:spacing w:after="40"/>
      </w:pPr>
      <w:r>
        <w:t>Référence DIABACAR copiables.</w:t>
      </w:r>
    </w:p>
    <w:p>
      <w:pPr>
        <w:pStyle w:val="Heading1"/>
      </w:pPr>
      <w:r>
        <w:t>10. Back-office</w:t>
      </w:r>
    </w:p>
    <w:p>
      <w:r>
        <w:t>Le back-office réutilise les tokens de marque mais privilégie densité, neutralité et lisibilité. Sidebar Dark, contenu sur fond clair, accents Primary pour actions. Les états métier conservent les mêmes badges dans tous les écrans.</w:t>
      </w:r>
    </w:p>
    <w:p>
      <w:pPr>
        <w:pStyle w:val="Heading1"/>
      </w:pPr>
      <w:r>
        <w:t>11. Accessibilité</w:t>
      </w:r>
    </w:p>
    <w:p>
      <w:pPr>
        <w:pStyle w:val="ListBullet"/>
        <w:spacing w:after="40"/>
      </w:pPr>
      <w:r>
        <w:t>WCAG AA pour contrastes essentiels.</w:t>
      </w:r>
    </w:p>
    <w:p>
      <w:pPr>
        <w:pStyle w:val="ListBullet"/>
        <w:spacing w:after="40"/>
      </w:pPr>
      <w:r>
        <w:t>Focus visible.</w:t>
      </w:r>
    </w:p>
    <w:p>
      <w:pPr>
        <w:pStyle w:val="ListBullet"/>
        <w:spacing w:after="40"/>
      </w:pPr>
      <w:r>
        <w:t>Labels permanents.</w:t>
      </w:r>
    </w:p>
    <w:p>
      <w:pPr>
        <w:pStyle w:val="ListBullet"/>
        <w:spacing w:after="40"/>
      </w:pPr>
      <w:r>
        <w:t>Taille tactile ≥44×44 px.</w:t>
      </w:r>
    </w:p>
    <w:p>
      <w:pPr>
        <w:pStyle w:val="ListBullet"/>
        <w:spacing w:after="40"/>
      </w:pPr>
      <w:r>
        <w:t>Alt text pour images utiles ; décoratives ignorées.</w:t>
      </w:r>
    </w:p>
    <w:p>
      <w:pPr>
        <w:pStyle w:val="ListBullet"/>
        <w:spacing w:after="40"/>
      </w:pPr>
      <w:r>
        <w:t>Pas d’information portée uniquement par couleur.</w:t>
      </w:r>
    </w:p>
    <w:p>
      <w:pPr>
        <w:pStyle w:val="ListBullet"/>
        <w:spacing w:after="40"/>
      </w:pPr>
      <w:r>
        <w:t>RTL testé séparément.</w:t>
      </w:r>
    </w:p>
    <w:p>
      <w:pPr>
        <w:pStyle w:val="Heading1"/>
      </w:pPr>
      <w:r>
        <w:t>12. Motion</w:t>
      </w:r>
    </w:p>
    <w:p>
      <w:pPr>
        <w:pStyle w:val="ListBullet"/>
        <w:spacing w:after="40"/>
      </w:pPr>
      <w:r>
        <w:t>Transitions 150-250 ms.</w:t>
      </w:r>
    </w:p>
    <w:p>
      <w:pPr>
        <w:pStyle w:val="ListBullet"/>
        <w:spacing w:after="40"/>
      </w:pPr>
      <w:r>
        <w:t>Animation favori légère ; pas d’animation bloquante.</w:t>
      </w:r>
    </w:p>
    <w:p>
      <w:pPr>
        <w:pStyle w:val="ListBullet"/>
        <w:spacing w:after="40"/>
      </w:pPr>
      <w:r>
        <w:t>Respect prefers-reduced-motion.</w:t>
      </w:r>
    </w:p>
    <w:p>
      <w:pPr>
        <w:pStyle w:val="ListBullet"/>
        <w:spacing w:after="40"/>
      </w:pPr>
      <w:r>
        <w:t>Pas d’effets décoratifs lourds affectant la performance mobile.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DIABACAR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DIABACAR  |  06  |  Design System et Charte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