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07</w:t>
      </w:r>
    </w:p>
    <w:p>
      <w:pPr>
        <w:pStyle w:val="Title"/>
        <w:jc w:val="center"/>
      </w:pPr>
      <w:r>
        <w:t>Rôles et permissions</w:t>
      </w:r>
    </w:p>
    <w:p>
      <w:pPr>
        <w:jc w:val="center"/>
      </w:pPr>
      <w:r>
        <w:rPr>
          <w:color w:val="5B6676"/>
          <w:sz w:val="22"/>
        </w:rPr>
        <w:t>Modèle d’autorisation et matrice d’accès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Principes</w:t>
      </w:r>
    </w:p>
    <w:p>
      <w:pPr>
        <w:pStyle w:val="ListBullet"/>
        <w:spacing w:after="40"/>
      </w:pPr>
      <w:r>
        <w:t>Authentification ≠ autorisation.</w:t>
      </w:r>
    </w:p>
    <w:p>
      <w:pPr>
        <w:pStyle w:val="ListBullet"/>
        <w:spacing w:after="40"/>
      </w:pPr>
      <w:r>
        <w:t>Droits calculés côté serveur.</w:t>
      </w:r>
    </w:p>
    <w:p>
      <w:pPr>
        <w:pStyle w:val="ListBullet"/>
        <w:spacing w:after="40"/>
      </w:pPr>
      <w:r>
        <w:t>Le client n’obtient jamais de rôle staff.</w:t>
      </w:r>
    </w:p>
    <w:p>
      <w:pPr>
        <w:pStyle w:val="ListBullet"/>
        <w:spacing w:after="40"/>
      </w:pPr>
      <w:r>
        <w:t>Le Revendeur est un profil tarifaire client, pas un rôle administratif.</w:t>
      </w:r>
    </w:p>
    <w:p>
      <w:pPr>
        <w:pStyle w:val="ListBullet"/>
        <w:spacing w:after="40"/>
      </w:pPr>
      <w:r>
        <w:t>Least privilege : permissions explicites.</w:t>
      </w:r>
    </w:p>
    <w:p>
      <w:pPr>
        <w:pStyle w:val="Heading1"/>
      </w:pPr>
      <w:r>
        <w:t>2. Acteurs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Acteur</w:t>
            </w:r>
          </w:p>
        </w:tc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Authentifié</w:t>
            </w:r>
          </w:p>
        </w:tc>
        <w:tc>
          <w:tcPr>
            <w:tcW w:type="dxa" w:w="396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Profil tarifaire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Visiteur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Non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 Standard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 + My DIABACAR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 PENDING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 + My DIABACAR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 APPROVED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 + My DIABACAR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Commercial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Back-office limité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N/A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Administrateur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Back-office complet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N/A</w:t>
            </w:r>
          </w:p>
        </w:tc>
      </w:tr>
    </w:tbl>
    <w:p>
      <w:pPr>
        <w:spacing w:after="20"/>
      </w:pPr>
    </w:p>
    <w:p>
      <w:pPr>
        <w:pStyle w:val="Heading1"/>
      </w:pPr>
      <w:r>
        <w:t>3. Matrice fonctionnelle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34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Fonction</w:t>
            </w:r>
          </w:p>
        </w:tc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Visiteur</w:t>
            </w:r>
          </w:p>
        </w:tc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Standard</w:t>
            </w:r>
          </w:p>
        </w:tc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Revendeur</w:t>
            </w:r>
          </w:p>
        </w:tc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Commercial</w:t>
            </w:r>
          </w:p>
        </w:tc>
        <w:tc>
          <w:tcPr>
            <w:tcW w:type="dxa" w:w="198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Admin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catalogue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prix Standard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prix Revendeur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 APPROVED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Selon permission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Créer favori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Local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My DIABACAR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Demande Revendeur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N/A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si autorisé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Gérer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Créer véhicule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Publier véhicule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Selon permission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Marquer vendu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Selon permission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coûts internes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Selon permission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Gérer prospects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Ses demandes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Ses demandes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Gérer rôles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Gérer règles import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audit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</w:tbl>
    <w:p>
      <w:pPr>
        <w:spacing w:after="20"/>
      </w:pPr>
    </w:p>
    <w:p>
      <w:pPr>
        <w:pStyle w:val="Heading1"/>
      </w:pPr>
      <w:r>
        <w:t>4. Permissions staff recommandées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13"/>
        <w:gridCol w:w="7013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020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Permissions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</w:t>
            </w:r>
          </w:p>
        </w:tc>
        <w:tc>
          <w:tcPr>
            <w:tcW w:type="dxa" w:w="102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vehicle.create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vehicle.edit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vehicle.publish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vehicle.archive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vehicle.reserve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vehicle.mark_sold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vehicle.view_costs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</w:t>
            </w:r>
          </w:p>
        </w:tc>
        <w:tc>
          <w:tcPr>
            <w:tcW w:type="dxa" w:w="102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customer.edit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reseller.review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reseller.approve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reseller.suspend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102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lead.create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lead.edit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lead.assign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lead.close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</w:t>
            </w:r>
          </w:p>
        </w:tc>
        <w:tc>
          <w:tcPr>
            <w:tcW w:type="dxa" w:w="102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order.view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order.create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order.edit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order.status_change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order.cancel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</w:t>
            </w:r>
          </w:p>
        </w:tc>
        <w:tc>
          <w:tcPr>
            <w:tcW w:type="dxa" w:w="102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taxonomy.view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taxonomy.manage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feature.manage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System</w:t>
            </w:r>
          </w:p>
        </w:tc>
        <w:tc>
          <w:tcPr>
            <w:tcW w:type="dxa" w:w="102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settings.manage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import_rules.manage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fx.manage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audit.view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analytics.view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user.manage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role.manage</w:t>
            </w:r>
          </w:p>
        </w:tc>
      </w:tr>
    </w:tbl>
    <w:p>
      <w:pPr>
        <w:spacing w:after="20"/>
      </w:pPr>
    </w:p>
    <w:p>
      <w:pPr>
        <w:pStyle w:val="Heading1"/>
      </w:pPr>
      <w:r>
        <w:t>5. Règles My DIABACAR</w:t>
      </w:r>
    </w:p>
    <w:p>
      <w:pPr>
        <w:pStyle w:val="ListBullet"/>
        <w:spacing w:after="40"/>
      </w:pPr>
      <w:r>
        <w:t>Un client ne lit/modifie que son propre profil, favoris, recherches, demandes et commandes.</w:t>
      </w:r>
    </w:p>
    <w:p>
      <w:pPr>
        <w:pStyle w:val="ListBullet"/>
        <w:spacing w:after="40"/>
      </w:pPr>
      <w:r>
        <w:t>L’ID transmis par le navigateur n’est jamais suffisant : la propriété est vérifiée à partir de la session.</w:t>
      </w:r>
    </w:p>
    <w:p>
      <w:pPr>
        <w:pStyle w:val="ListBullet"/>
        <w:spacing w:after="40"/>
      </w:pPr>
      <w:r>
        <w:t>Un changement de profil Standard → Revendeur nécessite l’approbation DIABACAR.</w:t>
      </w:r>
    </w:p>
    <w:p>
      <w:pPr>
        <w:pStyle w:val="ListBullet"/>
        <w:spacing w:after="40"/>
      </w:pPr>
      <w:r>
        <w:t>Le tarif Revendeur exige customer_type=RESELLER et reseller_status=APPROVED.</w:t>
      </w:r>
    </w:p>
    <w:p>
      <w:pPr>
        <w:pStyle w:val="Heading1"/>
      </w:pPr>
      <w:r>
        <w:t>6. Mapping RLS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rPr>
          <w:tblHeader w:val="true"/>
        </w:trPr>
        <w:tc>
          <w:tcPr>
            <w:tcW w:type="dxa" w:w="34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51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Client</w:t>
            </w:r>
          </w:p>
        </w:tc>
        <w:tc>
          <w:tcPr>
            <w:tcW w:type="dxa" w:w="45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Staff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customer_profiles</w:t>
            </w:r>
          </w:p>
        </w:tc>
        <w:tc>
          <w:tcPr>
            <w:tcW w:type="dxa" w:w="51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SELECT/UPDATE own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SELECT selon service/permission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favorite_vehicles</w:t>
            </w:r>
          </w:p>
        </w:tc>
        <w:tc>
          <w:tcPr>
            <w:tcW w:type="dxa" w:w="51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CRUD own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Lecture exceptionnelle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saved_searches</w:t>
            </w:r>
          </w:p>
        </w:tc>
        <w:tc>
          <w:tcPr>
            <w:tcW w:type="dxa" w:w="51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CRUD own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Pas nécessaire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orders</w:t>
            </w:r>
          </w:p>
        </w:tc>
        <w:tc>
          <w:tcPr>
            <w:tcW w:type="dxa" w:w="51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SELECT own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CRUD via backend autorisé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vehicle_documents private</w:t>
            </w:r>
          </w:p>
        </w:tc>
        <w:tc>
          <w:tcPr>
            <w:tcW w:type="dxa" w:w="51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Non direct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Accès via URL signée si permission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audit_logs</w:t>
            </w:r>
          </w:p>
        </w:tc>
        <w:tc>
          <w:tcPr>
            <w:tcW w:type="dxa" w:w="51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Aucun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 uniquement</w:t>
            </w:r>
          </w:p>
        </w:tc>
      </w:tr>
    </w:tbl>
    <w:p>
      <w:pPr>
        <w:spacing w:after="20"/>
      </w:pPr>
    </w:p>
    <w:p>
      <w:pPr>
        <w:pStyle w:val="Heading1"/>
      </w:pPr>
      <w:r>
        <w:t>7. Séparation des privilèges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fill="F5FAFF"/>
            <w:tcBorders>
              <w:top w:val="single" w:sz="3" w:color="C7D8EB"/>
              <w:left w:val="single" w:sz="20" w:color="C0392B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C0392B"/>
                <w:sz w:val="18"/>
              </w:rPr>
              <w:t xml:space="preserve">Service role Supabase — </w:t>
            </w:r>
            <w:r>
              <w:rPr>
                <w:color w:val="142033"/>
                <w:sz w:val="18"/>
              </w:rPr>
              <w:t>Ne doit jamais être utilisé dans le navigateur. Les opérations privilégiées passent par des fonctions serveur contrôlées.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10"/>
      <w:footerReference w:type="default" r:id="rId11"/>
      <w:pgSz w:w="15840" w:h="12240" w:orient="landscape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07  |  Rôles et permissions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