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drawing>
          <wp:inline xmlns:a="http://schemas.openxmlformats.org/drawingml/2006/main" xmlns:pic="http://schemas.openxmlformats.org/drawingml/2006/picture">
            <wp:extent cx="2423160" cy="806931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logo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2423160" cy="806931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Arial" w:hAnsi="Arial"/>
          <w:b/>
          <w:color w:val="0165E3"/>
          <w:sz w:val="56"/>
        </w:rPr>
        <w:t>DIABACAR</w:t>
      </w:r>
    </w:p>
    <w:p>
      <w:pPr>
        <w:jc w:val="center"/>
      </w:pPr>
      <w:r>
        <w:rPr>
          <w:b/>
          <w:color w:val="12B1FC"/>
          <w:sz w:val="20"/>
        </w:rPr>
        <w:t>DOCUMENT 08</w:t>
      </w:r>
    </w:p>
    <w:p>
      <w:pPr>
        <w:pStyle w:val="Title"/>
        <w:jc w:val="center"/>
      </w:pPr>
      <w:r>
        <w:t>Catalogue des règles métier</w:t>
      </w:r>
    </w:p>
    <w:p>
      <w:pPr>
        <w:jc w:val="center"/>
      </w:pPr>
      <w:r>
        <w:rPr>
          <w:color w:val="5B6676"/>
          <w:sz w:val="22"/>
        </w:rPr>
        <w:t>Règles fonctionnelles exécutables de DIABACAR</w:t>
      </w:r>
    </w:p>
    <w:p/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Version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1.0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Date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28 septembre 2026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Statut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Référence projet</w:t>
            </w:r>
          </w:p>
        </w:tc>
      </w:tr>
      <w:tr>
        <w:tc>
          <w:tcPr>
            <w:tcW w:type="dxa" w:w="2324"/>
            <w:shd w:fill="EAF5FF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pPr>
              <w:jc w:val="left"/>
            </w:pPr>
            <w:r>
              <w:rPr>
                <w:b/>
                <w:color w:val="012E75"/>
                <w:sz w:val="17"/>
              </w:rPr>
              <w:t>Périmètre</w:t>
            </w:r>
          </w:p>
        </w:tc>
        <w:tc>
          <w:tcPr>
            <w:tcW w:type="dxa" w:w="4535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  <w:vAlign w:val="center"/>
          </w:tcPr>
          <w:p>
            <w:r>
              <w:rPr>
                <w:color w:val="142033"/>
                <w:sz w:val="17"/>
              </w:rPr>
              <w:t>DIABACAR - Chine → Sénégal</w:t>
            </w:r>
          </w:p>
        </w:tc>
      </w:tr>
    </w:tbl>
    <w:p>
      <w:pPr>
        <w:spacing w:before="320"/>
        <w:jc w:val="center"/>
      </w:pPr>
      <w:r>
        <w:rPr>
          <w:i/>
          <w:color w:val="5B6676"/>
          <w:sz w:val="16"/>
        </w:rPr>
        <w:t>Document de travail confidentiel - Toute évolution structurante doit rester cohérente avec le corpus DIABACAR.</w:t>
      </w:r>
    </w:p>
    <w:p>
      <w:r>
        <w:br w:type="page"/>
      </w:r>
    </w:p>
    <w:p>
      <w:pPr>
        <w:pStyle w:val="Heading1"/>
      </w:pPr>
      <w:r>
        <w:t>1. Convention</w:t>
      </w:r>
    </w:p>
    <w:p>
      <w:r>
        <w:t>Chaque règle possède un identifiant stable BR-xxx. Les tests du document 14 doivent référencer ces identifiants lorsque pertinent.</w:t>
      </w:r>
    </w:p>
    <w:p>
      <w:pPr>
        <w:pStyle w:val="Heading1"/>
      </w:pPr>
      <w:r>
        <w:t>2. Clients et tarification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BR-001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visiteur peut consulter le catalogue sans compte.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BR-002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Tout utilisateur client possède un profil tarifaire STANDARD ou RESELLER.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BR-003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Revendeur non APPROVED reçoit le tarif Standard.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BR-004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prix Revendeur n’est calculé et retourné qu’après vérification serveur.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BR-005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tarif Revendeur absent retombe sur le tarif Standard.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BR-006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prix véhicule et le transport sont deux composantes distinctes.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BR-007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conversions XOF/USD utilisent le taux courant approuvé par PricingService.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BR-008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coûts fournisseur, marges et notes internes ne sont jamais publics.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BR-009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changement de prix crée un historique.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BR-010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promotions respectent une période de validité et priment sur le prix régulier actif.</w:t>
            </w:r>
          </w:p>
        </w:tc>
      </w:tr>
    </w:tbl>
    <w:p>
      <w:pPr>
        <w:spacing w:after="20"/>
      </w:pPr>
    </w:p>
    <w:p>
      <w:pPr>
        <w:pStyle w:val="Heading1"/>
      </w:pPr>
      <w:r>
        <w:t>3. Véhicules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publié doit disposer d’une référence unique, marque, modèle, année, condition, localisation, statut, média principal et information de prix.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Localisation logistique et statut commercial sont indépendants.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SOLD n’apparaît plus dans les résultats “disponibles” mais son historique est conservé.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RESERVED reste consultable avec badge explicite.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BR-024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Une seule image peut être primaire.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BR-025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médias peuvent être images ou vidéos ; l’ordre est administrable.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BR-026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occasion doit renseigner le kilométrage sauf exception explicitement autorisée par un administrateur.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BR-027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rapport d’inspection est privé par défaut et partageable sur demande.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BR-028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marques, modèles, options et features sont administrables, pas hardcodés.</w:t>
            </w:r>
          </w:p>
        </w:tc>
      </w:tr>
    </w:tbl>
    <w:p>
      <w:pPr>
        <w:spacing w:after="20"/>
      </w:pPr>
    </w:p>
    <w:p>
      <w:pPr>
        <w:pStyle w:val="Heading1"/>
      </w:pPr>
      <w:r>
        <w:t>4. Import / éligibilité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BR-040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règles d’import sont configurables par date d’effet et catégorie ; elles ne sont pas codées en dur.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BR-041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L’âge du véhicule peut participer à l’éligibilité.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BR-042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NOT_ELIGIBLE est signalé explicitement.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BR-043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REVIEW_REQUIRED impose une vérification humaine avant présentation comme importable.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BR-044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Toute modification d’une règle réglementaire doit être auditée.</w:t>
            </w:r>
          </w:p>
        </w:tc>
      </w:tr>
    </w:tbl>
    <w:p>
      <w:pPr>
        <w:spacing w:after="20"/>
      </w:pPr>
    </w:p>
    <w:p>
      <w:pPr>
        <w:pStyle w:val="Heading1"/>
      </w:pPr>
      <w:r>
        <w:t>5. Favoris et My DIABACAR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BR-060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visiteur peut avoir des favoris locaux.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BR-061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client connecté a des favoris synchronisés en base.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BR-062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même client ne peut enregistrer deux fois le même véhicule.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BR-063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véhicule vendu reste visible dans les favoris avec statut SOLD.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BR-064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prix affiché dans un favori est recalculé au moment de l’affichage, jamais figé à l’ajout.</w:t>
            </w:r>
          </w:p>
        </w:tc>
      </w:tr>
    </w:tbl>
    <w:p>
      <w:pPr>
        <w:spacing w:after="20"/>
      </w:pPr>
    </w:p>
    <w:p>
      <w:pPr>
        <w:pStyle w:val="Heading1"/>
      </w:pPr>
      <w:r>
        <w:t>6. CRM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BR-080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Chaque demande commerciale peut être associée à un lead et à une source.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BR-081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interactions significatives sont conservées dans la timeline.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BR-082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lead peut être affecté à un commercial.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BR-083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résultats LOST et COMPLETED ne suppriment pas l’historique.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BR-084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clic WhatsApp véhicule est tracké même s’il ne crée pas automatiquement un lead nominatif.</w:t>
            </w:r>
          </w:p>
        </w:tc>
      </w:tr>
    </w:tbl>
    <w:p>
      <w:pPr>
        <w:spacing w:after="20"/>
      </w:pPr>
    </w:p>
    <w:p>
      <w:pPr>
        <w:pStyle w:val="Heading1"/>
      </w:pPr>
      <w:r>
        <w:t>7. Réservation et commande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Une réservation bloque commercialement le véhicule selon la politique définie.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Un acompte peut être requis mais est encaissé hors plateforme V1.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DIABACAR peut enregistrer montant, devise, statut et référence externe de l’acompte sans exécuter de paiement.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La création d’une commande active doit vérifier que le véhicule n’a pas déjà une commande active incompatible.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BR-104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passage SOLD et la création/confirmation de commande s’effectuent dans une transaction.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BR-105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Les prix convenus de commande sont historisés indépendamment des prix catalogue ultérieurs.</w:t>
            </w:r>
          </w:p>
        </w:tc>
      </w:tr>
    </w:tbl>
    <w:p>
      <w:pPr>
        <w:spacing w:after="20"/>
      </w:pPr>
    </w:p>
    <w:p>
      <w:pPr>
        <w:pStyle w:val="Heading1"/>
      </w:pPr>
      <w:r>
        <w:t>8. WhatsApp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BR-120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numéro principal provient des paramètres et vaut initialement +221 78 225 40 40.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BR-121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message véhicule contient au minimum nom, référence et lien.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BR-122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Pour un Revendeur APPROVED, le message peut inclure le tarif applicable ; le commercial le revérifie toujours dans DIABACAR.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BR-123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message WhatsApp ne constitue pas un devis contractuel.</w:t>
            </w:r>
          </w:p>
        </w:tc>
      </w:tr>
    </w:tbl>
    <w:p>
      <w:pPr>
        <w:spacing w:after="20"/>
      </w:pPr>
    </w:p>
    <w:p>
      <w:pPr>
        <w:pStyle w:val="Heading1"/>
      </w:pPr>
      <w:r>
        <w:t>9. Internationalisation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5213"/>
        <w:gridCol w:w="5213"/>
      </w:tblGrid>
      <w:tr>
        <w:trPr>
          <w:tblHeader w:val="true"/>
        </w:trPr>
        <w:tc>
          <w:tcPr>
            <w:tcW w:type="dxa" w:w="1701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ID</w:t>
            </w:r>
          </w:p>
        </w:tc>
        <w:tc>
          <w:tcPr>
            <w:tcW w:type="dxa" w:w="7370"/>
            <w:shd w:fill="012E75"/>
            <w:vAlign w:val="center"/>
            <w:tcBorders>
              <w:top w:val="single" w:sz="4" w:color="C7D8EB"/>
              <w:left w:val="single" w:sz="4" w:color="C7D8EB"/>
              <w:bottom w:val="single" w:sz="4" w:color="C7D8EB"/>
              <w:right w:val="single" w:sz="4" w:color="C7D8EB"/>
            </w:tcBorders>
          </w:tcPr>
          <w:p>
            <w:pPr>
              <w:jc w:val="left"/>
            </w:pPr>
            <w:r>
              <w:rPr>
                <w:b/>
                <w:color w:val="FFFFFF"/>
                <w:sz w:val="16"/>
              </w:rPr>
              <w:t>Règle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BR-140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FR, EN et AR sont supportés côté interface.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BR-141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Le choix de langue est mémorisé pour un client connecté.</w:t>
            </w:r>
          </w:p>
        </w:tc>
      </w:tr>
      <w:tr>
        <w:tc>
          <w:tcPr>
            <w:tcW w:type="dxa" w:w="1701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BR-142</w:t>
            </w:r>
          </w:p>
        </w:tc>
        <w:tc>
          <w:tcPr>
            <w:tcW w:type="dxa" w:w="7370"/>
            <w:vAlign w:val="top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L’arabe active RTL sans modifier les identifiants, références ou montants.</w:t>
            </w:r>
          </w:p>
        </w:tc>
      </w:tr>
      <w:tr>
        <w:tc>
          <w:tcPr>
            <w:tcW w:type="dxa" w:w="1701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BR-143</w:t>
            </w:r>
          </w:p>
        </w:tc>
        <w:tc>
          <w:tcPr>
            <w:tcW w:type="dxa" w:w="7370"/>
            <w:vAlign w:val="top"/>
            <w:shd w:fill="F8FBFE"/>
            <w:tcBorders>
              <w:top w:val="single" w:sz="3" w:color="C7D8EB"/>
              <w:left w:val="single" w:sz="3" w:color="C7D8EB"/>
              <w:bottom w:val="single" w:sz="3" w:color="C7D8EB"/>
              <w:right w:val="single" w:sz="3" w:color="C7D8EB"/>
            </w:tcBorders>
          </w:tcPr>
          <w:p>
            <w:pPr>
              <w:spacing w:after="0"/>
            </w:pPr>
            <w:r>
              <w:rPr>
                <w:color w:val="142033"/>
                <w:sz w:val="16"/>
              </w:rPr>
              <w:t>Tout nouveau texte UI doit passer par le système i18n, pas être dupliqué en dur dans les composants.</w:t>
            </w:r>
          </w:p>
        </w:tc>
      </w:tr>
    </w:tbl>
    <w:p>
      <w:pPr>
        <w:spacing w:after="20"/>
      </w:pPr>
    </w:p>
    <w:p>
      <w:pPr>
        <w:pStyle w:val="Heading1"/>
      </w:pPr>
      <w:r>
        <w:t>10. Priorisation</w:t>
      </w:r>
    </w:p>
    <w:tbl>
      <w:tblPr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0426"/>
      </w:tblGrid>
      <w:tr>
        <w:tc>
          <w:tcPr>
            <w:tcW w:type="dxa" w:w="10426"/>
            <w:shd w:fill="F5FAFF"/>
            <w:tcBorders>
              <w:top w:val="single" w:sz="3" w:color="C7D8EB"/>
              <w:left w:val="single" w:sz="20" w:color="12B1FC"/>
              <w:bottom w:val="single" w:sz="3" w:color="C7D8EB"/>
              <w:right w:val="single" w:sz="3" w:color="C7D8EB"/>
            </w:tcBorders>
          </w:tcPr>
          <w:p>
            <w:r>
              <w:rPr>
                <w:b/>
                <w:color w:val="12B1FC"/>
                <w:sz w:val="18"/>
              </w:rPr>
              <w:t xml:space="preserve">Cadrage complémentaire — </w:t>
            </w:r>
            <w:r>
              <w:rPr>
                <w:color w:val="142033"/>
                <w:sz w:val="18"/>
              </w:rPr>
              <w:t>Recherche/filtres, fiche photo+vidéo, WhatsApp, favoris et partage sont indispensables au lancement. Les autres fonctions restent conçues sans être obligatoirement activées dans le premier lot.</w:t>
            </w:r>
          </w:p>
        </w:tc>
      </w:tr>
    </w:tbl>
    <w:p>
      <w:pPr>
        <w:spacing w:after="20"/>
      </w:pPr>
    </w:p>
    <w:sectPr w:rsidR="00FC693F" w:rsidRPr="0006063C" w:rsidSect="00034616">
      <w:headerReference w:type="default" r:id="rId10"/>
      <w:footerReference w:type="default" r:id="rId11"/>
      <w:pgSz w:w="12240" w:h="15840"/>
      <w:pgMar w:top="879" w:right="907" w:bottom="822" w:left="90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B6676"/>
        <w:sz w:val="15"/>
      </w:rPr>
      <w:t xml:space="preserve">Confidentiel - Projet DIABACAR  |  Version 1.0  |  </w:t>
    </w:r>
    <w:r>
      <w:rPr>
        <w:color w:val="5B6676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  <w:pBdr>
        <w:bottom w:val="single" w:sz="6" w:space="2" w:color="12B1FC"/>
      </w:pBdr>
    </w:pPr>
    <w:r>
      <w:rPr>
        <w:rFonts w:ascii="Arial" w:hAnsi="Arial"/>
        <w:b/>
        <w:color w:val="012E75"/>
        <w:sz w:val="15"/>
      </w:rPr>
      <w:t>DIABACAR  |  08  |  Catalogue des règles métier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00" w:line="269" w:lineRule="auto"/>
    </w:pPr>
    <w:rPr>
      <w:rFonts w:ascii="Arial" w:hAnsi="Arial"/>
      <w:color w:val="1420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20" w:after="140"/>
      <w:outlineLvl w:val="0"/>
    </w:pPr>
    <w:rPr>
      <w:rFonts w:asciiTheme="majorHAnsi" w:eastAsiaTheme="majorEastAsia" w:hAnsiTheme="majorHAnsi" w:cstheme="majorBidi" w:ascii="Arial" w:hAnsi="Arial"/>
      <w:b/>
      <w:bCs/>
      <w:color w:val="012E7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40" w:after="100"/>
      <w:outlineLvl w:val="1"/>
    </w:pPr>
    <w:rPr>
      <w:rFonts w:asciiTheme="majorHAnsi" w:eastAsiaTheme="majorEastAsia" w:hAnsiTheme="majorHAnsi" w:cstheme="majorBidi" w:ascii="Arial" w:hAnsi="Arial"/>
      <w:b/>
      <w:bCs/>
      <w:color w:val="0165E3"/>
      <w:sz w:val="25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8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001434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4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012E75"/>
      <w:spacing w:val="5"/>
      <w:kern w:val="28"/>
      <w:sz w:val="48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after="0" w:line="240" w:lineRule="auto"/>
    </w:pPr>
    <w:rPr>
      <w:rFonts w:ascii="Consolas" w:hAnsi="Consolas"/>
      <w:color w:val="142033"/>
      <w:sz w:val="15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header" Target="header1.xml"/><Relationship Id="rId11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