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DIABACAR</w:t>
      </w:r>
    </w:p>
    <w:p>
      <w:pPr>
        <w:jc w:val="center"/>
      </w:pPr>
      <w:r>
        <w:rPr>
          <w:b/>
          <w:color w:val="12B1FC"/>
          <w:sz w:val="20"/>
        </w:rPr>
        <w:t>DOCUMENT 11</w:t>
      </w:r>
    </w:p>
    <w:p>
      <w:pPr>
        <w:pStyle w:val="Title"/>
        <w:jc w:val="center"/>
      </w:pPr>
      <w:r>
        <w:t>Spécifications Supabase</w:t>
      </w:r>
    </w:p>
    <w:p>
      <w:pPr>
        <w:jc w:val="center"/>
      </w:pPr>
      <w:r>
        <w:rPr>
          <w:color w:val="5B6676"/>
          <w:sz w:val="22"/>
        </w:rPr>
        <w:t>Auth, RLS, Storage, policies et exploitation</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DIABACAR - Chine → Sénégal</w:t>
            </w:r>
          </w:p>
        </w:tc>
      </w:tr>
    </w:tbl>
    <w:p>
      <w:pPr>
        <w:spacing w:before="320"/>
        <w:jc w:val="center"/>
      </w:pPr>
      <w:r>
        <w:rPr>
          <w:i/>
          <w:color w:val="5B6676"/>
          <w:sz w:val="16"/>
        </w:rPr>
        <w:t>Document de travail confidentiel - Toute évolution structurante doit rester cohérente avec le corpus DIABACAR.</w:t>
      </w:r>
    </w:p>
    <w:p>
      <w:r>
        <w:br w:type="page"/>
      </w:r>
    </w:p>
    <w:p>
      <w:pPr>
        <w:pStyle w:val="Heading1"/>
      </w:pPr>
      <w:r>
        <w:t>1. Projets</w:t>
      </w:r>
    </w:p>
    <w:p>
      <w:pPr>
        <w:pStyle w:val="ListBullet"/>
        <w:spacing w:after="40"/>
      </w:pPr>
      <w:r>
        <w:t>Projet Supabase DEV séparé de PROD.</w:t>
      </w:r>
    </w:p>
    <w:p>
      <w:pPr>
        <w:pStyle w:val="ListBullet"/>
        <w:spacing w:after="40"/>
      </w:pPr>
      <w:r>
        <w:t>Staging dédié si le risque opérationnel le justifie.</w:t>
      </w:r>
    </w:p>
    <w:p>
      <w:pPr>
        <w:pStyle w:val="ListBullet"/>
        <w:spacing w:after="40"/>
      </w:pPr>
      <w:r>
        <w:t>Aucune donnée réelle dans DEV.</w:t>
      </w:r>
    </w:p>
    <w:p>
      <w:pPr>
        <w:pStyle w:val="Heading1"/>
      </w:pPr>
      <w:r>
        <w:t>2. Auth</w:t>
      </w:r>
    </w:p>
    <w:p>
      <w:pPr>
        <w:pStyle w:val="ListBullet"/>
        <w:spacing w:after="40"/>
      </w:pPr>
      <w:r>
        <w:t>Email/mot de passe V1 ; reset Supabase.</w:t>
      </w:r>
    </w:p>
    <w:p>
      <w:pPr>
        <w:pStyle w:val="ListBullet"/>
        <w:spacing w:after="40"/>
      </w:pPr>
      <w:r>
        <w:t>URL de redirection autorisées limitées aux domaines DIABACAR.</w:t>
      </w:r>
    </w:p>
    <w:p>
      <w:pPr>
        <w:pStyle w:val="ListBullet"/>
        <w:spacing w:after="40"/>
      </w:pPr>
      <w:r>
        <w:t>Session gérée via helpers SSR compatibles Next.js.</w:t>
      </w:r>
    </w:p>
    <w:p>
      <w:pPr>
        <w:pStyle w:val="ListBullet"/>
        <w:spacing w:after="40"/>
      </w:pPr>
      <w:r>
        <w:t>Création de public.profiles après inscription via mécanisme maîtrisé et idempotent.</w:t>
      </w:r>
    </w:p>
    <w:p>
      <w:pPr>
        <w:pStyle w:val="Heading1"/>
      </w:pPr>
      <w:r>
        <w:t>3. Schémas et exposition</w:t>
      </w:r>
    </w:p>
    <w:p>
      <w:r>
        <w:t>Les tables métier se trouvent dans public ou un schéma applicatif contrôlé. Les tables contenant coûts internes, audit et documents sensibles ne doivent pas être exposées directement au navigateur. Les accès métier privilégiés passent par le serveur.</w:t>
      </w:r>
    </w:p>
    <w:p>
      <w:pPr>
        <w:pStyle w:val="Heading1"/>
      </w:pPr>
      <w:r>
        <w:t>4. RLS - politiques minimales</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Table</w:t>
            </w:r>
          </w:p>
        </w:tc>
        <w:tc>
          <w:tcPr>
            <w:tcW w:type="dxa" w:w="311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SELECT</w:t>
            </w:r>
          </w:p>
        </w:tc>
        <w:tc>
          <w:tcPr>
            <w:tcW w:type="dxa" w:w="368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INSERT/UPDATE/DELETE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customer_profiles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own, champs autorisés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favorite_vehicles</w:t>
            </w:r>
          </w:p>
        </w:tc>
        <w:tc>
          <w:tcPr>
            <w:tcW w:type="dxa" w:w="311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shd w:fill="F8FBFE"/>
            <w:tcBorders>
              <w:top w:val="single" w:sz="3" w:color="C7D8EB"/>
              <w:left w:val="single" w:sz="3" w:color="C7D8EB"/>
              <w:bottom w:val="single" w:sz="3" w:color="C7D8EB"/>
              <w:right w:val="single" w:sz="3" w:color="C7D8EB"/>
            </w:tcBorders>
          </w:tcPr>
          <w:p>
            <w:pPr>
              <w:spacing w:after="0"/>
            </w:pPr>
            <w:r>
              <w:rPr>
                <w:color w:val="142033"/>
                <w:sz w:val="16"/>
              </w:rPr>
              <w:t>own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saved_searches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own</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orders</w:t>
            </w:r>
          </w:p>
        </w:tc>
        <w:tc>
          <w:tcPr>
            <w:tcW w:type="dxa" w:w="311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own en lecture</w:t>
            </w:r>
          </w:p>
        </w:tc>
        <w:tc>
          <w:tcPr>
            <w:tcW w:type="dxa" w:w="3685"/>
            <w:vAlign w:val="top"/>
            <w:shd w:fill="F8FBFE"/>
            <w:tcBorders>
              <w:top w:val="single" w:sz="3" w:color="C7D8EB"/>
              <w:left w:val="single" w:sz="3" w:color="C7D8EB"/>
              <w:bottom w:val="single" w:sz="3" w:color="C7D8EB"/>
              <w:right w:val="single" w:sz="3" w:color="C7D8EB"/>
            </w:tcBorders>
          </w:tcPr>
          <w:p>
            <w:pPr>
              <w:spacing w:after="0"/>
            </w:pPr>
            <w:r>
              <w:rPr>
                <w:color w:val="142033"/>
                <w:sz w:val="16"/>
              </w:rPr>
              <w:t>aucune écriture client directe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reseller_applications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own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création own ; modification contrôlée</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vehicles publiés</w:t>
            </w:r>
          </w:p>
        </w:tc>
        <w:tc>
          <w:tcPr>
            <w:tcW w:type="dxa" w:w="3118"/>
            <w:vAlign w:val="top"/>
            <w:shd w:fill="F8FBFE"/>
            <w:tcBorders>
              <w:top w:val="single" w:sz="3" w:color="C7D8EB"/>
              <w:left w:val="single" w:sz="3" w:color="C7D8EB"/>
              <w:bottom w:val="single" w:sz="3" w:color="C7D8EB"/>
              <w:right w:val="single" w:sz="3" w:color="C7D8EB"/>
            </w:tcBorders>
          </w:tcPr>
          <w:p>
            <w:pPr>
              <w:spacing w:after="0"/>
            </w:pPr>
            <w:r>
              <w:rPr>
                <w:color w:val="142033"/>
                <w:sz w:val="16"/>
              </w:rPr>
              <w:t>public via vue/endpoint</w:t>
            </w:r>
          </w:p>
        </w:tc>
        <w:tc>
          <w:tcPr>
            <w:tcW w:type="dxa" w:w="368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staff seulement</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audit_logs</w:t>
            </w:r>
          </w:p>
        </w:tc>
        <w:tc>
          <w:tcPr>
            <w:tcW w:type="dxa" w:w="3118"/>
            <w:vAlign w:val="top"/>
            <w:tcBorders>
              <w:top w:val="single" w:sz="3" w:color="C7D8EB"/>
              <w:left w:val="single" w:sz="3" w:color="C7D8EB"/>
              <w:bottom w:val="single" w:sz="3" w:color="C7D8EB"/>
              <w:right w:val="single" w:sz="3" w:color="C7D8EB"/>
            </w:tcBorders>
          </w:tcPr>
          <w:p>
            <w:pPr>
              <w:spacing w:after="0"/>
            </w:pPr>
            <w:r>
              <w:rPr>
                <w:color w:val="142033"/>
                <w:sz w:val="16"/>
              </w:rPr>
              <w:t>admin</w:t>
            </w:r>
          </w:p>
        </w:tc>
        <w:tc>
          <w:tcPr>
            <w:tcW w:type="dxa" w:w="3685"/>
            <w:vAlign w:val="top"/>
            <w:tcBorders>
              <w:top w:val="single" w:sz="3" w:color="C7D8EB"/>
              <w:left w:val="single" w:sz="3" w:color="C7D8EB"/>
              <w:bottom w:val="single" w:sz="3" w:color="C7D8EB"/>
              <w:right w:val="single" w:sz="3" w:color="C7D8EB"/>
            </w:tcBorders>
          </w:tcPr>
          <w:p>
            <w:pPr>
              <w:spacing w:after="0"/>
            </w:pPr>
            <w:r>
              <w:rPr>
                <w:color w:val="142033"/>
                <w:sz w:val="16"/>
              </w:rPr>
              <w:t>service/admin seulement</w:t>
            </w:r>
          </w:p>
        </w:tc>
      </w:tr>
    </w:tbl>
    <w:p>
      <w:pPr>
        <w:spacing w:after="20"/>
      </w:pPr>
    </w:p>
    <w:p>
      <w:pPr>
        <w:pStyle w:val="Heading1"/>
      </w:pPr>
      <w:r>
        <w:t>5. Storage</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324"/>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Bucket</w:t>
            </w:r>
          </w:p>
        </w:tc>
        <w:tc>
          <w:tcPr>
            <w:tcW w:type="dxa" w:w="317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Mode</w:t>
            </w:r>
          </w:p>
        </w:tc>
        <w:tc>
          <w:tcPr>
            <w:tcW w:type="dxa" w:w="3572"/>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Policy</w:t>
            </w:r>
          </w:p>
        </w:tc>
      </w:tr>
      <w:tr>
        <w:tc>
          <w:tcPr>
            <w:tcW w:type="dxa" w:w="2324"/>
            <w:vAlign w:val="top"/>
            <w:tcBorders>
              <w:top w:val="single" w:sz="3" w:color="C7D8EB"/>
              <w:left w:val="single" w:sz="3" w:color="C7D8EB"/>
              <w:bottom w:val="single" w:sz="3" w:color="C7D8EB"/>
              <w:right w:val="single" w:sz="3" w:color="C7D8EB"/>
            </w:tcBorders>
          </w:tcPr>
          <w:p>
            <w:pPr>
              <w:spacing w:after="0"/>
            </w:pPr>
            <w:r>
              <w:rPr>
                <w:color w:val="142033"/>
                <w:sz w:val="16"/>
              </w:rPr>
              <w:t>vehicle-media</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Public pour actifs publiés ou URLs servies</w:t>
            </w:r>
          </w:p>
        </w:tc>
        <w:tc>
          <w:tcPr>
            <w:tcW w:type="dxa" w:w="3572"/>
            <w:vAlign w:val="top"/>
            <w:tcBorders>
              <w:top w:val="single" w:sz="3" w:color="C7D8EB"/>
              <w:left w:val="single" w:sz="3" w:color="C7D8EB"/>
              <w:bottom w:val="single" w:sz="3" w:color="C7D8EB"/>
              <w:right w:val="single" w:sz="3" w:color="C7D8EB"/>
            </w:tcBorders>
          </w:tcPr>
          <w:p>
            <w:pPr>
              <w:spacing w:after="0"/>
            </w:pPr>
            <w:r>
              <w:rPr>
                <w:color w:val="142033"/>
                <w:sz w:val="16"/>
              </w:rPr>
              <w:t>Upload staff autorisé ; suppression contrôlée</w:t>
            </w:r>
          </w:p>
        </w:tc>
      </w:tr>
      <w:tr>
        <w:tc>
          <w:tcPr>
            <w:tcW w:type="dxa" w:w="2324"/>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vehicle-documents</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Privé</w:t>
            </w:r>
          </w:p>
        </w:tc>
        <w:tc>
          <w:tcPr>
            <w:tcW w:type="dxa" w:w="3572"/>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Staff permissionné ; partage via signed URL</w:t>
            </w:r>
          </w:p>
        </w:tc>
      </w:tr>
      <w:tr>
        <w:tc>
          <w:tcPr>
            <w:tcW w:type="dxa" w:w="2324"/>
            <w:vAlign w:val="top"/>
            <w:tcBorders>
              <w:top w:val="single" w:sz="3" w:color="C7D8EB"/>
              <w:left w:val="single" w:sz="3" w:color="C7D8EB"/>
              <w:bottom w:val="single" w:sz="3" w:color="C7D8EB"/>
              <w:right w:val="single" w:sz="3" w:color="C7D8EB"/>
            </w:tcBorders>
          </w:tcPr>
          <w:p>
            <w:pPr>
              <w:spacing w:after="0"/>
            </w:pPr>
            <w:r>
              <w:rPr>
                <w:color w:val="142033"/>
                <w:sz w:val="16"/>
              </w:rPr>
              <w:t>avatars</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Privé/public contrôlé</w:t>
            </w:r>
          </w:p>
        </w:tc>
        <w:tc>
          <w:tcPr>
            <w:tcW w:type="dxa" w:w="3572"/>
            <w:vAlign w:val="top"/>
            <w:tcBorders>
              <w:top w:val="single" w:sz="3" w:color="C7D8EB"/>
              <w:left w:val="single" w:sz="3" w:color="C7D8EB"/>
              <w:bottom w:val="single" w:sz="3" w:color="C7D8EB"/>
              <w:right w:val="single" w:sz="3" w:color="C7D8EB"/>
            </w:tcBorders>
          </w:tcPr>
          <w:p>
            <w:pPr>
              <w:spacing w:after="0"/>
            </w:pPr>
            <w:r>
              <w:rPr>
                <w:color w:val="142033"/>
                <w:sz w:val="16"/>
              </w:rPr>
              <w:t>Utilisateur propriétaire</w:t>
            </w:r>
          </w:p>
        </w:tc>
      </w:tr>
      <w:tr>
        <w:tc>
          <w:tcPr>
            <w:tcW w:type="dxa" w:w="2324"/>
            <w:vAlign w:val="top"/>
            <w:shd w:fill="F8FBFE"/>
            <w:tcBorders>
              <w:top w:val="single" w:sz="3" w:color="C7D8EB"/>
              <w:left w:val="single" w:sz="3" w:color="C7D8EB"/>
              <w:bottom w:val="single" w:sz="3" w:color="C7D8EB"/>
              <w:right w:val="single" w:sz="3" w:color="C7D8EB"/>
            </w:tcBorders>
          </w:tcPr>
          <w:p>
            <w:pPr>
              <w:spacing w:after="0"/>
            </w:pPr>
            <w:r>
              <w:rPr>
                <w:color w:val="142033"/>
                <w:sz w:val="16"/>
              </w:rPr>
              <w:t>app-assets</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Public</w:t>
            </w:r>
          </w:p>
        </w:tc>
        <w:tc>
          <w:tcPr>
            <w:tcW w:type="dxa" w:w="3572"/>
            <w:vAlign w:val="top"/>
            <w:shd w:fill="F8FBFE"/>
            <w:tcBorders>
              <w:top w:val="single" w:sz="3" w:color="C7D8EB"/>
              <w:left w:val="single" w:sz="3" w:color="C7D8EB"/>
              <w:bottom w:val="single" w:sz="3" w:color="C7D8EB"/>
              <w:right w:val="single" w:sz="3" w:color="C7D8EB"/>
            </w:tcBorders>
          </w:tcPr>
          <w:p>
            <w:pPr>
              <w:spacing w:after="0"/>
            </w:pPr>
            <w:r>
              <w:rPr>
                <w:color w:val="142033"/>
                <w:sz w:val="16"/>
              </w:rPr>
              <w:t>Admin seulement en écriture</w:t>
            </w:r>
          </w:p>
        </w:tc>
      </w:tr>
    </w:tbl>
    <w:p>
      <w:pPr>
        <w:spacing w:after="20"/>
      </w:pPr>
    </w:p>
    <w:p>
      <w:pPr>
        <w:pStyle w:val="Heading1"/>
      </w:pPr>
      <w:r>
        <w:t>6. Vidéo</w:t>
      </w:r>
    </w:p>
    <w:p>
      <w:r>
        <w:t>Les vidéos courtes peuvent être stockées dans Storage si taille/quotas maîtrisés. Pour des vidéos lourdes, l’architecture autorise un fournisseur vidéo externe via URL sans changer le modèle VehicleMedia.</w:t>
      </w:r>
    </w:p>
    <w:p>
      <w:pPr>
        <w:pStyle w:val="Heading1"/>
      </w:pPr>
      <w:r>
        <w:t>7. Triggers / fonctions</w:t>
      </w:r>
    </w:p>
    <w:p>
      <w:pPr>
        <w:pStyle w:val="ListBullet"/>
        <w:spacing w:after="40"/>
      </w:pPr>
      <w:r>
        <w:t>Créer profile après auth.user : option possible, documentée et testée.</w:t>
      </w:r>
    </w:p>
    <w:p>
      <w:pPr>
        <w:pStyle w:val="ListBullet"/>
        <w:spacing w:after="40"/>
      </w:pPr>
      <w:r>
        <w:t>updated_at : trigger possible ou géré applicativement de manière cohérente.</w:t>
      </w:r>
    </w:p>
    <w:p>
      <w:pPr>
        <w:pStyle w:val="ListBullet"/>
        <w:spacing w:after="40"/>
      </w:pPr>
      <w:r>
        <w:t>Éviter la logique métier complexe cachée dans des triggers ; la garder dans les services.</w:t>
      </w:r>
    </w:p>
    <w:p>
      <w:pPr>
        <w:pStyle w:val="Heading1"/>
      </w:pPr>
      <w:r>
        <w:t>8. Service role</w:t>
      </w: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C0392B"/>
              <w:bottom w:val="single" w:sz="3" w:color="C7D8EB"/>
              <w:right w:val="single" w:sz="3" w:color="C7D8EB"/>
            </w:tcBorders>
          </w:tcPr>
          <w:p>
            <w:r>
              <w:rPr>
                <w:b/>
                <w:color w:val="C0392B"/>
                <w:sz w:val="18"/>
              </w:rPr>
              <w:t xml:space="preserve">Interdit côté client — </w:t>
            </w:r>
            <w:r>
              <w:rPr>
                <w:color w:val="142033"/>
                <w:sz w:val="18"/>
              </w:rPr>
              <w:t>SUPABASE_SERVICE_ROLE_KEY reste exclusivement serveur. Toute fuite doit être traitée comme incident de sécurité.</w:t>
            </w:r>
          </w:p>
        </w:tc>
      </w:tr>
    </w:tbl>
    <w:p>
      <w:pPr>
        <w:spacing w:after="20"/>
      </w:pPr>
    </w:p>
    <w:p>
      <w:pPr>
        <w:pStyle w:val="Heading1"/>
      </w:pPr>
      <w:r>
        <w:t>9. Sauvegardes</w:t>
      </w:r>
    </w:p>
    <w:p>
      <w:pPr>
        <w:pStyle w:val="ListBullet"/>
        <w:spacing w:after="40"/>
      </w:pPr>
      <w:r>
        <w:t>Activer stratégie de backup adaptée au plan Supabase.</w:t>
      </w:r>
    </w:p>
    <w:p>
      <w:pPr>
        <w:pStyle w:val="ListBullet"/>
        <w:spacing w:after="40"/>
      </w:pPr>
      <w:r>
        <w:t>Tester la restauration périodiquement.</w:t>
      </w:r>
    </w:p>
    <w:p>
      <w:pPr>
        <w:pStyle w:val="ListBullet"/>
        <w:spacing w:after="40"/>
      </w:pPr>
      <w:r>
        <w:t>Documenter export logique de secours.</w:t>
      </w:r>
    </w:p>
    <w:p>
      <w:pPr>
        <w:pStyle w:val="ListBullet"/>
        <w:spacing w:after="40"/>
      </w:pPr>
      <w:r>
        <w:t>Les médias critiques ont une politique de rétention et vérification distincte.</w:t>
      </w:r>
    </w:p>
    <w:p>
      <w:pPr>
        <w:pStyle w:val="Heading1"/>
      </w:pPr>
      <w:r>
        <w:t>10. Observabilité et quotas</w:t>
      </w:r>
    </w:p>
    <w:p>
      <w:pPr>
        <w:pStyle w:val="ListBullet"/>
        <w:spacing w:after="40"/>
      </w:pPr>
      <w:r>
        <w:t>Surveiller taille DB, egress Storage, Auth usage, erreurs.</w:t>
      </w:r>
    </w:p>
    <w:p>
      <w:pPr>
        <w:pStyle w:val="ListBullet"/>
        <w:spacing w:after="40"/>
      </w:pPr>
      <w:r>
        <w:t>Prévoir alertes sur approche des quotas.</w:t>
      </w:r>
    </w:p>
    <w:p>
      <w:pPr>
        <w:pStyle w:val="ListBullet"/>
        <w:spacing w:after="40"/>
      </w:pPr>
      <w:r>
        <w:t>Compresser les images ; limiter les vidéos.</w:t>
      </w:r>
    </w:p>
    <w:p>
      <w:pPr>
        <w:pStyle w:val="Heading1"/>
      </w:pPr>
      <w:r>
        <w:t>11. Politique de données</w:t>
      </w:r>
    </w:p>
    <w:p>
      <w:r>
        <w:t>Les données personnelles sont minimisées. Les notes internes, coûts et historiques sensibles ne sont jamais exposés à travers les clés anon. Les suppressions utilisateur doivent respecter les obligations de conservation commerciale applicables et privilégier anonymisation lorsque nécessaire.</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DIABACAR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DIABACAR  |  11  |  Spécifications Supabase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