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23160" cy="8069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806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0165E3"/>
          <w:sz w:val="56"/>
        </w:rPr>
        <w:t>DIABACAR</w:t>
      </w:r>
    </w:p>
    <w:p>
      <w:pPr>
        <w:jc w:val="center"/>
      </w:pPr>
      <w:r>
        <w:rPr>
          <w:b/>
          <w:color w:val="12B1FC"/>
          <w:sz w:val="20"/>
        </w:rPr>
        <w:t>DOCUMENT 17</w:t>
      </w:r>
    </w:p>
    <w:p>
      <w:pPr>
        <w:pStyle w:val="Title"/>
        <w:jc w:val="center"/>
      </w:pPr>
      <w:r>
        <w:t>Cahier de sécurité</w:t>
      </w:r>
    </w:p>
    <w:p>
      <w:pPr>
        <w:jc w:val="center"/>
      </w:pPr>
      <w:r>
        <w:rPr>
          <w:color w:val="5B6676"/>
          <w:sz w:val="22"/>
        </w:rPr>
        <w:t>Exigences de sécurité applicative et opérationnelle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Version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1.0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Date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28 septembre 2026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Statut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Référence projet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Périmètre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DIABACAR - Chine → Sénégal</w:t>
            </w:r>
          </w:p>
        </w:tc>
      </w:tr>
    </w:tbl>
    <w:p>
      <w:pPr>
        <w:spacing w:before="320"/>
        <w:jc w:val="center"/>
      </w:pPr>
      <w:r>
        <w:rPr>
          <w:i/>
          <w:color w:val="5B6676"/>
          <w:sz w:val="16"/>
        </w:rPr>
        <w:t>Document de travail confidentiel - Toute évolution structurante doit rester cohérente avec le corpus DIABACAR.</w:t>
      </w:r>
    </w:p>
    <w:p>
      <w:r>
        <w:br w:type="page"/>
      </w:r>
    </w:p>
    <w:p>
      <w:pPr>
        <w:pStyle w:val="Heading1"/>
      </w:pPr>
      <w:r>
        <w:t>1. Menaces prioritaires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2835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Risque</w:t>
            </w:r>
          </w:p>
        </w:tc>
        <w:tc>
          <w:tcPr>
            <w:tcW w:type="dxa" w:w="6236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Protection</w:t>
            </w:r>
          </w:p>
        </w:tc>
      </w:tr>
      <w:tr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Accès tarif Revendeur</w:t>
            </w:r>
          </w:p>
        </w:tc>
        <w:tc>
          <w:tcPr>
            <w:tcW w:type="dxa" w:w="6236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Vérification serveur + tests d’accès direct</w:t>
            </w:r>
          </w:p>
        </w:tc>
      </w:tr>
      <w:tr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Escalade admin</w:t>
            </w:r>
          </w:p>
        </w:tc>
        <w:tc>
          <w:tcPr>
            <w:tcW w:type="dxa" w:w="6236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RBAC + RLS + routes protégées</w:t>
            </w:r>
          </w:p>
        </w:tc>
      </w:tr>
      <w:tr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Fuite service role</w:t>
            </w:r>
          </w:p>
        </w:tc>
        <w:tc>
          <w:tcPr>
            <w:tcW w:type="dxa" w:w="6236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Server-only env + scanning secrets</w:t>
            </w:r>
          </w:p>
        </w:tc>
      </w:tr>
      <w:tr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Injection</w:t>
            </w:r>
          </w:p>
        </w:tc>
        <w:tc>
          <w:tcPr>
            <w:tcW w:type="dxa" w:w="6236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Prisma requêtes paramétrées + validation</w:t>
            </w:r>
          </w:p>
        </w:tc>
      </w:tr>
      <w:tr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XSS</w:t>
            </w:r>
          </w:p>
        </w:tc>
        <w:tc>
          <w:tcPr>
            <w:tcW w:type="dxa" w:w="6236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Rendu sécurisé + sanitation contenu CMS</w:t>
            </w:r>
          </w:p>
        </w:tc>
      </w:tr>
      <w:tr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Upload malveillant</w:t>
            </w:r>
          </w:p>
        </w:tc>
        <w:tc>
          <w:tcPr>
            <w:tcW w:type="dxa" w:w="6236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MIME, taille, extension, bucket privé, antivirus futur si besoin</w:t>
            </w:r>
          </w:p>
        </w:tc>
      </w:tr>
      <w:tr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Brute force</w:t>
            </w:r>
          </w:p>
        </w:tc>
        <w:tc>
          <w:tcPr>
            <w:tcW w:type="dxa" w:w="6236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Supabase Auth + rate limiting</w:t>
            </w:r>
          </w:p>
        </w:tc>
      </w:tr>
      <w:tr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IDOR</w:t>
            </w:r>
          </w:p>
        </w:tc>
        <w:tc>
          <w:tcPr>
            <w:tcW w:type="dxa" w:w="6236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Vérification propriété à partir de session</w:t>
            </w:r>
          </w:p>
        </w:tc>
      </w:tr>
      <w:tr>
        <w:tc>
          <w:tcPr>
            <w:tcW w:type="dxa" w:w="2835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Fuite documents</w:t>
            </w:r>
          </w:p>
        </w:tc>
        <w:tc>
          <w:tcPr>
            <w:tcW w:type="dxa" w:w="6236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Signed URLs + policies</w:t>
            </w:r>
          </w:p>
        </w:tc>
      </w:tr>
      <w:tr>
        <w:tc>
          <w:tcPr>
            <w:tcW w:type="dxa" w:w="2835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Double commande</w:t>
            </w:r>
          </w:p>
        </w:tc>
        <w:tc>
          <w:tcPr>
            <w:tcW w:type="dxa" w:w="6236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Transaction + idempotence</w:t>
            </w:r>
          </w:p>
        </w:tc>
      </w:tr>
    </w:tbl>
    <w:p>
      <w:pPr>
        <w:spacing w:after="20"/>
      </w:pPr>
    </w:p>
    <w:p>
      <w:pPr>
        <w:pStyle w:val="Heading1"/>
      </w:pPr>
      <w:r>
        <w:t>2. Auth</w:t>
      </w:r>
    </w:p>
    <w:p>
      <w:pPr>
        <w:pStyle w:val="ListBullet"/>
        <w:spacing w:after="40"/>
      </w:pPr>
      <w:r>
        <w:t>Supabase Auth.</w:t>
      </w:r>
    </w:p>
    <w:p>
      <w:pPr>
        <w:pStyle w:val="ListBullet"/>
        <w:spacing w:after="40"/>
      </w:pPr>
      <w:r>
        <w:t>Mots de passe jamais manipulés en clair.</w:t>
      </w:r>
    </w:p>
    <w:p>
      <w:pPr>
        <w:pStyle w:val="ListBullet"/>
        <w:spacing w:after="40"/>
      </w:pPr>
      <w:r>
        <w:t>Reset via liens temporaires.</w:t>
      </w:r>
    </w:p>
    <w:p>
      <w:pPr>
        <w:pStyle w:val="ListBullet"/>
        <w:spacing w:after="40"/>
      </w:pPr>
      <w:r>
        <w:t>MFA recommandé pour admins dès que disponible/opérationnel.</w:t>
      </w:r>
    </w:p>
    <w:p>
      <w:pPr>
        <w:pStyle w:val="Heading1"/>
      </w:pPr>
      <w:r>
        <w:t>3. Autorisation</w:t>
      </w:r>
    </w:p>
    <w:p>
      <w:pPr>
        <w:pStyle w:val="ListBullet"/>
        <w:spacing w:after="40"/>
      </w:pPr>
      <w:r>
        <w:t>RBAC staff.</w:t>
      </w:r>
    </w:p>
    <w:p>
      <w:pPr>
        <w:pStyle w:val="ListBullet"/>
        <w:spacing w:after="40"/>
      </w:pPr>
      <w:r>
        <w:t>Ownership client.</w:t>
      </w:r>
    </w:p>
    <w:p>
      <w:pPr>
        <w:pStyle w:val="ListBullet"/>
        <w:spacing w:after="40"/>
      </w:pPr>
      <w:r>
        <w:t>RLS en défense supplémentaire.</w:t>
      </w:r>
    </w:p>
    <w:p>
      <w:pPr>
        <w:pStyle w:val="ListBullet"/>
        <w:spacing w:after="40"/>
      </w:pPr>
      <w:r>
        <w:t>Deny by default pour opérations sensibles.</w:t>
      </w:r>
    </w:p>
    <w:p>
      <w:pPr>
        <w:pStyle w:val="Heading1"/>
      </w:pPr>
      <w:r>
        <w:t>4. Secrets</w:t>
      </w:r>
    </w:p>
    <w:p>
      <w:pPr>
        <w:pStyle w:val="ListBullet"/>
        <w:spacing w:after="40"/>
      </w:pPr>
      <w:r>
        <w:t>Aucun secret dans Git.</w:t>
      </w:r>
    </w:p>
    <w:p>
      <w:pPr>
        <w:pStyle w:val="ListBullet"/>
        <w:spacing w:after="40"/>
      </w:pPr>
      <w:r>
        <w:t>Variables sensibles server-only.</w:t>
      </w:r>
    </w:p>
    <w:p>
      <w:pPr>
        <w:pStyle w:val="ListBullet"/>
        <w:spacing w:after="40"/>
      </w:pPr>
      <w:r>
        <w:t>Rotation documentée.</w:t>
      </w:r>
    </w:p>
    <w:p>
      <w:pPr>
        <w:pStyle w:val="ListBullet"/>
        <w:spacing w:after="40"/>
      </w:pPr>
      <w:r>
        <w:t>Accès Vercel/Supabase selon moindre privilège.</w:t>
      </w:r>
    </w:p>
    <w:p>
      <w:pPr>
        <w:pStyle w:val="Heading1"/>
      </w:pPr>
      <w:r>
        <w:t>5. Données</w:t>
      </w:r>
    </w:p>
    <w:p>
      <w:pPr>
        <w:pStyle w:val="ListBullet"/>
        <w:spacing w:after="40"/>
      </w:pPr>
      <w:r>
        <w:t>Chiffrement TLS en transit.</w:t>
      </w:r>
    </w:p>
    <w:p>
      <w:pPr>
        <w:pStyle w:val="ListBullet"/>
        <w:spacing w:after="40"/>
      </w:pPr>
      <w:r>
        <w:t>Utiliser protections gérées du fournisseur pour données au repos.</w:t>
      </w:r>
    </w:p>
    <w:p>
      <w:pPr>
        <w:pStyle w:val="ListBullet"/>
        <w:spacing w:after="40"/>
      </w:pPr>
      <w:r>
        <w:t>Collecte minimale des données client.</w:t>
      </w:r>
    </w:p>
    <w:p>
      <w:pPr>
        <w:pStyle w:val="ListBullet"/>
        <w:spacing w:after="40"/>
      </w:pPr>
      <w:r>
        <w:t>Notes internes séparées.</w:t>
      </w:r>
    </w:p>
    <w:p>
      <w:pPr>
        <w:pStyle w:val="ListBullet"/>
        <w:spacing w:after="40"/>
      </w:pPr>
      <w:r>
        <w:t>Logs sans mot de passe, token ou document sensible.</w:t>
      </w:r>
    </w:p>
    <w:p>
      <w:pPr>
        <w:pStyle w:val="Heading1"/>
      </w:pPr>
      <w:r>
        <w:t>6. Sécurité HTTP</w:t>
      </w:r>
    </w:p>
    <w:p>
      <w:pPr>
        <w:pStyle w:val="ListBullet"/>
        <w:spacing w:after="40"/>
      </w:pPr>
      <w:r>
        <w:t>CSP adaptée.</w:t>
      </w:r>
    </w:p>
    <w:p>
      <w:pPr>
        <w:pStyle w:val="ListBullet"/>
        <w:spacing w:after="40"/>
      </w:pPr>
      <w:r>
        <w:t>HSTS en production.</w:t>
      </w:r>
    </w:p>
    <w:p>
      <w:pPr>
        <w:pStyle w:val="ListBullet"/>
        <w:spacing w:after="40"/>
      </w:pPr>
      <w:r>
        <w:t>X-Content-Type-Options.</w:t>
      </w:r>
    </w:p>
    <w:p>
      <w:pPr>
        <w:pStyle w:val="ListBullet"/>
        <w:spacing w:after="40"/>
      </w:pPr>
      <w:r>
        <w:t>Referrer-Policy.</w:t>
      </w:r>
    </w:p>
    <w:p>
      <w:pPr>
        <w:pStyle w:val="ListBullet"/>
        <w:spacing w:after="40"/>
      </w:pPr>
      <w:r>
        <w:t>Protection clickjacking/frame-ancestors.</w:t>
      </w:r>
    </w:p>
    <w:p>
      <w:pPr>
        <w:pStyle w:val="ListBullet"/>
        <w:spacing w:after="40"/>
      </w:pPr>
      <w:r>
        <w:t>Cookies sécurisés selon helpers Auth.</w:t>
      </w:r>
    </w:p>
    <w:p>
      <w:pPr>
        <w:pStyle w:val="Heading1"/>
      </w:pPr>
      <w:r>
        <w:t>7. Rate limiting</w:t>
      </w:r>
    </w:p>
    <w:p>
      <w:pPr>
        <w:pStyle w:val="ListBullet"/>
        <w:spacing w:after="40"/>
      </w:pPr>
      <w:r>
        <w:t>Login/reset.</w:t>
      </w:r>
    </w:p>
    <w:p>
      <w:pPr>
        <w:pStyle w:val="ListBullet"/>
        <w:spacing w:after="40"/>
      </w:pPr>
      <w:r>
        <w:t>Inscription.</w:t>
      </w:r>
    </w:p>
    <w:p>
      <w:pPr>
        <w:pStyle w:val="ListBullet"/>
        <w:spacing w:after="40"/>
      </w:pPr>
      <w:r>
        <w:t>Formulaires publics.</w:t>
      </w:r>
    </w:p>
    <w:p>
      <w:pPr>
        <w:pStyle w:val="ListBullet"/>
        <w:spacing w:after="40"/>
      </w:pPr>
      <w:r>
        <w:t>Actions coûteuses de recherche/import futures.</w:t>
      </w:r>
    </w:p>
    <w:p>
      <w:pPr>
        <w:pStyle w:val="Heading1"/>
      </w:pPr>
      <w:r>
        <w:t>8. Audit</w:t>
      </w:r>
    </w:p>
    <w:p>
      <w:r>
        <w:t>Journaliser publication, prix, approbation Revendeur, réservation, vente, annulation commande, rôles, règles import et paramètres critiques. Les audits sont immuables pour les utilisateurs ordinaires.</w:t>
      </w:r>
    </w:p>
    <w:p>
      <w:pPr>
        <w:pStyle w:val="Heading1"/>
      </w:pPr>
      <w:r>
        <w:t>9. Incident response</w:t>
      </w:r>
    </w:p>
    <w:p>
      <w:pPr>
        <w:pStyle w:val="ListNumber"/>
        <w:spacing w:after="40"/>
      </w:pPr>
      <w:r>
        <w:t>Identifier et contenir.</w:t>
      </w:r>
    </w:p>
    <w:p>
      <w:pPr>
        <w:pStyle w:val="ListNumber"/>
        <w:spacing w:after="40"/>
      </w:pPr>
      <w:r>
        <w:t>Révoquer/rotater secrets concernés.</w:t>
      </w:r>
    </w:p>
    <w:p>
      <w:pPr>
        <w:pStyle w:val="ListNumber"/>
        <w:spacing w:after="40"/>
      </w:pPr>
      <w:r>
        <w:t>Conserver logs et preuves.</w:t>
      </w:r>
    </w:p>
    <w:p>
      <w:pPr>
        <w:pStyle w:val="ListNumber"/>
        <w:spacing w:after="40"/>
      </w:pPr>
      <w:r>
        <w:t>Évaluer données impactées.</w:t>
      </w:r>
    </w:p>
    <w:p>
      <w:pPr>
        <w:pStyle w:val="ListNumber"/>
        <w:spacing w:after="40"/>
      </w:pPr>
      <w:r>
        <w:t>Corriger vulnérabilité.</w:t>
      </w:r>
    </w:p>
    <w:p>
      <w:pPr>
        <w:pStyle w:val="ListNumber"/>
        <w:spacing w:after="40"/>
      </w:pPr>
      <w:r>
        <w:t>Restaurer service.</w:t>
      </w:r>
    </w:p>
    <w:p>
      <w:pPr>
        <w:pStyle w:val="ListNumber"/>
        <w:spacing w:after="40"/>
      </w:pPr>
      <w:r>
        <w:t>Documenter rétrospective.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879" w:right="907" w:bottom="822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676"/>
        <w:sz w:val="15"/>
      </w:rPr>
      <w:t xml:space="preserve">Confidentiel - Projet DIABACAR  |  Version 1.0  |  </w:t>
    </w:r>
    <w:r>
      <w:rPr>
        <w:color w:val="5B6676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2" w:color="12B1FC"/>
      </w:pBdr>
    </w:pPr>
    <w:r>
      <w:rPr>
        <w:rFonts w:ascii="Arial" w:hAnsi="Arial"/>
        <w:b/>
        <w:color w:val="012E75"/>
        <w:sz w:val="15"/>
      </w:rPr>
      <w:t>DIABACAR  |  17  |  Cahier de sécurité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14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12E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165E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143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12E7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</w:pPr>
    <w:rPr>
      <w:rFonts w:ascii="Consolas" w:hAnsi="Consolas"/>
      <w:color w:val="142033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