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19</w:t>
      </w:r>
    </w:p>
    <w:p>
      <w:pPr>
        <w:pStyle w:val="Title"/>
        <w:jc w:val="center"/>
      </w:pPr>
      <w:r>
        <w:t>Plan Analytics et KPI</w:t>
      </w:r>
    </w:p>
    <w:p>
      <w:pPr>
        <w:jc w:val="center"/>
      </w:pPr>
      <w:r>
        <w:rPr>
          <w:color w:val="5B6676"/>
          <w:sz w:val="22"/>
        </w:rPr>
        <w:t>Mesure produit, commerciale et opérationnelle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Finalité</w:t>
      </w:r>
    </w:p>
    <w:p>
      <w:r>
        <w:t>L’analytics doit mesurer la capacité de DIABACAR à transformer un catalogue consulté en relation commerciale puis en commande, sans collecter plus de données personnelles que nécessaire.</w:t>
      </w:r>
    </w:p>
    <w:p>
      <w:pPr>
        <w:pStyle w:val="Heading1"/>
      </w:pPr>
      <w:r>
        <w:t>2. Funnel principal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Visiteur → Recherche → Fiche → Favori / WhatsApp → Lead → Qualification → Négociation → Commande → Livraison</w:t>
            </w:r>
          </w:p>
        </w:tc>
      </w:tr>
    </w:tbl>
    <w:p>
      <w:pPr>
        <w:spacing w:after="20"/>
      </w:pPr>
    </w:p>
    <w:p>
      <w:pPr>
        <w:pStyle w:val="Heading1"/>
      </w:pPr>
      <w:r>
        <w:t>3. Événements produit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Événement</w:t>
            </w:r>
          </w:p>
        </w:tc>
        <w:tc>
          <w:tcPr>
            <w:tcW w:type="dxa" w:w="623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Propriétés minimales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vehicle_view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reference, locale, pricing_context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search_performed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filters_count, result_count, locale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vehicle_favorited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customer_type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vehicle_shared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channel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whatsapp_vehicle_click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reference, source_page, customer_type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customer_signup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pricing_profile_requested, locale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reseller_application_submitted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customer_id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custom_request_submitted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request_id, criteria_summary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order_created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order_id, vehicle_id, customer_type</w:t>
            </w:r>
          </w:p>
        </w:tc>
      </w:tr>
    </w:tbl>
    <w:p>
      <w:pPr>
        <w:spacing w:after="20"/>
      </w:pPr>
    </w:p>
    <w:p>
      <w:pPr>
        <w:pStyle w:val="Heading1"/>
      </w:pPr>
      <w:r>
        <w:t>4. KPI exécutifs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623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Formule / lecture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Vues fiches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Nombre de vehicle_view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CTR WhatsApp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whatsapp_vehicle_click / vehicle_view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Taux de favori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vehicle_favorited / vehicle_view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 lead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leads / sessions qualifiées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Qualification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QUALIFIED / leads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 commande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 / leads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 Revendeur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 Revendeur / Revendeurs APPROVED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Recherche sans résultat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search result_count=0 / recherches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Délai de vente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date SOLD - date publication</w:t>
            </w:r>
          </w:p>
        </w:tc>
      </w:tr>
    </w:tbl>
    <w:p>
      <w:pPr>
        <w:spacing w:after="20"/>
      </w:pPr>
    </w:p>
    <w:p>
      <w:pPr>
        <w:pStyle w:val="Heading1"/>
      </w:pPr>
      <w:r>
        <w:t>5. KPI catalogue</w:t>
      </w:r>
    </w:p>
    <w:p>
      <w:pPr>
        <w:pStyle w:val="ListBullet"/>
        <w:spacing w:after="40"/>
      </w:pPr>
      <w:r>
        <w:t>Marques/modèles les plus vus.</w:t>
      </w:r>
    </w:p>
    <w:p>
      <w:pPr>
        <w:pStyle w:val="ListBullet"/>
        <w:spacing w:after="40"/>
      </w:pPr>
      <w:r>
        <w:t>Véhicules les plus sauvegardés.</w:t>
      </w:r>
    </w:p>
    <w:p>
      <w:pPr>
        <w:pStyle w:val="ListBullet"/>
        <w:spacing w:after="40"/>
      </w:pPr>
      <w:r>
        <w:t>Répartition Chine / transit / Sénégal.</w:t>
      </w:r>
    </w:p>
    <w:p>
      <w:pPr>
        <w:pStyle w:val="ListBullet"/>
        <w:spacing w:after="40"/>
      </w:pPr>
      <w:r>
        <w:t>Temps moyen avant réservation/vente.</w:t>
      </w:r>
    </w:p>
    <w:p>
      <w:pPr>
        <w:pStyle w:val="ListBullet"/>
        <w:spacing w:after="40"/>
      </w:pPr>
      <w:r>
        <w:t>Taux de véhicules non éligibles / à vérifier.</w:t>
      </w:r>
    </w:p>
    <w:p>
      <w:pPr>
        <w:pStyle w:val="Heading1"/>
      </w:pPr>
      <w:r>
        <w:t>6. KPI commerciaux</w:t>
      </w:r>
    </w:p>
    <w:p>
      <w:pPr>
        <w:pStyle w:val="ListBullet"/>
        <w:spacing w:after="40"/>
      </w:pPr>
      <w:r>
        <w:t>Leads par commercial et par source.</w:t>
      </w:r>
    </w:p>
    <w:p>
      <w:pPr>
        <w:pStyle w:val="ListBullet"/>
        <w:spacing w:after="40"/>
      </w:pPr>
      <w:r>
        <w:t>Temps première prise de contact.</w:t>
      </w:r>
    </w:p>
    <w:p>
      <w:pPr>
        <w:pStyle w:val="ListBullet"/>
        <w:spacing w:after="40"/>
      </w:pPr>
      <w:r>
        <w:t>Leads à relancer en retard.</w:t>
      </w:r>
    </w:p>
    <w:p>
      <w:pPr>
        <w:pStyle w:val="ListBullet"/>
        <w:spacing w:after="40"/>
      </w:pPr>
      <w:r>
        <w:t>Taux NEGOTIATION → ORDER_CONFIRMED.</w:t>
      </w:r>
    </w:p>
    <w:p>
      <w:pPr>
        <w:pStyle w:val="ListBullet"/>
        <w:spacing w:after="40"/>
      </w:pPr>
      <w:r>
        <w:t>Motifs de perte structurés à terme.</w:t>
      </w:r>
    </w:p>
    <w:p>
      <w:pPr>
        <w:pStyle w:val="Heading1"/>
      </w:pPr>
      <w:r>
        <w:t>7. Dashboard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43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Bloc</w:t>
            </w:r>
          </w:p>
        </w:tc>
        <w:tc>
          <w:tcPr>
            <w:tcW w:type="dxa" w:w="663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Widgets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663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Disponibles, réservés, vendus, Chine/Sénégal</w:t>
            </w:r>
          </w:p>
        </w:tc>
      </w:tr>
      <w:tr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</w:t>
            </w:r>
          </w:p>
        </w:tc>
        <w:tc>
          <w:tcPr>
            <w:tcW w:type="dxa" w:w="663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Standard, Revendeurs, demandes pending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</w:t>
            </w:r>
          </w:p>
        </w:tc>
        <w:tc>
          <w:tcPr>
            <w:tcW w:type="dxa" w:w="663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Fiche→WhatsApp, favoris→WhatsApp, leads→orders</w:t>
            </w:r>
          </w:p>
        </w:tc>
      </w:tr>
      <w:tr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Commerce</w:t>
            </w:r>
          </w:p>
        </w:tc>
        <w:tc>
          <w:tcPr>
            <w:tcW w:type="dxa" w:w="663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Commandes par statut, ventes mensuelles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Opérationnel</w:t>
            </w:r>
          </w:p>
        </w:tc>
        <w:tc>
          <w:tcPr>
            <w:tcW w:type="dxa" w:w="663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Prospects en retard, règles import à revoir, erreurs médias</w:t>
            </w:r>
          </w:p>
        </w:tc>
      </w:tr>
    </w:tbl>
    <w:p>
      <w:pPr>
        <w:spacing w:after="20"/>
      </w:pPr>
    </w:p>
    <w:p>
      <w:pPr>
        <w:pStyle w:val="Heading1"/>
      </w:pPr>
      <w:r>
        <w:t>8. Confidentialité</w:t>
      </w:r>
    </w:p>
    <w:p>
      <w:pPr>
        <w:pStyle w:val="ListBullet"/>
        <w:spacing w:after="40"/>
      </w:pPr>
      <w:r>
        <w:t>Éviter de placer téléphone/email dans metadata analytics.</w:t>
      </w:r>
    </w:p>
    <w:p>
      <w:pPr>
        <w:pStyle w:val="ListBullet"/>
        <w:spacing w:after="40"/>
      </w:pPr>
      <w:r>
        <w:t>Préférer IDs internes pseudonymes.</w:t>
      </w:r>
    </w:p>
    <w:p>
      <w:pPr>
        <w:pStyle w:val="ListBullet"/>
        <w:spacing w:after="40"/>
      </w:pPr>
      <w:r>
        <w:t>Documenter durée de rétention.</w:t>
      </w:r>
    </w:p>
    <w:p>
      <w:pPr>
        <w:pStyle w:val="ListBullet"/>
        <w:spacing w:after="40"/>
      </w:pPr>
      <w:r>
        <w:t>Séparer analytics produit des notes CRM privées.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19  |  Plan Analytics et KPI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