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Design System et Charte UI</w:t>
      </w:r>
    </w:p>
    <w:p>
      <w:r>
        <w:rPr>
          <w:color w:val="526074"/>
        </w:rPr>
        <w:t>Document 01 / 16  •  Version 1.0  •  26 septembre 2026</w:t>
      </w:r>
    </w:p>
    <w:p>
      <w:r>
        <w:rPr>
          <w:b/>
        </w:rPr>
        <w:t xml:space="preserve">Destinataires  </w:t>
      </w:r>
      <w:r>
        <w:t>Produit, design, développement frontend</w:t>
      </w:r>
    </w:p>
    <w:p>
      <w:r>
        <w:t>Cette charte fixe une interface automobile claire, rapide et rassurante. La priorité du site public est de faire trouver un véhicule, comprendre son offre et contacter DIABACAR. My DIABACAR reste mobile d’abord ; le back-office privilégie le bureau.</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Identité visuelle et palette</w:t>
      </w:r>
    </w:p>
    <w:p>
      <w:r>
        <w:t>Le logo transmis est la référence visuelle. Son bleu électrique, son cyan lumineux et son bleu profond structurent l’interface. Le logo doit conserver ses proportions et disposer d’une zone de respiration ; aucune recolorisation arbitraire ni déformation.</w:t>
      </w:r>
    </w:p>
    <w:tbl>
      <w:tblPr>
        <w:tblStyle w:val="TableGrid"/>
        <w:tblW w:type="auto" w:w="0"/>
        <w:jc w:val="center"/>
        <w:tblLayout w:type="fixed"/>
        <w:tblLook w:firstColumn="1" w:firstRow="1" w:lastColumn="0" w:lastRow="0" w:noHBand="0" w:noVBand="1" w:val="04A0"/>
      </w:tblPr>
      <w:tblGrid>
        <w:gridCol w:w="3267"/>
        <w:gridCol w:w="3267"/>
        <w:gridCol w:w="3267"/>
      </w:tblGrid>
      <w:tr>
        <w:tc>
          <w:tcPr>
            <w:tcW w:type="dxa" w:w="3061"/>
            <w:shd w:fill="011D4F"/>
          </w:tcPr>
          <w:p>
            <w:r>
              <w:rPr>
                <w:b/>
                <w:color w:val="FFFFFF"/>
                <w:sz w:val="16"/>
              </w:rPr>
              <w:t>Usage</w:t>
            </w:r>
          </w:p>
        </w:tc>
        <w:tc>
          <w:tcPr>
            <w:tcW w:type="dxa" w:w="3061"/>
            <w:shd w:fill="011D4F"/>
          </w:tcPr>
          <w:p>
            <w:r>
              <w:rPr>
                <w:b/>
                <w:color w:val="FFFFFF"/>
                <w:sz w:val="16"/>
              </w:rPr>
              <w:t>Couleur</w:t>
            </w:r>
          </w:p>
        </w:tc>
        <w:tc>
          <w:tcPr>
            <w:tcW w:type="dxa" w:w="3061"/>
            <w:shd w:fill="011D4F"/>
          </w:tcPr>
          <w:p>
            <w:r>
              <w:rPr>
                <w:b/>
                <w:color w:val="FFFFFF"/>
                <w:sz w:val="16"/>
              </w:rPr>
              <w:t>Règle</w:t>
            </w:r>
          </w:p>
        </w:tc>
      </w:tr>
      <w:tr>
        <w:tc>
          <w:tcPr>
            <w:tcW w:type="dxa" w:w="3061"/>
            <w:vAlign w:val="center"/>
          </w:tcPr>
          <w:p>
            <w:pPr>
              <w:spacing w:after="0"/>
            </w:pPr>
            <w:r>
              <w:rPr>
                <w:sz w:val="16"/>
              </w:rPr>
              <w:t>Action principale</w:t>
            </w:r>
          </w:p>
        </w:tc>
        <w:tc>
          <w:tcPr>
            <w:tcW w:type="dxa" w:w="3061"/>
            <w:vAlign w:val="center"/>
          </w:tcPr>
          <w:p>
            <w:pPr>
              <w:spacing w:after="0"/>
            </w:pPr>
            <w:r>
              <w:rPr>
                <w:sz w:val="16"/>
              </w:rPr>
              <w:t>#0063DF</w:t>
            </w:r>
          </w:p>
        </w:tc>
        <w:tc>
          <w:tcPr>
            <w:tcW w:type="dxa" w:w="3061"/>
            <w:vAlign w:val="center"/>
          </w:tcPr>
          <w:p>
            <w:pPr>
              <w:spacing w:after="0"/>
            </w:pPr>
            <w:r>
              <w:rPr>
                <w:sz w:val="16"/>
              </w:rPr>
              <w:t>Boutons et liens majeurs</w:t>
            </w:r>
          </w:p>
        </w:tc>
      </w:tr>
      <w:tr>
        <w:tc>
          <w:tcPr>
            <w:tcW w:type="dxa" w:w="3061"/>
            <w:vAlign w:val="center"/>
          </w:tcPr>
          <w:p>
            <w:pPr>
              <w:spacing w:after="0"/>
            </w:pPr>
            <w:r>
              <w:rPr>
                <w:sz w:val="16"/>
              </w:rPr>
              <w:t>Survol</w:t>
            </w:r>
          </w:p>
        </w:tc>
        <w:tc>
          <w:tcPr>
            <w:tcW w:type="dxa" w:w="3061"/>
            <w:vAlign w:val="center"/>
          </w:tcPr>
          <w:p>
            <w:pPr>
              <w:spacing w:after="0"/>
            </w:pPr>
            <w:r>
              <w:rPr>
                <w:sz w:val="16"/>
              </w:rPr>
              <w:t>#0354A3</w:t>
            </w:r>
          </w:p>
        </w:tc>
        <w:tc>
          <w:tcPr>
            <w:tcW w:type="dxa" w:w="3061"/>
            <w:vAlign w:val="center"/>
          </w:tcPr>
          <w:p>
            <w:pPr>
              <w:spacing w:after="0"/>
            </w:pPr>
            <w:r>
              <w:rPr>
                <w:sz w:val="16"/>
              </w:rPr>
              <w:t>État interactif</w:t>
            </w:r>
          </w:p>
        </w:tc>
      </w:tr>
      <w:tr>
        <w:tc>
          <w:tcPr>
            <w:tcW w:type="dxa" w:w="3061"/>
            <w:vAlign w:val="center"/>
          </w:tcPr>
          <w:p>
            <w:pPr>
              <w:spacing w:after="0"/>
            </w:pPr>
            <w:r>
              <w:rPr>
                <w:sz w:val="16"/>
              </w:rPr>
              <w:t>Accent</w:t>
            </w:r>
          </w:p>
        </w:tc>
        <w:tc>
          <w:tcPr>
            <w:tcW w:type="dxa" w:w="3061"/>
            <w:vAlign w:val="center"/>
          </w:tcPr>
          <w:p>
            <w:pPr>
              <w:spacing w:after="0"/>
            </w:pPr>
            <w:r>
              <w:rPr>
                <w:sz w:val="16"/>
              </w:rPr>
              <w:t>#099FF8</w:t>
            </w:r>
          </w:p>
        </w:tc>
        <w:tc>
          <w:tcPr>
            <w:tcW w:type="dxa" w:w="3061"/>
            <w:vAlign w:val="center"/>
          </w:tcPr>
          <w:p>
            <w:pPr>
              <w:spacing w:after="0"/>
            </w:pPr>
            <w:r>
              <w:rPr>
                <w:sz w:val="16"/>
              </w:rPr>
              <w:t>Mise en valeur ponctuelle</w:t>
            </w:r>
          </w:p>
        </w:tc>
      </w:tr>
      <w:tr>
        <w:tc>
          <w:tcPr>
            <w:tcW w:type="dxa" w:w="3061"/>
            <w:vAlign w:val="center"/>
          </w:tcPr>
          <w:p>
            <w:pPr>
              <w:spacing w:after="0"/>
            </w:pPr>
            <w:r>
              <w:rPr>
                <w:sz w:val="16"/>
              </w:rPr>
              <w:t>Accent clair</w:t>
            </w:r>
          </w:p>
        </w:tc>
        <w:tc>
          <w:tcPr>
            <w:tcW w:type="dxa" w:w="3061"/>
            <w:vAlign w:val="center"/>
          </w:tcPr>
          <w:p>
            <w:pPr>
              <w:spacing w:after="0"/>
            </w:pPr>
            <w:r>
              <w:rPr>
                <w:sz w:val="16"/>
              </w:rPr>
              <w:t>#2AC9FC</w:t>
            </w:r>
          </w:p>
        </w:tc>
        <w:tc>
          <w:tcPr>
            <w:tcW w:type="dxa" w:w="3061"/>
            <w:vAlign w:val="center"/>
          </w:tcPr>
          <w:p>
            <w:pPr>
              <w:spacing w:after="0"/>
            </w:pPr>
            <w:r>
              <w:rPr>
                <w:sz w:val="16"/>
              </w:rPr>
              <w:t>Surlignage, jamais texte long</w:t>
            </w:r>
          </w:p>
        </w:tc>
      </w:tr>
      <w:tr>
        <w:tc>
          <w:tcPr>
            <w:tcW w:type="dxa" w:w="3061"/>
            <w:vAlign w:val="center"/>
          </w:tcPr>
          <w:p>
            <w:pPr>
              <w:spacing w:after="0"/>
            </w:pPr>
            <w:r>
              <w:rPr>
                <w:sz w:val="16"/>
              </w:rPr>
              <w:t>Navigation</w:t>
            </w:r>
          </w:p>
        </w:tc>
        <w:tc>
          <w:tcPr>
            <w:tcW w:type="dxa" w:w="3061"/>
            <w:vAlign w:val="center"/>
          </w:tcPr>
          <w:p>
            <w:pPr>
              <w:spacing w:after="0"/>
            </w:pPr>
            <w:r>
              <w:rPr>
                <w:sz w:val="16"/>
              </w:rPr>
              <w:t>#011D4F</w:t>
            </w:r>
          </w:p>
        </w:tc>
        <w:tc>
          <w:tcPr>
            <w:tcW w:type="dxa" w:w="3061"/>
            <w:vAlign w:val="center"/>
          </w:tcPr>
          <w:p>
            <w:pPr>
              <w:spacing w:after="0"/>
            </w:pPr>
            <w:r>
              <w:rPr>
                <w:sz w:val="16"/>
              </w:rPr>
              <w:t>Header, footer, back-office</w:t>
            </w:r>
          </w:p>
        </w:tc>
      </w:tr>
      <w:tr>
        <w:tc>
          <w:tcPr>
            <w:tcW w:type="dxa" w:w="3061"/>
            <w:vAlign w:val="center"/>
          </w:tcPr>
          <w:p>
            <w:pPr>
              <w:spacing w:after="0"/>
            </w:pPr>
            <w:r>
              <w:rPr>
                <w:sz w:val="16"/>
              </w:rPr>
              <w:t>Contraste</w:t>
            </w:r>
          </w:p>
        </w:tc>
        <w:tc>
          <w:tcPr>
            <w:tcW w:type="dxa" w:w="3061"/>
            <w:vAlign w:val="center"/>
          </w:tcPr>
          <w:p>
            <w:pPr>
              <w:spacing w:after="0"/>
            </w:pPr>
            <w:r>
              <w:rPr>
                <w:sz w:val="16"/>
              </w:rPr>
              <w:t>#001787</w:t>
            </w:r>
          </w:p>
        </w:tc>
        <w:tc>
          <w:tcPr>
            <w:tcW w:type="dxa" w:w="3061"/>
            <w:vAlign w:val="center"/>
          </w:tcPr>
          <w:p>
            <w:pPr>
              <w:spacing w:after="0"/>
            </w:pPr>
            <w:r>
              <w:rPr>
                <w:sz w:val="16"/>
              </w:rPr>
              <w:t>Texte ou fond sombre</w:t>
            </w:r>
          </w:p>
        </w:tc>
      </w:tr>
      <w:tr>
        <w:tc>
          <w:tcPr>
            <w:tcW w:type="dxa" w:w="3061"/>
            <w:vAlign w:val="center"/>
          </w:tcPr>
          <w:p>
            <w:pPr>
              <w:spacing w:after="0"/>
            </w:pPr>
            <w:r>
              <w:rPr>
                <w:sz w:val="16"/>
              </w:rPr>
              <w:t>Surface</w:t>
            </w:r>
          </w:p>
        </w:tc>
        <w:tc>
          <w:tcPr>
            <w:tcW w:type="dxa" w:w="3061"/>
            <w:vAlign w:val="center"/>
          </w:tcPr>
          <w:p>
            <w:pPr>
              <w:spacing w:after="0"/>
            </w:pPr>
            <w:r>
              <w:rPr>
                <w:sz w:val="16"/>
              </w:rPr>
              <w:t>#FFFFFF / gris clair</w:t>
            </w:r>
          </w:p>
        </w:tc>
        <w:tc>
          <w:tcPr>
            <w:tcW w:type="dxa" w:w="3061"/>
            <w:vAlign w:val="center"/>
          </w:tcPr>
          <w:p>
            <w:pPr>
              <w:spacing w:after="0"/>
            </w:pPr>
            <w:r>
              <w:rPr>
                <w:sz w:val="16"/>
              </w:rPr>
              <w:t>Fond dominant</w:t>
            </w:r>
          </w:p>
        </w:tc>
      </w:tr>
    </w:tbl>
    <w:p>
      <w:pPr>
        <w:pStyle w:val="Heading1"/>
      </w:pPr>
      <w:r>
        <w:t>Typographie et mise en page</w:t>
      </w:r>
    </w:p>
    <w:p>
      <w:pPr>
        <w:pStyle w:val="DBBullet"/>
      </w:pPr>
      <w:r>
        <w:t>•  Police sans sérif lisible ; échelle indicative : titre 32–40 px, section 24–28 px, corps 16 px, légende 14 px.</w:t>
      </w:r>
    </w:p>
    <w:p>
      <w:pPr>
        <w:pStyle w:val="DBBullet"/>
      </w:pPr>
      <w:r>
        <w:t>•  Grille 8 px, marges mobiles 16–20 px, contenu desktop plafonné autour de 1200 px.</w:t>
      </w:r>
    </w:p>
    <w:p>
      <w:pPr>
        <w:pStyle w:val="DBBullet"/>
      </w:pPr>
      <w:r>
        <w:t>•  Contraste vérifié pour chaque combinaison ; l’information ne dépend jamais de la couleur seule.</w:t>
      </w:r>
    </w:p>
    <w:p>
      <w:pPr>
        <w:pStyle w:val="DBBullet"/>
      </w:pPr>
      <w:r>
        <w:t>•  Images véhicule nettes et cohérentes ; ratio des cartes constant, adaptation sans étirement.</w:t>
      </w:r>
    </w:p>
    <w:p>
      <w:pPr>
        <w:pStyle w:val="Heading1"/>
      </w:pPr>
      <w:r>
        <w:t>Composants et états</w:t>
      </w:r>
    </w:p>
    <w:p>
      <w:pPr>
        <w:pStyle w:val="DBBullet"/>
      </w:pPr>
      <w:r>
        <w:t>•  Bouton principal bleu, secondaire à contour, lien textuel ; états normal, survol, focus visible, désactivé, chargement.</w:t>
      </w:r>
    </w:p>
    <w:p>
      <w:pPr>
        <w:pStyle w:val="DBBullet"/>
      </w:pPr>
      <w:r>
        <w:t>•  Carte véhicule : photo, marque et modèle, année, kilométrage, énergie, transmission, lieu actuel, prix applicable, favori et action Voir.</w:t>
      </w:r>
    </w:p>
    <w:p>
      <w:pPr>
        <w:pStyle w:val="DBBullet"/>
      </w:pPr>
      <w:r>
        <w:t>•  Badges distincts pour neuf/occasion, Chine/Sénégal et disponible/réservé/vendu ; le libellé reste explicite.</w:t>
      </w:r>
    </w:p>
    <w:p>
      <w:pPr>
        <w:pStyle w:val="DBBullet"/>
      </w:pPr>
      <w:r>
        <w:t>•  Formulaires : libellé permanent, aide courte, erreur au champ, confirmation après envoi ; cibles tactiles confortables.</w:t>
      </w:r>
    </w:p>
    <w:p>
      <w:pPr>
        <w:pStyle w:val="DBBullet"/>
      </w:pPr>
      <w:r>
        <w:t>•  Tableaux du back-office : tri, filtres, recherche, pagination, actions par ligne et états vide/erreur.</w:t>
      </w:r>
    </w:p>
    <w:p>
      <w:pPr>
        <w:pStyle w:val="Heading1"/>
      </w:pPr>
      <w:r>
        <w:t>Règles par surface</w:t>
      </w:r>
    </w:p>
    <w:p>
      <w:r>
        <w:t>Public : fond clair, photographie prioritaire et WhatsApp visible. Sur mobile, filtres en panneau et actions de fiche accessibles sans recherche excessive. My DIABACAR : navigation courte, statut et historique faciles à comprendre. Back-office : barre latérale, vues denses mais lisibles et confirmation des actions sensibles.</w:t>
      </w:r>
    </w:p>
    <w:p>
      <w:pPr>
        <w:pStyle w:val="Heading1"/>
      </w:pPr>
      <w:r>
        <w:t>Accessibilité et livraison</w:t>
      </w:r>
    </w:p>
    <w:p>
      <w:pPr>
        <w:pStyle w:val="DBBullet"/>
      </w:pPr>
      <w:r>
        <w:t>•  Navigation clavier complète, focus non masqué, alternatives textuelles des images et messages d’erreur annoncés.</w:t>
      </w:r>
    </w:p>
    <w:p>
      <w:pPr>
        <w:pStyle w:val="DBBullet"/>
      </w:pPr>
      <w:r>
        <w:t>•  Vérifier les contrastes, la largeur à 320 px, le zoom 200 %, les états d’attente et les listes vides.</w:t>
      </w:r>
    </w:p>
    <w:p>
      <w:pPr>
        <w:pStyle w:val="DBBullet"/>
      </w:pPr>
      <w:r>
        <w:t>•  Livrer composants réutilisables et tokens centralisés ; tester visuellement chaque écran de la cartographie UX/UI.</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