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063DF"/>
          <w:sz w:val="16"/>
        </w:rPr>
        <w:t>DIABACAR  |  DOCUMENTATION PRODUIT V1</w:t>
      </w:r>
    </w:p>
    <w:p>
      <w:pPr>
        <w:pStyle w:val="Title"/>
      </w:pPr>
      <w:r>
        <w:t>Rôles et permissions</w:t>
      </w:r>
    </w:p>
    <w:p>
      <w:r>
        <w:rPr>
          <w:color w:val="526074"/>
        </w:rPr>
        <w:t>Document 02 / 16  •  Version 1.0  •  26 septembre 2026</w:t>
      </w:r>
    </w:p>
    <w:p>
      <w:r>
        <w:rPr>
          <w:b/>
        </w:rPr>
        <w:t xml:space="preserve">Destinataires  </w:t>
      </w:r>
      <w:r>
        <w:t>Produit, backend, sécurité, administrateurs</w:t>
      </w:r>
    </w:p>
    <w:p>
      <w:r>
        <w:t>L’accès est calculé au serveur à partir de l’identité Supabase Auth, du type d’utilisateur et des permissions métier. L’interface masque les actions interdites, mais chaque opération vérifie de nouveau le droit et la portée des données.</w:t>
      </w:r>
    </w:p>
    <w:p>
      <w:r>
        <w:rPr>
          <w:b/>
        </w:rPr>
        <w:t xml:space="preserve">Références de cadrage  </w:t>
      </w:r>
      <w:r>
        <w:t>PRD DIABACAR, architecture fonctionnelle, modèle de données, architecture GitHub–Vercel–Supabase et cartographie UX/UI V1. Les valeurs opérationnelles non fixées restent des paramètres à valider.</w:t>
      </w:r>
    </w:p>
    <w:p>
      <w:pPr>
        <w:pStyle w:val="Heading1"/>
      </w:pPr>
      <w:r>
        <w:t>Acteurs et portée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3061"/>
            <w:shd w:fill="011D4F"/>
          </w:tcPr>
          <w:p>
            <w:r>
              <w:rPr>
                <w:b/>
                <w:color w:val="FFFFFF"/>
                <w:sz w:val="16"/>
              </w:rPr>
              <w:t>Acteur</w:t>
            </w:r>
          </w:p>
        </w:tc>
        <w:tc>
          <w:tcPr>
            <w:tcW w:type="dxa" w:w="3061"/>
            <w:shd w:fill="011D4F"/>
          </w:tcPr>
          <w:p>
            <w:r>
              <w:rPr>
                <w:b/>
                <w:color w:val="FFFFFF"/>
                <w:sz w:val="16"/>
              </w:rPr>
              <w:t>Accès autorisé</w:t>
            </w:r>
          </w:p>
        </w:tc>
        <w:tc>
          <w:tcPr>
            <w:tcW w:type="dxa" w:w="3061"/>
            <w:shd w:fill="011D4F"/>
          </w:tcPr>
          <w:p>
            <w:r>
              <w:rPr>
                <w:b/>
                <w:color w:val="FFFFFF"/>
                <w:sz w:val="16"/>
              </w:rPr>
              <w:t>Portée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6"/>
              </w:rPr>
              <w:t>Visiteur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6"/>
              </w:rPr>
              <w:t>Catalogue, fiche, demande, favoris locaux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6"/>
              </w:rPr>
              <w:t>Contenu public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6"/>
              </w:rPr>
              <w:t>Client Standard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6"/>
              </w:rPr>
              <w:t>My DIABACAR, favoris, demandes, commandes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6"/>
              </w:rPr>
              <w:t>Ses données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6"/>
              </w:rPr>
              <w:t>Revendeur en attente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6"/>
              </w:rPr>
              <w:t>Même accès que Standard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6"/>
              </w:rPr>
              <w:t>Prix Standard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6"/>
              </w:rPr>
              <w:t>Revendeur approuvé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6"/>
              </w:rPr>
              <w:t>Même accès et tarif Revendeur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6"/>
              </w:rPr>
              <w:t>Ses données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6"/>
              </w:rPr>
              <w:t>Commercial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6"/>
              </w:rPr>
              <w:t>Back-office opérationnel selon habilitation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6"/>
              </w:rPr>
              <w:t>Données confiées ou équipe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6"/>
              </w:rPr>
              <w:t>Administrateur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6"/>
              </w:rPr>
              <w:t>Gestion globale, rôles, paramètres, audit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6"/>
              </w:rPr>
              <w:t>Organisation</w:t>
            </w:r>
          </w:p>
        </w:tc>
      </w:tr>
    </w:tbl>
    <w:p>
      <w:pPr>
        <w:pStyle w:val="Heading1"/>
      </w:pPr>
      <w:r>
        <w:t>Permissions à implémenter</w:t>
      </w:r>
    </w:p>
    <w:p>
      <w:pPr>
        <w:pStyle w:val="DBBullet"/>
      </w:pPr>
      <w:r>
        <w:t>•  vehicle.view, vehicle.create, vehicle.edit, vehicle.publish, vehicle.reserve, vehicle.mark_sold, vehicle.price_edit.</w:t>
      </w:r>
    </w:p>
    <w:p>
      <w:pPr>
        <w:pStyle w:val="DBBullet"/>
      </w:pPr>
      <w:r>
        <w:t>•  customer.view, customer.edit, lead.view, lead.assign, lead.update, order.view, order.create, order.update.</w:t>
      </w:r>
    </w:p>
    <w:p>
      <w:pPr>
        <w:pStyle w:val="DBBullet"/>
      </w:pPr>
      <w:r>
        <w:t>•  reseller.view, reseller.approve, reseller.reject, reseller.suspend.</w:t>
      </w:r>
    </w:p>
    <w:p>
      <w:pPr>
        <w:pStyle w:val="DBBullet"/>
      </w:pPr>
      <w:r>
        <w:t>•  user.manage, role.manage, content.manage, settings.manage, analytics.view, audit.view, storage.private_read.</w:t>
      </w:r>
    </w:p>
    <w:p>
      <w:pPr>
        <w:pStyle w:val="Heading1"/>
      </w:pPr>
      <w:r>
        <w:t>Matrice de décision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3061"/>
            <w:shd w:fill="011D4F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061"/>
            <w:shd w:fill="011D4F"/>
          </w:tcPr>
          <w:p>
            <w:r>
              <w:rPr>
                <w:b/>
                <w:color w:val="FFFFFF"/>
                <w:sz w:val="16"/>
              </w:rPr>
              <w:t>Commercial</w:t>
            </w:r>
          </w:p>
        </w:tc>
        <w:tc>
          <w:tcPr>
            <w:tcW w:type="dxa" w:w="3061"/>
            <w:shd w:fill="011D4F"/>
          </w:tcPr>
          <w:p>
            <w:r>
              <w:rPr>
                <w:b/>
                <w:color w:val="FFFFFF"/>
                <w:sz w:val="16"/>
              </w:rPr>
              <w:t>Administrateur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6"/>
              </w:rPr>
              <w:t>Créer ou modifier véhicule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6"/>
              </w:rPr>
              <w:t>Sur habilitation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6"/>
              </w:rPr>
              <w:t>Oui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6"/>
              </w:rPr>
              <w:t>Publier, réserver, vendre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6"/>
              </w:rPr>
              <w:t>Sur habilitation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6"/>
              </w:rPr>
              <w:t>Oui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6"/>
              </w:rPr>
              <w:t>Changer prix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6"/>
              </w:rPr>
              <w:t>Sur habilitation renforcée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6"/>
              </w:rPr>
              <w:t>Oui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6"/>
              </w:rPr>
              <w:t>Valider Revendeur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6"/>
              </w:rPr>
              <w:t>Non par défaut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6"/>
              </w:rPr>
              <w:t>Oui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6"/>
              </w:rPr>
              <w:t>Gérer rôles et personnel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6"/>
              </w:rPr>
              <w:t>Non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6"/>
              </w:rPr>
              <w:t>Oui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6"/>
              </w:rPr>
              <w:t>Voir audit et paramètres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6"/>
              </w:rPr>
              <w:t>Non par défaut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6"/>
              </w:rPr>
              <w:t>Oui</w:t>
            </w:r>
          </w:p>
        </w:tc>
      </w:tr>
    </w:tbl>
    <w:p>
      <w:pPr>
        <w:pStyle w:val="Heading1"/>
      </w:pPr>
      <w:r>
        <w:t>Contrôles de données</w:t>
      </w:r>
    </w:p>
    <w:p>
      <w:pPr>
        <w:pStyle w:val="DBBullet"/>
      </w:pPr>
      <w:r>
        <w:t>•  Un client lit et modifie uniquement son profil et ses favoris ; il lit ses demandes et commandes.</w:t>
      </w:r>
    </w:p>
    <w:p>
      <w:pPr>
        <w:pStyle w:val="DBBullet"/>
      </w:pPr>
      <w:r>
        <w:t>•  Le statut Revendeur approuvé est évalué côté serveur à chaque calcul de prix ; en attente, refusé et suspendu reçoivent le prix Standard.</w:t>
      </w:r>
    </w:p>
    <w:p>
      <w:pPr>
        <w:pStyle w:val="DBBullet"/>
      </w:pPr>
      <w:r>
        <w:t>•  Aucun client ne lit les notes internes, coûts, prix Revendeur d’autrui, documents privés ou données d’autres clients.</w:t>
      </w:r>
    </w:p>
    <w:p>
      <w:pPr>
        <w:pStyle w:val="DBBullet"/>
      </w:pPr>
      <w:r>
        <w:t>•  Le commercial ne peut pas s’octroyer de permission ni accéder aux documents privés sans droit explicite.</w:t>
      </w:r>
    </w:p>
    <w:p>
      <w:pPr>
        <w:pStyle w:val="DBBullet"/>
      </w:pPr>
      <w:r>
        <w:t>•  Toute modification de rôle, de prix, de statut ou de paramètres produit une trace d’audit.</w:t>
      </w:r>
    </w:p>
    <w:p>
      <w:pPr>
        <w:pStyle w:val="Heading1"/>
      </w:pPr>
      <w:r>
        <w:t>Critères de recette</w:t>
      </w:r>
    </w:p>
    <w:p>
      <w:r>
        <w:t>Tester chaque permission en autorisation et en refus, côté écran et côté action directe. La réponse d’un accès interdit ne doit exposer ni existence d’une ressource privée ni détail interne.</w:t>
      </w:r>
    </w:p>
    <w:sectPr w:rsidR="00FC693F" w:rsidRPr="0006063C" w:rsidSect="00034616">
      <w:footerReference w:type="default" r:id="rId9"/>
      <w:pgSz w:w="12240" w:h="15840"/>
      <w:pgMar w:top="1134" w:right="1219" w:bottom="1020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26074"/>
        <w:sz w:val="14"/>
      </w:rPr>
      <w:t>DIABACAR  •  Usage projet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011D4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0063D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11D4F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11D4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BBullet">
    <w:name w:val="DB Bullet"/>
    <w:basedOn w:val="Normal"/>
    <w:pPr>
      <w:spacing w:after="60"/>
      <w:ind w:left="255" w:hanging="142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