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Catalogue des règles métier</w:t>
      </w:r>
    </w:p>
    <w:p>
      <w:r>
        <w:rPr>
          <w:color w:val="526074"/>
        </w:rPr>
        <w:t>Document 03 / 16  •  Version 1.0  •  26 septembre 2026</w:t>
      </w:r>
    </w:p>
    <w:p>
      <w:r>
        <w:rPr>
          <w:b/>
        </w:rPr>
        <w:t xml:space="preserve">Destinataires  </w:t>
      </w:r>
      <w:r>
        <w:t>Produit, développement, recette</w:t>
      </w:r>
    </w:p>
    <w:p>
      <w:r>
        <w:t>Ce catalogue rassemble les invariants qui doivent rester identiques dans le site public, My DIABACAR et le back-office. Les montants, remises et délais non fixés par le cadrage sont des données configurables, jamais des constantes cachées.</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Prix et visibilité</w:t>
      </w:r>
    </w:p>
    <w:p>
      <w:pPr>
        <w:pStyle w:val="DBBullet"/>
      </w:pPr>
      <w:r>
        <w:t>•  RM-01 : le prix public Standard est enregistré en XOF avec précision décimale ; toute modification est auditée.</w:t>
      </w:r>
    </w:p>
    <w:p>
      <w:pPr>
        <w:pStyle w:val="DBBullet"/>
      </w:pPr>
      <w:r>
        <w:t>•  RM-02 : un prix Revendeur peut être défini par véhicule ; il ne s’affiche que pour un compte Revendeur approuvé et actif.</w:t>
      </w:r>
    </w:p>
    <w:p>
      <w:pPr>
        <w:pStyle w:val="DBBullet"/>
      </w:pPr>
      <w:r>
        <w:t>•  RM-03 : demande en attente, refus, suspension et visite anonyme affichent exclusivement le prix Standard.</w:t>
      </w:r>
    </w:p>
    <w:p>
      <w:pPr>
        <w:pStyle w:val="DBBullet"/>
      </w:pPr>
      <w:r>
        <w:t>•  RM-04 : le serveur retourne le prix applicable et son libellé. Aucun calcul sensible de tarif ne repose sur le navigateur.</w:t>
      </w:r>
    </w:p>
    <w:p>
      <w:pPr>
        <w:pStyle w:val="DBBullet"/>
      </w:pPr>
      <w:r>
        <w:t>•  RM-05 : si le tarif Revendeur manque, le prix Standard s’applique et une anomalie de complétude est signalée en back-office.</w:t>
      </w:r>
    </w:p>
    <w:p>
      <w:pPr>
        <w:pStyle w:val="Heading1"/>
      </w:pPr>
      <w:r>
        <w:t>Véhicule et publication</w:t>
      </w:r>
    </w:p>
    <w:p>
      <w:pPr>
        <w:pStyle w:val="DBBullet"/>
      </w:pPr>
      <w:r>
        <w:t>•  RM-06 : une fiche publiable possède une référence unique, un titre, un état, une localisation actuelle, un prix public, une image principale et les caractéristiques minimales.</w:t>
      </w:r>
    </w:p>
    <w:p>
      <w:pPr>
        <w:pStyle w:val="DBBullet"/>
      </w:pPr>
      <w:r>
        <w:t>•  RM-07 : les localisations Chine et Sénégal sont toujours explicites ; la disponibilité ne doit pas laisser croire qu’un véhicule en Chine est déjà au Sénégal.</w:t>
      </w:r>
    </w:p>
    <w:p>
      <w:pPr>
        <w:pStyle w:val="DBBullet"/>
      </w:pPr>
      <w:r>
        <w:t>•  RM-08 : un véhicule vendu sort des listes disponibles mais sa fiche et les favoris peuvent rester consultables avec le statut Vendu.</w:t>
      </w:r>
    </w:p>
    <w:p>
      <w:pPr>
        <w:pStyle w:val="DBBullet"/>
      </w:pPr>
      <w:r>
        <w:t>•  RM-09 : réserver ou vendre exige un contrôle de statut, une action habilitée et un audit ; une vente ne doit pas pouvoir être annulée sans procédure administrateur tracée.</w:t>
      </w:r>
    </w:p>
    <w:p>
      <w:pPr>
        <w:pStyle w:val="Heading1"/>
      </w:pPr>
      <w:r>
        <w:t>Comptes, demandes et commandes</w:t>
      </w:r>
    </w:p>
    <w:p>
      <w:pPr>
        <w:pStyle w:val="DBBullet"/>
      </w:pPr>
      <w:r>
        <w:t>•  RM-10 : le compte Revendeur existe dès inscription ; le droit tarifaire débute uniquement après approbation.</w:t>
      </w:r>
    </w:p>
    <w:p>
      <w:pPr>
        <w:pStyle w:val="DBBullet"/>
      </w:pPr>
      <w:r>
        <w:t>•  RM-11 : les favoris anonymes restent locaux ; après connexion, la fusion est idempotente et ne crée pas de doublons.</w:t>
      </w:r>
    </w:p>
    <w:p>
      <w:pPr>
        <w:pStyle w:val="DBBullet"/>
      </w:pPr>
      <w:r>
        <w:t>•  RM-12 : une demande personnalisée peut être envoyée sans compte avec un moyen de contact valide et consentement approprié.</w:t>
      </w:r>
    </w:p>
    <w:p>
      <w:pPr>
        <w:pStyle w:val="DBBullet"/>
      </w:pPr>
      <w:r>
        <w:t>•  RM-13 : une commande est suivie dans My DIABACAR mais aucun paiement en ligne n’est prévu en V1.</w:t>
      </w:r>
    </w:p>
    <w:p>
      <w:pPr>
        <w:pStyle w:val="DBBullet"/>
      </w:pPr>
      <w:r>
        <w:t>•  RM-14 : le prix convenu d’une commande est figé dans la commande, séparément du prix courant du véhicule.</w:t>
      </w:r>
    </w:p>
    <w:p>
      <w:pPr>
        <w:pStyle w:val="DBBullet"/>
      </w:pPr>
      <w:r>
        <w:t>•  RM-15 : les actions commerciales et changements d’affectation sont historisés.</w:t>
      </w:r>
    </w:p>
    <w:p>
      <w:pPr>
        <w:pStyle w:val="Heading1"/>
      </w:pPr>
      <w:r>
        <w:t>Paramètres à valider avant codage</w:t>
      </w:r>
    </w:p>
    <w:p>
      <w:r>
        <w:t>Le détail des acomptes éventuels, des règles d’expiration de réservation, des plafonds d’upload et des délais de suivi logistique doit être confirmé par DIABACAR. Tant qu’ils ne sont pas fixés, aucune automatisation irréversible ne doit les supposer.</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