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63DF"/>
          <w:sz w:val="16"/>
        </w:rPr>
        <w:t>DIABACAR  |  DOCUMENTATION PRODUIT V1</w:t>
      </w:r>
    </w:p>
    <w:p>
      <w:pPr>
        <w:pStyle w:val="Title"/>
      </w:pPr>
      <w:r>
        <w:t>Workflows et machines à états</w:t>
      </w:r>
    </w:p>
    <w:p>
      <w:r>
        <w:rPr>
          <w:color w:val="526074"/>
        </w:rPr>
        <w:t>Document 04 / 16  •  Version 1.0  •  26 septembre 2026</w:t>
      </w:r>
    </w:p>
    <w:p>
      <w:r>
        <w:rPr>
          <w:b/>
        </w:rPr>
        <w:t xml:space="preserve">Destinataires  </w:t>
      </w:r>
      <w:r>
        <w:t>Produit, backend, QA, exploitation</w:t>
      </w:r>
    </w:p>
    <w:p>
      <w:r>
        <w:t>Chaque changement d’état passe par un service métier qui vérifie le statut initial, la permission, les données nécessaires et la trace d’audit. Les transitions sont atomiques pour éviter les doubles réservations ou des commandes incohérentes.</w:t>
      </w:r>
    </w:p>
    <w:p>
      <w:r>
        <w:rPr>
          <w:b/>
        </w:rPr>
        <w:t xml:space="preserve">Références de cadrage  </w:t>
      </w:r>
      <w:r>
        <w:t>PRD DIABACAR, architecture fonctionnelle, modèle de données, architecture GitHub–Vercel–Supabase et cartographie UX/UI V1. Les valeurs opérationnelles non fixées restent des paramètres à valider.</w:t>
      </w:r>
    </w:p>
    <w:p>
      <w:pPr>
        <w:pStyle w:val="Heading1"/>
      </w:pPr>
      <w:r>
        <w:t>Véhicule</w:t>
      </w:r>
    </w:p>
    <w:p>
      <w:r>
        <w:t>Brouillon → À valider → Publié → Réservé → Vendu ; Publié → Retiré ; Réservé → Publié après libération contrôlée.</w:t>
      </w:r>
    </w:p>
    <w:p>
      <w:pPr>
        <w:pStyle w:val="DBBullet"/>
      </w:pPr>
      <w:r>
        <w:t>•  Vendu est terminal en V1 sauf correction administrateur auditée.</w:t>
      </w:r>
    </w:p>
    <w:p>
      <w:pPr>
        <w:pStyle w:val="Heading1"/>
      </w:pPr>
      <w:r>
        <w:t>Demande Revendeur</w:t>
      </w:r>
    </w:p>
    <w:p>
      <w:r>
        <w:t>En attente → Approuvée ou Refusée ; Approuvée → Suspendue ; Suspendue → Approuvée.</w:t>
      </w:r>
    </w:p>
    <w:p>
      <w:pPr>
        <w:pStyle w:val="DBBullet"/>
      </w:pPr>
      <w:r>
        <w:t>•  Seul Approuvée active le tarif.</w:t>
      </w:r>
    </w:p>
    <w:p>
      <w:pPr>
        <w:pStyle w:val="Heading1"/>
      </w:pPr>
      <w:r>
        <w:t>Prospect</w:t>
      </w:r>
    </w:p>
    <w:p>
      <w:r>
        <w:t>Nouveau → Qualifié → En suivi → Converti ou Perdu.</w:t>
      </w:r>
    </w:p>
    <w:p>
      <w:pPr>
        <w:pStyle w:val="DBBullet"/>
      </w:pPr>
      <w:r>
        <w:t>•  Le motif et le responsable sont conservés.</w:t>
      </w:r>
    </w:p>
    <w:p>
      <w:pPr>
        <w:pStyle w:val="Heading1"/>
      </w:pPr>
      <w:r>
        <w:t>Commande</w:t>
      </w:r>
    </w:p>
    <w:p>
      <w:r>
        <w:t>Créée → Confirmée → En traitement → En livraison → Livrée ; annulation contrôlée avant livraison.</w:t>
      </w:r>
    </w:p>
    <w:p>
      <w:pPr>
        <w:pStyle w:val="DBBullet"/>
      </w:pPr>
      <w:r>
        <w:t>•  Le prix convenu et les événements logistiques restent historiques.</w:t>
      </w:r>
    </w:p>
    <w:p>
      <w:pPr>
        <w:pStyle w:val="Heading1"/>
      </w:pPr>
      <w:r>
        <w:t>Demande personnalisée</w:t>
      </w:r>
    </w:p>
    <w:p>
      <w:r>
        <w:t>Reçue → Qualifiée → Recherche en cours → Proposition → Clôturée ou Abandonnée.</w:t>
      </w:r>
    </w:p>
    <w:p>
      <w:pPr>
        <w:pStyle w:val="DBBullet"/>
      </w:pPr>
      <w:r>
        <w:t>•  Aucun véhicule n’est automatiquement vendu par la demande.</w:t>
      </w:r>
    </w:p>
    <w:p>
      <w:pPr>
        <w:pStyle w:val="Heading1"/>
      </w:pPr>
      <w:r>
        <w:t>Publication</w:t>
      </w:r>
    </w:p>
    <w:p>
      <w:r>
        <w:t>Brouillon → Revue → Publiée → Dépubliée.</w:t>
      </w:r>
    </w:p>
    <w:p>
      <w:pPr>
        <w:pStyle w:val="DBBullet"/>
      </w:pPr>
      <w:r>
        <w:t>•  Toute réédition critique relance les contrôles de complétude.</w:t>
      </w:r>
    </w:p>
    <w:p>
      <w:pPr>
        <w:pStyle w:val="Heading1"/>
      </w:pPr>
      <w:r>
        <w:t>Contrôles communs</w:t>
      </w:r>
    </w:p>
    <w:p>
      <w:pPr>
        <w:pStyle w:val="DBBullet"/>
      </w:pPr>
      <w:r>
        <w:t>•  Concurrence : verrouillage ou mise à jour conditionnelle sur le statut courant, avec erreur de conflit claire.</w:t>
      </w:r>
    </w:p>
    <w:p>
      <w:pPr>
        <w:pStyle w:val="DBBullet"/>
      </w:pPr>
      <w:r>
        <w:t>•  Un acteur, une date UTC, un ancien état, un nouvel état et un motif sont enregistrés pour les transitions sensibles.</w:t>
      </w:r>
    </w:p>
    <w:p>
      <w:pPr>
        <w:pStyle w:val="DBBullet"/>
      </w:pPr>
      <w:r>
        <w:t>•  Une transition refusée ne modifie aucune donnée ni n’envoie de notification de succès.</w:t>
      </w:r>
    </w:p>
    <w:p>
      <w:pPr>
        <w:pStyle w:val="DBBullet"/>
      </w:pPr>
      <w:r>
        <w:t>•  Les commandes et demandes gardent leur historique visible au client selon le niveau de détail autorisé.</w:t>
      </w:r>
    </w:p>
    <w:sectPr w:rsidR="00FC693F" w:rsidRPr="0006063C" w:rsidSect="00034616">
      <w:footerReference w:type="default" r:id="rId9"/>
      <w:pgSz w:w="12240" w:h="15840"/>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4"/>
        <w:sz w:val="14"/>
      </w:rPr>
      <w:t>DIABACAR  •  Usage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11D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63DF"/>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11D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11D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Bullet">
    <w:name w:val="DB Bullet"/>
    <w:basedOn w:val="Normal"/>
    <w:pPr>
      <w:spacing w:after="60"/>
      <w:ind w:left="255" w:hanging="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