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0063DF"/>
          <w:sz w:val="16"/>
        </w:rPr>
        <w:t>DIABACAR  |  DOCUMENTATION PRODUIT V1</w:t>
      </w:r>
    </w:p>
    <w:p>
      <w:pPr>
        <w:pStyle w:val="Title"/>
      </w:pPr>
      <w:r>
        <w:t>Spécifications API et services backend</w:t>
      </w:r>
    </w:p>
    <w:p>
      <w:r>
        <w:rPr>
          <w:color w:val="526074"/>
        </w:rPr>
        <w:t>Document 05 / 16  •  Version 1.0  •  26 septembre 2026</w:t>
      </w:r>
    </w:p>
    <w:p>
      <w:r>
        <w:rPr>
          <w:b/>
        </w:rPr>
        <w:t xml:space="preserve">Destinataires  </w:t>
      </w:r>
      <w:r>
        <w:t>Développeurs full stack, QA, sécurité</w:t>
      </w:r>
    </w:p>
    <w:p>
      <w:r>
        <w:t>Next.js App Router sert les pages et les actions. Les Server Actions gèrent les formulaires internes ; les Route Handlers sont réservés aux API explicites et intégrations. Toutes les voies appellent les mêmes services métier et vérifient identité, permission et validation serveur.</w:t>
      </w:r>
    </w:p>
    <w:p>
      <w:r>
        <w:rPr>
          <w:b/>
        </w:rPr>
        <w:t xml:space="preserve">Références de cadrage  </w:t>
      </w:r>
      <w:r>
        <w:t>PRD DIABACAR, architecture fonctionnelle, modèle de données, architecture GitHub–Vercel–Supabase et cartographie UX/UI V1. Les valeurs opérationnelles non fixées restent des paramètres à valider.</w:t>
      </w:r>
    </w:p>
    <w:p>
      <w:pPr>
        <w:pStyle w:val="Heading1"/>
      </w:pPr>
      <w:r>
        <w:t>Contrat transversal</w:t>
      </w:r>
    </w:p>
    <w:p>
      <w:pPr>
        <w:pStyle w:val="DBBullet"/>
      </w:pPr>
      <w:r>
        <w:t>•  Entrées validées par schéma ; UUID, montants XOF, pagination bornée, champs inconnus rejetés pour les mutations.</w:t>
      </w:r>
    </w:p>
    <w:p>
      <w:pPr>
        <w:pStyle w:val="DBBullet"/>
      </w:pPr>
      <w:r>
        <w:t>•  Réponse normalisée : data ou error {code, message, correlationId}; aucun détail SQL ou secret exposé.</w:t>
      </w:r>
    </w:p>
    <w:p>
      <w:pPr>
        <w:pStyle w:val="DBBullet"/>
      </w:pPr>
      <w:r>
        <w:t>•  Codes d’erreur fonctionnels : UNAUTHENTICATED, FORBIDDEN, NOT_FOUND, VALIDATION, CONFLICT, RATE_LIMITED.</w:t>
      </w:r>
    </w:p>
    <w:p>
      <w:pPr>
        <w:pStyle w:val="DBBullet"/>
      </w:pPr>
      <w:r>
        <w:t>•  Mutations sensibles idempotentes quand le client peut réessayer ; transactions pour état, prix figé et audit.</w:t>
      </w:r>
    </w:p>
    <w:p>
      <w:pPr>
        <w:pStyle w:val="Heading1"/>
      </w:pPr>
      <w:r>
        <w:t>Cas d’usage et contrats</w:t>
      </w:r>
    </w:p>
    <w:tbl>
      <w:tblPr>
        <w:tblStyle w:val="TableGrid"/>
        <w:tblW w:type="auto" w:w="0"/>
        <w:jc w:val="center"/>
        <w:tblLayout w:type="fixed"/>
        <w:tblLook w:firstColumn="1" w:firstRow="1" w:lastColumn="0" w:lastRow="0" w:noHBand="0" w:noVBand="1" w:val="04A0"/>
      </w:tblPr>
      <w:tblGrid>
        <w:gridCol w:w="3267"/>
        <w:gridCol w:w="3267"/>
        <w:gridCol w:w="3267"/>
      </w:tblGrid>
      <w:tr>
        <w:tc>
          <w:tcPr>
            <w:tcW w:type="dxa" w:w="3061"/>
            <w:shd w:fill="011D4F"/>
          </w:tcPr>
          <w:p>
            <w:r>
              <w:rPr>
                <w:b/>
                <w:color w:val="FFFFFF"/>
                <w:sz w:val="16"/>
              </w:rPr>
              <w:t>Service / action</w:t>
            </w:r>
          </w:p>
        </w:tc>
        <w:tc>
          <w:tcPr>
            <w:tcW w:type="dxa" w:w="3061"/>
            <w:shd w:fill="011D4F"/>
          </w:tcPr>
          <w:p>
            <w:r>
              <w:rPr>
                <w:b/>
                <w:color w:val="FFFFFF"/>
                <w:sz w:val="16"/>
              </w:rPr>
              <w:t>Entrée principale</w:t>
            </w:r>
          </w:p>
        </w:tc>
        <w:tc>
          <w:tcPr>
            <w:tcW w:type="dxa" w:w="3061"/>
            <w:shd w:fill="011D4F"/>
          </w:tcPr>
          <w:p>
            <w:r>
              <w:rPr>
                <w:b/>
                <w:color w:val="FFFFFF"/>
                <w:sz w:val="16"/>
              </w:rPr>
              <w:t>Effet ou sortie</w:t>
            </w:r>
          </w:p>
        </w:tc>
      </w:tr>
      <w:tr>
        <w:tc>
          <w:tcPr>
            <w:tcW w:type="dxa" w:w="3061"/>
            <w:vAlign w:val="center"/>
          </w:tcPr>
          <w:p>
            <w:pPr>
              <w:spacing w:after="0"/>
            </w:pPr>
            <w:r>
              <w:rPr>
                <w:sz w:val="16"/>
              </w:rPr>
              <w:t>VehicleService.list</w:t>
            </w:r>
          </w:p>
        </w:tc>
        <w:tc>
          <w:tcPr>
            <w:tcW w:type="dxa" w:w="3061"/>
            <w:vAlign w:val="center"/>
          </w:tcPr>
          <w:p>
            <w:pPr>
              <w:spacing w:after="0"/>
            </w:pPr>
            <w:r>
              <w:rPr>
                <w:sz w:val="16"/>
              </w:rPr>
              <w:t>filtres, tri, page</w:t>
            </w:r>
          </w:p>
        </w:tc>
        <w:tc>
          <w:tcPr>
            <w:tcW w:type="dxa" w:w="3061"/>
            <w:vAlign w:val="center"/>
          </w:tcPr>
          <w:p>
            <w:pPr>
              <w:spacing w:after="0"/>
            </w:pPr>
            <w:r>
              <w:rPr>
                <w:sz w:val="16"/>
              </w:rPr>
              <w:t>Fiches publiques et prix applicable</w:t>
            </w:r>
          </w:p>
        </w:tc>
      </w:tr>
      <w:tr>
        <w:tc>
          <w:tcPr>
            <w:tcW w:type="dxa" w:w="3061"/>
            <w:vAlign w:val="center"/>
          </w:tcPr>
          <w:p>
            <w:pPr>
              <w:spacing w:after="0"/>
            </w:pPr>
            <w:r>
              <w:rPr>
                <w:sz w:val="16"/>
              </w:rPr>
              <w:t>VehicleService.publish</w:t>
            </w:r>
          </w:p>
        </w:tc>
        <w:tc>
          <w:tcPr>
            <w:tcW w:type="dxa" w:w="3061"/>
            <w:vAlign w:val="center"/>
          </w:tcPr>
          <w:p>
            <w:pPr>
              <w:spacing w:after="0"/>
            </w:pPr>
            <w:r>
              <w:rPr>
                <w:sz w:val="16"/>
              </w:rPr>
              <w:t>vehicleId, version</w:t>
            </w:r>
          </w:p>
        </w:tc>
        <w:tc>
          <w:tcPr>
            <w:tcW w:type="dxa" w:w="3061"/>
            <w:vAlign w:val="center"/>
          </w:tcPr>
          <w:p>
            <w:pPr>
              <w:spacing w:after="0"/>
            </w:pPr>
            <w:r>
              <w:rPr>
                <w:sz w:val="16"/>
              </w:rPr>
              <w:t>Statut publié après validation</w:t>
            </w:r>
          </w:p>
        </w:tc>
      </w:tr>
      <w:tr>
        <w:tc>
          <w:tcPr>
            <w:tcW w:type="dxa" w:w="3061"/>
            <w:vAlign w:val="center"/>
          </w:tcPr>
          <w:p>
            <w:pPr>
              <w:spacing w:after="0"/>
            </w:pPr>
            <w:r>
              <w:rPr>
                <w:sz w:val="16"/>
              </w:rPr>
              <w:t>PricingService.resolve</w:t>
            </w:r>
          </w:p>
        </w:tc>
        <w:tc>
          <w:tcPr>
            <w:tcW w:type="dxa" w:w="3061"/>
            <w:vAlign w:val="center"/>
          </w:tcPr>
          <w:p>
            <w:pPr>
              <w:spacing w:after="0"/>
            </w:pPr>
            <w:r>
              <w:rPr>
                <w:sz w:val="16"/>
              </w:rPr>
              <w:t>vehicleId, actor</w:t>
            </w:r>
          </w:p>
        </w:tc>
        <w:tc>
          <w:tcPr>
            <w:tcW w:type="dxa" w:w="3061"/>
            <w:vAlign w:val="center"/>
          </w:tcPr>
          <w:p>
            <w:pPr>
              <w:spacing w:after="0"/>
            </w:pPr>
            <w:r>
              <w:rPr>
                <w:sz w:val="16"/>
              </w:rPr>
              <w:t>Prix XOF et type tarif</w:t>
            </w:r>
          </w:p>
        </w:tc>
      </w:tr>
      <w:tr>
        <w:tc>
          <w:tcPr>
            <w:tcW w:type="dxa" w:w="3061"/>
            <w:vAlign w:val="center"/>
          </w:tcPr>
          <w:p>
            <w:pPr>
              <w:spacing w:after="0"/>
            </w:pPr>
            <w:r>
              <w:rPr>
                <w:sz w:val="16"/>
              </w:rPr>
              <w:t>FavoriteService.toggle</w:t>
            </w:r>
          </w:p>
        </w:tc>
        <w:tc>
          <w:tcPr>
            <w:tcW w:type="dxa" w:w="3061"/>
            <w:vAlign w:val="center"/>
          </w:tcPr>
          <w:p>
            <w:pPr>
              <w:spacing w:after="0"/>
            </w:pPr>
            <w:r>
              <w:rPr>
                <w:sz w:val="16"/>
              </w:rPr>
              <w:t>vehicleId</w:t>
            </w:r>
          </w:p>
        </w:tc>
        <w:tc>
          <w:tcPr>
            <w:tcW w:type="dxa" w:w="3061"/>
            <w:vAlign w:val="center"/>
          </w:tcPr>
          <w:p>
            <w:pPr>
              <w:spacing w:after="0"/>
            </w:pPr>
            <w:r>
              <w:rPr>
                <w:sz w:val="16"/>
              </w:rPr>
              <w:t>Favori propre au client</w:t>
            </w:r>
          </w:p>
        </w:tc>
      </w:tr>
      <w:tr>
        <w:tc>
          <w:tcPr>
            <w:tcW w:type="dxa" w:w="3061"/>
            <w:vAlign w:val="center"/>
          </w:tcPr>
          <w:p>
            <w:pPr>
              <w:spacing w:after="0"/>
            </w:pPr>
            <w:r>
              <w:rPr>
                <w:sz w:val="16"/>
              </w:rPr>
              <w:t>LeadService.create</w:t>
            </w:r>
          </w:p>
        </w:tc>
        <w:tc>
          <w:tcPr>
            <w:tcW w:type="dxa" w:w="3061"/>
            <w:vAlign w:val="center"/>
          </w:tcPr>
          <w:p>
            <w:pPr>
              <w:spacing w:after="0"/>
            </w:pPr>
            <w:r>
              <w:rPr>
                <w:sz w:val="16"/>
              </w:rPr>
              <w:t>contact, véhicule ou critères</w:t>
            </w:r>
          </w:p>
        </w:tc>
        <w:tc>
          <w:tcPr>
            <w:tcW w:type="dxa" w:w="3061"/>
            <w:vAlign w:val="center"/>
          </w:tcPr>
          <w:p>
            <w:pPr>
              <w:spacing w:after="0"/>
            </w:pPr>
            <w:r>
              <w:rPr>
                <w:sz w:val="16"/>
              </w:rPr>
              <w:t>Référence de demande</w:t>
            </w:r>
          </w:p>
        </w:tc>
      </w:tr>
      <w:tr>
        <w:tc>
          <w:tcPr>
            <w:tcW w:type="dxa" w:w="3061"/>
            <w:vAlign w:val="center"/>
          </w:tcPr>
          <w:p>
            <w:pPr>
              <w:spacing w:after="0"/>
            </w:pPr>
            <w:r>
              <w:rPr>
                <w:sz w:val="16"/>
              </w:rPr>
              <w:t>ResellerService.review</w:t>
            </w:r>
          </w:p>
        </w:tc>
        <w:tc>
          <w:tcPr>
            <w:tcW w:type="dxa" w:w="3061"/>
            <w:vAlign w:val="center"/>
          </w:tcPr>
          <w:p>
            <w:pPr>
              <w:spacing w:after="0"/>
            </w:pPr>
            <w:r>
              <w:rPr>
                <w:sz w:val="16"/>
              </w:rPr>
              <w:t>customerId, décision, motif</w:t>
            </w:r>
          </w:p>
        </w:tc>
        <w:tc>
          <w:tcPr>
            <w:tcW w:type="dxa" w:w="3061"/>
            <w:vAlign w:val="center"/>
          </w:tcPr>
          <w:p>
            <w:pPr>
              <w:spacing w:after="0"/>
            </w:pPr>
            <w:r>
              <w:rPr>
                <w:sz w:val="16"/>
              </w:rPr>
              <w:t>Statut et audit</w:t>
            </w:r>
          </w:p>
        </w:tc>
      </w:tr>
      <w:tr>
        <w:tc>
          <w:tcPr>
            <w:tcW w:type="dxa" w:w="3061"/>
            <w:vAlign w:val="center"/>
          </w:tcPr>
          <w:p>
            <w:pPr>
              <w:spacing w:after="0"/>
            </w:pPr>
            <w:r>
              <w:rPr>
                <w:sz w:val="16"/>
              </w:rPr>
              <w:t>OrderService.create</w:t>
            </w:r>
          </w:p>
        </w:tc>
        <w:tc>
          <w:tcPr>
            <w:tcW w:type="dxa" w:w="3061"/>
            <w:vAlign w:val="center"/>
          </w:tcPr>
          <w:p>
            <w:pPr>
              <w:spacing w:after="0"/>
            </w:pPr>
            <w:r>
              <w:rPr>
                <w:sz w:val="16"/>
              </w:rPr>
              <w:t>clientId, vehicleId, prix convenu</w:t>
            </w:r>
          </w:p>
        </w:tc>
        <w:tc>
          <w:tcPr>
            <w:tcW w:type="dxa" w:w="3061"/>
            <w:vAlign w:val="center"/>
          </w:tcPr>
          <w:p>
            <w:pPr>
              <w:spacing w:after="0"/>
            </w:pPr>
            <w:r>
              <w:rPr>
                <w:sz w:val="16"/>
              </w:rPr>
              <w:t>Commande et audit</w:t>
            </w:r>
          </w:p>
        </w:tc>
      </w:tr>
      <w:tr>
        <w:tc>
          <w:tcPr>
            <w:tcW w:type="dxa" w:w="3061"/>
            <w:vAlign w:val="center"/>
          </w:tcPr>
          <w:p>
            <w:pPr>
              <w:spacing w:after="0"/>
            </w:pPr>
            <w:r>
              <w:rPr>
                <w:sz w:val="16"/>
              </w:rPr>
              <w:t>StorageService.sign</w:t>
            </w:r>
          </w:p>
        </w:tc>
        <w:tc>
          <w:tcPr>
            <w:tcW w:type="dxa" w:w="3061"/>
            <w:vAlign w:val="center"/>
          </w:tcPr>
          <w:p>
            <w:pPr>
              <w:spacing w:after="0"/>
            </w:pPr>
            <w:r>
              <w:rPr>
                <w:sz w:val="16"/>
              </w:rPr>
              <w:t>assetId, actor</w:t>
            </w:r>
          </w:p>
        </w:tc>
        <w:tc>
          <w:tcPr>
            <w:tcW w:type="dxa" w:w="3061"/>
            <w:vAlign w:val="center"/>
          </w:tcPr>
          <w:p>
            <w:pPr>
              <w:spacing w:after="0"/>
            </w:pPr>
            <w:r>
              <w:rPr>
                <w:sz w:val="16"/>
              </w:rPr>
              <w:t>URL privée courte durée</w:t>
            </w:r>
          </w:p>
        </w:tc>
      </w:tr>
    </w:tbl>
    <w:p>
      <w:pPr>
        <w:pStyle w:val="Heading1"/>
      </w:pPr>
      <w:r>
        <w:t>Routes et actions proposées</w:t>
      </w:r>
    </w:p>
    <w:p>
      <w:pPr>
        <w:pStyle w:val="DBBullet"/>
      </w:pPr>
      <w:r>
        <w:t>•  GET /voitures et GET /voitures/[slug] : lecture publique des fiches publiées ; sold visible uniquement selon la règle de contenu.</w:t>
      </w:r>
    </w:p>
    <w:p>
      <w:pPr>
        <w:pStyle w:val="DBBullet"/>
      </w:pPr>
      <w:r>
        <w:t>•  POST /api/leads : demande de contact publique ; validation, limitation de fréquence et anti-spam.</w:t>
      </w:r>
    </w:p>
    <w:p>
      <w:pPr>
        <w:pStyle w:val="DBBullet"/>
      </w:pPr>
      <w:r>
        <w:t>•  Server Actions My DIABACAR : favoris, recherches enregistrées, profil et demande personnalisée.</w:t>
      </w:r>
    </w:p>
    <w:p>
      <w:pPr>
        <w:pStyle w:val="DBBullet"/>
      </w:pPr>
      <w:r>
        <w:t>•  Server Actions admin : véhicule, prix, publication, réservation, vente, approbation Revendeur, affectation prospect et commande.</w:t>
      </w:r>
    </w:p>
    <w:p>
      <w:pPr>
        <w:pStyle w:val="DBBullet"/>
      </w:pPr>
      <w:r>
        <w:t>•  GET /api/private-assets/[id] : contrôle serveur, puis URL signée à durée courte pour Storage.</w:t>
      </w:r>
    </w:p>
    <w:p>
      <w:pPr>
        <w:pStyle w:val="Heading1"/>
      </w:pPr>
      <w:r>
        <w:t>Transactions et invalidation</w:t>
      </w:r>
    </w:p>
    <w:p>
      <w:r>
        <w:t>La création d’une commande fige le prix convenu dans une transaction avec la vérification de disponibilité. Après un changement de fiche ou de prix, revalider la fiche, les listes concernées et les métadonnées. Ne jamais mettre durablement en cache un prix dépendant du rôle.</w:t>
      </w:r>
    </w:p>
    <w:sectPr w:rsidR="00FC693F" w:rsidRPr="0006063C" w:rsidSect="00034616">
      <w:footerReference w:type="default" r:id="rId9"/>
      <w:pgSz w:w="12240" w:h="15840"/>
      <w:pgMar w:top="1134" w:right="1219" w:bottom="1020" w:left="121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074"/>
        <w:sz w:val="14"/>
      </w:rPr>
      <w:t>DIABACAR  •  Usage projet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011D4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0063DF"/>
      <w:sz w:val="2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11D4F"/>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11D4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BBullet">
    <w:name w:val="DB Bullet"/>
    <w:basedOn w:val="Normal"/>
    <w:pPr>
      <w:spacing w:after="60"/>
      <w:ind w:left="255" w:hanging="142"/>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