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Plan de migrations et données initiales</w:t>
      </w:r>
    </w:p>
    <w:p>
      <w:r>
        <w:rPr>
          <w:color w:val="526074"/>
        </w:rPr>
        <w:t>Document 08 / 16  •  Version 1.0  •  26 septembre 2026</w:t>
      </w:r>
    </w:p>
    <w:p>
      <w:r>
        <w:rPr>
          <w:b/>
        </w:rPr>
        <w:t xml:space="preserve">Destinataires  </w:t>
      </w:r>
      <w:r>
        <w:t>Backend, DBA, DevOps</w:t>
      </w:r>
    </w:p>
    <w:p>
      <w:r>
        <w:t>Les changements PostgreSQL, Prisma, RLS et Storage sont versionnés et déployés dans le même ordre sur développement, préproduction et production. Les seeds sont répétables, sans données personnelles ni secrets en dépôt.</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Ordre de migration</w:t>
      </w:r>
    </w:p>
    <w:p>
      <w:pPr>
        <w:pStyle w:val="DBBullet"/>
      </w:pPr>
      <w:r>
        <w:t>•  M01 : extensions nécessaires, enums techniques, profiles, rôles et permissions.</w:t>
      </w:r>
    </w:p>
    <w:p>
      <w:pPr>
        <w:pStyle w:val="DBBullet"/>
      </w:pPr>
      <w:r>
        <w:t>•  M02 : référentiels marques, modèles et caractéristiques ; véhicules, images, documents et prix.</w:t>
      </w:r>
    </w:p>
    <w:p>
      <w:pPr>
        <w:pStyle w:val="DBBullet"/>
      </w:pPr>
      <w:r>
        <w:t>•  M03 : favoris, recherches enregistrées, prospects, demandes personnalisées et commandes.</w:t>
      </w:r>
    </w:p>
    <w:p>
      <w:pPr>
        <w:pStyle w:val="DBBullet"/>
      </w:pPr>
      <w:r>
        <w:t>•  M04 : journaux d’état, audit, contraintes SQL, index et unicités.</w:t>
      </w:r>
    </w:p>
    <w:p>
      <w:pPr>
        <w:pStyle w:val="DBBullet"/>
      </w:pPr>
      <w:r>
        <w:t>•  M05 : RLS, policies, fonctions et buckets Storage ; vérifier les privilèges par rôle.</w:t>
      </w:r>
    </w:p>
    <w:p>
      <w:pPr>
        <w:pStyle w:val="Heading1"/>
      </w:pPr>
      <w:r>
        <w:t>Seeds</w:t>
      </w:r>
    </w:p>
    <w:p>
      <w:pPr>
        <w:pStyle w:val="DBBullet"/>
      </w:pPr>
      <w:r>
        <w:t>•  Seed idempotent des codes de rôles ADMIN et COMMERCIAL, des permissions et de leurs associations minimales.</w:t>
      </w:r>
    </w:p>
    <w:p>
      <w:pPr>
        <w:pStyle w:val="DBBullet"/>
      </w:pPr>
      <w:r>
        <w:t>•  Seed des marques de départ validées par DIABACAR ; ne pas inventer un catalogue automobile figé.</w:t>
      </w:r>
    </w:p>
    <w:p>
      <w:pPr>
        <w:pStyle w:val="DBBullet"/>
      </w:pPr>
      <w:r>
        <w:t>•  Paramètres initiaux : devise XOF, numéro WhatsApp, textes de contact et options de publication avec valeurs fournies par l’exploitant.</w:t>
      </w:r>
    </w:p>
    <w:p>
      <w:pPr>
        <w:pStyle w:val="DBBullet"/>
      </w:pPr>
      <w:r>
        <w:t>•  Compte administrateur initial créé via Supabase Auth hors dépôt ; lier son auth_user_id au profil STAFF puis attribuer ADMIN. Aucun mot de passe de seed.</w:t>
      </w:r>
    </w:p>
    <w:p>
      <w:pPr>
        <w:pStyle w:val="Heading1"/>
      </w:pPr>
      <w:r>
        <w:t>Procédure de livraison</w:t>
      </w:r>
    </w:p>
    <w:p>
      <w:r>
        <w:t>Créer la migration en développement, relire SQL et plan de retour, appliquer sur base de test, exécuter tests de données et politiques, puis déployer sur préproduction. La production suit une sauvegarde vérifiée et une fenêtre de changement. Les migrations destructives passent par deux temps : ajout compatible, bascule applicative, retrait ultérieur.</w:t>
      </w:r>
    </w:p>
    <w:p>
      <w:pPr>
        <w:pStyle w:val="Heading1"/>
      </w:pPr>
      <w:r>
        <w:t>Retour arrière et contrôle</w:t>
      </w:r>
    </w:p>
    <w:p>
      <w:pPr>
        <w:pStyle w:val="DBBullet"/>
      </w:pPr>
      <w:r>
        <w:t>•  Prévoir le rollback applicatif Vercel indépendamment de la base ; une migration appliquée doit rester compatible avec la version précédente pendant la bascule.</w:t>
      </w:r>
    </w:p>
    <w:p>
      <w:pPr>
        <w:pStyle w:val="DBBullet"/>
      </w:pPr>
      <w:r>
        <w:t>•  Restaurer une sauvegarde seulement après décision d’incident et contrôle des écritures à préserver.</w:t>
      </w:r>
    </w:p>
    <w:p>
      <w:pPr>
        <w:pStyle w:val="DBBullet"/>
      </w:pPr>
      <w:r>
        <w:t>•  Après chaque migration, comparer version attendue, cardinalités, contraintes, politiques et parcours critiques.</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