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063DF"/>
          <w:sz w:val="16"/>
        </w:rPr>
        <w:t>DIABACAR  |  DOCUMENTATION PRODUIT V1</w:t>
      </w:r>
    </w:p>
    <w:p>
      <w:pPr>
        <w:pStyle w:val="Title"/>
      </w:pPr>
      <w:r>
        <w:t>Cahier de tests et critères d’acceptation</w:t>
      </w:r>
    </w:p>
    <w:p>
      <w:r>
        <w:rPr>
          <w:color w:val="526074"/>
        </w:rPr>
        <w:t>Document 09 / 16  •  Version 1.0  •  26 septembre 2026</w:t>
      </w:r>
    </w:p>
    <w:p>
      <w:r>
        <w:rPr>
          <w:b/>
        </w:rPr>
        <w:t xml:space="preserve">Destinataires  </w:t>
      </w:r>
      <w:r>
        <w:t>QA, produit, développement</w:t>
      </w:r>
    </w:p>
    <w:p>
      <w:r>
        <w:t>La recette couvre les parcours qui créent une valeur commerciale et les frontières d’accès. Chaque critère s’exécute en mobile et desktop quand l’écran existe, avec données de test Standard, Revendeur en attente, approuvé et suspendu.</w:t>
      </w:r>
    </w:p>
    <w:p>
      <w:r>
        <w:rPr>
          <w:b/>
        </w:rPr>
        <w:t xml:space="preserve">Références de cadrage  </w:t>
      </w:r>
      <w:r>
        <w:t>PRD DIABACAR, architecture fonctionnelle, modèle de données, architecture GitHub–Vercel–Supabase et cartographie UX/UI V1. Les valeurs opérationnelles non fixées restent des paramètres à valider.</w:t>
      </w:r>
    </w:p>
    <w:p>
      <w:pPr>
        <w:pStyle w:val="Heading1"/>
      </w:pPr>
      <w:r>
        <w:t>Scénarios prioritaires</w:t>
      </w:r>
    </w:p>
    <w:tbl>
      <w:tblPr>
        <w:tblStyle w:val="TableGrid"/>
        <w:tblW w:type="auto" w:w="0"/>
        <w:jc w:val="center"/>
        <w:tblLayout w:type="fixed"/>
        <w:tblLook w:firstColumn="1" w:firstRow="1" w:lastColumn="0" w:lastRow="0" w:noHBand="0" w:noVBand="1" w:val="04A0"/>
      </w:tblPr>
      <w:tblGrid>
        <w:gridCol w:w="3267"/>
        <w:gridCol w:w="3267"/>
        <w:gridCol w:w="3267"/>
      </w:tblGrid>
      <w:tr>
        <w:tc>
          <w:tcPr>
            <w:tcW w:type="dxa" w:w="3061"/>
            <w:shd w:fill="011D4F"/>
          </w:tcPr>
          <w:p>
            <w:r>
              <w:rPr>
                <w:b/>
                <w:color w:val="FFFFFF"/>
                <w:sz w:val="16"/>
              </w:rPr>
              <w:t>ID</w:t>
            </w:r>
          </w:p>
        </w:tc>
        <w:tc>
          <w:tcPr>
            <w:tcW w:type="dxa" w:w="3061"/>
            <w:shd w:fill="011D4F"/>
          </w:tcPr>
          <w:p>
            <w:r>
              <w:rPr>
                <w:b/>
                <w:color w:val="FFFFFF"/>
                <w:sz w:val="16"/>
              </w:rPr>
              <w:t>Situation</w:t>
            </w:r>
          </w:p>
        </w:tc>
        <w:tc>
          <w:tcPr>
            <w:tcW w:type="dxa" w:w="3061"/>
            <w:shd w:fill="011D4F"/>
          </w:tcPr>
          <w:p>
            <w:r>
              <w:rPr>
                <w:b/>
                <w:color w:val="FFFFFF"/>
                <w:sz w:val="16"/>
              </w:rPr>
              <w:t>Résultat attendu</w:t>
            </w:r>
          </w:p>
        </w:tc>
      </w:tr>
      <w:tr>
        <w:tc>
          <w:tcPr>
            <w:tcW w:type="dxa" w:w="3061"/>
            <w:vAlign w:val="center"/>
          </w:tcPr>
          <w:p>
            <w:pPr>
              <w:spacing w:after="0"/>
            </w:pPr>
            <w:r>
              <w:rPr>
                <w:sz w:val="16"/>
              </w:rPr>
              <w:t>T01</w:t>
            </w:r>
          </w:p>
        </w:tc>
        <w:tc>
          <w:tcPr>
            <w:tcW w:type="dxa" w:w="3061"/>
            <w:vAlign w:val="center"/>
          </w:tcPr>
          <w:p>
            <w:pPr>
              <w:spacing w:after="0"/>
            </w:pPr>
            <w:r>
              <w:rPr>
                <w:sz w:val="16"/>
              </w:rPr>
              <w:t>Visiteur filtre le catalogue</w:t>
            </w:r>
          </w:p>
        </w:tc>
        <w:tc>
          <w:tcPr>
            <w:tcW w:type="dxa" w:w="3061"/>
            <w:vAlign w:val="center"/>
          </w:tcPr>
          <w:p>
            <w:pPr>
              <w:spacing w:after="0"/>
            </w:pPr>
            <w:r>
              <w:rPr>
                <w:sz w:val="16"/>
              </w:rPr>
              <w:t>Résultats, tri et état vide exacts</w:t>
            </w:r>
          </w:p>
        </w:tc>
      </w:tr>
      <w:tr>
        <w:tc>
          <w:tcPr>
            <w:tcW w:type="dxa" w:w="3061"/>
            <w:vAlign w:val="center"/>
          </w:tcPr>
          <w:p>
            <w:pPr>
              <w:spacing w:after="0"/>
            </w:pPr>
            <w:r>
              <w:rPr>
                <w:sz w:val="16"/>
              </w:rPr>
              <w:t>T02</w:t>
            </w:r>
          </w:p>
        </w:tc>
        <w:tc>
          <w:tcPr>
            <w:tcW w:type="dxa" w:w="3061"/>
            <w:vAlign w:val="center"/>
          </w:tcPr>
          <w:p>
            <w:pPr>
              <w:spacing w:after="0"/>
            </w:pPr>
            <w:r>
              <w:rPr>
                <w:sz w:val="16"/>
              </w:rPr>
              <w:t>Fiche Chine ou Sénégal</w:t>
            </w:r>
          </w:p>
        </w:tc>
        <w:tc>
          <w:tcPr>
            <w:tcW w:type="dxa" w:w="3061"/>
            <w:vAlign w:val="center"/>
          </w:tcPr>
          <w:p>
            <w:pPr>
              <w:spacing w:after="0"/>
            </w:pPr>
            <w:r>
              <w:rPr>
                <w:sz w:val="16"/>
              </w:rPr>
              <w:t>Localisation et disponibilité explicites</w:t>
            </w:r>
          </w:p>
        </w:tc>
      </w:tr>
      <w:tr>
        <w:tc>
          <w:tcPr>
            <w:tcW w:type="dxa" w:w="3061"/>
            <w:vAlign w:val="center"/>
          </w:tcPr>
          <w:p>
            <w:pPr>
              <w:spacing w:after="0"/>
            </w:pPr>
            <w:r>
              <w:rPr>
                <w:sz w:val="16"/>
              </w:rPr>
              <w:t>T03</w:t>
            </w:r>
          </w:p>
        </w:tc>
        <w:tc>
          <w:tcPr>
            <w:tcW w:type="dxa" w:w="3061"/>
            <w:vAlign w:val="center"/>
          </w:tcPr>
          <w:p>
            <w:pPr>
              <w:spacing w:after="0"/>
            </w:pPr>
            <w:r>
              <w:rPr>
                <w:sz w:val="16"/>
              </w:rPr>
              <w:t>Standard ouvre une fiche</w:t>
            </w:r>
          </w:p>
        </w:tc>
        <w:tc>
          <w:tcPr>
            <w:tcW w:type="dxa" w:w="3061"/>
            <w:vAlign w:val="center"/>
          </w:tcPr>
          <w:p>
            <w:pPr>
              <w:spacing w:after="0"/>
            </w:pPr>
            <w:r>
              <w:rPr>
                <w:sz w:val="16"/>
              </w:rPr>
              <w:t>Prix Standard seul</w:t>
            </w:r>
          </w:p>
        </w:tc>
      </w:tr>
      <w:tr>
        <w:tc>
          <w:tcPr>
            <w:tcW w:type="dxa" w:w="3061"/>
            <w:vAlign w:val="center"/>
          </w:tcPr>
          <w:p>
            <w:pPr>
              <w:spacing w:after="0"/>
            </w:pPr>
            <w:r>
              <w:rPr>
                <w:sz w:val="16"/>
              </w:rPr>
              <w:t>T04</w:t>
            </w:r>
          </w:p>
        </w:tc>
        <w:tc>
          <w:tcPr>
            <w:tcW w:type="dxa" w:w="3061"/>
            <w:vAlign w:val="center"/>
          </w:tcPr>
          <w:p>
            <w:pPr>
              <w:spacing w:after="0"/>
            </w:pPr>
            <w:r>
              <w:rPr>
                <w:sz w:val="16"/>
              </w:rPr>
              <w:t>Revendeur approuvé ouvre une fiche</w:t>
            </w:r>
          </w:p>
        </w:tc>
        <w:tc>
          <w:tcPr>
            <w:tcW w:type="dxa" w:w="3061"/>
            <w:vAlign w:val="center"/>
          </w:tcPr>
          <w:p>
            <w:pPr>
              <w:spacing w:after="0"/>
            </w:pPr>
            <w:r>
              <w:rPr>
                <w:sz w:val="16"/>
              </w:rPr>
              <w:t>Tarif Revendeur applicable</w:t>
            </w:r>
          </w:p>
        </w:tc>
      </w:tr>
      <w:tr>
        <w:tc>
          <w:tcPr>
            <w:tcW w:type="dxa" w:w="3061"/>
            <w:vAlign w:val="center"/>
          </w:tcPr>
          <w:p>
            <w:pPr>
              <w:spacing w:after="0"/>
            </w:pPr>
            <w:r>
              <w:rPr>
                <w:sz w:val="16"/>
              </w:rPr>
              <w:t>T05</w:t>
            </w:r>
          </w:p>
        </w:tc>
        <w:tc>
          <w:tcPr>
            <w:tcW w:type="dxa" w:w="3061"/>
            <w:vAlign w:val="center"/>
          </w:tcPr>
          <w:p>
            <w:pPr>
              <w:spacing w:after="0"/>
            </w:pPr>
            <w:r>
              <w:rPr>
                <w:sz w:val="16"/>
              </w:rPr>
              <w:t>Revendeur en attente ou suspendu</w:t>
            </w:r>
          </w:p>
        </w:tc>
        <w:tc>
          <w:tcPr>
            <w:tcW w:type="dxa" w:w="3061"/>
            <w:vAlign w:val="center"/>
          </w:tcPr>
          <w:p>
            <w:pPr>
              <w:spacing w:after="0"/>
            </w:pPr>
            <w:r>
              <w:rPr>
                <w:sz w:val="16"/>
              </w:rPr>
              <w:t>Prix Standard seul</w:t>
            </w:r>
          </w:p>
        </w:tc>
      </w:tr>
      <w:tr>
        <w:tc>
          <w:tcPr>
            <w:tcW w:type="dxa" w:w="3061"/>
            <w:vAlign w:val="center"/>
          </w:tcPr>
          <w:p>
            <w:pPr>
              <w:spacing w:after="0"/>
            </w:pPr>
            <w:r>
              <w:rPr>
                <w:sz w:val="16"/>
              </w:rPr>
              <w:t>T06</w:t>
            </w:r>
          </w:p>
        </w:tc>
        <w:tc>
          <w:tcPr>
            <w:tcW w:type="dxa" w:w="3061"/>
            <w:vAlign w:val="center"/>
          </w:tcPr>
          <w:p>
            <w:pPr>
              <w:spacing w:after="0"/>
            </w:pPr>
            <w:r>
              <w:rPr>
                <w:sz w:val="16"/>
              </w:rPr>
              <w:t>Favori anonyme puis connexion</w:t>
            </w:r>
          </w:p>
        </w:tc>
        <w:tc>
          <w:tcPr>
            <w:tcW w:type="dxa" w:w="3061"/>
            <w:vAlign w:val="center"/>
          </w:tcPr>
          <w:p>
            <w:pPr>
              <w:spacing w:after="0"/>
            </w:pPr>
            <w:r>
              <w:rPr>
                <w:sz w:val="16"/>
              </w:rPr>
              <w:t>Fusion sans doublon et persistance</w:t>
            </w:r>
          </w:p>
        </w:tc>
      </w:tr>
      <w:tr>
        <w:tc>
          <w:tcPr>
            <w:tcW w:type="dxa" w:w="3061"/>
            <w:vAlign w:val="center"/>
          </w:tcPr>
          <w:p>
            <w:pPr>
              <w:spacing w:after="0"/>
            </w:pPr>
            <w:r>
              <w:rPr>
                <w:sz w:val="16"/>
              </w:rPr>
              <w:t>T07</w:t>
            </w:r>
          </w:p>
        </w:tc>
        <w:tc>
          <w:tcPr>
            <w:tcW w:type="dxa" w:w="3061"/>
            <w:vAlign w:val="center"/>
          </w:tcPr>
          <w:p>
            <w:pPr>
              <w:spacing w:after="0"/>
            </w:pPr>
            <w:r>
              <w:rPr>
                <w:sz w:val="16"/>
              </w:rPr>
              <w:t>Demande personnalisée</w:t>
            </w:r>
          </w:p>
        </w:tc>
        <w:tc>
          <w:tcPr>
            <w:tcW w:type="dxa" w:w="3061"/>
            <w:vAlign w:val="center"/>
          </w:tcPr>
          <w:p>
            <w:pPr>
              <w:spacing w:after="0"/>
            </w:pPr>
            <w:r>
              <w:rPr>
                <w:sz w:val="16"/>
              </w:rPr>
              <w:t>Validation, référence et suivi</w:t>
            </w:r>
          </w:p>
        </w:tc>
      </w:tr>
      <w:tr>
        <w:tc>
          <w:tcPr>
            <w:tcW w:type="dxa" w:w="3061"/>
            <w:vAlign w:val="center"/>
          </w:tcPr>
          <w:p>
            <w:pPr>
              <w:spacing w:after="0"/>
            </w:pPr>
            <w:r>
              <w:rPr>
                <w:sz w:val="16"/>
              </w:rPr>
              <w:t>T08</w:t>
            </w:r>
          </w:p>
        </w:tc>
        <w:tc>
          <w:tcPr>
            <w:tcW w:type="dxa" w:w="3061"/>
            <w:vAlign w:val="center"/>
          </w:tcPr>
          <w:p>
            <w:pPr>
              <w:spacing w:after="0"/>
            </w:pPr>
            <w:r>
              <w:rPr>
                <w:sz w:val="16"/>
              </w:rPr>
              <w:t>Véhicule réservé puis vendu</w:t>
            </w:r>
          </w:p>
        </w:tc>
        <w:tc>
          <w:tcPr>
            <w:tcW w:type="dxa" w:w="3061"/>
            <w:vAlign w:val="center"/>
          </w:tcPr>
          <w:p>
            <w:pPr>
              <w:spacing w:after="0"/>
            </w:pPr>
            <w:r>
              <w:rPr>
                <w:sz w:val="16"/>
              </w:rPr>
              <w:t>Transitions contrôlées, fiche Vendu et audit</w:t>
            </w:r>
          </w:p>
        </w:tc>
      </w:tr>
      <w:tr>
        <w:tc>
          <w:tcPr>
            <w:tcW w:type="dxa" w:w="3061"/>
            <w:vAlign w:val="center"/>
          </w:tcPr>
          <w:p>
            <w:pPr>
              <w:spacing w:after="0"/>
            </w:pPr>
            <w:r>
              <w:rPr>
                <w:sz w:val="16"/>
              </w:rPr>
              <w:t>T09</w:t>
            </w:r>
          </w:p>
        </w:tc>
        <w:tc>
          <w:tcPr>
            <w:tcW w:type="dxa" w:w="3061"/>
            <w:vAlign w:val="center"/>
          </w:tcPr>
          <w:p>
            <w:pPr>
              <w:spacing w:after="0"/>
            </w:pPr>
            <w:r>
              <w:rPr>
                <w:sz w:val="16"/>
              </w:rPr>
              <w:t>Commande créée</w:t>
            </w:r>
          </w:p>
        </w:tc>
        <w:tc>
          <w:tcPr>
            <w:tcW w:type="dxa" w:w="3061"/>
            <w:vAlign w:val="center"/>
          </w:tcPr>
          <w:p>
            <w:pPr>
              <w:spacing w:after="0"/>
            </w:pPr>
            <w:r>
              <w:rPr>
                <w:sz w:val="16"/>
              </w:rPr>
              <w:t>Prix convenu figé, suivi, aucun paiement</w:t>
            </w:r>
          </w:p>
        </w:tc>
      </w:tr>
      <w:tr>
        <w:tc>
          <w:tcPr>
            <w:tcW w:type="dxa" w:w="3061"/>
            <w:vAlign w:val="center"/>
          </w:tcPr>
          <w:p>
            <w:pPr>
              <w:spacing w:after="0"/>
            </w:pPr>
            <w:r>
              <w:rPr>
                <w:sz w:val="16"/>
              </w:rPr>
              <w:t>T10</w:t>
            </w:r>
          </w:p>
        </w:tc>
        <w:tc>
          <w:tcPr>
            <w:tcW w:type="dxa" w:w="3061"/>
            <w:vAlign w:val="center"/>
          </w:tcPr>
          <w:p>
            <w:pPr>
              <w:spacing w:after="0"/>
            </w:pPr>
            <w:r>
              <w:rPr>
                <w:sz w:val="16"/>
              </w:rPr>
              <w:t>Client appelle une action admin</w:t>
            </w:r>
          </w:p>
        </w:tc>
        <w:tc>
          <w:tcPr>
            <w:tcW w:type="dxa" w:w="3061"/>
            <w:vAlign w:val="center"/>
          </w:tcPr>
          <w:p>
            <w:pPr>
              <w:spacing w:after="0"/>
            </w:pPr>
            <w:r>
              <w:rPr>
                <w:sz w:val="16"/>
              </w:rPr>
              <w:t>Accès refusé côté serveur</w:t>
            </w:r>
          </w:p>
        </w:tc>
      </w:tr>
      <w:tr>
        <w:tc>
          <w:tcPr>
            <w:tcW w:type="dxa" w:w="3061"/>
            <w:vAlign w:val="center"/>
          </w:tcPr>
          <w:p>
            <w:pPr>
              <w:spacing w:after="0"/>
            </w:pPr>
            <w:r>
              <w:rPr>
                <w:sz w:val="16"/>
              </w:rPr>
              <w:t>T11</w:t>
            </w:r>
          </w:p>
        </w:tc>
        <w:tc>
          <w:tcPr>
            <w:tcW w:type="dxa" w:w="3061"/>
            <w:vAlign w:val="center"/>
          </w:tcPr>
          <w:p>
            <w:pPr>
              <w:spacing w:after="0"/>
            </w:pPr>
            <w:r>
              <w:rPr>
                <w:sz w:val="16"/>
              </w:rPr>
              <w:t>Accès document privé non autorisé</w:t>
            </w:r>
          </w:p>
        </w:tc>
        <w:tc>
          <w:tcPr>
            <w:tcW w:type="dxa" w:w="3061"/>
            <w:vAlign w:val="center"/>
          </w:tcPr>
          <w:p>
            <w:pPr>
              <w:spacing w:after="0"/>
            </w:pPr>
            <w:r>
              <w:rPr>
                <w:sz w:val="16"/>
              </w:rPr>
              <w:t>Aucune URL exploitable</w:t>
            </w:r>
          </w:p>
        </w:tc>
      </w:tr>
      <w:tr>
        <w:tc>
          <w:tcPr>
            <w:tcW w:type="dxa" w:w="3061"/>
            <w:vAlign w:val="center"/>
          </w:tcPr>
          <w:p>
            <w:pPr>
              <w:spacing w:after="0"/>
            </w:pPr>
            <w:r>
              <w:rPr>
                <w:sz w:val="16"/>
              </w:rPr>
              <w:t>T12</w:t>
            </w:r>
          </w:p>
        </w:tc>
        <w:tc>
          <w:tcPr>
            <w:tcW w:type="dxa" w:w="3061"/>
            <w:vAlign w:val="center"/>
          </w:tcPr>
          <w:p>
            <w:pPr>
              <w:spacing w:after="0"/>
            </w:pPr>
            <w:r>
              <w:rPr>
                <w:sz w:val="16"/>
              </w:rPr>
              <w:t>Commercial sans droit modifie un rôle</w:t>
            </w:r>
          </w:p>
        </w:tc>
        <w:tc>
          <w:tcPr>
            <w:tcW w:type="dxa" w:w="3061"/>
            <w:vAlign w:val="center"/>
          </w:tcPr>
          <w:p>
            <w:pPr>
              <w:spacing w:after="0"/>
            </w:pPr>
            <w:r>
              <w:rPr>
                <w:sz w:val="16"/>
              </w:rPr>
              <w:t>Refus et aucune mutation</w:t>
            </w:r>
          </w:p>
        </w:tc>
      </w:tr>
    </w:tbl>
    <w:p>
      <w:pPr>
        <w:pStyle w:val="Heading1"/>
      </w:pPr>
      <w:r>
        <w:t>Niveaux de test</w:t>
      </w:r>
    </w:p>
    <w:p>
      <w:pPr>
        <w:pStyle w:val="DBBullet"/>
      </w:pPr>
      <w:r>
        <w:t>•  Unitaires : PricingService, permissions, transitions d’état, validation de montants.</w:t>
      </w:r>
    </w:p>
    <w:p>
      <w:pPr>
        <w:pStyle w:val="DBBullet"/>
      </w:pPr>
      <w:r>
        <w:t>•  Intégration : Prisma et contraintes PostgreSQL, RLS avec identités distinctes, Storage et URL signées.</w:t>
      </w:r>
    </w:p>
    <w:p>
      <w:pPr>
        <w:pStyle w:val="DBBullet"/>
      </w:pPr>
      <w:r>
        <w:t>•  Parcours complets : inscription, catalogue, favoris, demande, commande, administration et audit.</w:t>
      </w:r>
    </w:p>
    <w:p>
      <w:pPr>
        <w:pStyle w:val="DBBullet"/>
      </w:pPr>
      <w:r>
        <w:t>•  Non fonctionnels : clavier, contraste, affichage à 320 px et 200 %, erreurs réseau, pagination, images, SEO et vitesse.</w:t>
      </w:r>
    </w:p>
    <w:p>
      <w:pPr>
        <w:pStyle w:val="Heading1"/>
      </w:pPr>
      <w:r>
        <w:t>Conditions de validation</w:t>
      </w:r>
    </w:p>
    <w:p>
      <w:r>
        <w:t>La livraison V1 exige zéro défaut bloquant sur prix, accès, commande, statut et fuite de document. Les cas T01 à T12 doivent passer sur préproduction avec données réalistes anonymisées. Toute exception est enregistrée avec propriétaire et date cible avant décision de mise en ligne.</w:t>
      </w:r>
    </w:p>
    <w:sectPr w:rsidR="00FC693F" w:rsidRPr="0006063C" w:rsidSect="00034616">
      <w:footerReference w:type="default" r:id="rId9"/>
      <w:pgSz w:w="12240" w:h="15840"/>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74"/>
        <w:sz w:val="14"/>
      </w:rPr>
      <w:t>DIABACAR  •  Usage projet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11D4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63DF"/>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11D4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11D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BBullet">
    <w:name w:val="DB Bullet"/>
    <w:basedOn w:val="Normal"/>
    <w:pPr>
      <w:spacing w:after="60"/>
      <w:ind w:left="255" w:hanging="14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