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color w:val="0063DF"/>
          <w:sz w:val="16"/>
        </w:rPr>
        <w:t>DIABACAR  |  DOCUMENTATION PRODUIT V1</w:t>
      </w:r>
    </w:p>
    <w:p>
      <w:pPr>
        <w:pStyle w:val="Title"/>
      </w:pPr>
      <w:r>
        <w:t>Roadmap de développement par lots</w:t>
      </w:r>
    </w:p>
    <w:p>
      <w:r>
        <w:rPr>
          <w:color w:val="526074"/>
        </w:rPr>
        <w:t>Document 10 / 16  •  Version 1.0  •  26 septembre 2026</w:t>
      </w:r>
    </w:p>
    <w:p>
      <w:r>
        <w:rPr>
          <w:b/>
        </w:rPr>
        <w:t xml:space="preserve">Destinataires  </w:t>
      </w:r>
      <w:r>
        <w:t>Responsable produit, équipe de développement, IA de codage</w:t>
      </w:r>
    </w:p>
    <w:p>
      <w:r>
        <w:t>La construction suit les dépendances métier : identité et permissions avant espaces privés, référentiel avant catalogue, prix centralisé avant commandes. Chaque lot produit un incrément testable et une démonstration de bout en bout.</w:t>
      </w:r>
    </w:p>
    <w:p>
      <w:r>
        <w:rPr>
          <w:b/>
        </w:rPr>
        <w:t xml:space="preserve">Références de cadrage  </w:t>
      </w:r>
      <w:r>
        <w:t>PRD DIABACAR, architecture fonctionnelle, modèle de données, architecture GitHub–Vercel–Supabase et cartographie UX/UI V1. Les valeurs opérationnelles non fixées restent des paramètres à valider.</w:t>
      </w:r>
    </w:p>
    <w:tbl>
      <w:tblPr>
        <w:tblStyle w:val="TableGrid"/>
        <w:tblW w:type="auto" w:w="0"/>
        <w:jc w:val="center"/>
        <w:tblLayout w:type="fixed"/>
        <w:tblLook w:firstColumn="1" w:firstRow="1" w:lastColumn="0" w:lastRow="0" w:noHBand="0" w:noVBand="1" w:val="04A0"/>
      </w:tblPr>
      <w:tblGrid>
        <w:gridCol w:w="3267"/>
        <w:gridCol w:w="3267"/>
        <w:gridCol w:w="3267"/>
      </w:tblGrid>
      <w:tr>
        <w:tc>
          <w:tcPr>
            <w:tcW w:type="dxa" w:w="3061"/>
            <w:shd w:fill="011D4F"/>
          </w:tcPr>
          <w:p>
            <w:r>
              <w:rPr>
                <w:b/>
                <w:color w:val="FFFFFF"/>
                <w:sz w:val="16"/>
              </w:rPr>
              <w:t>Lot</w:t>
            </w:r>
          </w:p>
        </w:tc>
        <w:tc>
          <w:tcPr>
            <w:tcW w:type="dxa" w:w="3061"/>
            <w:shd w:fill="011D4F"/>
          </w:tcPr>
          <w:p>
            <w:r>
              <w:rPr>
                <w:b/>
                <w:color w:val="FFFFFF"/>
                <w:sz w:val="16"/>
              </w:rPr>
              <w:t>Objet</w:t>
            </w:r>
          </w:p>
        </w:tc>
        <w:tc>
          <w:tcPr>
            <w:tcW w:type="dxa" w:w="3061"/>
            <w:shd w:fill="011D4F"/>
          </w:tcPr>
          <w:p>
            <w:r>
              <w:rPr>
                <w:b/>
                <w:color w:val="FFFFFF"/>
                <w:sz w:val="16"/>
              </w:rPr>
              <w:t>Livrable vérifiable</w:t>
            </w:r>
          </w:p>
        </w:tc>
      </w:tr>
      <w:tr>
        <w:tc>
          <w:tcPr>
            <w:tcW w:type="dxa" w:w="3061"/>
            <w:vAlign w:val="center"/>
          </w:tcPr>
          <w:p>
            <w:pPr>
              <w:spacing w:after="0"/>
            </w:pPr>
            <w:r>
              <w:rPr>
                <w:sz w:val="16"/>
              </w:rPr>
              <w:t>0</w:t>
            </w:r>
          </w:p>
        </w:tc>
        <w:tc>
          <w:tcPr>
            <w:tcW w:type="dxa" w:w="3061"/>
            <w:vAlign w:val="center"/>
          </w:tcPr>
          <w:p>
            <w:pPr>
              <w:spacing w:after="0"/>
            </w:pPr>
            <w:r>
              <w:rPr>
                <w:sz w:val="16"/>
              </w:rPr>
              <w:t>Fondations</w:t>
            </w:r>
          </w:p>
        </w:tc>
        <w:tc>
          <w:tcPr>
            <w:tcW w:type="dxa" w:w="3061"/>
            <w:vAlign w:val="center"/>
          </w:tcPr>
          <w:p>
            <w:pPr>
              <w:spacing w:after="0"/>
            </w:pPr>
            <w:r>
              <w:rPr>
                <w:sz w:val="16"/>
              </w:rPr>
              <w:t>Repository, Next.js, TypeScript strict, CI, environnements, tokens UI, base et migrations.</w:t>
            </w:r>
          </w:p>
        </w:tc>
      </w:tr>
      <w:tr>
        <w:tc>
          <w:tcPr>
            <w:tcW w:type="dxa" w:w="3061"/>
            <w:vAlign w:val="center"/>
          </w:tcPr>
          <w:p>
            <w:pPr>
              <w:spacing w:after="0"/>
            </w:pPr>
            <w:r>
              <w:rPr>
                <w:sz w:val="16"/>
              </w:rPr>
              <w:t>1</w:t>
            </w:r>
          </w:p>
        </w:tc>
        <w:tc>
          <w:tcPr>
            <w:tcW w:type="dxa" w:w="3061"/>
            <w:vAlign w:val="center"/>
          </w:tcPr>
          <w:p>
            <w:pPr>
              <w:spacing w:after="0"/>
            </w:pPr>
            <w:r>
              <w:rPr>
                <w:sz w:val="16"/>
              </w:rPr>
              <w:t>Identité et sécurité</w:t>
            </w:r>
          </w:p>
        </w:tc>
        <w:tc>
          <w:tcPr>
            <w:tcW w:type="dxa" w:w="3061"/>
            <w:vAlign w:val="center"/>
          </w:tcPr>
          <w:p>
            <w:pPr>
              <w:spacing w:after="0"/>
            </w:pPr>
            <w:r>
              <w:rPr>
                <w:sz w:val="16"/>
              </w:rPr>
              <w:t>Supabase Auth, profils, rôles, permissions, RLS initiale, audit.</w:t>
            </w:r>
          </w:p>
        </w:tc>
      </w:tr>
      <w:tr>
        <w:tc>
          <w:tcPr>
            <w:tcW w:type="dxa" w:w="3061"/>
            <w:vAlign w:val="center"/>
          </w:tcPr>
          <w:p>
            <w:pPr>
              <w:spacing w:after="0"/>
            </w:pPr>
            <w:r>
              <w:rPr>
                <w:sz w:val="16"/>
              </w:rPr>
              <w:t>2</w:t>
            </w:r>
          </w:p>
        </w:tc>
        <w:tc>
          <w:tcPr>
            <w:tcW w:type="dxa" w:w="3061"/>
            <w:vAlign w:val="center"/>
          </w:tcPr>
          <w:p>
            <w:pPr>
              <w:spacing w:after="0"/>
            </w:pPr>
            <w:r>
              <w:rPr>
                <w:sz w:val="16"/>
              </w:rPr>
              <w:t>Catalogue public</w:t>
            </w:r>
          </w:p>
        </w:tc>
        <w:tc>
          <w:tcPr>
            <w:tcW w:type="dxa" w:w="3061"/>
            <w:vAlign w:val="center"/>
          </w:tcPr>
          <w:p>
            <w:pPr>
              <w:spacing w:after="0"/>
            </w:pPr>
            <w:r>
              <w:rPr>
                <w:sz w:val="16"/>
              </w:rPr>
              <w:t>Référentiels, véhicules, images, filtres, fiche, SEO et prix Standard.</w:t>
            </w:r>
          </w:p>
        </w:tc>
      </w:tr>
      <w:tr>
        <w:tc>
          <w:tcPr>
            <w:tcW w:type="dxa" w:w="3061"/>
            <w:vAlign w:val="center"/>
          </w:tcPr>
          <w:p>
            <w:pPr>
              <w:spacing w:after="0"/>
            </w:pPr>
            <w:r>
              <w:rPr>
                <w:sz w:val="16"/>
              </w:rPr>
              <w:t>3</w:t>
            </w:r>
          </w:p>
        </w:tc>
        <w:tc>
          <w:tcPr>
            <w:tcW w:type="dxa" w:w="3061"/>
            <w:vAlign w:val="center"/>
          </w:tcPr>
          <w:p>
            <w:pPr>
              <w:spacing w:after="0"/>
            </w:pPr>
            <w:r>
              <w:rPr>
                <w:sz w:val="16"/>
              </w:rPr>
              <w:t>My DIABACAR</w:t>
            </w:r>
          </w:p>
        </w:tc>
        <w:tc>
          <w:tcPr>
            <w:tcW w:type="dxa" w:w="3061"/>
            <w:vAlign w:val="center"/>
          </w:tcPr>
          <w:p>
            <w:pPr>
              <w:spacing w:after="0"/>
            </w:pPr>
            <w:r>
              <w:rPr>
                <w:sz w:val="16"/>
              </w:rPr>
              <w:t>Favoris, profil, recherches, demandes et inscription Revendeur.</w:t>
            </w:r>
          </w:p>
        </w:tc>
      </w:tr>
      <w:tr>
        <w:tc>
          <w:tcPr>
            <w:tcW w:type="dxa" w:w="3061"/>
            <w:vAlign w:val="center"/>
          </w:tcPr>
          <w:p>
            <w:pPr>
              <w:spacing w:after="0"/>
            </w:pPr>
            <w:r>
              <w:rPr>
                <w:sz w:val="16"/>
              </w:rPr>
              <w:t>4</w:t>
            </w:r>
          </w:p>
        </w:tc>
        <w:tc>
          <w:tcPr>
            <w:tcW w:type="dxa" w:w="3061"/>
            <w:vAlign w:val="center"/>
          </w:tcPr>
          <w:p>
            <w:pPr>
              <w:spacing w:after="0"/>
            </w:pPr>
            <w:r>
              <w:rPr>
                <w:sz w:val="16"/>
              </w:rPr>
              <w:t>Tarification et CRM</w:t>
            </w:r>
          </w:p>
        </w:tc>
        <w:tc>
          <w:tcPr>
            <w:tcW w:type="dxa" w:w="3061"/>
            <w:vAlign w:val="center"/>
          </w:tcPr>
          <w:p>
            <w:pPr>
              <w:spacing w:after="0"/>
            </w:pPr>
            <w:r>
              <w:rPr>
                <w:sz w:val="16"/>
              </w:rPr>
              <w:t>Approbation Revendeur, prix applicable, prospects et affectations.</w:t>
            </w:r>
          </w:p>
        </w:tc>
      </w:tr>
      <w:tr>
        <w:tc>
          <w:tcPr>
            <w:tcW w:type="dxa" w:w="3061"/>
            <w:vAlign w:val="center"/>
          </w:tcPr>
          <w:p>
            <w:pPr>
              <w:spacing w:after="0"/>
            </w:pPr>
            <w:r>
              <w:rPr>
                <w:sz w:val="16"/>
              </w:rPr>
              <w:t>5</w:t>
            </w:r>
          </w:p>
        </w:tc>
        <w:tc>
          <w:tcPr>
            <w:tcW w:type="dxa" w:w="3061"/>
            <w:vAlign w:val="center"/>
          </w:tcPr>
          <w:p>
            <w:pPr>
              <w:spacing w:after="0"/>
            </w:pPr>
            <w:r>
              <w:rPr>
                <w:sz w:val="16"/>
              </w:rPr>
              <w:t>Commandes et opérations</w:t>
            </w:r>
          </w:p>
        </w:tc>
        <w:tc>
          <w:tcPr>
            <w:tcW w:type="dxa" w:w="3061"/>
            <w:vAlign w:val="center"/>
          </w:tcPr>
          <w:p>
            <w:pPr>
              <w:spacing w:after="0"/>
            </w:pPr>
            <w:r>
              <w:rPr>
                <w:sz w:val="16"/>
              </w:rPr>
              <w:t>Commandes sans paiement, statut véhicule, logistique et suivi client.</w:t>
            </w:r>
          </w:p>
        </w:tc>
      </w:tr>
      <w:tr>
        <w:tc>
          <w:tcPr>
            <w:tcW w:type="dxa" w:w="3061"/>
            <w:vAlign w:val="center"/>
          </w:tcPr>
          <w:p>
            <w:pPr>
              <w:spacing w:after="0"/>
            </w:pPr>
            <w:r>
              <w:rPr>
                <w:sz w:val="16"/>
              </w:rPr>
              <w:t>6</w:t>
            </w:r>
          </w:p>
        </w:tc>
        <w:tc>
          <w:tcPr>
            <w:tcW w:type="dxa" w:w="3061"/>
            <w:vAlign w:val="center"/>
          </w:tcPr>
          <w:p>
            <w:pPr>
              <w:spacing w:after="0"/>
            </w:pPr>
            <w:r>
              <w:rPr>
                <w:sz w:val="16"/>
              </w:rPr>
              <w:t>Back-office complet</w:t>
            </w:r>
          </w:p>
        </w:tc>
        <w:tc>
          <w:tcPr>
            <w:tcW w:type="dxa" w:w="3061"/>
            <w:vAlign w:val="center"/>
          </w:tcPr>
          <w:p>
            <w:pPr>
              <w:spacing w:after="0"/>
            </w:pPr>
            <w:r>
              <w:rPr>
                <w:sz w:val="16"/>
              </w:rPr>
              <w:t>Contenus, paramètres, utilisateurs, analytics, audit et procédures.</w:t>
            </w:r>
          </w:p>
        </w:tc>
      </w:tr>
      <w:tr>
        <w:tc>
          <w:tcPr>
            <w:tcW w:type="dxa" w:w="3061"/>
            <w:vAlign w:val="center"/>
          </w:tcPr>
          <w:p>
            <w:pPr>
              <w:spacing w:after="0"/>
            </w:pPr>
            <w:r>
              <w:rPr>
                <w:sz w:val="16"/>
              </w:rPr>
              <w:t>7</w:t>
            </w:r>
          </w:p>
        </w:tc>
        <w:tc>
          <w:tcPr>
            <w:tcW w:type="dxa" w:w="3061"/>
            <w:vAlign w:val="center"/>
          </w:tcPr>
          <w:p>
            <w:pPr>
              <w:spacing w:after="0"/>
            </w:pPr>
            <w:r>
              <w:rPr>
                <w:sz w:val="16"/>
              </w:rPr>
              <w:t>Stabilisation</w:t>
            </w:r>
          </w:p>
        </w:tc>
        <w:tc>
          <w:tcPr>
            <w:tcW w:type="dxa" w:w="3061"/>
            <w:vAlign w:val="center"/>
          </w:tcPr>
          <w:p>
            <w:pPr>
              <w:spacing w:after="0"/>
            </w:pPr>
            <w:r>
              <w:rPr>
                <w:sz w:val="16"/>
              </w:rPr>
              <w:t>Sécurité, performance, accessibilité, recette, sauvegarde et mise en production.</w:t>
            </w:r>
          </w:p>
        </w:tc>
      </w:tr>
    </w:tbl>
    <w:p>
      <w:pPr>
        <w:pStyle w:val="Heading1"/>
      </w:pPr>
      <w:r>
        <w:t>Critère de sortie par lot</w:t>
      </w:r>
    </w:p>
    <w:p>
      <w:pPr>
        <w:pStyle w:val="DBBullet"/>
      </w:pPr>
      <w:r>
        <w:t>•  Code revu, lint, typecheck, tests utiles et build réussis.</w:t>
      </w:r>
    </w:p>
    <w:p>
      <w:pPr>
        <w:pStyle w:val="DBBullet"/>
      </w:pPr>
      <w:r>
        <w:t>•  Migration et politiques d’accès testées sur environnement non productif.</w:t>
      </w:r>
    </w:p>
    <w:p>
      <w:pPr>
        <w:pStyle w:val="DBBullet"/>
      </w:pPr>
      <w:r>
        <w:t>•  Démonstration d’un parcours complet et documentation d’exploitation mise à jour.</w:t>
      </w:r>
    </w:p>
    <w:p>
      <w:pPr>
        <w:pStyle w:val="DBBullet"/>
      </w:pPr>
      <w:r>
        <w:t>•  Aucune dette critique sur les prix, statuts ou données privées reportée au lot suivant.</w:t>
      </w:r>
    </w:p>
    <w:p>
      <w:pPr>
        <w:pStyle w:val="Heading1"/>
      </w:pPr>
      <w:r>
        <w:t>Décisions et dépendances</w:t>
      </w:r>
    </w:p>
    <w:p>
      <w:r>
        <w:t>Les délais et charges ne sont pas fixés par le cadrage accessible. Le calendrier doit être établi après estimation et validation des écrans, volumes de données, contenus et ressources. Le lot suivant démarre lorsque ses dépendances sont livrées et acceptées.</w:t>
      </w:r>
    </w:p>
    <w:sectPr w:rsidR="00FC693F" w:rsidRPr="0006063C" w:rsidSect="00034616">
      <w:footerReference w:type="default" r:id="rId9"/>
      <w:pgSz w:w="12240" w:h="15840"/>
      <w:pgMar w:top="1134" w:right="1219" w:bottom="1020" w:left="121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074"/>
        <w:sz w:val="14"/>
      </w:rPr>
      <w:t>DIABACAR  •  Usage projet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011D4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w:hAnsi="Aptos"/>
      <w:b/>
      <w:bCs/>
      <w:color w:val="0063DF"/>
      <w:sz w:val="2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011D4F"/>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011D4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BBullet">
    <w:name w:val="DB Bullet"/>
    <w:basedOn w:val="Normal"/>
    <w:pPr>
      <w:spacing w:after="60"/>
      <w:ind w:left="255" w:hanging="142"/>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