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Guide CI CD GitHub Vercel Supabase</w:t>
      </w:r>
    </w:p>
    <w:p>
      <w:r>
        <w:rPr>
          <w:color w:val="526074"/>
        </w:rPr>
        <w:t>Document 11 / 16  •  Version 1.0  •  26 septembre 2026</w:t>
      </w:r>
    </w:p>
    <w:p>
      <w:r>
        <w:rPr>
          <w:b/>
        </w:rPr>
        <w:t xml:space="preserve">Destinataires  </w:t>
      </w:r>
      <w:r>
        <w:t>Développement, DevOps, exploitation</w:t>
      </w:r>
    </w:p>
    <w:p>
      <w:r>
        <w:t>GitHub est la source du code, Vercel déploie Next.js et Supabase héberge la base, Auth et Storage. Le pipeline doit garder une correspondance claire entre branche, application et base, avec migrations contrôlées.</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Branches et environnements</w:t>
      </w:r>
    </w:p>
    <w:p>
      <w:pPr>
        <w:pStyle w:val="DBBullet"/>
      </w:pPr>
      <w:r>
        <w:t>•  main correspond à la production ; develop sert à l’intégration ; feature/*, fix/* et hotfix/* sont créées pour les changements.</w:t>
      </w:r>
    </w:p>
    <w:p>
      <w:pPr>
        <w:pStyle w:val="DBBullet"/>
      </w:pPr>
      <w:r>
        <w:t>•  Chaque Pull Request exécute lint, typecheck, tests, build et vérifications de migrations.</w:t>
      </w:r>
    </w:p>
    <w:p>
      <w:pPr>
        <w:pStyle w:val="DBBullet"/>
      </w:pPr>
      <w:r>
        <w:t>•  Vercel Preview sert à la revue ; Development, Preview/Staging et Production utilisent des variables et projets Supabase séparés selon la capacité disponible.</w:t>
      </w:r>
    </w:p>
    <w:p>
      <w:pPr>
        <w:pStyle w:val="DBBullet"/>
      </w:pPr>
      <w:r>
        <w:t>•  Aucune Preview ne pointe vers la base de production.</w:t>
      </w:r>
    </w:p>
    <w:p>
      <w:pPr>
        <w:pStyle w:val="Heading1"/>
      </w:pPr>
      <w:r>
        <w:t>Déploiement</w:t>
      </w:r>
    </w:p>
    <w:p>
      <w:r>
        <w:t>La séquence recommandée est : Pull Request, contrôles automatiques, revue, déploiement Preview, tests, merge contrôlé, migration compatible, déploiement Vercel Production et contrôle après mise en ligne. La personne responsable consigne la version du code et des migrations.</w:t>
      </w:r>
    </w:p>
    <w:p>
      <w:pPr>
        <w:pStyle w:val="Heading1"/>
      </w:pPr>
      <w:r>
        <w:t>Secrets et connexions</w:t>
      </w:r>
    </w:p>
    <w:p>
      <w:pPr>
        <w:pStyle w:val="DBBullet"/>
      </w:pPr>
      <w:r>
        <w:t>•  NEXT_PUBLIC_SUPABASE_URL et clé publique côté navigateur ; DATABASE_URL de runtime poolé et DIRECT_URL de migration selon configuration.</w:t>
      </w:r>
    </w:p>
    <w:p>
      <w:pPr>
        <w:pStyle w:val="DBBullet"/>
      </w:pPr>
      <w:r>
        <w:t>•  SUPABASE_SERVICE_ROLE_KEY reste strictement serveur ; jamais en NEXT_PUBLIC, logs ou dépôt.</w:t>
      </w:r>
    </w:p>
    <w:p>
      <w:pPr>
        <w:pStyle w:val="DBBullet"/>
      </w:pPr>
      <w:r>
        <w:t>•  Variables Vercel distinctes par environnement ; .env.example liste les noms sans valeurs.</w:t>
      </w:r>
    </w:p>
    <w:p>
      <w:pPr>
        <w:pStyle w:val="DBBullet"/>
      </w:pPr>
      <w:r>
        <w:t>•  Permissions GitHub limitées, protection de main et revue obligatoire des migrations ou changements de politiques.</w:t>
      </w:r>
    </w:p>
    <w:p>
      <w:pPr>
        <w:pStyle w:val="Heading1"/>
      </w:pPr>
      <w:r>
        <w:t>Incident et retour</w:t>
      </w:r>
    </w:p>
    <w:p>
      <w:r>
        <w:t>En cas d’échec, arrêter les nouvelles mises en ligne, consulter les logs et revenir au déploiement Vercel antérieur si la migration reste compatible. Une restauration de base suit la procédure de sauvegarde et une décision explicite de reprise, car elle peut effacer des écritures récentes.</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