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0063DF"/>
          <w:sz w:val="16"/>
        </w:rPr>
        <w:t>DIABACAR  |  DOCUMENTATION PRODUIT V1</w:t>
      </w:r>
    </w:p>
    <w:p>
      <w:pPr>
        <w:pStyle w:val="Title"/>
      </w:pPr>
      <w:r>
        <w:t>Cahier de sécurité</w:t>
      </w:r>
    </w:p>
    <w:p>
      <w:r>
        <w:rPr>
          <w:color w:val="526074"/>
        </w:rPr>
        <w:t>Document 12 / 16  •  Version 1.0  •  26 septembre 2026</w:t>
      </w:r>
    </w:p>
    <w:p>
      <w:r>
        <w:rPr>
          <w:b/>
        </w:rPr>
        <w:t xml:space="preserve">Destinataires  </w:t>
      </w:r>
      <w:r>
        <w:t>Sécurité, backend, exploitation</w:t>
      </w:r>
    </w:p>
    <w:p>
      <w:r>
        <w:t>La sécurité repose sur plusieurs contrôles cohérents : identité Supabase, permissions serveur, propriété des données, RLS, stockage privé, validation des entrées et audit. Les parcours publics restent simples sans exposer les données internes.</w:t>
      </w:r>
    </w:p>
    <w:p>
      <w:r>
        <w:rPr>
          <w:b/>
        </w:rPr>
        <w:t xml:space="preserve">Références de cadrage  </w:t>
      </w:r>
      <w:r>
        <w:t>PRD DIABACAR, architecture fonctionnelle, modèle de données, architecture GitHub–Vercel–Supabase et cartographie UX/UI V1. Les valeurs opérationnelles non fixées restent des paramètres à valider.</w:t>
      </w:r>
    </w:p>
    <w:p>
      <w:pPr>
        <w:pStyle w:val="Heading1"/>
      </w:pPr>
      <w:r>
        <w:t>Contrôles obligatoires</w:t>
      </w:r>
    </w:p>
    <w:p>
      <w:pPr>
        <w:pStyle w:val="DBBullet"/>
      </w:pPr>
      <w:r>
        <w:t>•  Sessions Supabase vérifiées côté serveur ; récupération de compte gérée par Auth ; cookies et redirections configurés de façon sûre.</w:t>
      </w:r>
    </w:p>
    <w:p>
      <w:pPr>
        <w:pStyle w:val="DBBullet"/>
      </w:pPr>
      <w:r>
        <w:t>•  RBAC centralisé, refus par défaut et vérification de la portée pour chaque lecture ou mutation privée.</w:t>
      </w:r>
    </w:p>
    <w:p>
      <w:pPr>
        <w:pStyle w:val="DBBullet"/>
      </w:pPr>
      <w:r>
        <w:t>•  RLS sur les tables exposées ; tests avec plusieurs comptes pour prévenir l’accès horizontal.</w:t>
      </w:r>
    </w:p>
    <w:p>
      <w:pPr>
        <w:pStyle w:val="DBBullet"/>
      </w:pPr>
      <w:r>
        <w:t>•  Limitation de fréquence sur authentification, inscription, récupération, demande et endpoints sensibles.</w:t>
      </w:r>
    </w:p>
    <w:p>
      <w:pPr>
        <w:pStyle w:val="DBBullet"/>
      </w:pPr>
      <w:r>
        <w:t>•  Validation serveur des formulaires, encodage des sorties, protection CSRF des mutations selon mécanisme retenu.</w:t>
      </w:r>
    </w:p>
    <w:p>
      <w:pPr>
        <w:pStyle w:val="DBBullet"/>
      </w:pPr>
      <w:r>
        <w:t>•  Uploads contrôlés par type, taille, extension et autorisation ; fichiers privés via URL signée brève.</w:t>
      </w:r>
    </w:p>
    <w:p>
      <w:pPr>
        <w:pStyle w:val="Heading1"/>
      </w:pPr>
      <w:r>
        <w:t>Secrets, logs et audit</w:t>
      </w:r>
    </w:p>
    <w:p>
      <w:pPr>
        <w:pStyle w:val="DBBullet"/>
      </w:pPr>
      <w:r>
        <w:t>•  Séparer clés publiques, secrets serveur et identifiants de base ; rotation et révocation documentées.</w:t>
      </w:r>
    </w:p>
    <w:p>
      <w:pPr>
        <w:pStyle w:val="DBBullet"/>
      </w:pPr>
      <w:r>
        <w:t>•  Ne jamais journaliser mot de passe, token, clé, document privé, téléphone complet ou données sensibles inutiles.</w:t>
      </w:r>
    </w:p>
    <w:p>
      <w:pPr>
        <w:pStyle w:val="DBBullet"/>
      </w:pPr>
      <w:r>
        <w:t>•  Audit append-only pour prix, publication, réservation, vente, approbation Revendeur, rôles et paramètres.</w:t>
      </w:r>
    </w:p>
    <w:p>
      <w:pPr>
        <w:pStyle w:val="DBBullet"/>
      </w:pPr>
      <w:r>
        <w:t>•  Mettre à jour les dépendances, surveiller alertes de vulnérabilité et protéger la branche de production.</w:t>
      </w:r>
    </w:p>
    <w:p>
      <w:pPr>
        <w:pStyle w:val="Heading1"/>
      </w:pPr>
      <w:r>
        <w:t>Réponse aux incidents</w:t>
      </w:r>
    </w:p>
    <w:p>
      <w:r>
        <w:t>Identifier le périmètre, révoquer les accès compromis, préserver les preuves, corriger et tester le contrôle défaillant, puis restaurer le service. Les règles locales de notification des personnes et autorités doivent être définies avec le conseil juridique compétent avant mise en ligne.</w:t>
      </w:r>
    </w:p>
    <w:p>
      <w:pPr>
        <w:pStyle w:val="Heading1"/>
      </w:pPr>
      <w:r>
        <w:t>Recette sécurité</w:t>
      </w:r>
    </w:p>
    <w:p>
      <w:r>
        <w:t>Vérifier les accès directs aux actions, les changements de rôle, les prix Revendeur, les documents privés, la concurrence sur les statuts, l’exposition des erreurs et les en-têtes de sécurité.</w:t>
      </w:r>
    </w:p>
    <w:sectPr w:rsidR="00FC693F" w:rsidRPr="0006063C" w:rsidSect="00034616">
      <w:footerReference w:type="default" r:id="rId9"/>
      <w:pgSz w:w="12240" w:h="15840"/>
      <w:pgMar w:top="1134" w:right="1219" w:bottom="1020" w:left="121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074"/>
        <w:sz w:val="14"/>
      </w:rPr>
      <w:t>DIABACAR  •  Usage projet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011D4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b/>
      <w:bCs/>
      <w:color w:val="0063DF"/>
      <w:sz w:val="2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11D4F"/>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011D4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BBullet">
    <w:name w:val="DB Bullet"/>
    <w:basedOn w:val="Normal"/>
    <w:pPr>
      <w:spacing w:after="60"/>
      <w:ind w:left="255" w:hanging="142"/>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