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063DF"/>
          <w:sz w:val="16"/>
        </w:rPr>
        <w:t>DIABACAR  |  DOCUMENTATION PRODUIT V1</w:t>
      </w:r>
    </w:p>
    <w:p>
      <w:pPr>
        <w:pStyle w:val="Title"/>
      </w:pPr>
      <w:r>
        <w:t>Plan Analytics et KPI</w:t>
      </w:r>
    </w:p>
    <w:p>
      <w:r>
        <w:rPr>
          <w:color w:val="526074"/>
        </w:rPr>
        <w:t>Document 14 / 16  •  Version 1.0  •  26 septembre 2026</w:t>
      </w:r>
    </w:p>
    <w:p>
      <w:r>
        <w:rPr>
          <w:b/>
        </w:rPr>
        <w:t xml:space="preserve">Destinataires  </w:t>
      </w:r>
      <w:r>
        <w:t>Produit, commercial, direction</w:t>
      </w:r>
    </w:p>
    <w:p>
      <w:r>
        <w:t>La mesure doit relier découverte d’un véhicule, prise de contact et suivi commercial. Les événements métier critiques sont consignés côté serveur lorsque possible ; les analyses de trafic peuvent compléter sans devenir la seule source de vérité.</w:t>
      </w:r>
    </w:p>
    <w:p>
      <w:r>
        <w:rPr>
          <w:b/>
        </w:rPr>
        <w:t xml:space="preserve">Références de cadrage  </w:t>
      </w:r>
      <w:r>
        <w:t>PRD DIABACAR, architecture fonctionnelle, modèle de données, architecture GitHub–Vercel–Supabase et cartographie UX/UI V1. Les valeurs opérationnelles non fixées restent des paramètres à valider.</w:t>
      </w:r>
    </w:p>
    <w:p>
      <w:pPr>
        <w:pStyle w:val="Heading1"/>
      </w:pPr>
      <w:r>
        <w:t>Événements instrumentés</w:t>
      </w:r>
    </w:p>
    <w:tbl>
      <w:tblPr>
        <w:tblStyle w:val="TableGrid"/>
        <w:tblW w:type="auto" w:w="0"/>
        <w:jc w:val="center"/>
        <w:tblLayout w:type="fixed"/>
        <w:tblLook w:firstColumn="1" w:firstRow="1" w:lastColumn="0" w:lastRow="0" w:noHBand="0" w:noVBand="1" w:val="04A0"/>
      </w:tblPr>
      <w:tblGrid>
        <w:gridCol w:w="3267"/>
        <w:gridCol w:w="3267"/>
        <w:gridCol w:w="3267"/>
      </w:tblGrid>
      <w:tr>
        <w:tc>
          <w:tcPr>
            <w:tcW w:type="dxa" w:w="3061"/>
            <w:shd w:fill="011D4F"/>
          </w:tcPr>
          <w:p>
            <w:r>
              <w:rPr>
                <w:b/>
                <w:color w:val="FFFFFF"/>
                <w:sz w:val="16"/>
              </w:rPr>
              <w:t>Événement</w:t>
            </w:r>
          </w:p>
        </w:tc>
        <w:tc>
          <w:tcPr>
            <w:tcW w:type="dxa" w:w="3061"/>
            <w:shd w:fill="011D4F"/>
          </w:tcPr>
          <w:p>
            <w:r>
              <w:rPr>
                <w:b/>
                <w:color w:val="FFFFFF"/>
                <w:sz w:val="16"/>
              </w:rPr>
              <w:t>Propriété utile</w:t>
            </w:r>
          </w:p>
        </w:tc>
        <w:tc>
          <w:tcPr>
            <w:tcW w:type="dxa" w:w="3061"/>
            <w:shd w:fill="011D4F"/>
          </w:tcPr>
          <w:p>
            <w:r>
              <w:rPr>
                <w:b/>
                <w:color w:val="FFFFFF"/>
                <w:sz w:val="16"/>
              </w:rPr>
              <w:t>Finalité</w:t>
            </w:r>
          </w:p>
        </w:tc>
      </w:tr>
      <w:tr>
        <w:tc>
          <w:tcPr>
            <w:tcW w:type="dxa" w:w="3061"/>
            <w:vAlign w:val="center"/>
          </w:tcPr>
          <w:p>
            <w:pPr>
              <w:spacing w:after="0"/>
            </w:pPr>
            <w:r>
              <w:rPr>
                <w:sz w:val="16"/>
              </w:rPr>
              <w:t>vehicle_view</w:t>
            </w:r>
          </w:p>
        </w:tc>
        <w:tc>
          <w:tcPr>
            <w:tcW w:type="dxa" w:w="3061"/>
            <w:vAlign w:val="center"/>
          </w:tcPr>
          <w:p>
            <w:pPr>
              <w:spacing w:after="0"/>
            </w:pPr>
            <w:r>
              <w:rPr>
                <w:sz w:val="16"/>
              </w:rPr>
              <w:t>vehicleId, lieu, statut</w:t>
            </w:r>
          </w:p>
        </w:tc>
        <w:tc>
          <w:tcPr>
            <w:tcW w:type="dxa" w:w="3061"/>
            <w:vAlign w:val="center"/>
          </w:tcPr>
          <w:p>
            <w:pPr>
              <w:spacing w:after="0"/>
            </w:pPr>
            <w:r>
              <w:rPr>
                <w:sz w:val="16"/>
              </w:rPr>
              <w:t>Intérêt pour une fiche</w:t>
            </w:r>
          </w:p>
        </w:tc>
      </w:tr>
      <w:tr>
        <w:tc>
          <w:tcPr>
            <w:tcW w:type="dxa" w:w="3061"/>
            <w:vAlign w:val="center"/>
          </w:tcPr>
          <w:p>
            <w:pPr>
              <w:spacing w:after="0"/>
            </w:pPr>
            <w:r>
              <w:rPr>
                <w:sz w:val="16"/>
              </w:rPr>
              <w:t>search_submit</w:t>
            </w:r>
          </w:p>
        </w:tc>
        <w:tc>
          <w:tcPr>
            <w:tcW w:type="dxa" w:w="3061"/>
            <w:vAlign w:val="center"/>
          </w:tcPr>
          <w:p>
            <w:pPr>
              <w:spacing w:after="0"/>
            </w:pPr>
            <w:r>
              <w:rPr>
                <w:sz w:val="16"/>
              </w:rPr>
              <w:t>filtres, résultat total</w:t>
            </w:r>
          </w:p>
        </w:tc>
        <w:tc>
          <w:tcPr>
            <w:tcW w:type="dxa" w:w="3061"/>
            <w:vAlign w:val="center"/>
          </w:tcPr>
          <w:p>
            <w:pPr>
              <w:spacing w:after="0"/>
            </w:pPr>
            <w:r>
              <w:rPr>
                <w:sz w:val="16"/>
              </w:rPr>
              <w:t>Demande catalogue</w:t>
            </w:r>
          </w:p>
        </w:tc>
      </w:tr>
      <w:tr>
        <w:tc>
          <w:tcPr>
            <w:tcW w:type="dxa" w:w="3061"/>
            <w:vAlign w:val="center"/>
          </w:tcPr>
          <w:p>
            <w:pPr>
              <w:spacing w:after="0"/>
            </w:pPr>
            <w:r>
              <w:rPr>
                <w:sz w:val="16"/>
              </w:rPr>
              <w:t>favorite_add</w:t>
            </w:r>
          </w:p>
        </w:tc>
        <w:tc>
          <w:tcPr>
            <w:tcW w:type="dxa" w:w="3061"/>
            <w:vAlign w:val="center"/>
          </w:tcPr>
          <w:p>
            <w:pPr>
              <w:spacing w:after="0"/>
            </w:pPr>
            <w:r>
              <w:rPr>
                <w:sz w:val="16"/>
              </w:rPr>
              <w:t>vehicleId, segment</w:t>
            </w:r>
          </w:p>
        </w:tc>
        <w:tc>
          <w:tcPr>
            <w:tcW w:type="dxa" w:w="3061"/>
            <w:vAlign w:val="center"/>
          </w:tcPr>
          <w:p>
            <w:pPr>
              <w:spacing w:after="0"/>
            </w:pPr>
            <w:r>
              <w:rPr>
                <w:sz w:val="16"/>
              </w:rPr>
              <w:t>Intention</w:t>
            </w:r>
          </w:p>
        </w:tc>
      </w:tr>
      <w:tr>
        <w:tc>
          <w:tcPr>
            <w:tcW w:type="dxa" w:w="3061"/>
            <w:vAlign w:val="center"/>
          </w:tcPr>
          <w:p>
            <w:pPr>
              <w:spacing w:after="0"/>
            </w:pPr>
            <w:r>
              <w:rPr>
                <w:sz w:val="16"/>
              </w:rPr>
              <w:t>whatsapp_click</w:t>
            </w:r>
          </w:p>
        </w:tc>
        <w:tc>
          <w:tcPr>
            <w:tcW w:type="dxa" w:w="3061"/>
            <w:vAlign w:val="center"/>
          </w:tcPr>
          <w:p>
            <w:pPr>
              <w:spacing w:after="0"/>
            </w:pPr>
            <w:r>
              <w:rPr>
                <w:sz w:val="16"/>
              </w:rPr>
              <w:t>vehicleId?, surface, segment</w:t>
            </w:r>
          </w:p>
        </w:tc>
        <w:tc>
          <w:tcPr>
            <w:tcW w:type="dxa" w:w="3061"/>
            <w:vAlign w:val="center"/>
          </w:tcPr>
          <w:p>
            <w:pPr>
              <w:spacing w:after="0"/>
            </w:pPr>
            <w:r>
              <w:rPr>
                <w:sz w:val="16"/>
              </w:rPr>
              <w:t>Contact sortant</w:t>
            </w:r>
          </w:p>
        </w:tc>
      </w:tr>
      <w:tr>
        <w:tc>
          <w:tcPr>
            <w:tcW w:type="dxa" w:w="3061"/>
            <w:vAlign w:val="center"/>
          </w:tcPr>
          <w:p>
            <w:pPr>
              <w:spacing w:after="0"/>
            </w:pPr>
            <w:r>
              <w:rPr>
                <w:sz w:val="16"/>
              </w:rPr>
              <w:t>lead_created</w:t>
            </w:r>
          </w:p>
        </w:tc>
        <w:tc>
          <w:tcPr>
            <w:tcW w:type="dxa" w:w="3061"/>
            <w:vAlign w:val="center"/>
          </w:tcPr>
          <w:p>
            <w:pPr>
              <w:spacing w:after="0"/>
            </w:pPr>
            <w:r>
              <w:rPr>
                <w:sz w:val="16"/>
              </w:rPr>
              <w:t>source, vehicleId?</w:t>
            </w:r>
          </w:p>
        </w:tc>
        <w:tc>
          <w:tcPr>
            <w:tcW w:type="dxa" w:w="3061"/>
            <w:vAlign w:val="center"/>
          </w:tcPr>
          <w:p>
            <w:pPr>
              <w:spacing w:after="0"/>
            </w:pPr>
            <w:r>
              <w:rPr>
                <w:sz w:val="16"/>
              </w:rPr>
              <w:t>Prospect créé</w:t>
            </w:r>
          </w:p>
        </w:tc>
      </w:tr>
      <w:tr>
        <w:tc>
          <w:tcPr>
            <w:tcW w:type="dxa" w:w="3061"/>
            <w:vAlign w:val="center"/>
          </w:tcPr>
          <w:p>
            <w:pPr>
              <w:spacing w:after="0"/>
            </w:pPr>
            <w:r>
              <w:rPr>
                <w:sz w:val="16"/>
              </w:rPr>
              <w:t>reseller_requested</w:t>
            </w:r>
          </w:p>
        </w:tc>
        <w:tc>
          <w:tcPr>
            <w:tcW w:type="dxa" w:w="3061"/>
            <w:vAlign w:val="center"/>
          </w:tcPr>
          <w:p>
            <w:pPr>
              <w:spacing w:after="0"/>
            </w:pPr>
            <w:r>
              <w:rPr>
                <w:sz w:val="16"/>
              </w:rPr>
              <w:t>customerId</w:t>
            </w:r>
          </w:p>
        </w:tc>
        <w:tc>
          <w:tcPr>
            <w:tcW w:type="dxa" w:w="3061"/>
            <w:vAlign w:val="center"/>
          </w:tcPr>
          <w:p>
            <w:pPr>
              <w:spacing w:after="0"/>
            </w:pPr>
            <w:r>
              <w:rPr>
                <w:sz w:val="16"/>
              </w:rPr>
              <w:t>Pipeline revendeur</w:t>
            </w:r>
          </w:p>
        </w:tc>
      </w:tr>
      <w:tr>
        <w:tc>
          <w:tcPr>
            <w:tcW w:type="dxa" w:w="3061"/>
            <w:vAlign w:val="center"/>
          </w:tcPr>
          <w:p>
            <w:pPr>
              <w:spacing w:after="0"/>
            </w:pPr>
            <w:r>
              <w:rPr>
                <w:sz w:val="16"/>
              </w:rPr>
              <w:t>reseller_approved</w:t>
            </w:r>
          </w:p>
        </w:tc>
        <w:tc>
          <w:tcPr>
            <w:tcW w:type="dxa" w:w="3061"/>
            <w:vAlign w:val="center"/>
          </w:tcPr>
          <w:p>
            <w:pPr>
              <w:spacing w:after="0"/>
            </w:pPr>
            <w:r>
              <w:rPr>
                <w:sz w:val="16"/>
              </w:rPr>
              <w:t>customerId</w:t>
            </w:r>
          </w:p>
        </w:tc>
        <w:tc>
          <w:tcPr>
            <w:tcW w:type="dxa" w:w="3061"/>
            <w:vAlign w:val="center"/>
          </w:tcPr>
          <w:p>
            <w:pPr>
              <w:spacing w:after="0"/>
            </w:pPr>
            <w:r>
              <w:rPr>
                <w:sz w:val="16"/>
              </w:rPr>
              <w:t>Activation tarif</w:t>
            </w:r>
          </w:p>
        </w:tc>
      </w:tr>
      <w:tr>
        <w:tc>
          <w:tcPr>
            <w:tcW w:type="dxa" w:w="3061"/>
            <w:vAlign w:val="center"/>
          </w:tcPr>
          <w:p>
            <w:pPr>
              <w:spacing w:after="0"/>
            </w:pPr>
            <w:r>
              <w:rPr>
                <w:sz w:val="16"/>
              </w:rPr>
              <w:t>order_created</w:t>
            </w:r>
          </w:p>
        </w:tc>
        <w:tc>
          <w:tcPr>
            <w:tcW w:type="dxa" w:w="3061"/>
            <w:vAlign w:val="center"/>
          </w:tcPr>
          <w:p>
            <w:pPr>
              <w:spacing w:after="0"/>
            </w:pPr>
            <w:r>
              <w:rPr>
                <w:sz w:val="16"/>
              </w:rPr>
              <w:t>orderId, source</w:t>
            </w:r>
          </w:p>
        </w:tc>
        <w:tc>
          <w:tcPr>
            <w:tcW w:type="dxa" w:w="3061"/>
            <w:vAlign w:val="center"/>
          </w:tcPr>
          <w:p>
            <w:pPr>
              <w:spacing w:after="0"/>
            </w:pPr>
            <w:r>
              <w:rPr>
                <w:sz w:val="16"/>
              </w:rPr>
              <w:t>Conversion commerciale</w:t>
            </w:r>
          </w:p>
        </w:tc>
      </w:tr>
    </w:tbl>
    <w:p>
      <w:pPr>
        <w:pStyle w:val="Heading1"/>
      </w:pPr>
      <w:r>
        <w:t>KPI et formules</w:t>
      </w:r>
    </w:p>
    <w:p>
      <w:pPr>
        <w:pStyle w:val="DBBullet"/>
      </w:pPr>
      <w:r>
        <w:t>•  Taux de contact fiche = clics WhatsApp uniques depuis fiche / vues de fiche éligibles.</w:t>
      </w:r>
    </w:p>
    <w:p>
      <w:pPr>
        <w:pStyle w:val="DBBullet"/>
      </w:pPr>
      <w:r>
        <w:t>•  Conversion demande = prospects créés / sessions publiques éligibles ; préciser la fenêtre d’attribution.</w:t>
      </w:r>
    </w:p>
    <w:p>
      <w:pPr>
        <w:pStyle w:val="DBBullet"/>
      </w:pPr>
      <w:r>
        <w:t>•  Conversion commande = commandes créées / prospects qualifiés sur la même période et cohorte.</w:t>
      </w:r>
    </w:p>
    <w:p>
      <w:pPr>
        <w:pStyle w:val="DBBullet"/>
      </w:pPr>
      <w:r>
        <w:t>•  Part Revendeur = commandes clients Revendeur approuvés / commandes totales.</w:t>
      </w:r>
    </w:p>
    <w:p>
      <w:pPr>
        <w:pStyle w:val="DBBullet"/>
      </w:pPr>
      <w:r>
        <w:t>•  Délai de traitement = médiane entre création du prospect et première action commerciale.</w:t>
      </w:r>
    </w:p>
    <w:p>
      <w:pPr>
        <w:pStyle w:val="DBBullet"/>
      </w:pPr>
      <w:r>
        <w:t>•  Disponibilité catalogue = véhicules publiés et disponibles, ventilés Chine/Sénégal.</w:t>
      </w:r>
    </w:p>
    <w:p>
      <w:pPr>
        <w:pStyle w:val="Heading1"/>
      </w:pPr>
      <w:r>
        <w:t>Gouvernance de la donnée</w:t>
      </w:r>
    </w:p>
    <w:p>
      <w:r>
        <w:t>Chaque événement porte un identifiant, une date UTC, un nom stable et un contexte minimal. Dédupliquer les clics répétés selon une règle documentée. Éviter d’envoyer téléphone, email et message libre dans les outils de trafic. Documenter consentement, durée de conservation et suppression selon la politique applicable.</w:t>
      </w:r>
    </w:p>
    <w:sectPr w:rsidR="00FC693F" w:rsidRPr="0006063C" w:rsidSect="00034616">
      <w:footerReference w:type="default" r:id="rId9"/>
      <w:pgSz w:w="12240" w:h="15840"/>
      <w:pgMar w:top="1134" w:right="1219" w:bottom="1020"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74"/>
        <w:sz w:val="14"/>
      </w:rPr>
      <w:t>DIABACAR  •  Usage projet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11D4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63DF"/>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11D4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11D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BBullet">
    <w:name w:val="DB Bullet"/>
    <w:basedOn w:val="Normal"/>
    <w:pPr>
      <w:spacing w:after="60"/>
      <w:ind w:left="255" w:hanging="14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