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3DF"/>
          <w:sz w:val="16"/>
        </w:rPr>
        <w:t>DIABACAR  |  DOCUMENTATION PRODUIT V1</w:t>
      </w:r>
    </w:p>
    <w:p>
      <w:pPr>
        <w:pStyle w:val="Title"/>
      </w:pPr>
      <w:r>
        <w:t>Guide d’administration et d’exploitation</w:t>
      </w:r>
    </w:p>
    <w:p>
      <w:r>
        <w:rPr>
          <w:color w:val="526074"/>
        </w:rPr>
        <w:t>Document 15 / 16  •  Version 1.0  •  26 septembre 2026</w:t>
      </w:r>
    </w:p>
    <w:p>
      <w:r>
        <w:rPr>
          <w:b/>
        </w:rPr>
        <w:t xml:space="preserve">Destinataires  </w:t>
      </w:r>
      <w:r>
        <w:t>Administrateurs, commerciaux, support</w:t>
      </w:r>
    </w:p>
    <w:p>
      <w:r>
        <w:t>Ce guide décrit les gestes quotidiens et les contrôles de sécurité du back-office. Toute action sensible s’effectue avec un compte nominatif, la permission correspondante et une trace d’audit.</w:t>
      </w:r>
    </w:p>
    <w:p>
      <w:r>
        <w:rPr>
          <w:b/>
        </w:rPr>
        <w:t xml:space="preserve">Références de cadrage  </w:t>
      </w:r>
      <w:r>
        <w:t>PRD DIABACAR, architecture fonctionnelle, modèle de données, architecture GitHub–Vercel–Supabase et cartographie UX/UI V1. Les valeurs opérationnelles non fixées restent des paramètres à valider.</w:t>
      </w:r>
    </w:p>
    <w:p>
      <w:pPr>
        <w:pStyle w:val="Heading1"/>
      </w:pPr>
      <w:r>
        <w:t>Gérer un véhicule</w:t>
      </w:r>
    </w:p>
    <w:p>
      <w:pPr>
        <w:pStyle w:val="DBBullet"/>
      </w:pPr>
      <w:r>
        <w:t>•  Créer : choisir marque et modèle, renseigner référence, état, année, kilométrage, énergie, transmission, localisation, prix Standard et photos.</w:t>
      </w:r>
    </w:p>
    <w:p>
      <w:pPr>
        <w:pStyle w:val="DBBullet"/>
      </w:pPr>
      <w:r>
        <w:t>•  Contrôler la fiche, le visuel principal, le prix affiché pour chaque segment et les documents privés avant publication.</w:t>
      </w:r>
    </w:p>
    <w:p>
      <w:pPr>
        <w:pStyle w:val="DBBullet"/>
      </w:pPr>
      <w:r>
        <w:t>•  Modifier le prix : enregistrer le motif, vérifier l’aperçu Standard/Revendeur et l’audit ; revalider le catalogue.</w:t>
      </w:r>
    </w:p>
    <w:p>
      <w:pPr>
        <w:pStyle w:val="DBBullet"/>
      </w:pPr>
      <w:r>
        <w:t>•  Réserver : vérifier la disponibilité et consigner la référence du dossier ; libération selon procédure validée.</w:t>
      </w:r>
    </w:p>
    <w:p>
      <w:pPr>
        <w:pStyle w:val="DBBullet"/>
      </w:pPr>
      <w:r>
        <w:t>•  Marquer vendu : vérifier la commande ou justification, confirmer ; la fiche affiche Vendu et sort des résultats disponibles.</w:t>
      </w:r>
    </w:p>
    <w:p>
      <w:pPr>
        <w:pStyle w:val="Heading1"/>
      </w:pPr>
      <w:r>
        <w:t>Gérer comptes et demandes</w:t>
      </w:r>
    </w:p>
    <w:p>
      <w:pPr>
        <w:pStyle w:val="DBBullet"/>
      </w:pPr>
      <w:r>
        <w:t>•  Créer un commercial par invitation ou création sécurisée ; attribuer uniquement les permissions utiles, puis vérifier le premier accès.</w:t>
      </w:r>
    </w:p>
    <w:p>
      <w:pPr>
        <w:pStyle w:val="DBBullet"/>
      </w:pPr>
      <w:r>
        <w:t>•  Examiner une demande Revendeur avec les informations professionnelles ; approuver, refuser ou suspendre avec motif.</w:t>
      </w:r>
    </w:p>
    <w:p>
      <w:pPr>
        <w:pStyle w:val="DBBullet"/>
      </w:pPr>
      <w:r>
        <w:t>•  Affecter un prospect, enregistrer une action de suivi et mettre à jour son statut sans supprimer son historique.</w:t>
      </w:r>
    </w:p>
    <w:p>
      <w:pPr>
        <w:pStyle w:val="DBBullet"/>
      </w:pPr>
      <w:r>
        <w:t>•  Créer une commande avec client, véhicule ou demande, prix convenu et statut ; ne saisir aucun paiement en ligne V1.</w:t>
      </w:r>
    </w:p>
    <w:p>
      <w:pPr>
        <w:pStyle w:val="Heading1"/>
      </w:pPr>
      <w:r>
        <w:t>Exploitation et incidents</w:t>
      </w:r>
    </w:p>
    <w:p>
      <w:pPr>
        <w:pStyle w:val="DBBullet"/>
      </w:pPr>
      <w:r>
        <w:t>•  Chaque jour : contrôler demandes nouvelles, fiches incomplètes, échecs d’upload et commandes en attente.</w:t>
      </w:r>
    </w:p>
    <w:p>
      <w:pPr>
        <w:pStyle w:val="DBBullet"/>
      </w:pPr>
      <w:r>
        <w:t>•  Chaque semaine : vérifier comptes inactifs, habilitations, anomalies de prix et journaux d’erreur.</w:t>
      </w:r>
    </w:p>
    <w:p>
      <w:pPr>
        <w:pStyle w:val="DBBullet"/>
      </w:pPr>
      <w:r>
        <w:t>•  Restaurer une donnée à partir des sauvegardes selon procédure d’incident ; tester la restauration sur un environnement isolé avant production.</w:t>
      </w:r>
    </w:p>
    <w:p>
      <w:pPr>
        <w:pStyle w:val="DBBullet"/>
      </w:pPr>
      <w:r>
        <w:t>•  En cas de fuite suspectée, suspendre l’accès concerné, conserver les traces et suivre le cahier de sécurité.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74"/>
        <w:sz w:val="14"/>
      </w:rPr>
      <w:t>DIABACAR  •  Usage projet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11D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63D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11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11D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Bullet">
    <w:name w:val="DB Bullet"/>
    <w:basedOn w:val="Normal"/>
    <w:pPr>
      <w:spacing w:after="60"/>
      <w:ind w:left="255" w:hanging="14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