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063DF"/>
          <w:sz w:val="16"/>
        </w:rPr>
        <w:t>DIABACAR  |  DOCUMENTATION PRODUIT V1</w:t>
      </w:r>
    </w:p>
    <w:p>
      <w:pPr>
        <w:pStyle w:val="Title"/>
      </w:pPr>
      <w:r>
        <w:t>Prompt maître de développement pour IA</w:t>
      </w:r>
    </w:p>
    <w:p>
      <w:r>
        <w:rPr>
          <w:color w:val="526074"/>
        </w:rPr>
        <w:t>Document 16 / 16  •  Version 1.0  •  26 septembre 2026</w:t>
      </w:r>
    </w:p>
    <w:p>
      <w:r>
        <w:rPr>
          <w:b/>
        </w:rPr>
        <w:t xml:space="preserve">Destinataires  </w:t>
      </w:r>
      <w:r>
        <w:t>Équipe de développement assistée par IA</w:t>
      </w:r>
    </w:p>
    <w:p>
      <w:r>
        <w:t>Ce prompt sert de consigne réutilisable pour construire DIABACAR par incréments vérifiables. Il synthétise les décisions de produit et impose de consulter les documents complets avant toute modification de code.</w:t>
      </w:r>
    </w:p>
    <w:p>
      <w:r>
        <w:rPr>
          <w:b/>
        </w:rPr>
        <w:t xml:space="preserve">Références de cadrage  </w:t>
      </w:r>
      <w:r>
        <w:t>PRD DIABACAR, architecture fonctionnelle, modèle de données, architecture GitHub–Vercel–Supabase et cartographie UX/UI V1. Les valeurs opérationnelles non fixées restent des paramètres à valider.</w:t>
      </w:r>
    </w:p>
    <w:p>
      <w:pPr>
        <w:pStyle w:val="Heading1"/>
      </w:pPr>
      <w:r>
        <w:t>Mission à transmettre à l’agent de développement</w:t>
      </w:r>
    </w:p>
    <w:p>
      <w:r>
        <w:t>Construis DIABACAR V1 avec Next.js App Router, TypeScript strict, Tailwind CSS, Supabase Auth/PostgreSQL/Storage, Prisma, GitHub et Vercel. Suis le PRD, l’architecture fonctionnelle, le modèle de données, la cartographie UX/UI et les 15 documents complémentaires. Si une décision manque ou se contredit, consigne-la et propose l’option la plus simple compatible avant de figer le schéma ou une règle commerciale.</w:t>
      </w:r>
    </w:p>
    <w:p>
      <w:pPr>
        <w:pStyle w:val="Heading1"/>
      </w:pPr>
      <w:r>
        <w:t>Invariants non négociables</w:t>
      </w:r>
    </w:p>
    <w:p>
      <w:pPr>
        <w:pStyle w:val="DBBullet"/>
      </w:pPr>
      <w:r>
        <w:t>•  Site public mobile d’abord, My DIABACAR mobile d’abord, back-office bureau d’abord ; palette DIABACAR #0063DF, #099FF8, #2AC9FC et #011D4F.</w:t>
      </w:r>
    </w:p>
    <w:p>
      <w:pPr>
        <w:pStyle w:val="DBBullet"/>
      </w:pPr>
      <w:r>
        <w:t>•  Prix Revendeur visible seulement au Revendeur approuvé ; calcul central côté serveur ; prix de commande figé.</w:t>
      </w:r>
    </w:p>
    <w:p>
      <w:pPr>
        <w:pStyle w:val="DBBullet"/>
      </w:pPr>
      <w:r>
        <w:t>•  Aucun paiement en ligne dans V1. Les favoris anonymes peuvent être locaux ; les favoris du compte persistent.</w:t>
      </w:r>
    </w:p>
    <w:p>
      <w:pPr>
        <w:pStyle w:val="DBBullet"/>
      </w:pPr>
      <w:r>
        <w:t>•  Supabase Auth porte les mots de passe et sessions ; les données métier restent dans PostgreSQL, avec permissions et RLS.</w:t>
      </w:r>
    </w:p>
    <w:p>
      <w:pPr>
        <w:pStyle w:val="DBBullet"/>
      </w:pPr>
      <w:r>
        <w:t>•  Les statuts véhicule, prospect, demande Revendeur et commande passent par des services transactionnels et auditables.</w:t>
      </w:r>
    </w:p>
    <w:p>
      <w:pPr>
        <w:pStyle w:val="DBBullet"/>
      </w:pPr>
      <w:r>
        <w:t>•  Aucun secret côté client, aucun accès direct aux documents privés, aucun développement contre la base de production.</w:t>
      </w:r>
    </w:p>
    <w:p>
      <w:pPr>
        <w:pStyle w:val="Heading1"/>
      </w:pPr>
      <w:r>
        <w:t>Méthode de travail</w:t>
      </w:r>
    </w:p>
    <w:p>
      <w:pPr>
        <w:pStyle w:val="DBBullet"/>
      </w:pPr>
      <w:r>
        <w:t>•  Commencer par lire les références, dresser une liste de décisions et dépendances, puis travailler dans l’ordre des lots 0 à 7.</w:t>
      </w:r>
    </w:p>
    <w:p>
      <w:pPr>
        <w:pStyle w:val="DBBullet"/>
      </w:pPr>
      <w:r>
        <w:t>•  Pour chaque lot : définir contrat, schéma et migration, implémenter service et UI, tester autorisations et refus, vérifier visuellement mobile/desktop, documenter.</w:t>
      </w:r>
    </w:p>
    <w:p>
      <w:pPr>
        <w:pStyle w:val="DBBullet"/>
      </w:pPr>
      <w:r>
        <w:t>•  Avant chaque merge : lint, typage, tests utiles, build, contrôle RLS et vérification du parcours complet.</w:t>
      </w:r>
    </w:p>
    <w:p>
      <w:pPr>
        <w:pStyle w:val="DBBullet"/>
      </w:pPr>
      <w:r>
        <w:t>•  Après chaque lot : fournir fichiers modifiés, migrations, tests exécutés, résultat, risques réels et décisions à valider.</w:t>
      </w:r>
    </w:p>
    <w:p>
      <w:pPr>
        <w:pStyle w:val="Heading1"/>
      </w:pPr>
      <w:r>
        <w:t>Format de demande par lot</w:t>
      </w:r>
    </w:p>
    <w:p>
      <w:r>
        <w:t>« Implémente le lot [numéro] de la roadmap DIABACAR. Lis les documents de référence. Énumère les règles applicables, construis le plus petit incrément complet, ajoute migrations et tests pertinents, exécute les contrôles, puis livre un compte rendu avec les écarts explicites. N’invente ni prix, ni délais, ni permissions. »</w:t>
      </w:r>
    </w:p>
    <w:sectPr w:rsidR="00FC693F" w:rsidRPr="0006063C" w:rsidSect="00034616">
      <w:footerReference w:type="default" r:id="rId9"/>
      <w:pgSz w:w="12240" w:h="15840"/>
      <w:pgMar w:top="1134" w:right="1219" w:bottom="1020"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74"/>
        <w:sz w:val="14"/>
      </w:rPr>
      <w:t>DIABACAR  •  Usage projet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11D4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63DF"/>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11D4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11D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BBullet">
    <w:name w:val="DB Bullet"/>
    <w:basedOn w:val="Normal"/>
    <w:pPr>
      <w:spacing w:after="60"/>
      <w:ind w:left="255" w:hanging="14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