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B3F7B" w14:textId="23F94DBC" w:rsidR="002167B6" w:rsidRPr="002167B6" w:rsidRDefault="0051745B" w:rsidP="002167B6">
      <w:pPr>
        <w:spacing w:after="120"/>
        <w:jc w:val="both"/>
        <w:rPr>
          <w:sz w:val="40"/>
        </w:rPr>
      </w:pPr>
      <w:r>
        <w:rPr>
          <w:sz w:val="40"/>
        </w:rPr>
        <w:t>Time trends in s</w:t>
      </w:r>
      <w:r w:rsidR="0016577B" w:rsidRPr="002167B6">
        <w:rPr>
          <w:sz w:val="40"/>
        </w:rPr>
        <w:t xml:space="preserve">evere </w:t>
      </w:r>
      <w:r>
        <w:rPr>
          <w:sz w:val="40"/>
        </w:rPr>
        <w:t>ho</w:t>
      </w:r>
      <w:r w:rsidR="0016577B" w:rsidRPr="002167B6">
        <w:rPr>
          <w:sz w:val="40"/>
        </w:rPr>
        <w:t xml:space="preserve">spitalised </w:t>
      </w:r>
      <w:r>
        <w:rPr>
          <w:sz w:val="40"/>
        </w:rPr>
        <w:t>h</w:t>
      </w:r>
      <w:r w:rsidR="0016577B" w:rsidRPr="002167B6">
        <w:rPr>
          <w:sz w:val="40"/>
        </w:rPr>
        <w:t xml:space="preserve">ypoglycaemia events in </w:t>
      </w:r>
      <w:r>
        <w:rPr>
          <w:sz w:val="40"/>
        </w:rPr>
        <w:t>persons with type 1 and type 2 diabetes</w:t>
      </w:r>
      <w:r w:rsidR="0016577B" w:rsidRPr="002167B6">
        <w:rPr>
          <w:sz w:val="40"/>
        </w:rPr>
        <w:t xml:space="preserve"> in Scotland</w:t>
      </w:r>
      <w:r w:rsidR="002167B6">
        <w:rPr>
          <w:sz w:val="40"/>
        </w:rPr>
        <w:t xml:space="preserve"> during the period 2016-202</w:t>
      </w:r>
      <w:r>
        <w:rPr>
          <w:sz w:val="40"/>
        </w:rPr>
        <w:t>2</w:t>
      </w:r>
    </w:p>
    <w:p w14:paraId="446ABE2C" w14:textId="77777777" w:rsidR="00991E7F" w:rsidRDefault="006938D6" w:rsidP="002167B6">
      <w:pPr>
        <w:rPr>
          <w:sz w:val="36"/>
        </w:rPr>
      </w:pPr>
      <w:r w:rsidRPr="002167B6">
        <w:rPr>
          <w:sz w:val="36"/>
        </w:rPr>
        <w:t>Statistical Analysis Plan</w:t>
      </w:r>
    </w:p>
    <w:p w14:paraId="7D3B7DC5" w14:textId="77777777" w:rsidR="00991E7F" w:rsidRDefault="00991E7F" w:rsidP="00991E7F">
      <w:pPr>
        <w:rPr>
          <w:sz w:val="36"/>
        </w:rPr>
      </w:pPr>
      <w:r>
        <w:rPr>
          <w:sz w:val="36"/>
        </w:rPr>
        <w:t>William Berthon</w:t>
      </w:r>
    </w:p>
    <w:p w14:paraId="4C268135" w14:textId="7C37A17F" w:rsidR="00991E7F" w:rsidRDefault="00991E7F" w:rsidP="00991E7F">
      <w:pPr>
        <w:rPr>
          <w:sz w:val="36"/>
        </w:rPr>
      </w:pPr>
      <w:r>
        <w:rPr>
          <w:sz w:val="36"/>
        </w:rPr>
        <w:t>12 July 2023, v.1</w:t>
      </w:r>
      <w:bookmarkStart w:id="0" w:name="_GoBack"/>
      <w:bookmarkEnd w:id="0"/>
    </w:p>
    <w:p w14:paraId="322A78A5" w14:textId="77777777" w:rsidR="006938D6" w:rsidRPr="006938D6" w:rsidRDefault="006938D6" w:rsidP="006938D6">
      <w:pPr>
        <w:pStyle w:val="Heading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</w:t>
      </w:r>
    </w:p>
    <w:p w14:paraId="04129001" w14:textId="7F1E3165" w:rsidR="006938D6" w:rsidRPr="006938D6" w:rsidRDefault="00D1536A" w:rsidP="006938D6">
      <w:pPr>
        <w:jc w:val="both"/>
        <w:rPr>
          <w:rFonts w:cstheme="minorHAnsi"/>
        </w:rPr>
      </w:pPr>
      <w:r>
        <w:rPr>
          <w:rFonts w:cstheme="minorHAnsi"/>
        </w:rPr>
        <w:t>Severe Ho</w:t>
      </w:r>
      <w:r w:rsidR="0051745B">
        <w:rPr>
          <w:rFonts w:cstheme="minorHAnsi"/>
        </w:rPr>
        <w:t xml:space="preserve">spitalised Hypoglycaemia (SHH) </w:t>
      </w:r>
      <w:r>
        <w:rPr>
          <w:rFonts w:cstheme="minorHAnsi"/>
        </w:rPr>
        <w:t xml:space="preserve">represents a significant complication in </w:t>
      </w:r>
      <w:r w:rsidR="00E8004E">
        <w:rPr>
          <w:rFonts w:cstheme="minorHAnsi"/>
        </w:rPr>
        <w:t>individuals with diabetes, posing</w:t>
      </w:r>
      <w:r>
        <w:rPr>
          <w:rFonts w:cstheme="minorHAnsi"/>
        </w:rPr>
        <w:t xml:space="preserve"> important challenges in the management of diabetes. It is crucial to examine the trends in SHH events over time to understand patterns in their changes and </w:t>
      </w:r>
      <w:r w:rsidR="00210443">
        <w:rPr>
          <w:rFonts w:cstheme="minorHAnsi"/>
        </w:rPr>
        <w:t xml:space="preserve">potentially adapt health policies to mitigate their occurrence. </w:t>
      </w:r>
    </w:p>
    <w:p w14:paraId="572B2305" w14:textId="655E4D8D" w:rsidR="006938D6" w:rsidRPr="006938D6" w:rsidRDefault="006938D6" w:rsidP="006938D6">
      <w:pPr>
        <w:pStyle w:val="Heading1"/>
        <w:jc w:val="both"/>
        <w:rPr>
          <w:rFonts w:asciiTheme="minorHAnsi" w:hAnsiTheme="minorHAnsi" w:cstheme="minorHAnsi"/>
        </w:rPr>
      </w:pPr>
      <w:r w:rsidRPr="006938D6">
        <w:rPr>
          <w:rFonts w:asciiTheme="minorHAnsi" w:hAnsiTheme="minorHAnsi" w:cstheme="minorHAnsi"/>
        </w:rPr>
        <w:t xml:space="preserve">Study </w:t>
      </w:r>
      <w:r w:rsidR="001746BF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bjectives</w:t>
      </w:r>
    </w:p>
    <w:p w14:paraId="2CEB5A8C" w14:textId="374F09D4" w:rsidR="006938D6" w:rsidRPr="006938D6" w:rsidRDefault="00FB50D5" w:rsidP="006938D6">
      <w:pPr>
        <w:jc w:val="both"/>
        <w:rPr>
          <w:rFonts w:cstheme="minorHAnsi"/>
        </w:rPr>
      </w:pPr>
      <w:r>
        <w:rPr>
          <w:rFonts w:cstheme="minorHAnsi"/>
        </w:rPr>
        <w:t>This study aims at delineating time trends in Severe Hospitalised Hypoglycaemia (SHH) in the National dataset</w:t>
      </w:r>
      <w:r w:rsidR="00BB68F8">
        <w:rPr>
          <w:rFonts w:cstheme="minorHAnsi"/>
        </w:rPr>
        <w:t xml:space="preserve"> of Scotland over the period 2016-</w:t>
      </w:r>
      <w:r w:rsidR="00E8004E">
        <w:rPr>
          <w:rFonts w:cstheme="minorHAnsi"/>
        </w:rPr>
        <w:t>2022</w:t>
      </w:r>
      <w:r>
        <w:rPr>
          <w:rFonts w:cstheme="minorHAnsi"/>
        </w:rPr>
        <w:t xml:space="preserve"> to assess the evolution of this condition in the context of the COVID-19 pandemic, the introduction of flash monitors, and the</w:t>
      </w:r>
      <w:r w:rsidR="00E8004E">
        <w:rPr>
          <w:rFonts w:cstheme="minorHAnsi"/>
        </w:rPr>
        <w:t xml:space="preserve"> introduction of new drugs for t</w:t>
      </w:r>
      <w:r>
        <w:rPr>
          <w:rFonts w:cstheme="minorHAnsi"/>
        </w:rPr>
        <w:t xml:space="preserve">ype 2 diabetes, in particular. </w:t>
      </w:r>
    </w:p>
    <w:p w14:paraId="5BFD7DA1" w14:textId="14F12CD5" w:rsidR="006938D6" w:rsidRPr="006938D6" w:rsidRDefault="001746BF" w:rsidP="006938D6">
      <w:pPr>
        <w:pStyle w:val="Heading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Study p</w:t>
      </w:r>
      <w:r w:rsidR="006938D6" w:rsidRPr="006938D6">
        <w:rPr>
          <w:rFonts w:asciiTheme="minorHAnsi" w:hAnsiTheme="minorHAnsi" w:cstheme="minorHAnsi"/>
        </w:rPr>
        <w:t>eriod</w:t>
      </w:r>
    </w:p>
    <w:p w14:paraId="26C98259" w14:textId="583654B3" w:rsidR="00FB50D5" w:rsidRDefault="00FB50D5" w:rsidP="006938D6">
      <w:pPr>
        <w:jc w:val="both"/>
        <w:rPr>
          <w:rFonts w:cstheme="minorHAnsi"/>
        </w:rPr>
      </w:pPr>
      <w:r>
        <w:rPr>
          <w:rFonts w:cstheme="minorHAnsi"/>
        </w:rPr>
        <w:t>The study period will be 1</w:t>
      </w:r>
      <w:r w:rsidRPr="00FB50D5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January 2016</w:t>
      </w:r>
      <w:r w:rsidRPr="006938D6">
        <w:rPr>
          <w:rFonts w:cstheme="minorHAnsi"/>
        </w:rPr>
        <w:t xml:space="preserve"> – </w:t>
      </w:r>
      <w:r w:rsidR="00E8004E">
        <w:rPr>
          <w:rFonts w:cstheme="minorHAnsi"/>
        </w:rPr>
        <w:t>30</w:t>
      </w:r>
      <w:r w:rsidRPr="00FB50D5">
        <w:rPr>
          <w:rFonts w:cstheme="minorHAnsi"/>
          <w:vertAlign w:val="superscript"/>
        </w:rPr>
        <w:t>t</w:t>
      </w:r>
      <w:r w:rsidR="00E8004E">
        <w:rPr>
          <w:rFonts w:cstheme="minorHAnsi"/>
          <w:vertAlign w:val="superscript"/>
        </w:rPr>
        <w:t>h</w:t>
      </w:r>
      <w:r w:rsidR="0020249F">
        <w:rPr>
          <w:rFonts w:cstheme="minorHAnsi"/>
        </w:rPr>
        <w:t xml:space="preserve"> November 202</w:t>
      </w:r>
      <w:r w:rsidR="00E8004E">
        <w:rPr>
          <w:rFonts w:cstheme="minorHAnsi"/>
        </w:rPr>
        <w:t>2.</w:t>
      </w:r>
      <w:r>
        <w:rPr>
          <w:rFonts w:cstheme="minorHAnsi"/>
        </w:rPr>
        <w:t xml:space="preserve"> </w:t>
      </w:r>
    </w:p>
    <w:p w14:paraId="1B9A69A6" w14:textId="7D166144" w:rsidR="006938D6" w:rsidRPr="006938D6" w:rsidRDefault="001746BF" w:rsidP="006938D6">
      <w:pPr>
        <w:pStyle w:val="Heading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Study p</w:t>
      </w:r>
      <w:r w:rsidR="006938D6" w:rsidRPr="006938D6">
        <w:rPr>
          <w:rFonts w:asciiTheme="minorHAnsi" w:hAnsiTheme="minorHAnsi" w:cstheme="minorHAnsi"/>
        </w:rPr>
        <w:t>opulation</w:t>
      </w:r>
    </w:p>
    <w:p w14:paraId="7505C61D" w14:textId="77777777" w:rsidR="00836A91" w:rsidRPr="006938D6" w:rsidRDefault="008D2893" w:rsidP="00836A91">
      <w:pPr>
        <w:jc w:val="both"/>
        <w:rPr>
          <w:rFonts w:cstheme="minorHAnsi"/>
        </w:rPr>
      </w:pPr>
      <w:r>
        <w:rPr>
          <w:rFonts w:cstheme="minorHAnsi"/>
        </w:rPr>
        <w:t xml:space="preserve">Individuals with </w:t>
      </w:r>
      <w:r w:rsidR="00E8004E">
        <w:rPr>
          <w:rFonts w:cstheme="minorHAnsi"/>
        </w:rPr>
        <w:t>t</w:t>
      </w:r>
      <w:r w:rsidR="00FB50D5">
        <w:rPr>
          <w:rFonts w:cstheme="minorHAnsi"/>
        </w:rPr>
        <w:t xml:space="preserve">ype 1 and </w:t>
      </w:r>
      <w:r w:rsidR="00E8004E">
        <w:rPr>
          <w:rFonts w:cstheme="minorHAnsi"/>
        </w:rPr>
        <w:t>t</w:t>
      </w:r>
      <w:r w:rsidR="00FB50D5">
        <w:rPr>
          <w:rFonts w:cstheme="minorHAnsi"/>
        </w:rPr>
        <w:t>ype 2 diabet</w:t>
      </w:r>
      <w:r w:rsidR="000449DC">
        <w:rPr>
          <w:rFonts w:cstheme="minorHAnsi"/>
        </w:rPr>
        <w:t xml:space="preserve">es who are present in the SDRN-National Diabetes Dataset (SDRN-NDS) and alive and observable at any </w:t>
      </w:r>
      <w:r w:rsidR="00D645CB">
        <w:rPr>
          <w:rFonts w:cstheme="minorHAnsi"/>
        </w:rPr>
        <w:t>point</w:t>
      </w:r>
      <w:r w:rsidR="000449DC">
        <w:rPr>
          <w:rFonts w:cstheme="minorHAnsi"/>
        </w:rPr>
        <w:t xml:space="preserve"> </w:t>
      </w:r>
      <w:r w:rsidR="00D645CB">
        <w:rPr>
          <w:rFonts w:cstheme="minorHAnsi"/>
        </w:rPr>
        <w:t xml:space="preserve">between </w:t>
      </w:r>
      <w:r w:rsidR="000449DC">
        <w:rPr>
          <w:rFonts w:cstheme="minorHAnsi"/>
        </w:rPr>
        <w:t>1</w:t>
      </w:r>
      <w:r w:rsidR="000449DC" w:rsidRPr="000449DC">
        <w:rPr>
          <w:rFonts w:cstheme="minorHAnsi"/>
          <w:vertAlign w:val="superscript"/>
        </w:rPr>
        <w:t>st</w:t>
      </w:r>
      <w:r w:rsidR="000449DC">
        <w:rPr>
          <w:rFonts w:cstheme="minorHAnsi"/>
        </w:rPr>
        <w:t xml:space="preserve"> January 2016 </w:t>
      </w:r>
      <w:r w:rsidR="00D645CB">
        <w:rPr>
          <w:rFonts w:cstheme="minorHAnsi"/>
        </w:rPr>
        <w:t xml:space="preserve">and </w:t>
      </w:r>
      <w:r w:rsidR="00E8004E">
        <w:rPr>
          <w:rFonts w:cstheme="minorHAnsi"/>
        </w:rPr>
        <w:t>30</w:t>
      </w:r>
      <w:r w:rsidR="00D645CB" w:rsidRPr="00FB50D5">
        <w:rPr>
          <w:rFonts w:cstheme="minorHAnsi"/>
          <w:vertAlign w:val="superscript"/>
        </w:rPr>
        <w:t>t</w:t>
      </w:r>
      <w:r w:rsidR="00E8004E">
        <w:rPr>
          <w:rFonts w:cstheme="minorHAnsi"/>
          <w:vertAlign w:val="superscript"/>
        </w:rPr>
        <w:t>h</w:t>
      </w:r>
      <w:r w:rsidR="0020249F">
        <w:rPr>
          <w:rFonts w:cstheme="minorHAnsi"/>
        </w:rPr>
        <w:t xml:space="preserve"> November 202</w:t>
      </w:r>
      <w:r w:rsidR="00E8004E">
        <w:rPr>
          <w:rFonts w:cstheme="minorHAnsi"/>
        </w:rPr>
        <w:t>2</w:t>
      </w:r>
      <w:r w:rsidR="0020249F">
        <w:rPr>
          <w:rFonts w:cstheme="minorHAnsi"/>
        </w:rPr>
        <w:t xml:space="preserve"> </w:t>
      </w:r>
      <w:r w:rsidR="000449DC">
        <w:rPr>
          <w:rFonts w:cstheme="minorHAnsi"/>
        </w:rPr>
        <w:t xml:space="preserve">will be included in the study population. </w:t>
      </w:r>
      <w:r w:rsidR="008B7A3E" w:rsidRPr="006938D6">
        <w:rPr>
          <w:rFonts w:cstheme="minorHAnsi"/>
        </w:rPr>
        <w:t xml:space="preserve">Type 2 diabetes will be defined using the SDRN-epi type assignation algorithm. </w:t>
      </w:r>
      <w:r w:rsidR="00836A91" w:rsidRPr="006938D6">
        <w:rPr>
          <w:rFonts w:cstheme="minorHAnsi"/>
        </w:rPr>
        <w:t>Hospital admiss</w:t>
      </w:r>
      <w:r w:rsidR="00836A91">
        <w:rPr>
          <w:rFonts w:cstheme="minorHAnsi"/>
        </w:rPr>
        <w:t xml:space="preserve">ion data will derive </w:t>
      </w:r>
      <w:r w:rsidR="00836A91" w:rsidRPr="006938D6">
        <w:rPr>
          <w:rFonts w:cstheme="minorHAnsi"/>
        </w:rPr>
        <w:t>from Scottish Morbidity Record (SMR) 0</w:t>
      </w:r>
      <w:r w:rsidR="00836A91">
        <w:rPr>
          <w:rFonts w:cstheme="minorHAnsi"/>
        </w:rPr>
        <w:t>1 and m</w:t>
      </w:r>
      <w:r w:rsidR="00836A91" w:rsidRPr="006938D6">
        <w:rPr>
          <w:rFonts w:cstheme="minorHAnsi"/>
        </w:rPr>
        <w:t xml:space="preserve">ortality data will be obtained from National Records of Scotland (NRS). </w:t>
      </w:r>
    </w:p>
    <w:p w14:paraId="115B8030" w14:textId="795F3A5C" w:rsidR="006938D6" w:rsidRPr="006938D6" w:rsidRDefault="006938D6" w:rsidP="006938D6">
      <w:pPr>
        <w:pStyle w:val="Heading1"/>
        <w:jc w:val="both"/>
        <w:rPr>
          <w:rFonts w:asciiTheme="minorHAnsi" w:hAnsiTheme="minorHAnsi" w:cstheme="minorHAnsi"/>
        </w:rPr>
      </w:pPr>
      <w:r w:rsidRPr="006938D6">
        <w:rPr>
          <w:rFonts w:asciiTheme="minorHAnsi" w:hAnsiTheme="minorHAnsi" w:cstheme="minorHAnsi"/>
        </w:rPr>
        <w:t xml:space="preserve">Definition of </w:t>
      </w:r>
      <w:r w:rsidR="001746BF">
        <w:rPr>
          <w:rFonts w:asciiTheme="minorHAnsi" w:hAnsiTheme="minorHAnsi" w:cstheme="minorHAnsi"/>
        </w:rPr>
        <w:t>e</w:t>
      </w:r>
      <w:r w:rsidR="0051745B">
        <w:rPr>
          <w:rFonts w:asciiTheme="minorHAnsi" w:hAnsiTheme="minorHAnsi" w:cstheme="minorHAnsi"/>
        </w:rPr>
        <w:t>vent</w:t>
      </w:r>
    </w:p>
    <w:p w14:paraId="7E517D09" w14:textId="3E887AC3" w:rsidR="008B7A3E" w:rsidRDefault="00E8004E" w:rsidP="006938D6">
      <w:pPr>
        <w:jc w:val="both"/>
        <w:rPr>
          <w:rFonts w:cstheme="minorHAnsi"/>
        </w:rPr>
      </w:pPr>
      <w:r>
        <w:rPr>
          <w:rFonts w:cstheme="minorHAnsi"/>
        </w:rPr>
        <w:t xml:space="preserve">Event </w:t>
      </w:r>
      <w:r w:rsidR="008B7A3E">
        <w:rPr>
          <w:rFonts w:cstheme="minorHAnsi"/>
        </w:rPr>
        <w:t xml:space="preserve">will be defined as </w:t>
      </w:r>
      <w:r w:rsidR="008D2893">
        <w:rPr>
          <w:rFonts w:cstheme="minorHAnsi"/>
        </w:rPr>
        <w:t>SHH</w:t>
      </w:r>
      <w:r w:rsidR="008B7A3E">
        <w:rPr>
          <w:rFonts w:cstheme="minorHAnsi"/>
        </w:rPr>
        <w:t xml:space="preserve"> for individuals in the study population with a </w:t>
      </w:r>
      <w:r w:rsidR="006938D6" w:rsidRPr="006938D6">
        <w:rPr>
          <w:rFonts w:cstheme="minorHAnsi"/>
        </w:rPr>
        <w:t xml:space="preserve">hospital admission </w:t>
      </w:r>
      <w:r w:rsidR="00BB68F8">
        <w:rPr>
          <w:rFonts w:cstheme="minorHAnsi"/>
        </w:rPr>
        <w:t xml:space="preserve">or death </w:t>
      </w:r>
      <w:r w:rsidR="00BB68F8" w:rsidRPr="00BB68F8">
        <w:rPr>
          <w:rFonts w:cstheme="minorHAnsi"/>
        </w:rPr>
        <w:t>involving an ICD</w:t>
      </w:r>
      <w:r w:rsidR="00BB68F8">
        <w:rPr>
          <w:rFonts w:cstheme="minorHAnsi"/>
        </w:rPr>
        <w:t>-</w:t>
      </w:r>
      <w:r w:rsidR="00BB68F8" w:rsidRPr="00BB68F8">
        <w:rPr>
          <w:rFonts w:cstheme="minorHAnsi"/>
        </w:rPr>
        <w:t>10 diagnosis code of E15, E16.0, E16.1, E16.2 at any level of the reasons for admission or causes of death.</w:t>
      </w:r>
    </w:p>
    <w:p w14:paraId="6D327D88" w14:textId="08438F36" w:rsidR="0057267E" w:rsidRDefault="0057267E" w:rsidP="0057267E">
      <w:pPr>
        <w:jc w:val="both"/>
        <w:rPr>
          <w:rFonts w:cstheme="minorHAnsi"/>
        </w:rPr>
      </w:pPr>
      <w:r>
        <w:rPr>
          <w:rFonts w:cstheme="minorHAnsi"/>
        </w:rPr>
        <w:t>The following ICD-10 condition codes will be used for the selection of individuals with SHH</w:t>
      </w:r>
      <w:r w:rsidR="00BB68F8">
        <w:rPr>
          <w:rFonts w:cstheme="minorHAnsi"/>
        </w:rPr>
        <w:t xml:space="preserve"> events</w:t>
      </w:r>
      <w:r>
        <w:rPr>
          <w:rFonts w:cstheme="minorHAnsi"/>
        </w:rPr>
        <w:t>:</w:t>
      </w:r>
    </w:p>
    <w:p w14:paraId="5213E438" w14:textId="343E53E9" w:rsidR="0057267E" w:rsidRPr="00AC4CF1" w:rsidRDefault="0057267E" w:rsidP="005726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AC4CF1">
        <w:rPr>
          <w:rFonts w:cstheme="minorHAnsi"/>
        </w:rPr>
        <w:t>Nondiabetic hypoglycaemic coma – E15</w:t>
      </w:r>
    </w:p>
    <w:p w14:paraId="5625F406" w14:textId="391DDECE" w:rsidR="0057267E" w:rsidRPr="00AC4CF1" w:rsidRDefault="0057267E" w:rsidP="005726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AC4CF1">
        <w:rPr>
          <w:rFonts w:cstheme="minorHAnsi"/>
        </w:rPr>
        <w:t>Drug-induced hypoglycaemia without coma – E16.0</w:t>
      </w:r>
    </w:p>
    <w:p w14:paraId="49F94979" w14:textId="785B0B04" w:rsidR="0057267E" w:rsidRPr="00AC4CF1" w:rsidRDefault="0057267E" w:rsidP="005726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AC4CF1">
        <w:rPr>
          <w:rFonts w:cstheme="minorHAnsi"/>
        </w:rPr>
        <w:t>Other hypoglycaemia – E16.1</w:t>
      </w:r>
    </w:p>
    <w:p w14:paraId="57C283E6" w14:textId="0292504B" w:rsidR="0057267E" w:rsidRPr="00AC4CF1" w:rsidRDefault="0057267E" w:rsidP="005726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AC4CF1">
        <w:rPr>
          <w:rFonts w:cstheme="minorHAnsi"/>
        </w:rPr>
        <w:t>Hypoglycaemia, unspecified – E16.2</w:t>
      </w:r>
    </w:p>
    <w:p w14:paraId="6E55C0CA" w14:textId="311F0D14" w:rsidR="006938D6" w:rsidRPr="006938D6" w:rsidRDefault="006938D6" w:rsidP="006938D6">
      <w:pPr>
        <w:pStyle w:val="Heading1"/>
        <w:jc w:val="both"/>
        <w:rPr>
          <w:rFonts w:asciiTheme="minorHAnsi" w:hAnsiTheme="minorHAnsi" w:cstheme="minorHAnsi"/>
        </w:rPr>
      </w:pPr>
      <w:r w:rsidRPr="006938D6">
        <w:rPr>
          <w:rFonts w:asciiTheme="minorHAnsi" w:hAnsiTheme="minorHAnsi" w:cstheme="minorHAnsi"/>
        </w:rPr>
        <w:lastRenderedPageBreak/>
        <w:t xml:space="preserve">Definition of </w:t>
      </w:r>
      <w:r w:rsidR="001746BF">
        <w:rPr>
          <w:rFonts w:asciiTheme="minorHAnsi" w:hAnsiTheme="minorHAnsi" w:cstheme="minorHAnsi"/>
        </w:rPr>
        <w:t>o</w:t>
      </w:r>
      <w:r w:rsidRPr="006938D6">
        <w:rPr>
          <w:rFonts w:asciiTheme="minorHAnsi" w:hAnsiTheme="minorHAnsi" w:cstheme="minorHAnsi"/>
        </w:rPr>
        <w:t>utcomes</w:t>
      </w:r>
      <w:r w:rsidR="001746BF">
        <w:rPr>
          <w:rFonts w:asciiTheme="minorHAnsi" w:hAnsiTheme="minorHAnsi" w:cstheme="minorHAnsi"/>
        </w:rPr>
        <w:t xml:space="preserve"> and statistical analysis</w:t>
      </w:r>
    </w:p>
    <w:p w14:paraId="6AD1EF54" w14:textId="1084CA38" w:rsidR="006938D6" w:rsidRDefault="006938D6" w:rsidP="006938D6">
      <w:pPr>
        <w:jc w:val="both"/>
        <w:rPr>
          <w:rFonts w:cstheme="minorHAnsi"/>
        </w:rPr>
      </w:pPr>
      <w:r w:rsidRPr="006938D6">
        <w:rPr>
          <w:rFonts w:cstheme="minorHAnsi"/>
        </w:rPr>
        <w:t>For the analysis, we will consider the following outcomes:</w:t>
      </w:r>
    </w:p>
    <w:p w14:paraId="709D9465" w14:textId="2CFD1ACA" w:rsidR="006B152A" w:rsidRPr="00CB3B1E" w:rsidRDefault="006B152A" w:rsidP="00D107BC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t>Crude e</w:t>
      </w:r>
      <w:r w:rsidR="00BB68F8">
        <w:t>vent rate</w:t>
      </w:r>
      <w:r w:rsidR="00CB3B1E">
        <w:t>s</w:t>
      </w:r>
      <w:r w:rsidR="00BB68F8">
        <w:t xml:space="preserve"> per 100</w:t>
      </w:r>
      <w:r w:rsidR="002167B6">
        <w:t>,00</w:t>
      </w:r>
      <w:r w:rsidR="00BB68F8">
        <w:t>0 person-day</w:t>
      </w:r>
      <w:r w:rsidR="002167B6">
        <w:t>s</w:t>
      </w:r>
      <w:r w:rsidR="00884744">
        <w:t xml:space="preserve"> in the study window</w:t>
      </w:r>
      <w:r w:rsidR="00BB68F8">
        <w:t xml:space="preserve">, </w:t>
      </w:r>
      <w:r w:rsidR="00884744">
        <w:t xml:space="preserve">calculated </w:t>
      </w:r>
      <w:r w:rsidR="00BB68F8">
        <w:t xml:space="preserve">as </w:t>
      </w:r>
      <w:r w:rsidR="00BB68F8" w:rsidRPr="00BB68F8">
        <w:t xml:space="preserve">a </w:t>
      </w:r>
      <w:r w:rsidR="00BB68F8" w:rsidRPr="004D45FC">
        <w:t>56</w:t>
      </w:r>
      <w:r w:rsidR="00BB68F8" w:rsidRPr="00BB68F8">
        <w:t xml:space="preserve">-day </w:t>
      </w:r>
      <w:r w:rsidR="00BB68F8">
        <w:t>rolling mean</w:t>
      </w:r>
      <w:r w:rsidR="00BB68F8" w:rsidRPr="00BB68F8">
        <w:t xml:space="preserve"> </w:t>
      </w:r>
      <w:proofErr w:type="spellStart"/>
      <w:r w:rsidR="00BB68F8" w:rsidRPr="00BB68F8">
        <w:t>centered</w:t>
      </w:r>
      <w:proofErr w:type="spellEnd"/>
      <w:r w:rsidR="00BB68F8" w:rsidRPr="00BB68F8">
        <w:t xml:space="preserve"> on each day</w:t>
      </w:r>
      <w:r w:rsidR="004D45FC">
        <w:t>. The rate corresponds to the number of SHH events by the total population at risk for each study day. The analyses will be stratified by sex</w:t>
      </w:r>
      <w:r>
        <w:t xml:space="preserve"> (female male)</w:t>
      </w:r>
      <w:r w:rsidR="009F7F9C">
        <w:t xml:space="preserve"> and by</w:t>
      </w:r>
      <w:r w:rsidR="004D45FC">
        <w:t xml:space="preserve"> age</w:t>
      </w:r>
      <w:r w:rsidR="009F7F9C">
        <w:t xml:space="preserve"> (&lt;20, 21-50, and &gt;50). </w:t>
      </w:r>
      <w:r w:rsidR="00836A91">
        <w:t xml:space="preserve">Age bands will be based on the age of each individual at midpoint of their observability period. For Type 2 diabetes, patients age less than 20 will be excluded from the analyses. </w:t>
      </w:r>
      <w:r w:rsidR="009F7F9C">
        <w:t xml:space="preserve">Further analyses will be stratified by </w:t>
      </w:r>
      <w:r>
        <w:t>Scottish Index of Multiple Deprivation (SIMD, quantile 1 to 5</w:t>
      </w:r>
      <w:r w:rsidR="0016577B">
        <w:t>, Q1 being the most deprived</w:t>
      </w:r>
      <w:r>
        <w:t>) bas</w:t>
      </w:r>
      <w:r w:rsidR="00836A91">
        <w:t xml:space="preserve">ed on the postcode of residence to observe possible differences according to the socioeconomic status. </w:t>
      </w:r>
      <w:r w:rsidR="00B11C47">
        <w:t>Other c</w:t>
      </w:r>
      <w:r w:rsidR="00CB3B1E">
        <w:t>rude rates</w:t>
      </w:r>
      <w:r w:rsidR="00B11C47">
        <w:t xml:space="preserve"> may also be calculated per year or for the entire study duration</w:t>
      </w:r>
      <w:r w:rsidR="00CB3B1E">
        <w:t xml:space="preserve"> to obtain </w:t>
      </w:r>
      <w:r w:rsidR="00B11C47">
        <w:t xml:space="preserve">less granular information and </w:t>
      </w:r>
      <w:proofErr w:type="gramStart"/>
      <w:r w:rsidR="00B11C47">
        <w:t>summary</w:t>
      </w:r>
      <w:proofErr w:type="gramEnd"/>
      <w:r w:rsidR="00B11C47">
        <w:t xml:space="preserve"> </w:t>
      </w:r>
      <w:r w:rsidR="00CB3B1E">
        <w:t xml:space="preserve">statistics. </w:t>
      </w:r>
    </w:p>
    <w:p w14:paraId="357D1B63" w14:textId="41CE0B5D" w:rsidR="00CB3B1E" w:rsidRPr="00CB3B1E" w:rsidRDefault="001746BF" w:rsidP="00D107BC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To provide a better understanding of SHH occurrence and its relationship with calendar time, w</w:t>
      </w:r>
      <w:r w:rsidR="00CB3B1E">
        <w:rPr>
          <w:rFonts w:cstheme="minorHAnsi"/>
        </w:rPr>
        <w:t xml:space="preserve">e will also use the R package </w:t>
      </w:r>
      <w:proofErr w:type="spellStart"/>
      <w:r w:rsidR="00CB3B1E" w:rsidRPr="00CB3B1E">
        <w:rPr>
          <w:rFonts w:cstheme="minorHAnsi"/>
          <w:i/>
        </w:rPr>
        <w:t>mgcv</w:t>
      </w:r>
      <w:proofErr w:type="spellEnd"/>
      <w:r w:rsidR="00CB3B1E">
        <w:rPr>
          <w:rFonts w:cstheme="minorHAnsi"/>
        </w:rPr>
        <w:t xml:space="preserve"> to fit generalized additive models (GAM) adjusted for seasonality, day of the week, age</w:t>
      </w:r>
      <w:r w:rsidR="00C434CD">
        <w:rPr>
          <w:rFonts w:cstheme="minorHAnsi"/>
        </w:rPr>
        <w:t xml:space="preserve"> band, sex, and SIMD. </w:t>
      </w:r>
      <w:r>
        <w:rPr>
          <w:rFonts w:cstheme="minorHAnsi"/>
          <w:iCs/>
        </w:rPr>
        <w:t>No imputation of missing data will be performed.</w:t>
      </w:r>
    </w:p>
    <w:p w14:paraId="46AEE66A" w14:textId="77777777" w:rsidR="006938D6" w:rsidRPr="006938D6" w:rsidRDefault="006938D6" w:rsidP="006938D6">
      <w:pPr>
        <w:pStyle w:val="Heading1"/>
        <w:jc w:val="both"/>
        <w:rPr>
          <w:rFonts w:asciiTheme="minorHAnsi" w:hAnsiTheme="minorHAnsi" w:cstheme="minorHAnsi"/>
        </w:rPr>
      </w:pPr>
      <w:r w:rsidRPr="006938D6">
        <w:rPr>
          <w:rFonts w:asciiTheme="minorHAnsi" w:hAnsiTheme="minorHAnsi" w:cstheme="minorHAnsi"/>
        </w:rPr>
        <w:t>Observability</w:t>
      </w:r>
    </w:p>
    <w:p w14:paraId="3ECA4DF2" w14:textId="77E353EA" w:rsidR="006938D6" w:rsidRPr="006938D6" w:rsidRDefault="006938D6" w:rsidP="006938D6">
      <w:pPr>
        <w:jc w:val="both"/>
        <w:rPr>
          <w:rFonts w:cstheme="minorHAnsi"/>
        </w:rPr>
      </w:pPr>
      <w:r w:rsidRPr="006938D6">
        <w:rPr>
          <w:rFonts w:cstheme="minorHAnsi"/>
        </w:rPr>
        <w:t>The observability status of individuals will be defined using attendance of routine observations and receipt of prescriptio</w:t>
      </w:r>
      <w:r w:rsidR="00891D1A">
        <w:rPr>
          <w:rFonts w:cstheme="minorHAnsi"/>
        </w:rPr>
        <w:t>ns during the study period. If i</w:t>
      </w:r>
      <w:r w:rsidRPr="006938D6">
        <w:rPr>
          <w:rFonts w:cstheme="minorHAnsi"/>
        </w:rPr>
        <w:t>ndividuals become unobservable during the study period they will be censored on the date at which they first become unobservable.</w:t>
      </w:r>
      <w:r w:rsidR="006B152A">
        <w:rPr>
          <w:rFonts w:cstheme="minorHAnsi"/>
        </w:rPr>
        <w:t xml:space="preserve"> Thus</w:t>
      </w:r>
      <w:r w:rsidR="0020249F">
        <w:rPr>
          <w:rFonts w:cstheme="minorHAnsi"/>
        </w:rPr>
        <w:t>,</w:t>
      </w:r>
      <w:r w:rsidR="006B152A">
        <w:rPr>
          <w:rFonts w:cstheme="minorHAnsi"/>
        </w:rPr>
        <w:t xml:space="preserve"> individuals will be censored for end of study, end of observability, or death.</w:t>
      </w:r>
    </w:p>
    <w:p w14:paraId="748B0162" w14:textId="77777777" w:rsidR="006938D6" w:rsidRPr="006938D6" w:rsidRDefault="006938D6" w:rsidP="006938D6">
      <w:pPr>
        <w:jc w:val="both"/>
        <w:rPr>
          <w:rFonts w:cstheme="minorHAnsi"/>
        </w:rPr>
      </w:pPr>
    </w:p>
    <w:p w14:paraId="13C0F79A" w14:textId="77777777" w:rsidR="006938D6" w:rsidRPr="006938D6" w:rsidRDefault="006938D6" w:rsidP="006938D6">
      <w:pPr>
        <w:jc w:val="both"/>
        <w:rPr>
          <w:rFonts w:cstheme="minorHAnsi"/>
        </w:rPr>
      </w:pPr>
    </w:p>
    <w:sectPr w:rsidR="006938D6" w:rsidRPr="0069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7B7"/>
    <w:multiLevelType w:val="hybridMultilevel"/>
    <w:tmpl w:val="A4B89972"/>
    <w:lvl w:ilvl="0" w:tplc="7B62FB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C3633AC"/>
    <w:multiLevelType w:val="hybridMultilevel"/>
    <w:tmpl w:val="37E26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65DDB"/>
    <w:multiLevelType w:val="hybridMultilevel"/>
    <w:tmpl w:val="565A45A0"/>
    <w:lvl w:ilvl="0" w:tplc="A40E3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7622C"/>
    <w:multiLevelType w:val="hybridMultilevel"/>
    <w:tmpl w:val="053E8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83B1C"/>
    <w:multiLevelType w:val="hybridMultilevel"/>
    <w:tmpl w:val="A14A0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F6429"/>
    <w:multiLevelType w:val="hybridMultilevel"/>
    <w:tmpl w:val="9072E754"/>
    <w:lvl w:ilvl="0" w:tplc="C9066E68">
      <w:numFmt w:val="bullet"/>
      <w:lvlText w:val="-"/>
      <w:lvlJc w:val="left"/>
      <w:pPr>
        <w:ind w:left="360" w:hanging="360"/>
      </w:pPr>
      <w:rPr>
        <w:rFonts w:ascii="Franklin Gothic Book" w:eastAsiaTheme="minorEastAsia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D6"/>
    <w:rsid w:val="000449DC"/>
    <w:rsid w:val="0016577B"/>
    <w:rsid w:val="001746BF"/>
    <w:rsid w:val="001F4D98"/>
    <w:rsid w:val="0020249F"/>
    <w:rsid w:val="00210443"/>
    <w:rsid w:val="002167B6"/>
    <w:rsid w:val="004A1CD4"/>
    <w:rsid w:val="004D45FC"/>
    <w:rsid w:val="0051745B"/>
    <w:rsid w:val="0057267E"/>
    <w:rsid w:val="006938D6"/>
    <w:rsid w:val="006B152A"/>
    <w:rsid w:val="00836A91"/>
    <w:rsid w:val="00884744"/>
    <w:rsid w:val="00891D1A"/>
    <w:rsid w:val="008B7A3E"/>
    <w:rsid w:val="008D2893"/>
    <w:rsid w:val="00991E7F"/>
    <w:rsid w:val="009F7F9C"/>
    <w:rsid w:val="00AC4CF1"/>
    <w:rsid w:val="00B11C47"/>
    <w:rsid w:val="00BA0C79"/>
    <w:rsid w:val="00BB68F8"/>
    <w:rsid w:val="00C1366D"/>
    <w:rsid w:val="00C434CD"/>
    <w:rsid w:val="00CB3B1E"/>
    <w:rsid w:val="00D1536A"/>
    <w:rsid w:val="00D645CB"/>
    <w:rsid w:val="00E8004E"/>
    <w:rsid w:val="00EE2573"/>
    <w:rsid w:val="00FB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327"/>
  <w15:chartTrackingRefBased/>
  <w15:docId w15:val="{A9D50FC4-8F0C-48D8-9C47-DD344722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8D6"/>
  </w:style>
  <w:style w:type="paragraph" w:styleId="Heading1">
    <w:name w:val="heading 1"/>
    <w:basedOn w:val="Normal"/>
    <w:next w:val="Normal"/>
    <w:link w:val="Heading1Char"/>
    <w:uiPriority w:val="9"/>
    <w:qFormat/>
    <w:rsid w:val="00693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8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3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6938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C6E11D360B4D88608319E69AA6C2" ma:contentTypeVersion="2" ma:contentTypeDescription="Create a new document." ma:contentTypeScope="" ma:versionID="12eec1eb01a957e6dc24a6c21409c317">
  <xsd:schema xmlns:xsd="http://www.w3.org/2001/XMLSchema" xmlns:xs="http://www.w3.org/2001/XMLSchema" xmlns:p="http://schemas.microsoft.com/office/2006/metadata/properties" xmlns:ns3="fe5edc1b-b46a-4da4-9942-70c16d182dde" targetNamespace="http://schemas.microsoft.com/office/2006/metadata/properties" ma:root="true" ma:fieldsID="290e6ae65fcffb1c5a19ff1250200893" ns3:_="">
    <xsd:import namespace="fe5edc1b-b46a-4da4-9942-70c16d182d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edc1b-b46a-4da4-9942-70c16d182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87C95-82FC-4E1D-BC7B-341C6BC549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3D182A-AF79-43B0-BB91-335798777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edc1b-b46a-4da4-9942-70c16d182d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58109C-68FC-4464-B11E-182407572B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Berthon</dc:creator>
  <cp:keywords/>
  <dc:description/>
  <cp:lastModifiedBy>William Berthon</cp:lastModifiedBy>
  <cp:revision>13</cp:revision>
  <dcterms:created xsi:type="dcterms:W3CDTF">2023-04-18T09:54:00Z</dcterms:created>
  <dcterms:modified xsi:type="dcterms:W3CDTF">2023-07-12T09:07:00Z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0x0101006C91C6E11D360B4D88608319E69AA6C2</vt:lpwstr>
  </property>
</Properties>
</file>