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E8F89"/>
          <w:sz w:val="17"/>
          <w:szCs w:val="17"/>
        </w:rPr>
        <w:t xml:space="preserve">Mathematics Department · Diploma Department · Semester 1, 2026–27</w:t>
      </w:r>
    </w:p>
    <w:p>
      <w:pPr>
        <w:spacing w:after="40"/>
      </w:pPr>
      <w:r>
        <w:rPr>
          <w:rFonts w:ascii="Cambria" w:cs="Cambria" w:eastAsia="Cambria" w:hAnsi="Cambria"/>
          <w:b/>
          <w:bCs/>
          <w:color w:val="0E4F4C"/>
          <w:sz w:val="34"/>
          <w:szCs w:val="34"/>
        </w:rPr>
        <w:t xml:space="preserve">GAT and SAAT — Topic Classification and Weekly Alignment Map</w:t>
      </w:r>
    </w:p>
    <w:p>
      <w:pPr>
        <w:spacing w:after="160"/>
      </w:pPr>
      <w:r>
        <w:rPr>
          <w:rFonts w:ascii="Calibri" w:cs="Calibri" w:eastAsia="Calibri" w:hAnsi="Calibri"/>
          <w:i/>
          <w:iCs/>
          <w:color w:val="5C6E6C"/>
          <w:sz w:val="19"/>
          <w:szCs w:val="19"/>
        </w:rPr>
        <w:t xml:space="preserve">Prepared by Mr Malek Thiab · framework figures from the SAAT &amp; GAT Comprehensive Guide 2026–2027 (ETEC / Qiyas)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4678"/>
      </w:tblGrid>
      <w:tr>
        <w:tc>
          <w:tcPr>
            <w:tcW w:type="dxa" w:w="14678"/>
            <w:tcBorders>
              <w:top w:val="single" w:color="C9DEDC" w:sz="4"/>
              <w:left w:val="single" w:color="C9DEDC" w:sz="4"/>
              <w:bottom w:val="single" w:color="C9DEDC" w:sz="4"/>
              <w:right w:val="single" w:color="C9DEDC" w:sz="4"/>
            </w:tcBorders>
            <w:shd w:fill="0E4F4C" w:color="auto" w:val="clear"/>
            <w:tcMar>
              <w:top w:type="dxa" w:w="80"/>
              <w:left w:type="dxa" w:w="110"/>
              <w:bottom w:type="dxa" w:w="80"/>
              <w:right w:type="dxa" w:w="110"/>
            </w:tcMar>
            <w:vAlign w:val="top"/>
          </w:tcPr>
          <w:p>
            <w:pPr>
              <w:spacing w:after="0"/>
            </w:pPr>
            <w:r>
              <w:rPr>
                <w:rFonts w:ascii="Cambria" w:cs="Cambria" w:eastAsia="Cambria" w:hAnsi="Cambria"/>
                <w:b/>
                <w:bCs/>
                <w:color w:val="FFFFFF"/>
                <w:sz w:val="21"/>
                <w:szCs w:val="21"/>
              </w:rPr>
              <w:t xml:space="preserve">1 · HOW THIS MAP WORKS</w:t>
            </w:r>
            <w:r>
              <w:rPr>
                <w:rFonts w:ascii="Calibri" w:cs="Calibri" w:eastAsia="Calibri" w:hAnsi="Calibri"/>
                <w:color w:val="CFE8E6"/>
                <w:sz w:val="17"/>
                <w:szCs w:val="17"/>
              </w:rPr>
              <w:t xml:space="preserve">     two exams, two different logics — they cannot be scheduled the same way</w:t>
            </w:r>
          </w:p>
        </w:tc>
      </w:tr>
    </w:tbl>
    <w:p>
      <w:pPr>
        <w:spacing w:after="8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400"/>
        <w:gridCol w:w="12278"/>
      </w:tblGrid>
      <w:tr>
        <w:trPr>
          <w:tblHeader/>
        </w:trPr>
        <w:tc>
          <w:tcPr>
            <w:tcW w:type="dxa" w:w="240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Exam</w:t>
            </w:r>
          </w:p>
        </w:tc>
        <w:tc>
          <w:tcPr>
            <w:tcW w:type="dxa" w:w="12278"/>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Classification logic</w:t>
            </w:r>
          </w:p>
        </w:tc>
      </w:tr>
      <w:tr>
        <w:tc>
          <w:tcPr>
            <w:tcW w:type="dxa" w:w="24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0E4F4C"/>
                <w:sz w:val="19"/>
                <w:szCs w:val="19"/>
              </w:rPr>
              <w:t xml:space="preserve">GAT (Qudurat)</w:t>
            </w:r>
          </w:p>
        </w:tc>
        <w:tc>
          <w:tcPr>
            <w:tcW w:type="dxa" w:w="1227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Not curriculum-bound. It measures skills built over years, so it CANNOT be driven by the week's lesson. Each week therefore has a named FOCUS strand that gets the teaching time, while every practice set carries all five quantitative strands in the official proportion — because that is how the test itself is built. Where the focus strand genuinely overlaps the core lesson, the map says so and the two reinforce each other; where it does not, the session runs independently and the map says that too.</w:t>
            </w:r>
          </w:p>
        </w:tc>
      </w:tr>
      <w:tr>
        <w:tc>
          <w:tcPr>
            <w:tcW w:type="dxa" w:w="24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b/>
                <w:bCs/>
                <w:color w:val="0E4F4C"/>
                <w:sz w:val="19"/>
                <w:szCs w:val="19"/>
              </w:rPr>
              <w:t xml:space="preserve">SAAT (Tahsili)</w:t>
            </w:r>
          </w:p>
        </w:tc>
        <w:tc>
          <w:tcPr>
            <w:tcW w:type="dxa" w:w="1227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100% curriculum-bound to the Saudi MOE high school content. The Grade 11 mathematics band maps almost one-to-one onto our Algebra II scope, so the SAAT session can follow the core lesson closely for most of the semester. Where our sequence does not reach a SAAT topic this term, the map flags it as a gap rather than pretending it is covered.</w:t>
            </w:r>
          </w:p>
        </w:tc>
      </w:tr>
    </w:tbl>
    <w:p>
      <w:pPr>
        <w:spacing w:after="14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7478"/>
      </w:tblGrid>
      <w:tr>
        <w:trPr>
          <w:tblHeader/>
        </w:trPr>
        <w:tc>
          <w:tcPr>
            <w:tcW w:type="dxa" w:w="200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Session</w:t>
            </w:r>
          </w:p>
        </w:tc>
        <w:tc>
          <w:tcPr>
            <w:tcW w:type="dxa" w:w="260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Classes</w:t>
            </w:r>
          </w:p>
        </w:tc>
        <w:tc>
          <w:tcPr>
            <w:tcW w:type="dxa" w:w="260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Their exam window</w:t>
            </w:r>
          </w:p>
        </w:tc>
        <w:tc>
          <w:tcPr>
            <w:tcW w:type="dxa" w:w="7478"/>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What the session is for this semester</w:t>
            </w:r>
          </w:p>
        </w:tc>
      </w:tr>
      <w:tr>
        <w:tc>
          <w:tcPr>
            <w:tcW w:type="dxa" w:w="20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GAT (Qudurat)</w:t>
            </w:r>
          </w:p>
        </w:tc>
        <w:tc>
          <w:tcPr>
            <w:tcW w:type="dxa" w:w="26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10A · 10B</w:t>
            </w:r>
          </w:p>
        </w:tc>
        <w:tc>
          <w:tcPr>
            <w:tcW w:type="dxa" w:w="26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First attempt in Semester 2 of Grade 10, per the ETEC roadmap</w:t>
            </w:r>
          </w:p>
        </w:tc>
        <w:tc>
          <w:tcPr>
            <w:tcW w:type="dxa" w:w="747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Build the baseline. Five quantitative strands rotated, verbal handled by the English Department.</w:t>
            </w:r>
          </w:p>
        </w:tc>
      </w:tr>
      <w:tr>
        <w:tc>
          <w:tcPr>
            <w:tcW w:type="dxa" w:w="20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GAT (Qudurat)</w:t>
            </w:r>
          </w:p>
        </w:tc>
        <w:tc>
          <w:tcPr>
            <w:tcW w:type="dxa" w:w="26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12A · 12B</w:t>
            </w:r>
          </w:p>
        </w:tc>
        <w:tc>
          <w:tcPr>
            <w:tcW w:type="dxa" w:w="26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Remaining attempts early in Grade 12 (up to 5 in total)</w:t>
            </w:r>
          </w:p>
        </w:tc>
        <w:tc>
          <w:tcPr>
            <w:tcW w:type="dxa" w:w="747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Score improvement. Same strand rotation, higher item difficulty, strict 75-second pacing.</w:t>
            </w:r>
          </w:p>
        </w:tc>
      </w:tr>
      <w:tr>
        <w:tc>
          <w:tcPr>
            <w:tcW w:type="dxa" w:w="20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SAAT (Tahsili)</w:t>
            </w:r>
          </w:p>
        </w:tc>
        <w:tc>
          <w:tcPr>
            <w:tcW w:type="dxa" w:w="26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11C</w:t>
            </w:r>
          </w:p>
        </w:tc>
        <w:tc>
          <w:tcPr>
            <w:tcW w:type="dxa" w:w="26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Grade 12 (April–May and June windows); up to 4 attempts</w:t>
            </w:r>
          </w:p>
        </w:tc>
        <w:tc>
          <w:tcPr>
            <w:tcW w:type="dxa" w:w="747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Bank the Grade 10 and Grade 11 mathematics bands — half the mathematics items — while the content is current.</w:t>
            </w:r>
          </w:p>
        </w:tc>
      </w:tr>
    </w:tbl>
    <w:p>
      <w:pPr>
        <w:spacing w:after="100"/>
      </w:pPr>
    </w:p>
    <w:p>
      <w:pPr>
        <w:spacing w:after="220" w:before="0"/>
      </w:pPr>
      <w:r>
        <w:rPr>
          <w:rFonts w:ascii="Calibri" w:cs="Calibri" w:eastAsia="Calibri" w:hAnsi="Calibri"/>
          <w:i/>
          <w:iCs/>
          <w:color w:val="5C6E6C"/>
          <w:sz w:val="19"/>
          <w:szCs w:val="19"/>
        </w:rPr>
        <w:t xml:space="preserve">Scope note. SAAT science track is Mathematics 25%, Physics 25%, Chemistry 25%, Biology 25%. This map covers the mathematics quarter only. GAT scientific track is 52% quantitative and 48% verbal; this map covers the quantitative half. The verbal half is listed in section 3 so the split is on record, but it is not a mathematics workload.</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4678"/>
      </w:tblGrid>
      <w:tr>
        <w:tc>
          <w:tcPr>
            <w:tcW w:type="dxa" w:w="14678"/>
            <w:tcBorders>
              <w:top w:val="single" w:color="C9DEDC" w:sz="4"/>
              <w:left w:val="single" w:color="C9DEDC" w:sz="4"/>
              <w:bottom w:val="single" w:color="C9DEDC" w:sz="4"/>
              <w:right w:val="single" w:color="C9DEDC" w:sz="4"/>
            </w:tcBorders>
            <w:shd w:fill="0E4F4C" w:color="auto" w:val="clear"/>
            <w:tcMar>
              <w:top w:type="dxa" w:w="80"/>
              <w:left w:type="dxa" w:w="110"/>
              <w:bottom w:type="dxa" w:w="80"/>
              <w:right w:type="dxa" w:w="110"/>
            </w:tcMar>
            <w:vAlign w:val="top"/>
          </w:tcPr>
          <w:p>
            <w:pPr>
              <w:spacing w:after="0"/>
            </w:pPr>
            <w:r>
              <w:rPr>
                <w:rFonts w:ascii="Cambria" w:cs="Cambria" w:eastAsia="Cambria" w:hAnsi="Cambria"/>
                <w:b/>
                <w:bCs/>
                <w:color w:val="FFFFFF"/>
                <w:sz w:val="21"/>
                <w:szCs w:val="21"/>
              </w:rPr>
              <w:t xml:space="preserve">2 · GAT QUANTITATIVE CLASSIFICATION</w:t>
            </w:r>
            <w:r>
              <w:rPr>
                <w:rFonts w:ascii="Calibri" w:cs="Calibri" w:eastAsia="Calibri" w:hAnsi="Calibri"/>
                <w:color w:val="CFE8E6"/>
                <w:sz w:val="17"/>
                <w:szCs w:val="17"/>
              </w:rPr>
              <w:t xml:space="preserve">     5 strands · official weights · 120 items in 150 minutes · no calculator</w:t>
            </w:r>
          </w:p>
        </w:tc>
      </w:tr>
    </w:tbl>
    <w:p>
      <w:pPr>
        <w:spacing w:after="8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900"/>
        <w:gridCol w:w="9778"/>
      </w:tblGrid>
      <w:tr>
        <w:trPr>
          <w:tblHeader/>
        </w:trPr>
        <w:tc>
          <w:tcPr>
            <w:tcW w:type="dxa" w:w="150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Code</w:t>
            </w:r>
          </w:p>
        </w:tc>
        <w:tc>
          <w:tcPr>
            <w:tcW w:type="dxa" w:w="250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Strand</w:t>
            </w:r>
          </w:p>
        </w:tc>
        <w:tc>
          <w:tcPr>
            <w:tcW w:type="dxa" w:w="90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Weight</w:t>
            </w:r>
          </w:p>
        </w:tc>
        <w:tc>
          <w:tcPr>
            <w:tcW w:type="dxa" w:w="9778"/>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Sub-topics — these are the classification tags used on every practice item</w:t>
            </w:r>
          </w:p>
        </w:tc>
      </w:tr>
      <w:tr>
        <w:tc>
          <w:tcPr>
            <w:tcW w:type="dxa" w:w="15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8A1B17"/>
                <w:sz w:val="18"/>
                <w:szCs w:val="18"/>
              </w:rPr>
              <w:t xml:space="preserve">GAT-Q-ARI</w:t>
            </w:r>
          </w:p>
        </w:tc>
        <w:tc>
          <w:tcPr>
            <w:tcW w:type="dxa" w:w="25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Arithmetic &amp; Number Theory</w:t>
            </w:r>
          </w:p>
        </w:tc>
        <w:tc>
          <w:tcPr>
            <w:tcW w:type="dxa" w:w="9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~36%</w:t>
            </w:r>
          </w:p>
        </w:tc>
        <w:tc>
          <w:tcPr>
            <w:tcW w:type="dxa" w:w="977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.1 primes, factors, divisibility rules (2, 3, 4, 5, 6, 8, 9, 11)  ·  .2 LCM and GCD  ·  .3 fractions, decimals, percentages  ·  .4 exponent rules, roots and radicals  ·  .5 numerical series and pattern recognition</w:t>
            </w:r>
          </w:p>
        </w:tc>
      </w:tr>
      <w:tr>
        <w:tc>
          <w:tcPr>
            <w:tcW w:type="dxa" w:w="15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b/>
                <w:bCs/>
                <w:color w:val="8A1B17"/>
                <w:sz w:val="18"/>
                <w:szCs w:val="18"/>
              </w:rPr>
              <w:t xml:space="preserve">GAT-Q-ALG</w:t>
            </w:r>
          </w:p>
        </w:tc>
        <w:tc>
          <w:tcPr>
            <w:tcW w:type="dxa" w:w="25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Algebra &amp; Equations</w:t>
            </w:r>
          </w:p>
        </w:tc>
        <w:tc>
          <w:tcPr>
            <w:tcW w:type="dxa" w:w="9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~18%</w:t>
            </w:r>
          </w:p>
        </w:tc>
        <w:tc>
          <w:tcPr>
            <w:tcW w:type="dxa" w:w="977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.1 linear equations and inequalities  ·  .2 systems of linear equations  ·  .3 factoring and identities (x²−y², (x+y)²)  ·  .4 algebraic simplification  ·  .5 evaluating functions and proportional expressions</w:t>
            </w:r>
          </w:p>
        </w:tc>
      </w:tr>
      <w:tr>
        <w:tc>
          <w:tcPr>
            <w:tcW w:type="dxa" w:w="15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8A1B17"/>
                <w:sz w:val="18"/>
                <w:szCs w:val="18"/>
              </w:rPr>
              <w:t xml:space="preserve">GAT-Q-GEO</w:t>
            </w:r>
          </w:p>
        </w:tc>
        <w:tc>
          <w:tcPr>
            <w:tcW w:type="dxa" w:w="25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Geometry &amp; Measurement</w:t>
            </w:r>
          </w:p>
        </w:tc>
        <w:tc>
          <w:tcPr>
            <w:tcW w:type="dxa" w:w="9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~18%</w:t>
            </w:r>
          </w:p>
        </w:tc>
        <w:tc>
          <w:tcPr>
            <w:tcW w:type="dxa" w:w="977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.1 angles, parallel lines and transversals  ·  .2 triangles: Pythagoras, 30-60-90 and 45-45-90, area and perimeter  ·  .3 circles: circumference, sector area  ·  .4 quadrilaterals and regular polygons  ·  .5 3D volume and surface area  ·  .6 coordinate geometry: distance, midpoint, slope</w:t>
            </w:r>
          </w:p>
        </w:tc>
      </w:tr>
      <w:tr>
        <w:tc>
          <w:tcPr>
            <w:tcW w:type="dxa" w:w="15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b/>
                <w:bCs/>
                <w:color w:val="8A1B17"/>
                <w:sz w:val="18"/>
                <w:szCs w:val="18"/>
              </w:rPr>
              <w:t xml:space="preserve">GAT-Q-DAT</w:t>
            </w:r>
          </w:p>
        </w:tc>
        <w:tc>
          <w:tcPr>
            <w:tcW w:type="dxa" w:w="25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Data Analysis &amp; Statistics</w:t>
            </w:r>
          </w:p>
        </w:tc>
        <w:tc>
          <w:tcPr>
            <w:tcW w:type="dxa" w:w="9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~18%</w:t>
            </w:r>
          </w:p>
        </w:tc>
        <w:tc>
          <w:tcPr>
            <w:tcW w:type="dxa" w:w="977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.1 reading bar charts, line graphs, pie charts and tables  ·  .2 range and spread  ·  .3 probability of single and compound events  ·  .4 counting principle, basic permutations and combinations  ·  .5 mean, median and mode</w:t>
            </w:r>
          </w:p>
        </w:tc>
      </w:tr>
      <w:tr>
        <w:tc>
          <w:tcPr>
            <w:tcW w:type="dxa" w:w="15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8A1B17"/>
                <w:sz w:val="18"/>
                <w:szCs w:val="18"/>
              </w:rPr>
              <w:t xml:space="preserve">GAT-Q-LOG</w:t>
            </w:r>
          </w:p>
        </w:tc>
        <w:tc>
          <w:tcPr>
            <w:tcW w:type="dxa" w:w="25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Applied Logic &amp; Word Problems</w:t>
            </w:r>
          </w:p>
        </w:tc>
        <w:tc>
          <w:tcPr>
            <w:tcW w:type="dxa" w:w="9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~10%</w:t>
            </w:r>
          </w:p>
        </w:tc>
        <w:tc>
          <w:tcPr>
            <w:tcW w:type="dxa" w:w="977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.1 speed, distance, time and average speed  ·  .2 work-rate problems (1/T = 1/t₁ + 1/t₂)  ·  .3 age and ratio puzzles  ·  .4 currency, profit and loss, scale drawings</w:t>
            </w:r>
          </w:p>
        </w:tc>
      </w:tr>
    </w:tbl>
    <w:p>
      <w:pPr>
        <w:spacing w:after="120"/>
      </w:pPr>
    </w:p>
    <w:p>
      <w:pPr>
        <w:spacing w:after="80" w:before="0"/>
      </w:pPr>
      <w:r>
        <w:rPr>
          <w:rFonts w:ascii="Calibri" w:cs="Calibri" w:eastAsia="Calibri" w:hAnsi="Calibri"/>
          <w:b/>
          <w:bCs/>
          <w:color w:val="0E4F4C"/>
          <w:sz w:val="20"/>
          <w:szCs w:val="20"/>
        </w:rPr>
        <w:t xml:space="preserve">Standing item budget — every GAT practice set, 28 items, matches the official weighting:</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900"/>
        <w:gridCol w:w="2900"/>
        <w:gridCol w:w="3078"/>
      </w:tblGrid>
      <w:tr>
        <w:trPr>
          <w:tblHeader/>
        </w:trPr>
        <w:tc>
          <w:tcPr>
            <w:tcW w:type="dxa" w:w="290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GAT-Q-ARI</w:t>
            </w:r>
          </w:p>
        </w:tc>
        <w:tc>
          <w:tcPr>
            <w:tcW w:type="dxa" w:w="290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GAT-Q-ALG</w:t>
            </w:r>
          </w:p>
        </w:tc>
        <w:tc>
          <w:tcPr>
            <w:tcW w:type="dxa" w:w="290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GAT-Q-GEO</w:t>
            </w:r>
          </w:p>
        </w:tc>
        <w:tc>
          <w:tcPr>
            <w:tcW w:type="dxa" w:w="290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GAT-Q-DAT</w:t>
            </w:r>
          </w:p>
        </w:tc>
        <w:tc>
          <w:tcPr>
            <w:tcW w:type="dxa" w:w="3078"/>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GAT-Q-LOG</w:t>
            </w:r>
          </w:p>
        </w:tc>
      </w:tr>
      <w:tr>
        <w:tc>
          <w:tcPr>
            <w:tcW w:type="dxa" w:w="29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20"/>
                <w:szCs w:val="20"/>
              </w:rPr>
              <w:t xml:space="preserve">10 items  (36%)</w:t>
            </w:r>
          </w:p>
        </w:tc>
        <w:tc>
          <w:tcPr>
            <w:tcW w:type="dxa" w:w="29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20"/>
                <w:szCs w:val="20"/>
              </w:rPr>
              <w:t xml:space="preserve">5 items  (18%)</w:t>
            </w:r>
          </w:p>
        </w:tc>
        <w:tc>
          <w:tcPr>
            <w:tcW w:type="dxa" w:w="29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20"/>
                <w:szCs w:val="20"/>
              </w:rPr>
              <w:t xml:space="preserve">5 items  (18%)</w:t>
            </w:r>
          </w:p>
        </w:tc>
        <w:tc>
          <w:tcPr>
            <w:tcW w:type="dxa" w:w="29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20"/>
                <w:szCs w:val="20"/>
              </w:rPr>
              <w:t xml:space="preserve">5 items  (18%)</w:t>
            </w:r>
          </w:p>
        </w:tc>
        <w:tc>
          <w:tcPr>
            <w:tcW w:type="dxa" w:w="307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20"/>
                <w:szCs w:val="20"/>
              </w:rPr>
              <w:t xml:space="preserve">3 items  (10%)</w:t>
            </w:r>
          </w:p>
        </w:tc>
      </w:tr>
    </w:tbl>
    <w:p>
      <w:pPr>
        <w:spacing w:after="100"/>
      </w:pPr>
    </w:p>
    <w:p>
      <w:pPr>
        <w:spacing w:after="220" w:before="0"/>
      </w:pPr>
      <w:r>
        <w:rPr>
          <w:rFonts w:ascii="Calibri" w:cs="Calibri" w:eastAsia="Calibri" w:hAnsi="Calibri"/>
          <w:i/>
          <w:iCs/>
          <w:color w:val="5C6E6C"/>
          <w:sz w:val="19"/>
          <w:szCs w:val="19"/>
        </w:rPr>
        <w:t xml:space="preserve">Timing standard: 28 items in 35 minutes — the real 75 seconds per question. Calculators are prohibited on the day, so they are prohibited in every practice set from Week 1. Cognitive mix per ETEC: about 25–30% recall, 40–45% application, 30% multi-step analysis.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4678"/>
      </w:tblGrid>
      <w:tr>
        <w:tc>
          <w:tcPr>
            <w:tcW w:type="dxa" w:w="14678"/>
            <w:tcBorders>
              <w:top w:val="single" w:color="C9DEDC" w:sz="4"/>
              <w:left w:val="single" w:color="C9DEDC" w:sz="4"/>
              <w:bottom w:val="single" w:color="C9DEDC" w:sz="4"/>
              <w:right w:val="single" w:color="C9DEDC" w:sz="4"/>
            </w:tcBorders>
            <w:shd w:fill="0E4F4C" w:color="auto" w:val="clear"/>
            <w:tcMar>
              <w:top w:type="dxa" w:w="80"/>
              <w:left w:type="dxa" w:w="110"/>
              <w:bottom w:type="dxa" w:w="80"/>
              <w:right w:type="dxa" w:w="110"/>
            </w:tcMar>
            <w:vAlign w:val="top"/>
          </w:tcPr>
          <w:p>
            <w:pPr>
              <w:spacing w:after="0"/>
            </w:pPr>
            <w:r>
              <w:rPr>
                <w:rFonts w:ascii="Cambria" w:cs="Cambria" w:eastAsia="Cambria" w:hAnsi="Cambria"/>
                <w:b/>
                <w:bCs/>
                <w:color w:val="FFFFFF"/>
                <w:sz w:val="21"/>
                <w:szCs w:val="21"/>
              </w:rPr>
              <w:t xml:space="preserve">3 · GAT VERBAL CLASSIFICATION</w:t>
            </w:r>
            <w:r>
              <w:rPr>
                <w:rFonts w:ascii="Calibri" w:cs="Calibri" w:eastAsia="Calibri" w:hAnsi="Calibri"/>
                <w:color w:val="CFE8E6"/>
                <w:sz w:val="17"/>
                <w:szCs w:val="17"/>
              </w:rPr>
              <w:t xml:space="preserve">     48% of the scientific-track test — on record here, but not a mathematics workload</w:t>
            </w:r>
          </w:p>
        </w:tc>
      </w:tr>
    </w:tbl>
    <w:p>
      <w:pPr>
        <w:spacing w:after="8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900"/>
        <w:gridCol w:w="9078"/>
      </w:tblGrid>
      <w:tr>
        <w:trPr>
          <w:tblHeader/>
        </w:trPr>
        <w:tc>
          <w:tcPr>
            <w:tcW w:type="dxa" w:w="150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Code</w:t>
            </w:r>
          </w:p>
        </w:tc>
        <w:tc>
          <w:tcPr>
            <w:tcW w:type="dxa" w:w="320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Strand</w:t>
            </w:r>
          </w:p>
        </w:tc>
        <w:tc>
          <w:tcPr>
            <w:tcW w:type="dxa" w:w="90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Weight</w:t>
            </w:r>
          </w:p>
        </w:tc>
        <w:tc>
          <w:tcPr>
            <w:tcW w:type="dxa" w:w="9078"/>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Assessment focus</w:t>
            </w:r>
          </w:p>
        </w:tc>
      </w:tr>
      <w:tr>
        <w:tc>
          <w:tcPr>
            <w:tcW w:type="dxa" w:w="15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GAT-V-RCM</w:t>
            </w:r>
          </w:p>
        </w:tc>
        <w:tc>
          <w:tcPr>
            <w:tcW w:type="dxa" w:w="32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Reading Comprehension</w:t>
            </w:r>
          </w:p>
        </w:tc>
        <w:tc>
          <w:tcPr>
            <w:tcW w:type="dxa" w:w="9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~40%</w:t>
            </w:r>
          </w:p>
        </w:tc>
        <w:tc>
          <w:tcPr>
            <w:tcW w:type="dxa" w:w="907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Main title, explicit detail, implicit inference, tone, paragraph function, vocabulary in context.</w:t>
            </w:r>
          </w:p>
        </w:tc>
      </w:tr>
      <w:tr>
        <w:tc>
          <w:tcPr>
            <w:tcW w:type="dxa" w:w="15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GAT-V-SCM</w:t>
            </w:r>
          </w:p>
        </w:tc>
        <w:tc>
          <w:tcPr>
            <w:tcW w:type="dxa" w:w="32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Sentence Completion</w:t>
            </w:r>
          </w:p>
        </w:tc>
        <w:tc>
          <w:tcPr>
            <w:tcW w:type="dxa" w:w="9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~20%</w:t>
            </w:r>
          </w:p>
        </w:tc>
        <w:tc>
          <w:tcPr>
            <w:tcW w:type="dxa" w:w="907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One or two missing words; vocabulary precision and contextual logic.</w:t>
            </w:r>
          </w:p>
        </w:tc>
      </w:tr>
      <w:tr>
        <w:tc>
          <w:tcPr>
            <w:tcW w:type="dxa" w:w="15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GAT-V-ERR</w:t>
            </w:r>
          </w:p>
        </w:tc>
        <w:tc>
          <w:tcPr>
            <w:tcW w:type="dxa" w:w="32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Contextual Error</w:t>
            </w:r>
          </w:p>
        </w:tc>
        <w:tc>
          <w:tcPr>
            <w:tcW w:type="dxa" w:w="9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~20%</w:t>
            </w:r>
          </w:p>
        </w:tc>
        <w:tc>
          <w:tcPr>
            <w:tcW w:type="dxa" w:w="907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Which single word among four breaks the logical sense — grammar is correct, meaning is not.</w:t>
            </w:r>
          </w:p>
        </w:tc>
      </w:tr>
      <w:tr>
        <w:tc>
          <w:tcPr>
            <w:tcW w:type="dxa" w:w="15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GAT-V-ANA</w:t>
            </w:r>
          </w:p>
        </w:tc>
        <w:tc>
          <w:tcPr>
            <w:tcW w:type="dxa" w:w="32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Verbal Analogy</w:t>
            </w:r>
          </w:p>
        </w:tc>
        <w:tc>
          <w:tcPr>
            <w:tcW w:type="dxa" w:w="9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~15%</w:t>
            </w:r>
          </w:p>
        </w:tc>
        <w:tc>
          <w:tcPr>
            <w:tcW w:type="dxa" w:w="907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Cause:Effect, Part:Whole, Tool:Worker, Product:Origin, Synonym/Antonym.</w:t>
            </w:r>
          </w:p>
        </w:tc>
      </w:tr>
      <w:tr>
        <w:tc>
          <w:tcPr>
            <w:tcW w:type="dxa" w:w="15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GAT-V-ODD</w:t>
            </w:r>
          </w:p>
        </w:tc>
        <w:tc>
          <w:tcPr>
            <w:tcW w:type="dxa" w:w="32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Odd Word Out</w:t>
            </w:r>
          </w:p>
        </w:tc>
        <w:tc>
          <w:tcPr>
            <w:tcW w:type="dxa" w:w="9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~5%</w:t>
            </w:r>
          </w:p>
        </w:tc>
        <w:tc>
          <w:tcPr>
            <w:tcW w:type="dxa" w:w="907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The word outside the shared semantic or functional category.</w:t>
            </w:r>
          </w:p>
        </w:tc>
      </w:tr>
    </w:tbl>
    <w:p>
      <w:pPr>
        <w:spacing w:after="100"/>
      </w:pPr>
    </w:p>
    <w:p>
      <w:pPr>
        <w:spacing w:after="220" w:before="0"/>
      </w:pPr>
      <w:r>
        <w:rPr>
          <w:rFonts w:ascii="Calibri" w:cs="Calibri" w:eastAsia="Calibri" w:hAnsi="Calibri"/>
          <w:i/>
          <w:iCs/>
          <w:color w:val="5C6E6C"/>
          <w:sz w:val="19"/>
          <w:szCs w:val="19"/>
        </w:rPr>
        <w:t xml:space="preserve">Recommendation: pass this table to the English Department and agree who owns the verbal half. A student who scores well on our quantitative work and poorly on verbal still fails to reach the composite score their faculty requires.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4678"/>
      </w:tblGrid>
      <w:tr>
        <w:tc>
          <w:tcPr>
            <w:tcW w:type="dxa" w:w="14678"/>
            <w:tcBorders>
              <w:top w:val="single" w:color="C9DEDC" w:sz="4"/>
              <w:left w:val="single" w:color="C9DEDC" w:sz="4"/>
              <w:bottom w:val="single" w:color="C9DEDC" w:sz="4"/>
              <w:right w:val="single" w:color="C9DEDC" w:sz="4"/>
            </w:tcBorders>
            <w:shd w:fill="0E4F4C" w:color="auto" w:val="clear"/>
            <w:tcMar>
              <w:top w:type="dxa" w:w="80"/>
              <w:left w:type="dxa" w:w="110"/>
              <w:bottom w:type="dxa" w:w="80"/>
              <w:right w:type="dxa" w:w="110"/>
            </w:tcMar>
            <w:vAlign w:val="top"/>
          </w:tcPr>
          <w:p>
            <w:pPr>
              <w:spacing w:after="0"/>
            </w:pPr>
            <w:r>
              <w:rPr>
                <w:rFonts w:ascii="Cambria" w:cs="Cambria" w:eastAsia="Cambria" w:hAnsi="Cambria"/>
                <w:b/>
                <w:bCs/>
                <w:color w:val="FFFFFF"/>
                <w:sz w:val="21"/>
                <w:szCs w:val="21"/>
              </w:rPr>
              <w:t xml:space="preserve">4 · SAAT MATHEMATICS CLASSIFICATION</w:t>
            </w:r>
            <w:r>
              <w:rPr>
                <w:rFonts w:ascii="Calibri" w:cs="Calibri" w:eastAsia="Calibri" w:hAnsi="Calibri"/>
                <w:color w:val="CFE8E6"/>
                <w:sz w:val="17"/>
                <w:szCs w:val="17"/>
              </w:rPr>
              <w:t xml:space="preserve">     mathematics is 25% of the science track · Grade 10 20% · Grade 11 30% · Grade 12 50%</w:t>
            </w:r>
          </w:p>
        </w:tc>
      </w:tr>
    </w:tbl>
    <w:p>
      <w:pPr>
        <w:spacing w:after="8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4600"/>
        <w:gridCol w:w="7378"/>
      </w:tblGrid>
      <w:tr>
        <w:trPr>
          <w:tblHeader/>
        </w:trPr>
        <w:tc>
          <w:tcPr>
            <w:tcW w:type="dxa" w:w="150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Code</w:t>
            </w:r>
          </w:p>
        </w:tc>
        <w:tc>
          <w:tcPr>
            <w:tcW w:type="dxa" w:w="120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Share</w:t>
            </w:r>
          </w:p>
        </w:tc>
        <w:tc>
          <w:tcPr>
            <w:tcW w:type="dxa" w:w="460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SAAT topic</w:t>
            </w:r>
          </w:p>
        </w:tc>
        <w:tc>
          <w:tcPr>
            <w:tcW w:type="dxa" w:w="7378"/>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Where 11C meets it in our Algebra II scheme</w:t>
            </w:r>
          </w:p>
        </w:tc>
      </w:tr>
      <w:tr>
        <w:tc>
          <w:tcPr>
            <w:tcW w:type="dxa" w:w="15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222E2D"/>
                <w:sz w:val="18"/>
                <w:szCs w:val="18"/>
              </w:rPr>
              <w:t xml:space="preserve">SAAT-M-10.1</w:t>
            </w:r>
          </w:p>
        </w:tc>
        <w:tc>
          <w:tcPr>
            <w:tcW w:type="dxa" w:w="12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
            </w:r>
          </w:p>
        </w:tc>
        <w:tc>
          <w:tcPr>
            <w:tcW w:type="dxa" w:w="46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Symbolic logic, truth tables, conditional statements</w:t>
            </w:r>
          </w:p>
        </w:tc>
        <w:tc>
          <w:tcPr>
            <w:tcW w:type="dxa" w:w="737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8A5A17"/>
                <w:sz w:val="18"/>
                <w:szCs w:val="18"/>
              </w:rPr>
              <w:t xml:space="preserve">Not in Algebra II — schedule as a standalone SAAT session (Week 12)</w:t>
            </w:r>
          </w:p>
        </w:tc>
      </w:tr>
      <w:tr>
        <w:tc>
          <w:tcPr>
            <w:tcW w:type="dxa" w:w="15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SAAT-M-10.2</w:t>
            </w:r>
          </w:p>
        </w:tc>
        <w:tc>
          <w:tcPr>
            <w:tcW w:type="dxa" w:w="12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
            </w:r>
          </w:p>
        </w:tc>
        <w:tc>
          <w:tcPr>
            <w:tcW w:type="dxa" w:w="46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Parallel lines and transversals</w:t>
            </w:r>
          </w:p>
        </w:tc>
        <w:tc>
          <w:tcPr>
            <w:tcW w:type="dxa" w:w="737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5C6E6C"/>
                <w:sz w:val="18"/>
                <w:szCs w:val="18"/>
              </w:rPr>
              <w:t xml:space="preserve">Prior learning — revision only (Week 14)</w:t>
            </w:r>
          </w:p>
        </w:tc>
      </w:tr>
      <w:tr>
        <w:tc>
          <w:tcPr>
            <w:tcW w:type="dxa" w:w="15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SAAT-M-10.3</w:t>
            </w:r>
          </w:p>
        </w:tc>
        <w:tc>
          <w:tcPr>
            <w:tcW w:type="dxa" w:w="12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
            </w:r>
          </w:p>
        </w:tc>
        <w:tc>
          <w:tcPr>
            <w:tcW w:type="dxa" w:w="46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Triangle congruence (SSS, SAS, ASA, AAS) and similarity</w:t>
            </w:r>
          </w:p>
        </w:tc>
        <w:tc>
          <w:tcPr>
            <w:tcW w:type="dxa" w:w="737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5C6E6C"/>
                <w:sz w:val="18"/>
                <w:szCs w:val="18"/>
              </w:rPr>
              <w:t xml:space="preserve">Prior learning — revision only (Week 14)</w:t>
            </w:r>
          </w:p>
        </w:tc>
      </w:tr>
      <w:tr>
        <w:tc>
          <w:tcPr>
            <w:tcW w:type="dxa" w:w="15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SAAT-M-10.4</w:t>
            </w:r>
          </w:p>
        </w:tc>
        <w:tc>
          <w:tcPr>
            <w:tcW w:type="dxa" w:w="12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
            </w:r>
          </w:p>
        </w:tc>
        <w:tc>
          <w:tcPr>
            <w:tcW w:type="dxa" w:w="46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Quadrilaterals: parallelograms, rhombuses, trapezoids</w:t>
            </w:r>
          </w:p>
        </w:tc>
        <w:tc>
          <w:tcPr>
            <w:tcW w:type="dxa" w:w="737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5C6E6C"/>
                <w:sz w:val="18"/>
                <w:szCs w:val="18"/>
              </w:rPr>
              <w:t xml:space="preserve">Prior learning — revision only (Week 14)</w:t>
            </w:r>
          </w:p>
        </w:tc>
      </w:tr>
      <w:tr>
        <w:tc>
          <w:tcPr>
            <w:tcW w:type="dxa" w:w="15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SAAT-M-10.5</w:t>
            </w:r>
          </w:p>
        </w:tc>
        <w:tc>
          <w:tcPr>
            <w:tcW w:type="dxa" w:w="12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
            </w:r>
          </w:p>
        </w:tc>
        <w:tc>
          <w:tcPr>
            <w:tcW w:type="dxa" w:w="46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Coordinate geometry: midpoint, distance, slope</w:t>
            </w:r>
          </w:p>
        </w:tc>
        <w:tc>
          <w:tcPr>
            <w:tcW w:type="dxa" w:w="737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Revisited through Topic 9 conic sections (Weeks 3 and 14–15)</w:t>
            </w:r>
          </w:p>
        </w:tc>
      </w:tr>
      <w:tr>
        <w:tc>
          <w:tcPr>
            <w:tcW w:type="dxa" w:w="15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b/>
                <w:bCs/>
                <w:color w:val="222E2D"/>
                <w:sz w:val="18"/>
                <w:szCs w:val="18"/>
              </w:rPr>
              <w:t xml:space="preserve">SAAT-M-10.6</w:t>
            </w:r>
          </w:p>
        </w:tc>
        <w:tc>
          <w:tcPr>
            <w:tcW w:type="dxa" w:w="12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b/>
                <w:bCs/>
                <w:color w:val="0E4F4C"/>
                <w:sz w:val="18"/>
                <w:szCs w:val="18"/>
              </w:rPr>
              <w:t xml:space="preserve">20% of maths items</w:t>
            </w:r>
          </w:p>
        </w:tc>
        <w:tc>
          <w:tcPr>
            <w:tcW w:type="dxa" w:w="46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Transformations: reflections, translations, rotations, dilations</w:t>
            </w:r>
          </w:p>
        </w:tc>
        <w:tc>
          <w:tcPr>
            <w:tcW w:type="dxa" w:w="737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Topic 5-6 inverse functions — reflection in y = x (Week 4)</w:t>
            </w:r>
          </w:p>
        </w:tc>
      </w:tr>
      <w:tr>
        <w:tc>
          <w:tcPr>
            <w:tcW w:type="dxa" w:w="15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222E2D"/>
                <w:sz w:val="18"/>
                <w:szCs w:val="18"/>
              </w:rPr>
              <w:t xml:space="preserve">SAAT-M-11.1</w:t>
            </w:r>
          </w:p>
        </w:tc>
        <w:tc>
          <w:tcPr>
            <w:tcW w:type="dxa" w:w="12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
            </w:r>
          </w:p>
        </w:tc>
        <w:tc>
          <w:tcPr>
            <w:tcW w:type="dxa" w:w="46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Exponents and logarithms, log laws</w:t>
            </w:r>
          </w:p>
        </w:tc>
        <w:tc>
          <w:tcPr>
            <w:tcW w:type="dxa" w:w="737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0E4F4C"/>
                <w:sz w:val="18"/>
                <w:szCs w:val="18"/>
              </w:rPr>
              <w:t xml:space="preserve">Topic 6 — Weeks 5, 6, 7. Directly aligned.</w:t>
            </w:r>
          </w:p>
        </w:tc>
      </w:tr>
      <w:tr>
        <w:tc>
          <w:tcPr>
            <w:tcW w:type="dxa" w:w="15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SAAT-M-11.2</w:t>
            </w:r>
          </w:p>
        </w:tc>
        <w:tc>
          <w:tcPr>
            <w:tcW w:type="dxa" w:w="12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
            </w:r>
          </w:p>
        </w:tc>
        <w:tc>
          <w:tcPr>
            <w:tcW w:type="dxa" w:w="46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Radical and rational expressions</w:t>
            </w:r>
          </w:p>
        </w:tc>
        <w:tc>
          <w:tcPr>
            <w:tcW w:type="dxa" w:w="737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0E4F4C"/>
                <w:sz w:val="18"/>
                <w:szCs w:val="18"/>
              </w:rPr>
              <w:t xml:space="preserve">Topic 5 — Weeks 1, 2. Directly aligned.</w:t>
            </w:r>
          </w:p>
        </w:tc>
      </w:tr>
      <w:tr>
        <w:tc>
          <w:tcPr>
            <w:tcW w:type="dxa" w:w="15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SAAT-M-11.3</w:t>
            </w:r>
          </w:p>
        </w:tc>
        <w:tc>
          <w:tcPr>
            <w:tcW w:type="dxa" w:w="12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
            </w:r>
          </w:p>
        </w:tc>
        <w:tc>
          <w:tcPr>
            <w:tcW w:type="dxa" w:w="46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Quadratic functions, discriminant, complex numbers</w:t>
            </w:r>
          </w:p>
        </w:tc>
        <w:tc>
          <w:tcPr>
            <w:tcW w:type="dxa" w:w="737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Topic 8-3 the complex plane (Week 13); quadratics are prior learning</w:t>
            </w:r>
          </w:p>
        </w:tc>
      </w:tr>
      <w:tr>
        <w:tc>
          <w:tcPr>
            <w:tcW w:type="dxa" w:w="15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SAAT-M-11.4</w:t>
            </w:r>
          </w:p>
        </w:tc>
        <w:tc>
          <w:tcPr>
            <w:tcW w:type="dxa" w:w="12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
            </w:r>
          </w:p>
        </w:tc>
        <w:tc>
          <w:tcPr>
            <w:tcW w:type="dxa" w:w="46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Polynomial functions and synthetic division</w:t>
            </w:r>
          </w:p>
        </w:tc>
        <w:tc>
          <w:tcPr>
            <w:tcW w:type="dxa" w:w="737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8A5A17"/>
                <w:sz w:val="18"/>
                <w:szCs w:val="18"/>
              </w:rPr>
              <w:t xml:space="preserve">Not in the Grade 11 Semester 1 scheme — standalone SAAT session (Week 15)</w:t>
            </w:r>
          </w:p>
        </w:tc>
      </w:tr>
      <w:tr>
        <w:tc>
          <w:tcPr>
            <w:tcW w:type="dxa" w:w="15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SAAT-M-11.5</w:t>
            </w:r>
          </w:p>
        </w:tc>
        <w:tc>
          <w:tcPr>
            <w:tcW w:type="dxa" w:w="12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
            </w:r>
          </w:p>
        </w:tc>
        <w:tc>
          <w:tcPr>
            <w:tcW w:type="dxa" w:w="46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Sequences and series, arithmetic and geometric</w:t>
            </w:r>
          </w:p>
        </w:tc>
        <w:tc>
          <w:tcPr>
            <w:tcW w:type="dxa" w:w="737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0E4F4C"/>
                <w:sz w:val="18"/>
                <w:szCs w:val="18"/>
              </w:rPr>
              <w:t xml:space="preserve">Topic 6-7 geometric sequences (Week 8). Directly aligned.</w:t>
            </w:r>
          </w:p>
        </w:tc>
      </w:tr>
      <w:tr>
        <w:tc>
          <w:tcPr>
            <w:tcW w:type="dxa" w:w="15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SAAT-M-11.6</w:t>
            </w:r>
          </w:p>
        </w:tc>
        <w:tc>
          <w:tcPr>
            <w:tcW w:type="dxa" w:w="12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
            </w:r>
          </w:p>
        </w:tc>
        <w:tc>
          <w:tcPr>
            <w:tcW w:type="dxa" w:w="46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Matrices: addition, multiplication, determinant, inverse</w:t>
            </w:r>
          </w:p>
        </w:tc>
        <w:tc>
          <w:tcPr>
            <w:tcW w:type="dxa" w:w="737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8A1B17"/>
                <w:sz w:val="18"/>
                <w:szCs w:val="18"/>
              </w:rPr>
              <w:t xml:space="preserve">GAP — the matrices unit falls in Semester 2. Cover in the SAAT session or move it forward.</w:t>
            </w:r>
          </w:p>
        </w:tc>
      </w:tr>
      <w:tr>
        <w:tc>
          <w:tcPr>
            <w:tcW w:type="dxa" w:w="15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222E2D"/>
                <w:sz w:val="18"/>
                <w:szCs w:val="18"/>
              </w:rPr>
              <w:t xml:space="preserve">SAAT-M-11.7</w:t>
            </w:r>
          </w:p>
        </w:tc>
        <w:tc>
          <w:tcPr>
            <w:tcW w:type="dxa" w:w="12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0E4F4C"/>
                <w:sz w:val="18"/>
                <w:szCs w:val="18"/>
              </w:rPr>
              <w:t xml:space="preserve">30% of maths items</w:t>
            </w:r>
          </w:p>
        </w:tc>
        <w:tc>
          <w:tcPr>
            <w:tcW w:type="dxa" w:w="46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Trigonometric ratios, unit circle, Laws of Sines and Cosines</w:t>
            </w:r>
          </w:p>
        </w:tc>
        <w:tc>
          <w:tcPr>
            <w:tcW w:type="dxa" w:w="737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0E4F4C"/>
                <w:sz w:val="18"/>
                <w:szCs w:val="18"/>
              </w:rPr>
              <w:t xml:space="preserve">Topic 7 — Weeks 9, 10, 11. Directly aligned.</w:t>
            </w:r>
          </w:p>
        </w:tc>
      </w:tr>
      <w:tr>
        <w:tc>
          <w:tcPr>
            <w:tcW w:type="dxa" w:w="15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SAAT-M-12.1</w:t>
            </w:r>
          </w:p>
        </w:tc>
        <w:tc>
          <w:tcPr>
            <w:tcW w:type="dxa" w:w="12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
            </w:r>
          </w:p>
        </w:tc>
        <w:tc>
          <w:tcPr>
            <w:tcW w:type="dxa" w:w="46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Vectors in 2D and 3D: dot product, magnitude, angle</w:t>
            </w:r>
          </w:p>
        </w:tc>
        <w:tc>
          <w:tcPr>
            <w:tcW w:type="dxa" w:w="737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Topic 10-1 introduction to vectors (Week 16) — a genuine preview</w:t>
            </w:r>
          </w:p>
        </w:tc>
      </w:tr>
      <w:tr>
        <w:tc>
          <w:tcPr>
            <w:tcW w:type="dxa" w:w="15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SAAT-M-12.2</w:t>
            </w:r>
          </w:p>
        </w:tc>
        <w:tc>
          <w:tcPr>
            <w:tcW w:type="dxa" w:w="12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
            </w:r>
          </w:p>
        </w:tc>
        <w:tc>
          <w:tcPr>
            <w:tcW w:type="dxa" w:w="46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Polar coordinates, complex numbers in polar form</w:t>
            </w:r>
          </w:p>
        </w:tc>
        <w:tc>
          <w:tcPr>
            <w:tcW w:type="dxa" w:w="737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5C6E6C"/>
                <w:sz w:val="18"/>
                <w:szCs w:val="18"/>
              </w:rPr>
              <w:t xml:space="preserve">Grade 12 content — preview only</w:t>
            </w:r>
          </w:p>
        </w:tc>
      </w:tr>
      <w:tr>
        <w:tc>
          <w:tcPr>
            <w:tcW w:type="dxa" w:w="15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SAAT-M-12.3</w:t>
            </w:r>
          </w:p>
        </w:tc>
        <w:tc>
          <w:tcPr>
            <w:tcW w:type="dxa" w:w="12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
            </w:r>
          </w:p>
        </w:tc>
        <w:tc>
          <w:tcPr>
            <w:tcW w:type="dxa" w:w="46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Limits and continuity</w:t>
            </w:r>
          </w:p>
        </w:tc>
        <w:tc>
          <w:tcPr>
            <w:tcW w:type="dxa" w:w="737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5C6E6C"/>
                <w:sz w:val="18"/>
                <w:szCs w:val="18"/>
              </w:rPr>
              <w:t xml:space="preserve">Grade 12 content — preview only</w:t>
            </w:r>
          </w:p>
        </w:tc>
      </w:tr>
      <w:tr>
        <w:tc>
          <w:tcPr>
            <w:tcW w:type="dxa" w:w="15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SAAT-M-12.4</w:t>
            </w:r>
          </w:p>
        </w:tc>
        <w:tc>
          <w:tcPr>
            <w:tcW w:type="dxa" w:w="12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
            </w:r>
          </w:p>
        </w:tc>
        <w:tc>
          <w:tcPr>
            <w:tcW w:type="dxa" w:w="46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Derivatives: power, product, quotient, chain, extrema</w:t>
            </w:r>
          </w:p>
        </w:tc>
        <w:tc>
          <w:tcPr>
            <w:tcW w:type="dxa" w:w="737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5C6E6C"/>
                <w:sz w:val="18"/>
                <w:szCs w:val="18"/>
              </w:rPr>
              <w:t xml:space="preserve">Grade 12 content — preview only</w:t>
            </w:r>
          </w:p>
        </w:tc>
      </w:tr>
      <w:tr>
        <w:tc>
          <w:tcPr>
            <w:tcW w:type="dxa" w:w="15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SAAT-M-12.5</w:t>
            </w:r>
          </w:p>
        </w:tc>
        <w:tc>
          <w:tcPr>
            <w:tcW w:type="dxa" w:w="12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
            </w:r>
          </w:p>
        </w:tc>
        <w:tc>
          <w:tcPr>
            <w:tcW w:type="dxa" w:w="46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Integrals, area under a curve</w:t>
            </w:r>
          </w:p>
        </w:tc>
        <w:tc>
          <w:tcPr>
            <w:tcW w:type="dxa" w:w="737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5C6E6C"/>
                <w:sz w:val="18"/>
                <w:szCs w:val="18"/>
              </w:rPr>
              <w:t xml:space="preserve">Grade 12 content — preview only</w:t>
            </w:r>
          </w:p>
        </w:tc>
      </w:tr>
      <w:tr>
        <w:tc>
          <w:tcPr>
            <w:tcW w:type="dxa" w:w="15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222E2D"/>
                <w:sz w:val="18"/>
                <w:szCs w:val="18"/>
              </w:rPr>
              <w:t xml:space="preserve">SAAT-M-12.6</w:t>
            </w:r>
          </w:p>
        </w:tc>
        <w:tc>
          <w:tcPr>
            <w:tcW w:type="dxa" w:w="12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8A1B17"/>
                <w:sz w:val="18"/>
                <w:szCs w:val="18"/>
              </w:rPr>
              <w:t xml:space="preserve">50% of maths items</w:t>
            </w:r>
          </w:p>
        </w:tc>
        <w:tc>
          <w:tcPr>
            <w:tcW w:type="dxa" w:w="46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8"/>
                <w:szCs w:val="18"/>
              </w:rPr>
              <w:t xml:space="preserve">Probability distributions, standard normal curve, Z-score</w:t>
            </w:r>
          </w:p>
        </w:tc>
        <w:tc>
          <w:tcPr>
            <w:tcW w:type="dxa" w:w="737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5C6E6C"/>
                <w:sz w:val="18"/>
                <w:szCs w:val="18"/>
              </w:rPr>
              <w:t xml:space="preserve">Grade 12 content — preview only</w:t>
            </w:r>
          </w:p>
        </w:tc>
      </w:tr>
    </w:tbl>
    <w:p>
      <w:pPr>
        <w:spacing w:after="120"/>
      </w:pPr>
    </w:p>
    <w:p>
      <w:pPr>
        <w:spacing w:after="220" w:before="0"/>
      </w:pPr>
      <w:r>
        <w:rPr>
          <w:rFonts w:ascii="Calibri" w:cs="Calibri" w:eastAsia="Calibri" w:hAnsi="Calibri"/>
          <w:i/>
          <w:iCs/>
          <w:color w:val="222E2D"/>
          <w:sz w:val="20"/>
          <w:szCs w:val="20"/>
        </w:rPr>
        <w:t xml:space="preserve">Read the Grade 12 block carefully. Half the SAAT mathematics items come from content 11C has not met. This semester's job is to bank the other half — the Grade 10 and Grade 11 bands — at a standard high enough that Grade 12 can be spent on calculus and statistics rather than on revisiting logarithms.</w:t>
      </w:r>
    </w:p>
    <w:p>
      <w:pPr>
        <w:pageBreakBefore/>
        <w:spacing w:after="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4678"/>
      </w:tblGrid>
      <w:tr>
        <w:tc>
          <w:tcPr>
            <w:tcW w:type="dxa" w:w="14678"/>
            <w:tcBorders>
              <w:top w:val="single" w:color="C9DEDC" w:sz="4"/>
              <w:left w:val="single" w:color="C9DEDC" w:sz="4"/>
              <w:bottom w:val="single" w:color="C9DEDC" w:sz="4"/>
              <w:right w:val="single" w:color="C9DEDC" w:sz="4"/>
            </w:tcBorders>
            <w:shd w:fill="0E4F4C" w:color="auto" w:val="clear"/>
            <w:tcMar>
              <w:top w:type="dxa" w:w="80"/>
              <w:left w:type="dxa" w:w="110"/>
              <w:bottom w:type="dxa" w:w="80"/>
              <w:right w:type="dxa" w:w="110"/>
            </w:tcMar>
            <w:vAlign w:val="top"/>
          </w:tcPr>
          <w:p>
            <w:pPr>
              <w:spacing w:after="0"/>
            </w:pPr>
            <w:r>
              <w:rPr>
                <w:rFonts w:ascii="Cambria" w:cs="Cambria" w:eastAsia="Cambria" w:hAnsi="Cambria"/>
                <w:b/>
                <w:bCs/>
                <w:color w:val="FFFFFF"/>
                <w:sz w:val="21"/>
                <w:szCs w:val="21"/>
              </w:rPr>
              <w:t xml:space="preserve">5 · WEEKLY ALIGNMENT MAP</w:t>
            </w:r>
            <w:r>
              <w:rPr>
                <w:rFonts w:ascii="Calibri" w:cs="Calibri" w:eastAsia="Calibri" w:hAnsi="Calibri"/>
                <w:color w:val="CFE8E6"/>
                <w:sz w:val="17"/>
                <w:szCs w:val="17"/>
              </w:rPr>
              <w:t xml:space="preserve">     Semester 1, 2026–27 · core lesson ↔ exam-prep focus</w:t>
            </w:r>
          </w:p>
        </w:tc>
      </w:tr>
    </w:tbl>
    <w:p>
      <w:pPr>
        <w:spacing w:after="8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650"/>
        <w:gridCol w:w="3250"/>
        <w:gridCol w:w="3250"/>
        <w:gridCol w:w="3150"/>
        <w:gridCol w:w="3050"/>
        <w:gridCol w:w="1328"/>
      </w:tblGrid>
      <w:tr>
        <w:trPr>
          <w:tblHeader/>
        </w:trPr>
        <w:tc>
          <w:tcPr>
            <w:tcW w:type="dxa" w:w="65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8"/>
                <w:szCs w:val="18"/>
              </w:rPr>
              <w:t xml:space="preserve">Wk</w:t>
            </w:r>
          </w:p>
        </w:tc>
        <w:tc>
          <w:tcPr>
            <w:tcW w:type="dxa" w:w="325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8"/>
                <w:szCs w:val="18"/>
              </w:rPr>
              <w:t xml:space="preserve">Grade 10 core lesson</w:t>
            </w:r>
          </w:p>
        </w:tc>
        <w:tc>
          <w:tcPr>
            <w:tcW w:type="dxa" w:w="325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8"/>
                <w:szCs w:val="18"/>
              </w:rPr>
              <w:t xml:space="preserve">Grade 11 core lesson</w:t>
            </w:r>
          </w:p>
        </w:tc>
        <w:tc>
          <w:tcPr>
            <w:tcW w:type="dxa" w:w="315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8"/>
                <w:szCs w:val="18"/>
              </w:rPr>
              <w:t xml:space="preserve">GAT focus — 10A, 10B, 12A, 12B</w:t>
            </w:r>
          </w:p>
        </w:tc>
        <w:tc>
          <w:tcPr>
            <w:tcW w:type="dxa" w:w="305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8"/>
                <w:szCs w:val="18"/>
              </w:rPr>
              <w:t xml:space="preserve">SAAT focus — 11C</w:t>
            </w:r>
          </w:p>
        </w:tc>
        <w:tc>
          <w:tcPr>
            <w:tcW w:type="dxa" w:w="1328"/>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8"/>
                <w:szCs w:val="18"/>
              </w:rPr>
              <w:t xml:space="preserve">Link</w:t>
            </w:r>
          </w:p>
        </w:tc>
      </w:tr>
      <w:tr>
        <w:tc>
          <w:tcPr>
            <w:tcW w:type="dxa" w:w="6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1</w:t>
            </w:r>
          </w:p>
        </w:tc>
        <w:tc>
          <w:tcPr>
            <w:tcW w:type="dxa" w:w="32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Basics of functions — review</w:t>
            </w:r>
          </w:p>
        </w:tc>
        <w:tc>
          <w:tcPr>
            <w:tcW w:type="dxa" w:w="32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Orientation · 5-2 Properties of Exponents and Radicals</w:t>
            </w:r>
          </w:p>
        </w:tc>
        <w:tc>
          <w:tcPr>
            <w:tcW w:type="dxa" w:w="31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Baseline diagnostic — all five strands, 28 items, timed</w:t>
            </w:r>
          </w:p>
        </w:tc>
        <w:tc>
          <w:tcPr>
            <w:tcW w:type="dxa" w:w="30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SAAT-M-11.2 radical and rational expressions</w:t>
            </w:r>
          </w:p>
        </w:tc>
        <w:tc>
          <w:tcPr>
            <w:tcW w:type="dxa" w:w="132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aligned</w:t>
            </w:r>
          </w:p>
        </w:tc>
      </w:tr>
      <w:tr>
        <w:tc>
          <w:tcPr>
            <w:tcW w:type="dxa" w:w="6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2</w:t>
            </w:r>
          </w:p>
        </w:tc>
        <w:tc>
          <w:tcPr>
            <w:tcW w:type="dxa" w:w="32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Diagnostic exam · 1-1 Key Features of Functions</w:t>
            </w:r>
          </w:p>
        </w:tc>
        <w:tc>
          <w:tcPr>
            <w:tcW w:type="dxa" w:w="32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5-3 Graphing Radical Functions · 5-4 Solving Radical Equations</w:t>
            </w:r>
          </w:p>
        </w:tc>
        <w:tc>
          <w:tcPr>
            <w:tcW w:type="dxa" w:w="31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GAT-Q-ALG.5 evaluating functions and proportion</w:t>
            </w:r>
          </w:p>
        </w:tc>
        <w:tc>
          <w:tcPr>
            <w:tcW w:type="dxa" w:w="30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SAAT-M-11.2 radical equations and extraneous roots</w:t>
            </w:r>
          </w:p>
        </w:tc>
        <w:tc>
          <w:tcPr>
            <w:tcW w:type="dxa" w:w="132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aligned</w:t>
            </w:r>
          </w:p>
        </w:tc>
      </w:tr>
      <w:tr>
        <w:tc>
          <w:tcPr>
            <w:tcW w:type="dxa" w:w="6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3</w:t>
            </w:r>
          </w:p>
        </w:tc>
        <w:tc>
          <w:tcPr>
            <w:tcW w:type="dxa" w:w="32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1-2 Transformations · 1-3 Piecewise-Defined Functions</w:t>
            </w:r>
          </w:p>
        </w:tc>
        <w:tc>
          <w:tcPr>
            <w:tcW w:type="dxa" w:w="32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5-5 Operations on Functions</w:t>
            </w:r>
          </w:p>
        </w:tc>
        <w:tc>
          <w:tcPr>
            <w:tcW w:type="dxa" w:w="31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GAT-Q-LOG.4 currency, profit and loss, scale</w:t>
            </w:r>
          </w:p>
        </w:tc>
        <w:tc>
          <w:tcPr>
            <w:tcW w:type="dxa" w:w="30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SAAT-M-10.5 coordinate geometry: distance, midpoint, slope</w:t>
            </w:r>
          </w:p>
        </w:tc>
        <w:tc>
          <w:tcPr>
            <w:tcW w:type="dxa" w:w="132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8A5A17"/>
                <w:sz w:val="17"/>
                <w:szCs w:val="17"/>
              </w:rPr>
              <w:t xml:space="preserve">partial</w:t>
            </w:r>
          </w:p>
        </w:tc>
      </w:tr>
      <w:tr>
        <w:tc>
          <w:tcPr>
            <w:tcW w:type="dxa" w:w="6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4</w:t>
            </w:r>
          </w:p>
        </w:tc>
        <w:tc>
          <w:tcPr>
            <w:tcW w:type="dxa" w:w="32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1-4 Arithmetic Sequences and Series</w:t>
            </w:r>
          </w:p>
        </w:tc>
        <w:tc>
          <w:tcPr>
            <w:tcW w:type="dxa" w:w="32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5-6 Inverse Functions</w:t>
            </w:r>
          </w:p>
        </w:tc>
        <w:tc>
          <w:tcPr>
            <w:tcW w:type="dxa" w:w="31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GAT-Q-ARI.5 numerical series and pattern recognition</w:t>
            </w:r>
          </w:p>
        </w:tc>
        <w:tc>
          <w:tcPr>
            <w:tcW w:type="dxa" w:w="30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SAAT-M-10.6 transformations and reflection in y = x</w:t>
            </w:r>
          </w:p>
        </w:tc>
        <w:tc>
          <w:tcPr>
            <w:tcW w:type="dxa" w:w="132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aligned</w:t>
            </w:r>
          </w:p>
        </w:tc>
      </w:tr>
      <w:tr>
        <w:tc>
          <w:tcPr>
            <w:tcW w:type="dxa" w:w="6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5</w:t>
            </w:r>
          </w:p>
        </w:tc>
        <w:tc>
          <w:tcPr>
            <w:tcW w:type="dxa" w:w="32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1-5 Solving by Graphing · 1-6 Linear Systems</w:t>
            </w:r>
          </w:p>
        </w:tc>
        <w:tc>
          <w:tcPr>
            <w:tcW w:type="dxa" w:w="32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6-1 Key Features of Exponentials · 6-3 Logarithms</w:t>
            </w:r>
          </w:p>
        </w:tc>
        <w:tc>
          <w:tcPr>
            <w:tcW w:type="dxa" w:w="31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GAT-Q-ALG.2 systems of linear equations</w:t>
            </w:r>
          </w:p>
        </w:tc>
        <w:tc>
          <w:tcPr>
            <w:tcW w:type="dxa" w:w="30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SAAT-M-11.1 exponents and logarithms</w:t>
            </w:r>
          </w:p>
        </w:tc>
        <w:tc>
          <w:tcPr>
            <w:tcW w:type="dxa" w:w="132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aligned</w:t>
            </w:r>
          </w:p>
        </w:tc>
      </w:tr>
      <w:tr>
        <w:tc>
          <w:tcPr>
            <w:tcW w:type="dxa" w:w="6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6</w:t>
            </w:r>
          </w:p>
        </w:tc>
        <w:tc>
          <w:tcPr>
            <w:tcW w:type="dxa" w:w="32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2-1 Vertex Form · 2-2 Standard Form · 2-3 Factored Form</w:t>
            </w:r>
          </w:p>
        </w:tc>
        <w:tc>
          <w:tcPr>
            <w:tcW w:type="dxa" w:w="32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6-4 Logarithmic Functions · 6-5 Properties of Logarithms</w:t>
            </w:r>
          </w:p>
        </w:tc>
        <w:tc>
          <w:tcPr>
            <w:tcW w:type="dxa" w:w="31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GAT-Q-ALG.3 factoring and algebraic identities</w:t>
            </w:r>
          </w:p>
        </w:tc>
        <w:tc>
          <w:tcPr>
            <w:tcW w:type="dxa" w:w="30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SAAT-M-11.1 the three log laws</w:t>
            </w:r>
          </w:p>
        </w:tc>
        <w:tc>
          <w:tcPr>
            <w:tcW w:type="dxa" w:w="132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aligned</w:t>
            </w:r>
          </w:p>
        </w:tc>
      </w:tr>
      <w:tr>
        <w:tc>
          <w:tcPr>
            <w:tcW w:type="dxa" w:w="6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7</w:t>
            </w:r>
          </w:p>
        </w:tc>
        <w:tc>
          <w:tcPr>
            <w:tcW w:type="dxa" w:w="32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2-4 Complex Numbers · 2-5 Completing the Square · 2-6 Quadratic Formula</w:t>
            </w:r>
          </w:p>
        </w:tc>
        <w:tc>
          <w:tcPr>
            <w:tcW w:type="dxa" w:w="32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6-6 Exponential and Logarithmic Equations</w:t>
            </w:r>
          </w:p>
        </w:tc>
        <w:tc>
          <w:tcPr>
            <w:tcW w:type="dxa" w:w="31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GAT-Q-ARI.1 and .2 primes, divisibility, LCM and GCD</w:t>
            </w:r>
          </w:p>
        </w:tc>
        <w:tc>
          <w:tcPr>
            <w:tcW w:type="dxa" w:w="30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SAAT-M-11.1 solving exponential and log equations</w:t>
            </w:r>
          </w:p>
        </w:tc>
        <w:tc>
          <w:tcPr>
            <w:tcW w:type="dxa" w:w="132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8A5A17"/>
                <w:sz w:val="17"/>
                <w:szCs w:val="17"/>
              </w:rPr>
              <w:t xml:space="preserve">partial</w:t>
            </w:r>
          </w:p>
        </w:tc>
      </w:tr>
      <w:tr>
        <w:tc>
          <w:tcPr>
            <w:tcW w:type="dxa" w:w="6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8</w:t>
            </w:r>
          </w:p>
        </w:tc>
        <w:tc>
          <w:tcPr>
            <w:tcW w:type="dxa" w:w="32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2-7 Linear-Quadratic Systems · 3-2 Adding, Subtracting, Multiplying Polynomials</w:t>
            </w:r>
          </w:p>
        </w:tc>
        <w:tc>
          <w:tcPr>
            <w:tcW w:type="dxa" w:w="32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6-7 Geometric Sequences and Series</w:t>
            </w:r>
          </w:p>
        </w:tc>
        <w:tc>
          <w:tcPr>
            <w:tcW w:type="dxa" w:w="31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GAT-Q-ARI.5 series, this time geometric</w:t>
            </w:r>
          </w:p>
        </w:tc>
        <w:tc>
          <w:tcPr>
            <w:tcW w:type="dxa" w:w="30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SAAT-M-11.5 arithmetic and geometric sequences</w:t>
            </w:r>
          </w:p>
        </w:tc>
        <w:tc>
          <w:tcPr>
            <w:tcW w:type="dxa" w:w="132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aligned</w:t>
            </w:r>
          </w:p>
        </w:tc>
      </w:tr>
      <w:tr>
        <w:tc>
          <w:tcPr>
            <w:tcW w:type="dxa" w:w="6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9</w:t>
            </w:r>
          </w:p>
        </w:tc>
        <w:tc>
          <w:tcPr>
            <w:tcW w:type="dxa" w:w="32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3-3 Identities with Polynomials · 3-4 Dividing Polynomials</w:t>
            </w:r>
          </w:p>
        </w:tc>
        <w:tc>
          <w:tcPr>
            <w:tcW w:type="dxa" w:w="32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7-1 Trigonometry in Right Triangles and the Unit Circle</w:t>
            </w:r>
          </w:p>
        </w:tc>
        <w:tc>
          <w:tcPr>
            <w:tcW w:type="dxa" w:w="31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GAT-Q-GEO.2 triangles, Pythagoras, 30-60-90 and 45-45-90</w:t>
            </w:r>
          </w:p>
        </w:tc>
        <w:tc>
          <w:tcPr>
            <w:tcW w:type="dxa" w:w="30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SAAT-M-11.7 trigonometric ratios and the unit circle</w:t>
            </w:r>
          </w:p>
        </w:tc>
        <w:tc>
          <w:tcPr>
            <w:tcW w:type="dxa" w:w="132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aligned</w:t>
            </w:r>
          </w:p>
        </w:tc>
      </w:tr>
      <w:tr>
        <w:tc>
          <w:tcPr>
            <w:tcW w:type="dxa" w:w="6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10</w:t>
            </w:r>
          </w:p>
        </w:tc>
        <w:tc>
          <w:tcPr>
            <w:tcW w:type="dxa" w:w="32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3-5 Zeros of Polynomials · 3-6 Theorems on Polynomial Roots</w:t>
            </w:r>
          </w:p>
        </w:tc>
        <w:tc>
          <w:tcPr>
            <w:tcW w:type="dxa" w:w="32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7-2 Graphs of Trig Functions · 7-3 Transformations</w:t>
            </w:r>
          </w:p>
        </w:tc>
        <w:tc>
          <w:tcPr>
            <w:tcW w:type="dxa" w:w="31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GAT-Q-GEO.6 coordinate geometry: distance, midpoint, slope</w:t>
            </w:r>
          </w:p>
        </w:tc>
        <w:tc>
          <w:tcPr>
            <w:tcW w:type="dxa" w:w="30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SAAT-M-11.7 amplitude, period, phase shift</w:t>
            </w:r>
          </w:p>
        </w:tc>
        <w:tc>
          <w:tcPr>
            <w:tcW w:type="dxa" w:w="132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aligned</w:t>
            </w:r>
          </w:p>
        </w:tc>
      </w:tr>
      <w:tr>
        <w:tc>
          <w:tcPr>
            <w:tcW w:type="dxa" w:w="6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11</w:t>
            </w:r>
          </w:p>
        </w:tc>
        <w:tc>
          <w:tcPr>
            <w:tcW w:type="dxa" w:w="32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3-7 Transformations of Polynomials</w:t>
            </w:r>
          </w:p>
        </w:tc>
        <w:tc>
          <w:tcPr>
            <w:tcW w:type="dxa" w:w="32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7-4 Trigonometric Identities · 7-5 Laws of Sines and Cosines</w:t>
            </w:r>
          </w:p>
        </w:tc>
        <w:tc>
          <w:tcPr>
            <w:tcW w:type="dxa" w:w="31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GAT-Q-GEO.3 circles: circumference, sector area</w:t>
            </w:r>
          </w:p>
        </w:tc>
        <w:tc>
          <w:tcPr>
            <w:tcW w:type="dxa" w:w="30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SAAT-M-11.7 Laws of Sines and Cosines</w:t>
            </w:r>
          </w:p>
        </w:tc>
        <w:tc>
          <w:tcPr>
            <w:tcW w:type="dxa" w:w="132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aligned</w:t>
            </w:r>
          </w:p>
        </w:tc>
      </w:tr>
      <w:tr>
        <w:tc>
          <w:tcPr>
            <w:tcW w:type="dxa" w:w="6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12</w:t>
            </w:r>
          </w:p>
        </w:tc>
        <w:tc>
          <w:tcPr>
            <w:tcW w:type="dxa" w:w="32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4-1 Inverse Variation and the Reciprocal Function</w:t>
            </w:r>
          </w:p>
        </w:tc>
        <w:tc>
          <w:tcPr>
            <w:tcW w:type="dxa" w:w="32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8-1 Inverse Trig Functions · 8-2 Solving Trig Equations</w:t>
            </w:r>
          </w:p>
        </w:tc>
        <w:tc>
          <w:tcPr>
            <w:tcW w:type="dxa" w:w="31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GAT-Q-DAT.1 reading charts, graphs and tables</w:t>
            </w:r>
          </w:p>
        </w:tc>
        <w:tc>
          <w:tcPr>
            <w:tcW w:type="dxa" w:w="30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SAAT-M-10.1 symbolic logic, truth tables, conditionals</w:t>
            </w:r>
          </w:p>
        </w:tc>
        <w:tc>
          <w:tcPr>
            <w:tcW w:type="dxa" w:w="132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i/>
                <w:iCs/>
                <w:color w:val="5C6E6C"/>
                <w:sz w:val="17"/>
                <w:szCs w:val="17"/>
              </w:rPr>
              <w:t xml:space="preserve">independent</w:t>
            </w:r>
          </w:p>
        </w:tc>
      </w:tr>
      <w:tr>
        <w:tc>
          <w:tcPr>
            <w:tcW w:type="dxa" w:w="6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13</w:t>
            </w:r>
          </w:p>
        </w:tc>
        <w:tc>
          <w:tcPr>
            <w:tcW w:type="dxa" w:w="32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4-2 Graphing Rational Functions · 4-3 Multiplying and Dividing</w:t>
            </w:r>
          </w:p>
        </w:tc>
        <w:tc>
          <w:tcPr>
            <w:tcW w:type="dxa" w:w="32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8-3 The Complex Plane</w:t>
            </w:r>
          </w:p>
        </w:tc>
        <w:tc>
          <w:tcPr>
            <w:tcW w:type="dxa" w:w="31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GAT-Q-DAT.3 probability, single and compound events</w:t>
            </w:r>
          </w:p>
        </w:tc>
        <w:tc>
          <w:tcPr>
            <w:tcW w:type="dxa" w:w="30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SAAT-M-11.3 discriminant and complex numbers</w:t>
            </w:r>
          </w:p>
        </w:tc>
        <w:tc>
          <w:tcPr>
            <w:tcW w:type="dxa" w:w="132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8A5A17"/>
                <w:sz w:val="17"/>
                <w:szCs w:val="17"/>
              </w:rPr>
              <w:t xml:space="preserve">partial</w:t>
            </w:r>
          </w:p>
        </w:tc>
      </w:tr>
      <w:tr>
        <w:tc>
          <w:tcPr>
            <w:tcW w:type="dxa" w:w="6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14</w:t>
            </w:r>
          </w:p>
        </w:tc>
        <w:tc>
          <w:tcPr>
            <w:tcW w:type="dxa" w:w="32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4-4 Adding and Subtracting Rational Expressions · 4-5 Solving Rational Equations</w:t>
            </w:r>
          </w:p>
        </w:tc>
        <w:tc>
          <w:tcPr>
            <w:tcW w:type="dxa" w:w="32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9-1 Parabolas · 9-2 Circles</w:t>
            </w:r>
          </w:p>
        </w:tc>
        <w:tc>
          <w:tcPr>
            <w:tcW w:type="dxa" w:w="31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GAT-Q-DAT.4 counting principle, permutations, combinations</w:t>
            </w:r>
          </w:p>
        </w:tc>
        <w:tc>
          <w:tcPr>
            <w:tcW w:type="dxa" w:w="30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SAAT-M-10.2 to 10.4 lines, congruence, similarity, quadrilaterals</w:t>
            </w:r>
          </w:p>
        </w:tc>
        <w:tc>
          <w:tcPr>
            <w:tcW w:type="dxa" w:w="132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i/>
                <w:iCs/>
                <w:color w:val="5C6E6C"/>
                <w:sz w:val="17"/>
                <w:szCs w:val="17"/>
              </w:rPr>
              <w:t xml:space="preserve">independent</w:t>
            </w:r>
          </w:p>
        </w:tc>
      </w:tr>
      <w:tr>
        <w:tc>
          <w:tcPr>
            <w:tcW w:type="dxa" w:w="6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15</w:t>
            </w:r>
          </w:p>
        </w:tc>
        <w:tc>
          <w:tcPr>
            <w:tcW w:type="dxa" w:w="32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5-1 nth Roots and Rational Exponents · 5-2 Properties of Exponents · 5-3 Graphing Radical Functions</w:t>
            </w:r>
          </w:p>
        </w:tc>
        <w:tc>
          <w:tcPr>
            <w:tcW w:type="dxa" w:w="32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9-3 Ellipses · 9-4 Hyperbolas</w:t>
            </w:r>
          </w:p>
        </w:tc>
        <w:tc>
          <w:tcPr>
            <w:tcW w:type="dxa" w:w="31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GAT-Q-ARI.3 fractions, decimals, percentages</w:t>
            </w:r>
          </w:p>
        </w:tc>
        <w:tc>
          <w:tcPr>
            <w:tcW w:type="dxa" w:w="30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SAAT-M-11.4 polynomial functions and synthetic division</w:t>
            </w:r>
          </w:p>
        </w:tc>
        <w:tc>
          <w:tcPr>
            <w:tcW w:type="dxa" w:w="132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8A5A17"/>
                <w:sz w:val="17"/>
                <w:szCs w:val="17"/>
              </w:rPr>
              <w:t xml:space="preserve">partial</w:t>
            </w:r>
          </w:p>
        </w:tc>
      </w:tr>
      <w:tr>
        <w:tc>
          <w:tcPr>
            <w:tcW w:type="dxa" w:w="6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16</w:t>
            </w:r>
          </w:p>
        </w:tc>
        <w:tc>
          <w:tcPr>
            <w:tcW w:type="dxa" w:w="32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5-4 Solving Radical Equations · 5-5 Function Operations · 5-6 Inverse Functions</w:t>
            </w:r>
          </w:p>
        </w:tc>
        <w:tc>
          <w:tcPr>
            <w:tcW w:type="dxa" w:w="32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10-1 Introduction to Vectors · Semester Review</w:t>
            </w:r>
          </w:p>
        </w:tc>
        <w:tc>
          <w:tcPr>
            <w:tcW w:type="dxa" w:w="31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GAT-Q-LOG.2 work-rate problems — the same rational equation</w:t>
            </w:r>
          </w:p>
        </w:tc>
        <w:tc>
          <w:tcPr>
            <w:tcW w:type="dxa" w:w="30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SAAT-M-12.1 vectors in 2D and 3D</w:t>
            </w:r>
          </w:p>
        </w:tc>
        <w:tc>
          <w:tcPr>
            <w:tcW w:type="dxa" w:w="132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aligned</w:t>
            </w:r>
          </w:p>
        </w:tc>
      </w:tr>
      <w:tr>
        <w:tc>
          <w:tcPr>
            <w:tcW w:type="dxa" w:w="6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17</w:t>
            </w:r>
          </w:p>
        </w:tc>
        <w:tc>
          <w:tcPr>
            <w:tcW w:type="dxa" w:w="32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Final Revision</w:t>
            </w:r>
          </w:p>
        </w:tc>
        <w:tc>
          <w:tcPr>
            <w:tcW w:type="dxa" w:w="32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Final Revision</w:t>
            </w:r>
          </w:p>
        </w:tc>
        <w:tc>
          <w:tcPr>
            <w:tcW w:type="dxa" w:w="31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Full-length timed simulation: 120 items, 5 sections, 25 minutes each</w:t>
            </w:r>
          </w:p>
        </w:tc>
        <w:tc>
          <w:tcPr>
            <w:tcW w:type="dxa" w:w="305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Full-length timed simulation: mathematics quarter, 25-minute sections</w:t>
            </w:r>
          </w:p>
        </w:tc>
        <w:tc>
          <w:tcPr>
            <w:tcW w:type="dxa" w:w="132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aligned</w:t>
            </w:r>
          </w:p>
        </w:tc>
      </w:tr>
      <w:tr>
        <w:tc>
          <w:tcPr>
            <w:tcW w:type="dxa" w:w="6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b/>
                <w:bCs/>
                <w:color w:val="0E4F4C"/>
                <w:sz w:val="17"/>
                <w:szCs w:val="17"/>
              </w:rPr>
              <w:t xml:space="preserve">18</w:t>
            </w:r>
          </w:p>
        </w:tc>
        <w:tc>
          <w:tcPr>
            <w:tcW w:type="dxa" w:w="32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Final Exams</w:t>
            </w:r>
          </w:p>
        </w:tc>
        <w:tc>
          <w:tcPr>
            <w:tcW w:type="dxa" w:w="32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Final Exams</w:t>
            </w:r>
          </w:p>
        </w:tc>
        <w:tc>
          <w:tcPr>
            <w:tcW w:type="dxa" w:w="31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No session — return and analyse the simulation</w:t>
            </w:r>
          </w:p>
        </w:tc>
        <w:tc>
          <w:tcPr>
            <w:tcW w:type="dxa" w:w="305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7"/>
                <w:szCs w:val="17"/>
              </w:rPr>
              <w:t xml:space="preserve">No session — return and analyse the simulation</w:t>
            </w:r>
          </w:p>
        </w:tc>
        <w:tc>
          <w:tcPr>
            <w:tcW w:type="dxa" w:w="132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i/>
                <w:iCs/>
                <w:color w:val="5C6E6C"/>
                <w:sz w:val="17"/>
                <w:szCs w:val="17"/>
              </w:rPr>
              <w:t xml:space="preserve">independent</w:t>
            </w:r>
          </w:p>
        </w:tc>
      </w:tr>
    </w:tbl>
    <w:p>
      <w:pPr>
        <w:spacing w:after="12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12478"/>
      </w:tblGrid>
      <w:tr>
        <w:trPr>
          <w:tblHeader/>
        </w:trPr>
        <w:tc>
          <w:tcPr>
            <w:tcW w:type="dxa" w:w="220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Link column</w:t>
            </w:r>
          </w:p>
        </w:tc>
        <w:tc>
          <w:tcPr>
            <w:tcW w:type="dxa" w:w="12478"/>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What it means for your planning</w:t>
            </w:r>
          </w:p>
        </w:tc>
      </w:tr>
      <w:tr>
        <w:tc>
          <w:tcPr>
            <w:tcW w:type="dxa" w:w="22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0E4F4C"/>
                <w:sz w:val="19"/>
                <w:szCs w:val="19"/>
              </w:rPr>
              <w:t xml:space="preserve">aligned</w:t>
            </w:r>
          </w:p>
        </w:tc>
        <w:tc>
          <w:tcPr>
            <w:tcW w:type="dxa" w:w="1247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The exam-prep focus and the core lesson teach the same mathematics. Set the exam-prep practice as reinforcement of the week's lesson — the two sessions compound.</w:t>
            </w:r>
          </w:p>
        </w:tc>
      </w:tr>
      <w:tr>
        <w:tc>
          <w:tcPr>
            <w:tcW w:type="dxa" w:w="22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b/>
                <w:bCs/>
                <w:color w:val="8A5A17"/>
                <w:sz w:val="19"/>
                <w:szCs w:val="19"/>
              </w:rPr>
              <w:t xml:space="preserve">partial</w:t>
            </w:r>
          </w:p>
        </w:tc>
        <w:tc>
          <w:tcPr>
            <w:tcW w:type="dxa" w:w="1247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There is a real connection but it is a bridge, not an overlap. Open the session by naming the link out loud, then teach the exam skill on its own terms.</w:t>
            </w:r>
          </w:p>
        </w:tc>
      </w:tr>
      <w:tr>
        <w:tc>
          <w:tcPr>
            <w:tcW w:type="dxa" w:w="22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5C6E6C"/>
                <w:sz w:val="19"/>
                <w:szCs w:val="19"/>
              </w:rPr>
              <w:t xml:space="preserve">independent</w:t>
            </w:r>
          </w:p>
        </w:tc>
        <w:tc>
          <w:tcPr>
            <w:tcW w:type="dxa" w:w="1247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No honest connection. Do not manufacture one. The session runs as a standalone skill lesson, and that is expected — GAT in particular is not a curriculum test.</w:t>
            </w:r>
          </w:p>
        </w:tc>
      </w:tr>
    </w:tbl>
    <w:p>
      <w:pPr>
        <w:spacing w:after="2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4678"/>
      </w:tblGrid>
      <w:tr>
        <w:tc>
          <w:tcPr>
            <w:tcW w:type="dxa" w:w="14678"/>
            <w:tcBorders>
              <w:top w:val="single" w:color="C9DEDC" w:sz="4"/>
              <w:left w:val="single" w:color="C9DEDC" w:sz="4"/>
              <w:bottom w:val="single" w:color="C9DEDC" w:sz="4"/>
              <w:right w:val="single" w:color="C9DEDC" w:sz="4"/>
            </w:tcBorders>
            <w:shd w:fill="0E4F4C" w:color="auto" w:val="clear"/>
            <w:tcMar>
              <w:top w:type="dxa" w:w="80"/>
              <w:left w:type="dxa" w:w="110"/>
              <w:bottom w:type="dxa" w:w="80"/>
              <w:right w:type="dxa" w:w="110"/>
            </w:tcMar>
            <w:vAlign w:val="top"/>
          </w:tcPr>
          <w:p>
            <w:pPr>
              <w:spacing w:after="0"/>
            </w:pPr>
            <w:r>
              <w:rPr>
                <w:rFonts w:ascii="Cambria" w:cs="Cambria" w:eastAsia="Cambria" w:hAnsi="Cambria"/>
                <w:b/>
                <w:bCs/>
                <w:color w:val="FFFFFF"/>
                <w:sz w:val="21"/>
                <w:szCs w:val="21"/>
              </w:rPr>
              <w:t xml:space="preserve">6 · THREE DECISIONS BEFORE THE PRACTICE SETS ARE WRITTEN</w:t>
            </w:r>
            <w:r>
              <w:rPr>
                <w:rFonts w:ascii="Calibri" w:cs="Calibri" w:eastAsia="Calibri" w:hAnsi="Calibri"/>
                <w:color w:val="CFE8E6"/>
                <w:sz w:val="17"/>
                <w:szCs w:val="17"/>
              </w:rPr>
              <w:t xml:space="preserve">     these change the content, so they are yours to make</w:t>
            </w:r>
          </w:p>
        </w:tc>
      </w:tr>
    </w:tbl>
    <w:p>
      <w:pPr>
        <w:spacing w:after="8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9778"/>
      </w:tblGrid>
      <w:tr>
        <w:trPr>
          <w:tblHeader/>
        </w:trPr>
        <w:tc>
          <w:tcPr>
            <w:tcW w:type="dxa" w:w="70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
            </w:r>
          </w:p>
        </w:tc>
        <w:tc>
          <w:tcPr>
            <w:tcW w:type="dxa" w:w="4200"/>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Decision</w:t>
            </w:r>
          </w:p>
        </w:tc>
        <w:tc>
          <w:tcPr>
            <w:tcW w:type="dxa" w:w="9778"/>
            <w:tcBorders>
              <w:top w:val="single" w:color="C9DEDC" w:sz="4"/>
              <w:left w:val="single" w:color="C9DEDC" w:sz="4"/>
              <w:bottom w:val="single" w:color="C9DEDC" w:sz="4"/>
              <w:right w:val="single" w:color="C9DEDC" w:sz="4"/>
            </w:tcBorders>
            <w:shd w:fill="1E8F89" w:color="auto" w:val="clear"/>
            <w:tcMar>
              <w:top w:type="dxa" w:w="80"/>
              <w:left w:type="dxa" w:w="110"/>
              <w:bottom w:type="dxa" w:w="80"/>
              <w:right w:type="dxa" w:w="110"/>
            </w:tcMar>
            <w:vAlign w:val="top"/>
          </w:tcPr>
          <w:p>
            <w:pPr>
              <w:spacing w:after="70" w:before="0"/>
            </w:pPr>
            <w:r>
              <w:rPr>
                <w:rFonts w:ascii="Calibri" w:cs="Calibri" w:eastAsia="Calibri" w:hAnsi="Calibri"/>
                <w:b/>
                <w:bCs/>
                <w:color w:val="FFFFFF"/>
                <w:sz w:val="19"/>
                <w:szCs w:val="19"/>
              </w:rPr>
              <w:t xml:space="preserve">Why it matters, and what I would suggest</w:t>
            </w:r>
          </w:p>
        </w:tc>
      </w:tr>
      <w:tr>
        <w:tc>
          <w:tcPr>
            <w:tcW w:type="dxa" w:w="7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8A1B17"/>
                <w:sz w:val="19"/>
                <w:szCs w:val="19"/>
              </w:rPr>
              <w:t xml:space="preserve">1</w:t>
            </w:r>
          </w:p>
        </w:tc>
        <w:tc>
          <w:tcPr>
            <w:tcW w:type="dxa" w:w="42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Matrices — SAAT-M-11.6</w:t>
            </w:r>
          </w:p>
        </w:tc>
        <w:tc>
          <w:tcPr>
            <w:tcW w:type="dxa" w:w="977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Matrices sit in Semester 2 of our scheme, but they are examined in the SAAT Grade 11 band. Either the SAAT session covers them as a standalone block, or the unit moves forward in the Grade 11 sequence. I suggest the standalone block: it costs two SAAT sessions and does not disturb the core scheme.</w:t>
            </w:r>
          </w:p>
        </w:tc>
      </w:tr>
      <w:tr>
        <w:tc>
          <w:tcPr>
            <w:tcW w:type="dxa" w:w="7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b/>
                <w:bCs/>
                <w:color w:val="8A1B17"/>
                <w:sz w:val="19"/>
                <w:szCs w:val="19"/>
              </w:rPr>
              <w:t xml:space="preserve">2</w:t>
            </w:r>
          </w:p>
        </w:tc>
        <w:tc>
          <w:tcPr>
            <w:tcW w:type="dxa" w:w="4200"/>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Grade 10 and Grade 12 GAT — one plan or two?</w:t>
            </w:r>
          </w:p>
        </w:tc>
        <w:tc>
          <w:tcPr>
            <w:tcW w:type="dxa" w:w="9778"/>
            <w:tcBorders>
              <w:top w:val="single" w:color="C9DEDC" w:sz="4"/>
              <w:left w:val="single" w:color="C9DEDC" w:sz="4"/>
              <w:bottom w:val="single" w:color="C9DEDC" w:sz="4"/>
              <w:right w:val="single" w:color="C9DEDC" w:sz="4"/>
            </w:tcBorders>
            <w:shd w:fill="E7F5F4" w:color="auto" w:val="clear"/>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10A, 10B, 12A and 12B all sit GAT, but Grade 12 students are on their final attempts while Grade 10 are establishing a baseline. Same strand rotation, different item difficulty and different pacing pressure. I suggest one map — this one — with two difficulty tiers per set, so you prepare once and deliver twice.</w:t>
            </w:r>
          </w:p>
        </w:tc>
      </w:tr>
      <w:tr>
        <w:tc>
          <w:tcPr>
            <w:tcW w:type="dxa" w:w="7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b/>
                <w:bCs/>
                <w:color w:val="8A1B17"/>
                <w:sz w:val="19"/>
                <w:szCs w:val="19"/>
              </w:rPr>
              <w:t xml:space="preserve">3</w:t>
            </w:r>
          </w:p>
        </w:tc>
        <w:tc>
          <w:tcPr>
            <w:tcW w:type="dxa" w:w="4200"/>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Set size and cadence</w:t>
            </w:r>
          </w:p>
        </w:tc>
        <w:tc>
          <w:tcPr>
            <w:tcW w:type="dxa" w:w="9778"/>
            <w:tcBorders>
              <w:top w:val="single" w:color="C9DEDC" w:sz="4"/>
              <w:left w:val="single" w:color="C9DEDC" w:sz="4"/>
              <w:bottom w:val="single" w:color="C9DEDC" w:sz="4"/>
              <w:right w:val="single" w:color="C9DEDC" w:sz="4"/>
            </w:tcBorders>
            <w:tcMar>
              <w:top w:type="dxa" w:w="80"/>
              <w:left w:type="dxa" w:w="110"/>
              <w:bottom w:type="dxa" w:w="80"/>
              <w:right w:type="dxa" w:w="110"/>
            </w:tcMar>
            <w:vAlign w:val="top"/>
          </w:tcPr>
          <w:p>
            <w:pPr>
              <w:spacing w:after="70" w:before="0"/>
            </w:pPr>
            <w:r>
              <w:rPr>
                <w:rFonts w:ascii="Calibri" w:cs="Calibri" w:eastAsia="Calibri" w:hAnsi="Calibri"/>
                <w:color w:val="222E2D"/>
                <w:sz w:val="19"/>
                <w:szCs w:val="19"/>
              </w:rPr>
              <w:t xml:space="preserve">The standing budget above is 28 items in 35 minutes, one set per week. If your session is shorter, the honest alternative is 14 items in 17 minutes at the same proportions — halve the set, never the timing, because timing under pressure is the skill being trained.</w:t>
            </w:r>
          </w:p>
        </w:tc>
      </w:tr>
    </w:tbl>
    <w:p>
      <w:pPr>
        <w:spacing w:after="160"/>
      </w:pPr>
    </w:p>
    <w:p>
      <w:pPr>
        <w:spacing w:after="70" w:before="0"/>
      </w:pPr>
      <w:r>
        <w:rPr>
          <w:rFonts w:ascii="Calibri" w:cs="Calibri" w:eastAsia="Calibri" w:hAnsi="Calibri"/>
          <w:i/>
          <w:iCs/>
          <w:color w:val="5C6E6C"/>
          <w:sz w:val="19"/>
          <w:szCs w:val="19"/>
        </w:rPr>
        <w:t xml:space="preserve">On sourcing. Every item in these practice sets will be written for this map and checked against the ETEC framework above. Where ETEC has published sample questions, those are used and cited. Leaked or circulated exam questions are not used: they are unverified, usually reconstructed from memory, frequently from retired forms, and a student who drills a leaked item learns that item rather than the skill it tested.</w:t>
      </w:r>
    </w:p>
    <w:sectPr>
      <w:headerReference w:type="default" r:id="rId7"/>
      <w:footerReference w:type="default" r:id="rId8"/>
      <w:pgSz w:w="16838" w:h="11906" w:orient="landscape"/>
      <w:pgMar w:top="860" w:right="1080" w:bottom="7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right"/>
    </w:pPr>
    <w:r>
      <w:rPr>
        <w:rFonts w:ascii="Calibri" w:cs="Calibri" w:eastAsia="Calibri" w:hAnsi="Calibri"/>
        <w:color w:val="5C6E6C"/>
        <w:sz w:val="15"/>
        <w:szCs w:val="15"/>
      </w:rPr>
      <w:t xml:space="preserve">Mr Malek Thiab  ·  GAT and SAAT Classification Map  ·  Semester 1, 2026–27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4678"/>
      <w:tblBorders>
        <w:top w:val="none" w:color="FFFFFF" w:sz="0"/>
        <w:left w:val="none" w:color="FFFFFF" w:sz="0"/>
        <w:bottom w:val="none" w:color="FFFFFF" w:sz="0"/>
        <w:right w:val="none" w:color="FFFFFF" w:sz="0"/>
        <w:insideH w:val="single" w:color="auto" w:sz="4"/>
        <w:insideV w:val="single" w:color="auto" w:sz="4"/>
      </w:tblBorders>
    </w:tblPr>
    <w:tblGrid>
      <w:gridCol w:w="7339"/>
      <w:gridCol w:w="7339"/>
    </w:tblGrid>
    <w:tr>
      <w:tc>
        <w:tcPr>
          <w:tcW w:type="dxa" w:w="7339"/>
          <w:tcBorders>
            <w:top w:val="none" w:color="FFFFFF" w:sz="0"/>
            <w:left w:val="none" w:color="FFFFFF" w:sz="0"/>
            <w:bottom w:val="none" w:color="FFFFFF" w:sz="0"/>
            <w:right w:val="none" w:color="FFFFFF" w:sz="0"/>
          </w:tcBorders>
        </w:tcPr>
        <w:p>
          <w:pPr>
            <w:jc w:val="left"/>
          </w:pPr>
          <w:r>
            <w:drawing>
              <wp:inline distT="0" distB="0" distL="0" distR="0">
                <wp:extent cx="144780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47800" cy="447675"/>
                        </a:xfrm>
                        <a:prstGeom prst="rect">
                          <a:avLst/>
                        </a:prstGeom>
                      </pic:spPr>
                    </pic:pic>
                  </a:graphicData>
                </a:graphic>
              </wp:inline>
            </w:drawing>
          </w:r>
        </w:p>
      </w:tc>
      <w:tc>
        <w:tcPr>
          <w:tcW w:type="dxa" w:w="7339"/>
          <w:tcBorders>
            <w:top w:val="none" w:color="FFFFFF" w:sz="0"/>
            <w:left w:val="none" w:color="FFFFFF" w:sz="0"/>
            <w:bottom w:val="none" w:color="FFFFFF" w:sz="0"/>
            <w:right w:val="none" w:color="FFFFFF" w:sz="0"/>
          </w:tcBorders>
        </w:tcPr>
        <w:p>
          <w:pPr>
            <w:jc w:val="right"/>
          </w:pPr>
          <w:r>
            <w:drawing>
              <wp:inline distT="0" distB="0" distL="0" distR="0">
                <wp:extent cx="51435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14350" cy="514350"/>
                        </a:xfrm>
                        <a:prstGeom prst="rect">
                          <a:avLst/>
                        </a:prstGeom>
                      </pic:spPr>
                    </pic:pic>
                  </a:graphicData>
                </a:graphic>
              </wp:inline>
            </w:drawing>
          </w:r>
        </w:p>
      </w:tc>
    </w:tr>
  </w:tbl>
  <w:p>
    <w:pPr>
      <w:spacing w:after="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58d6793e37e8a88a1484582cc6288a1913a5d667.png"/><Relationship Id="rId1" Type="http://schemas.openxmlformats.org/officeDocument/2006/relationships/image" Target="media/a0d5e96304a131f6b8dd18450b828c4c5ed97e3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 and SAAT — Topic Classification and Weekly Alignment Map</dc:title>
  <dc:creator>Dar Alfikr Schools — Mathematics Department</dc:creator>
  <cp:lastModifiedBy>Un-named</cp:lastModifiedBy>
  <cp:revision>1</cp:revision>
  <dcterms:created xsi:type="dcterms:W3CDTF">2026-08-31T06:49:58.183Z</dcterms:created>
  <dcterms:modified xsi:type="dcterms:W3CDTF">2026-08-31T06:49:58.183Z</dcterms:modified>
</cp:coreProperties>
</file>

<file path=docProps/custom.xml><?xml version="1.0" encoding="utf-8"?>
<Properties xmlns="http://schemas.openxmlformats.org/officeDocument/2006/custom-properties" xmlns:vt="http://schemas.openxmlformats.org/officeDocument/2006/docPropsVTypes"/>
</file>