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5756" w:rsidRDefault="00A65756"/>
    <w:p w:rsidR="00A65756" w:rsidRDefault="00A65756"/>
    <w:p w:rsidR="00A65756" w:rsidRDefault="00A65756"/>
    <w:p w:rsidR="00A65756" w:rsidRDefault="00A65756"/>
    <w:p w:rsidR="00A65756" w:rsidRDefault="00000000">
      <w:pPr>
        <w:jc w:val="center"/>
      </w:pPr>
      <w:r>
        <w:rPr>
          <w:rFonts w:ascii="Times New Roman" w:hAnsi="Times New Roman"/>
          <w:b/>
          <w:sz w:val="24"/>
        </w:rPr>
        <w:t>Predictive Modeling for Credit Risk</w:t>
      </w:r>
    </w:p>
    <w:p w:rsidR="00A65756" w:rsidRDefault="00A65756"/>
    <w:p w:rsidR="00A65756" w:rsidRDefault="00DF5829">
      <w:pPr>
        <w:jc w:val="center"/>
      </w:pPr>
      <w:r>
        <w:t xml:space="preserve">N L N Sai Krishna Akula, </w:t>
      </w:r>
      <w:r w:rsidR="00000000">
        <w:t>Diaesh Antony and Ashok Kumar Bhairwal</w:t>
      </w:r>
      <w:r w:rsidR="00000000">
        <w:br/>
        <w:t>University of San Diego</w:t>
      </w:r>
      <w:r w:rsidR="00000000">
        <w:br/>
      </w:r>
      <w:r w:rsidR="00F236B7" w:rsidRPr="00F236B7">
        <w:t>AAI-500-IN1</w:t>
      </w:r>
      <w:r w:rsidR="00000000">
        <w:t xml:space="preserve">: </w:t>
      </w:r>
      <w:r w:rsidR="00F236B7" w:rsidRPr="00F236B7">
        <w:t>Applied Probability and Statistics for AI</w:t>
      </w:r>
      <w:r w:rsidR="00000000">
        <w:br/>
      </w:r>
      <w:r w:rsidR="00F236B7" w:rsidRPr="00F236B7">
        <w:t>Dr. Ebrahim Tarshizi</w:t>
      </w:r>
      <w:r w:rsidR="00000000">
        <w:br/>
        <w:t>June 15, 2026</w:t>
      </w:r>
    </w:p>
    <w:p w:rsidR="00A65756" w:rsidRDefault="00000000">
      <w:pPr>
        <w:spacing w:line="240" w:lineRule="auto"/>
        <w:ind w:left="720"/>
      </w:pPr>
      <w:r>
        <w:rPr>
          <w:rFonts w:ascii="Courier New" w:hAnsi="Courier New"/>
          <w:color w:val="000000"/>
          <w:sz w:val="20"/>
        </w:rPr>
        <w:br w:type="page"/>
      </w:r>
    </w:p>
    <w:p w:rsidR="00A65756" w:rsidRDefault="00000000">
      <w:pPr>
        <w:spacing w:before="240" w:after="120"/>
        <w:jc w:val="center"/>
      </w:pPr>
      <w:r>
        <w:rPr>
          <w:rFonts w:ascii="Times New Roman" w:hAnsi="Times New Roman"/>
          <w:b/>
          <w:sz w:val="24"/>
        </w:rPr>
        <w:lastRenderedPageBreak/>
        <w:t>Abstract</w:t>
      </w:r>
    </w:p>
    <w:p w:rsidR="00A65756" w:rsidRDefault="00000000">
      <w:pPr>
        <w:ind w:firstLine="0"/>
      </w:pPr>
      <w:r>
        <w:t>Consumer lending requires precise estimation of borrower default risk and appropriate interest rate pricing to mitigate financial losses and competitive disadvantages. This project develops a comprehensive predictive modeling framework using a Kaggle Credit Risk Dataset of 32,581 loan records. Following rigorous data preprocessing–including median imputation (Little &amp; Rubin, 2019), outlier filtering, and log-transformation–the study evaluated multiple classification and regression models. The CatBoost (Prokhorenkova et al., 2018) classifier achieved the strongest default prediction performance (ROC-AUC = 0.9430, Accuracy = 93.78%) at a standard 0.50 cutoff, while Gradient Boosting (Friedman, 2001) provided robust estimates for loan amount and percent of income. A cost-focused threshold of 0.15 was identified to optimize the recall of potential defaults. Diagnostic analysis confirmed excellent model calibration (Brier Score (Brier, 1950) = 0.0532) and highlighted performance variations across loan grades, with SHAP values demonstrating the high impact of income-to-loan ratios and loan intent on predictions. These findings establish a technically sound, interpretable workflow that successfully balances predictive accuracy with transparent risk reasoning for consumer lending applications.</w:t>
      </w:r>
    </w:p>
    <w:p w:rsidR="00A65756" w:rsidRDefault="00000000">
      <w:pPr>
        <w:pStyle w:val="Heading1"/>
        <w:spacing w:before="240" w:after="120"/>
        <w:jc w:val="center"/>
      </w:pPr>
      <w:r>
        <w:rPr>
          <w:rFonts w:ascii="Times New Roman" w:hAnsi="Times New Roman"/>
          <w:b/>
          <w:sz w:val="24"/>
        </w:rPr>
        <w:t>1. Introduction</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1.1 Business Context</w:t>
      </w:r>
    </w:p>
    <w:p w:rsidR="00FE1DA8" w:rsidRDefault="00000000">
      <w:pPr>
        <w:ind w:firstLine="720"/>
        <w:rPr>
          <w:rFonts w:ascii="Calibri" w:eastAsia="Calibri" w:hAnsi="Calibri" w:cs="Calibri"/>
        </w:rPr>
      </w:pPr>
      <w:r>
        <w:rPr>
          <w:rFonts w:eastAsia="Calibri" w:cs="Calibri"/>
          <w:color w:val="404040"/>
        </w:rPr>
        <w:t>When a bank or online lender decides to approve a loan, two questions must be answered simultaneously: Is this borrower likely to repay the debt? And what interest rate adequately reflects that risk without being so high that creditworthy borrowers walk away? Getting either question wrong is costly.</w:t>
      </w:r>
    </w:p>
    <w:p w:rsidR="00FE1DA8" w:rsidRDefault="00000000">
      <w:pPr>
        <w:ind w:firstLine="720"/>
        <w:rPr>
          <w:rFonts w:ascii="Calibri" w:eastAsia="Calibri" w:hAnsi="Calibri" w:cs="Calibri"/>
        </w:rPr>
      </w:pPr>
      <w:r>
        <w:rPr>
          <w:rFonts w:eastAsia="Calibri" w:cs="Calibri"/>
          <w:color w:val="404040"/>
        </w:rPr>
        <w:lastRenderedPageBreak/>
        <w:t>These errors map directly onto the classical statistical framework of hypothesis testing:</w:t>
      </w:r>
    </w:p>
    <w:p w:rsidR="00FE1DA8" w:rsidRDefault="00000000">
      <w:pPr>
        <w:numPr>
          <w:ilvl w:val="0"/>
          <w:numId w:val="9"/>
        </w:numPr>
        <w:ind w:left="0" w:firstLine="720"/>
        <w:rPr>
          <w:rFonts w:ascii="Calibri" w:eastAsia="Calibri" w:hAnsi="Calibri" w:cs="Calibri"/>
        </w:rPr>
      </w:pPr>
      <w:r>
        <w:rPr>
          <w:rFonts w:eastAsia="Calibri" w:cs="Calibri"/>
          <w:color w:val="404040"/>
          <w:szCs w:val="21"/>
        </w:rPr>
        <w:t>Type I Error (Under-pricing risk): The lender sets an interest rate that is too low for the borrower's true risk. The borrower subsequently defaults, and the lender loses both principal and the interest income it should have earned.</w:t>
      </w:r>
    </w:p>
    <w:p w:rsidR="00FE1DA8" w:rsidRDefault="00000000">
      <w:pPr>
        <w:numPr>
          <w:ilvl w:val="0"/>
          <w:numId w:val="9"/>
        </w:numPr>
        <w:ind w:left="0" w:firstLine="720"/>
        <w:rPr>
          <w:rFonts w:ascii="Calibri" w:eastAsia="Calibri" w:hAnsi="Calibri" w:cs="Calibri"/>
        </w:rPr>
      </w:pPr>
      <w:r>
        <w:rPr>
          <w:rFonts w:eastAsia="Calibri" w:cs="Calibri"/>
          <w:color w:val="404040"/>
          <w:szCs w:val="21"/>
        </w:rPr>
        <w:t xml:space="preserve">Type II Error (Over-pricing risk): The lender sets a rate that is too high relative to the actual risk. The creditworthy borrower chooses a competitor offering a fairer rate, representing a lost business </w:t>
      </w:r>
      <w:r w:rsidR="004118CF">
        <w:rPr>
          <w:rFonts w:eastAsia="Calibri" w:cs="Calibri"/>
          <w:color w:val="404040"/>
          <w:szCs w:val="21"/>
        </w:rPr>
        <w:t>opportunity,</w:t>
      </w:r>
      <w:r>
        <w:rPr>
          <w:rFonts w:eastAsia="Calibri" w:cs="Calibri"/>
          <w:color w:val="404040"/>
          <w:szCs w:val="21"/>
        </w:rPr>
        <w:t xml:space="preserve"> and worsening adverse selection in the lender's portfolio.</w:t>
      </w:r>
    </w:p>
    <w:p w:rsidR="00FE1DA8" w:rsidRDefault="00000000">
      <w:pPr>
        <w:ind w:firstLine="720"/>
        <w:rPr>
          <w:rFonts w:ascii="Calibri" w:eastAsia="Calibri" w:hAnsi="Calibri" w:cs="Calibri"/>
        </w:rPr>
      </w:pPr>
      <w:r>
        <w:rPr>
          <w:rFonts w:eastAsia="Calibri" w:cs="Calibri"/>
          <w:color w:val="404040"/>
        </w:rPr>
        <w:t>This framing borrowed directly from hypothesis testing positions credit risk modelling as a decision problem where statistical precision directly translates to financial outcomes.</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1.2 Research Questions</w:t>
      </w:r>
    </w:p>
    <w:p w:rsidR="00FE1DA8" w:rsidRDefault="00000000">
      <w:pPr>
        <w:ind w:firstLine="720"/>
        <w:rPr>
          <w:rFonts w:ascii="Calibri" w:eastAsia="Calibri" w:hAnsi="Calibri" w:cs="Calibri"/>
        </w:rPr>
      </w:pPr>
      <w:r>
        <w:rPr>
          <w:rFonts w:eastAsia="Calibri" w:cs="Calibri"/>
          <w:color w:val="404040"/>
        </w:rPr>
        <w:t>Two central questions guide the full project:</w:t>
      </w:r>
    </w:p>
    <w:p w:rsidR="00FE1DA8" w:rsidRDefault="00000000">
      <w:pPr>
        <w:numPr>
          <w:ilvl w:val="0"/>
          <w:numId w:val="9"/>
        </w:numPr>
        <w:ind w:left="0" w:firstLine="720"/>
        <w:rPr>
          <w:rFonts w:ascii="Calibri" w:eastAsia="Calibri" w:hAnsi="Calibri" w:cs="Calibri"/>
        </w:rPr>
      </w:pPr>
      <w:r>
        <w:rPr>
          <w:rFonts w:eastAsia="Calibri" w:cs="Calibri"/>
          <w:color w:val="404040"/>
          <w:szCs w:val="21"/>
        </w:rPr>
        <w:t>Which borrower characteristics (age, income, employment length, loan grade) are the strongest determinants of the interest rate charged on a loan?</w:t>
      </w:r>
    </w:p>
    <w:p w:rsidR="00FE1DA8" w:rsidRDefault="00000000">
      <w:pPr>
        <w:numPr>
          <w:ilvl w:val="0"/>
          <w:numId w:val="9"/>
        </w:numPr>
        <w:ind w:left="0" w:firstLine="720"/>
        <w:rPr>
          <w:rFonts w:ascii="Calibri" w:eastAsia="Calibri" w:hAnsi="Calibri" w:cs="Calibri"/>
        </w:rPr>
      </w:pPr>
      <w:r>
        <w:rPr>
          <w:rFonts w:eastAsia="Calibri" w:cs="Calibri"/>
          <w:color w:val="404040"/>
          <w:szCs w:val="21"/>
        </w:rPr>
        <w:t>What is the marginal effect of borrower income on the probability of loan default, after controlling for loan amount and loan grade?</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1.3 Scope of This Report</w:t>
      </w:r>
    </w:p>
    <w:p w:rsidR="00FE1DA8" w:rsidRDefault="00000000">
      <w:pPr>
        <w:ind w:firstLine="720"/>
        <w:rPr>
          <w:rFonts w:ascii="Calibri" w:eastAsia="Calibri" w:hAnsi="Calibri" w:cs="Calibri"/>
        </w:rPr>
      </w:pPr>
      <w:r>
        <w:t xml:space="preserve">This initial section addresses the statistical groundwork that makes downstream modelling possible: loading and auditing the raw data, repairing quality issues, and building a thorough understanding of each variable's distribution and its relationship to the target outcomes. No predictive models are fitted here; that work belongs to downstream modeling and diagnostics stages. The goal of this section is to produce a dataset that is clean, well-understood, and whose </w:t>
      </w:r>
      <w:r>
        <w:lastRenderedPageBreak/>
        <w:t>properties are fully documented so that modelling decisions in subsequent stages are statistically justified rather than arbitrary.</w:t>
      </w:r>
    </w:p>
    <w:p w:rsidR="00983EE3" w:rsidRDefault="00000000">
      <w:pPr>
        <w:pStyle w:val="Heading2"/>
        <w:spacing w:before="240" w:after="120"/>
        <w:jc w:val="left"/>
      </w:pPr>
      <w:r>
        <w:rPr>
          <w:rFonts w:ascii="Times New Roman" w:hAnsi="Times New Roman"/>
          <w:b/>
          <w:i w:val="0"/>
          <w:sz w:val="24"/>
        </w:rPr>
        <w:t>1.4 Lending Risk Assessment</w:t>
      </w:r>
    </w:p>
    <w:p w:rsidR="00983EE3" w:rsidRDefault="00000000">
      <w:pPr>
        <w:ind w:firstLine="720"/>
      </w:pPr>
      <w:r>
        <w:rPr>
          <w:rFonts w:eastAsia="Calibri"/>
        </w:rPr>
        <w:t>When a lender reviews a loan application, the decision is not only whether the applicant should receive credit. The lender must also estimate whether the borrower is likely to repay, whether the requested loan size is reasonable, and what interest-rate behavior is consistent with the borrower and loan profile. A model that predicts default risk without explaining lending amount or interest-rate behavior gives only a partial view of the credit decision.</w:t>
      </w:r>
    </w:p>
    <w:p w:rsidR="00983EE3" w:rsidRDefault="00000000">
      <w:pPr>
        <w:ind w:firstLine="720"/>
      </w:pPr>
      <w:r>
        <w:rPr>
          <w:rFonts w:eastAsia="Calibri"/>
        </w:rPr>
        <w:t>This problem has two important decision errors. A missed default occurs when a risky borrower is treated as safe; this is costly because the lender may lose principal and expected interest income. A false alarm occurs when a borrower who would repay is treated as risky; this can lead to rejection, unnecessary review, or lost business. These errors are similar to Type I and Type II reasoning in statistics, where the cost of each decision error matters.</w:t>
      </w:r>
    </w:p>
    <w:p w:rsidR="00983EE3" w:rsidRDefault="00000000">
      <w:pPr>
        <w:pStyle w:val="Heading2"/>
        <w:spacing w:before="240" w:after="120"/>
        <w:jc w:val="left"/>
      </w:pPr>
      <w:r>
        <w:rPr>
          <w:rFonts w:ascii="Times New Roman" w:hAnsi="Times New Roman"/>
          <w:b/>
          <w:i w:val="0"/>
          <w:sz w:val="24"/>
        </w:rPr>
        <w:t>1.5 Modeling Objectives</w:t>
      </w:r>
    </w:p>
    <w:p w:rsidR="00983EE3" w:rsidRDefault="00000000">
      <w:pPr>
        <w:ind w:firstLine="720"/>
      </w:pPr>
      <w:r>
        <w:rPr>
          <w:rFonts w:eastAsia="Calibri"/>
        </w:rPr>
        <w:t>The modeling workflow has three objectives. The first is classification: predict whether a borrower will default. The second is regression: estimate loan amount, loan percent of income, and interest rate as numeric lending benchmarks. The third is interpretation: explain why borrower affordability, loan burden, credit history, and prior default behavior are useful in the prediction process.</w:t>
      </w:r>
    </w:p>
    <w:p w:rsidR="00983EE3" w:rsidRDefault="00000000">
      <w:pPr>
        <w:pStyle w:val="Heading2"/>
        <w:spacing w:before="240" w:after="120"/>
        <w:jc w:val="left"/>
      </w:pPr>
      <w:r>
        <w:rPr>
          <w:rFonts w:ascii="Times New Roman" w:hAnsi="Times New Roman"/>
          <w:b/>
          <w:i w:val="0"/>
          <w:sz w:val="24"/>
        </w:rPr>
        <w:t>1.6 Threshold and Interpretability Motivation</w:t>
      </w:r>
    </w:p>
    <w:p w:rsidR="00983EE3" w:rsidRDefault="00000000">
      <w:pPr>
        <w:ind w:firstLine="720"/>
      </w:pPr>
      <w:r>
        <w:t xml:space="preserve">A default classifier returns a probability before it returns a label. The standard reporting cutoff is 0.50, but lending risk may justify a lower review threshold when missed defaults are </w:t>
      </w:r>
      <w:r>
        <w:lastRenderedPageBreak/>
        <w:t>considered more expensive than false alarms. This report therefore separates ordinary model performance from cost-focused threshold tuning. A Bayesian Network (Heckerman, 1997) is also included because it provides a white-box probability structure that can be inspected alongside the stronger machine learning models.</w:t>
      </w:r>
    </w:p>
    <w:p w:rsidR="00A65756"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1.7 Practical Implications</w:t>
      </w:r>
    </w:p>
    <w:p w:rsidR="00A65756" w:rsidRDefault="00000000">
      <w:pPr>
        <w:ind w:firstLine="720"/>
        <w:rPr>
          <w:rFonts w:ascii="Calibri" w:eastAsia="Calibri" w:hAnsi="Calibri" w:cs="Calibri"/>
          <w:szCs w:val="24"/>
        </w:rPr>
      </w:pPr>
      <w:r>
        <w:rPr>
          <w:rFonts w:eastAsia="Calibri" w:cs="Calibri"/>
          <w:color w:val="404040"/>
          <w:szCs w:val="24"/>
        </w:rPr>
        <w:t>The financial sector increasingly uses machine learning for credit risk assessment to predict defaults and guide lending. This shift supports decision-making under uncertainty and regulatory demands. Traditional models often fail to capture complex patterns, leading to inaccurate risk estimates and inefficient use of capital.</w:t>
      </w:r>
    </w:p>
    <w:p w:rsidR="00A65756"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1.8 Objective</w:t>
      </w:r>
    </w:p>
    <w:p w:rsidR="00A65756" w:rsidRDefault="00000000">
      <w:pPr>
        <w:ind w:firstLine="720"/>
        <w:rPr>
          <w:rFonts w:ascii="Calibri" w:eastAsia="Calibri" w:hAnsi="Calibri" w:cs="Calibri"/>
          <w:szCs w:val="24"/>
        </w:rPr>
      </w:pPr>
      <w:r>
        <w:t>This study evaluates machine learning models for credit risk through classification (default prediction) and regression (loan parameters). It assesses performance, calibration, and errors using metrics like ROC-AUC, Precision-Recall, Brier Score (Brier, 1950), confusion matrix, and residual analysis, along with feature importance.</w:t>
      </w:r>
    </w:p>
    <w:p w:rsidR="00A65756" w:rsidRDefault="00000000">
      <w:pPr>
        <w:pStyle w:val="Heading2"/>
        <w:keepNext w:val="0"/>
        <w:keepLines w:val="0"/>
        <w:spacing w:before="240" w:after="120"/>
        <w:jc w:val="left"/>
        <w:rPr>
          <w:rFonts w:ascii="Calibri" w:eastAsia="Calibri" w:hAnsi="Calibri" w:cs="Calibri"/>
          <w:color w:val="2E75B6"/>
        </w:rPr>
      </w:pPr>
      <w:bookmarkStart w:id="0" w:name="_9hrmr5scyhi4" w:colFirst="0" w:colLast="0"/>
      <w:bookmarkEnd w:id="0"/>
      <w:r>
        <w:rPr>
          <w:rFonts w:ascii="Times New Roman" w:eastAsia="Calibri" w:hAnsi="Times New Roman" w:cs="Calibri"/>
          <w:b/>
          <w:i w:val="0"/>
          <w:color w:val="2E75B6"/>
          <w:sz w:val="24"/>
        </w:rPr>
        <w:t>1.9 Significance and Scope of Report</w:t>
      </w:r>
    </w:p>
    <w:p w:rsidR="00A65756" w:rsidRDefault="00000000">
      <w:pPr>
        <w:ind w:firstLine="720"/>
        <w:rPr>
          <w:rFonts w:ascii="Calibri" w:eastAsia="Calibri" w:hAnsi="Calibri" w:cs="Calibri"/>
        </w:rPr>
      </w:pPr>
      <w:r>
        <w:rPr>
          <w:rFonts w:eastAsia="Calibri" w:cs="Calibri"/>
          <w:szCs w:val="24"/>
        </w:rPr>
        <w:t>The report highlights a comprehensive diagnostic approach beyond single metrics. It includes calibration, error analysis, and interpretability to ensure models are accurate, reliable, and aligned with real-world financial risk.</w:t>
      </w:r>
    </w:p>
    <w:p w:rsidR="00A65756" w:rsidRDefault="00000000">
      <w:pPr>
        <w:pStyle w:val="Heading1"/>
        <w:pageBreakBefore/>
        <w:spacing w:before="240" w:after="120"/>
        <w:jc w:val="center"/>
      </w:pPr>
      <w:r>
        <w:rPr>
          <w:rFonts w:ascii="Times New Roman" w:hAnsi="Times New Roman"/>
          <w:b/>
          <w:sz w:val="24"/>
        </w:rPr>
        <w:t>2. Related Work</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2.1 Credit Risk Modelling in the Literature</w:t>
      </w:r>
    </w:p>
    <w:p w:rsidR="00FE1DA8" w:rsidRDefault="00000000">
      <w:pPr>
        <w:ind w:firstLine="720"/>
        <w:rPr>
          <w:rFonts w:ascii="Calibri" w:eastAsia="Calibri" w:hAnsi="Calibri" w:cs="Calibri"/>
        </w:rPr>
      </w:pPr>
      <w:r>
        <w:rPr>
          <w:rFonts w:eastAsia="Calibri" w:cs="Calibri"/>
          <w:color w:val="404040"/>
        </w:rPr>
        <w:lastRenderedPageBreak/>
        <w:t xml:space="preserve">Credit risk assessment has been a central problem in both academic finance and applied machine learning for decades. The foundational framework distinguishes between three pillars of borrower risk: ability to pay (captured by income, employment length, and debt burden), historical </w:t>
      </w:r>
      <w:r w:rsidR="001825B5">
        <w:rPr>
          <w:rFonts w:eastAsia="Calibri" w:cs="Calibri"/>
          <w:color w:val="404040"/>
        </w:rPr>
        <w:t>behavior</w:t>
      </w:r>
      <w:r>
        <w:rPr>
          <w:rFonts w:eastAsia="Calibri" w:cs="Calibri"/>
          <w:color w:val="404040"/>
        </w:rPr>
        <w:t xml:space="preserve"> (prior defaults and credit history length), and loan structure (principal amount, grade, and purpose). These three pillars map directly onto the features available in the Kaggle Credit Risk dataset used in this project.</w:t>
      </w:r>
    </w:p>
    <w:p w:rsidR="00FE1DA8" w:rsidRDefault="00000000">
      <w:pPr>
        <w:ind w:firstLine="720"/>
        <w:rPr>
          <w:rFonts w:ascii="Calibri" w:eastAsia="Calibri" w:hAnsi="Calibri" w:cs="Calibri"/>
        </w:rPr>
      </w:pPr>
      <w:r>
        <w:t>Classical approaches, including logistic regression and discriminant analysis, remain widely used in regulatory settings precisely because they are interpretable and auditable – properties that financial regulators such as the Consumer Financial Protection Bureau (CFPB) require of any model used in lending decisions. More recent literature has shown that ensemble methods (Random Forests, Gradient Boosting (Friedman, 2001), CatBoost (Prokhorenkova et al., 2018)) substantially outperform logistic regression on AUC-ROC when applied to large, imbalanced credit datasets. However, the consensus in the literature is that raw model accuracy is necessary but not sufficient; the key diagnostic challenge is managing class imbalance (typically 20-30% default rates in consumer lending data) and multicollinearity among predictors.</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2.2 Data Quality and Preprocessing in Financial AI</w:t>
      </w:r>
    </w:p>
    <w:p w:rsidR="00FE1DA8" w:rsidRDefault="00000000">
      <w:pPr>
        <w:ind w:firstLine="720"/>
        <w:rPr>
          <w:rFonts w:ascii="Calibri" w:eastAsia="Calibri" w:hAnsi="Calibri" w:cs="Calibri"/>
        </w:rPr>
      </w:pPr>
      <w:r>
        <w:rPr>
          <w:rFonts w:eastAsia="Calibri" w:cs="Calibri"/>
          <w:color w:val="404040"/>
        </w:rPr>
        <w:t xml:space="preserve">A recurring theme in applied credit risk research is that preprocessing decisions have an outsized influence on final model performance – a principle sometimes described as 'garbage in, garbage out'. Sun and Harris (2024) document this concern specifically in the context of healthcare AI, noting that biased or inaccurate training datasets produce models that systematically perpetuate those biases. The same principle applies to credit risk: if the training data contains data entry errors (e.g., a person_age of 144 years), implausible values (e.g., </w:t>
      </w:r>
      <w:r>
        <w:rPr>
          <w:rFonts w:eastAsia="Calibri" w:cs="Calibri"/>
          <w:color w:val="404040"/>
        </w:rPr>
        <w:lastRenderedPageBreak/>
        <w:t>employment length greater than age), or missing values imputed by naive mean substitution, the resulting model learns from distorted signals.</w:t>
      </w:r>
    </w:p>
    <w:p w:rsidR="00FE1DA8" w:rsidRDefault="00000000">
      <w:pPr>
        <w:ind w:firstLine="720"/>
        <w:rPr>
          <w:rFonts w:ascii="Calibri" w:eastAsia="Calibri" w:hAnsi="Calibri" w:cs="Calibri"/>
        </w:rPr>
      </w:pPr>
      <w:r>
        <w:t>median imputation (Little &amp; Rubin, 2019) for right-skewed financial variables is well-established in the literature as preferable to mean imputation because the median is a resistant statistic, unaffected by extreme values. The Interquartile Range (IQR) outlier detection method – attributable to Tukey (1977) – remains the standard non-parametric approach for identifying extreme values in continuous financial variables.</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2.3 Exploratory Analysis and Distributional Properties</w:t>
      </w:r>
    </w:p>
    <w:p w:rsidR="00FE1DA8" w:rsidRDefault="00000000">
      <w:pPr>
        <w:ind w:firstLine="720"/>
        <w:rPr>
          <w:rFonts w:ascii="Calibri" w:eastAsia="Calibri" w:hAnsi="Calibri" w:cs="Calibri"/>
        </w:rPr>
      </w:pPr>
      <w:r>
        <w:rPr>
          <w:rFonts w:eastAsia="Calibri" w:cs="Calibri"/>
          <w:color w:val="404040"/>
        </w:rPr>
        <w:t xml:space="preserve">Financial variables such as income are almost universally </w:t>
      </w:r>
      <w:r w:rsidR="001825B5">
        <w:rPr>
          <w:rFonts w:eastAsia="Calibri" w:cs="Calibri"/>
          <w:color w:val="404040"/>
        </w:rPr>
        <w:t>right skewed</w:t>
      </w:r>
      <w:r>
        <w:rPr>
          <w:rFonts w:eastAsia="Calibri" w:cs="Calibri"/>
          <w:color w:val="404040"/>
        </w:rPr>
        <w:t xml:space="preserve"> in consumer lending datasets, a reflection of the highly unequal distribution of income in most economies. The log-transformation y = log(x+1) is a well-established tool for compressing the right tail and is widely applied prior to OLS regression, where homoscedasticity and approximate normality of residuals are assumed. The Central Limit Theorem (CLT) provides the formal justification for using parametric tests (t-tests, F-tests) on skewed data: even when individual observations are non-normal, the sampling distribution of the mean converges to normality as sample size increases, validating inference on aggregate measures.</w:t>
      </w:r>
    </w:p>
    <w:p w:rsidR="00983EE3" w:rsidRDefault="00000000">
      <w:pPr>
        <w:pStyle w:val="Heading2"/>
        <w:spacing w:before="240" w:after="120"/>
        <w:jc w:val="left"/>
      </w:pPr>
      <w:r>
        <w:rPr>
          <w:rFonts w:ascii="Times New Roman" w:hAnsi="Times New Roman"/>
          <w:b/>
          <w:i w:val="0"/>
          <w:sz w:val="24"/>
        </w:rPr>
        <w:t>2.4 Credit Risk Predictors</w:t>
      </w:r>
    </w:p>
    <w:p w:rsidR="00983EE3" w:rsidRDefault="00000000">
      <w:pPr>
        <w:ind w:firstLine="720"/>
      </w:pPr>
      <w:r>
        <w:rPr>
          <w:rFonts w:eastAsia="Calibri"/>
        </w:rPr>
        <w:t xml:space="preserve">Credit risk models commonly use three groups of predictors: ability to pay, past credit behavior, and loan structure. Ability to pay includes income, employment length, home ownership, and loan burden. Past credit behavior includes prior default status and credit history length. Loan structure includes amount, purpose, grade, interest rate, and loan percent of income. </w:t>
      </w:r>
      <w:r>
        <w:rPr>
          <w:rFonts w:eastAsia="Calibri"/>
        </w:rPr>
        <w:lastRenderedPageBreak/>
        <w:t>These groups are important because default risk is usually the result of several related conditions, not a single field.</w:t>
      </w:r>
    </w:p>
    <w:p w:rsidR="00983EE3" w:rsidRDefault="00000000">
      <w:pPr>
        <w:pStyle w:val="Heading2"/>
        <w:spacing w:before="240" w:after="120"/>
        <w:jc w:val="left"/>
      </w:pPr>
      <w:r>
        <w:rPr>
          <w:rFonts w:ascii="Times New Roman" w:hAnsi="Times New Roman"/>
          <w:b/>
          <w:i w:val="0"/>
          <w:sz w:val="24"/>
        </w:rPr>
        <w:t>2.5 Multicollinearity and Preprocessing</w:t>
      </w:r>
    </w:p>
    <w:p w:rsidR="00983EE3" w:rsidRDefault="00000000">
      <w:pPr>
        <w:ind w:firstLine="720"/>
      </w:pPr>
      <w:r>
        <w:t>Multicollinearity means that a predictor can be substantially explained by other predictors. This matters because duplicate or highly dependent inputs can make coefficient-based interpretation unstable and can make the feature set harder to defend. Variance Inflation Factor (VIF; Kutner et al., 2004), or VIF, is used as a diagnostic to measure this dependency. Because VIF requires numeric inputs, categorical fields are temporarily one-hot encoded for the diagnostic, but those temporary encoded columns are not saved as permanent dataset columns.</w:t>
      </w:r>
    </w:p>
    <w:p w:rsidR="00983EE3" w:rsidRDefault="00000000">
      <w:pPr>
        <w:pStyle w:val="Heading2"/>
        <w:spacing w:before="240" w:after="120"/>
        <w:jc w:val="left"/>
      </w:pPr>
      <w:r>
        <w:rPr>
          <w:rFonts w:ascii="Times New Roman" w:hAnsi="Times New Roman"/>
          <w:b/>
          <w:i w:val="0"/>
          <w:sz w:val="24"/>
        </w:rPr>
        <w:t>2.6 Machine Learning Model Families</w:t>
      </w:r>
    </w:p>
    <w:p w:rsidR="00983EE3" w:rsidRDefault="00000000">
      <w:pPr>
        <w:ind w:firstLine="720"/>
      </w:pPr>
      <w:r>
        <w:t>Logistic Regression and Linear Regression provide interpretable coefficient-based baselines. Random Forest models combine many decision trees to reduce instability. Gradient Boosting (Friedman, 2001) and CatBoost (Prokhorenkova et al., 2018) build sequential tree ensembles that focus on correcting earlier errors and often perform well on tabular credit data. Comparing these model families helps identify which approach gives the most reliable evidence across classification and regression metrics.</w:t>
      </w:r>
    </w:p>
    <w:p w:rsidR="00A65756"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2.7 Traditional Credit Risk Assessment</w:t>
      </w:r>
    </w:p>
    <w:p w:rsidR="00A65756" w:rsidRDefault="00000000">
      <w:pPr>
        <w:ind w:firstLine="720"/>
        <w:rPr>
          <w:rFonts w:ascii="Calibri" w:eastAsia="Calibri" w:hAnsi="Calibri" w:cs="Calibri"/>
          <w:szCs w:val="24"/>
        </w:rPr>
      </w:pPr>
      <w:r>
        <w:rPr>
          <w:rFonts w:eastAsia="Calibri" w:cs="Calibri"/>
          <w:color w:val="404040"/>
          <w:szCs w:val="24"/>
        </w:rPr>
        <w:t xml:space="preserve">Credit risk assessment initially relied on expert judgment based on borrowers' financial stability, repayment capacity, credit history, and collateral. Over time, quantitative models improved consistency and objectivity. Techniques such as Linear Regression, Discriminant Analysis, and Logistic Regression became widely used to estimate default probability and support lending decisions. Regulatory frameworks encouraged standardized practices to </w:t>
      </w:r>
      <w:r>
        <w:rPr>
          <w:rFonts w:eastAsia="Calibri" w:cs="Calibri"/>
          <w:color w:val="404040"/>
          <w:szCs w:val="24"/>
        </w:rPr>
        <w:lastRenderedPageBreak/>
        <w:t>strengthen financial stability and capital adequacy. These models offered transparency and interpretability, making them suitable for regulatory and business use.</w:t>
      </w:r>
    </w:p>
    <w:p w:rsidR="00A65756" w:rsidRDefault="00000000">
      <w:pPr>
        <w:pStyle w:val="Heading2"/>
        <w:keepNext w:val="0"/>
        <w:keepLines w:val="0"/>
        <w:spacing w:before="240" w:after="120"/>
        <w:jc w:val="left"/>
        <w:rPr>
          <w:rFonts w:ascii="Calibri" w:eastAsia="Calibri" w:hAnsi="Calibri" w:cs="Calibri"/>
          <w:color w:val="2E75B6"/>
        </w:rPr>
      </w:pPr>
      <w:bookmarkStart w:id="1" w:name="_drg7m0ohystu" w:colFirst="0" w:colLast="0"/>
      <w:bookmarkEnd w:id="1"/>
      <w:r>
        <w:rPr>
          <w:rFonts w:ascii="Times New Roman" w:eastAsia="Calibri" w:hAnsi="Times New Roman" w:cs="Calibri"/>
          <w:b/>
          <w:i w:val="0"/>
          <w:color w:val="2E75B6"/>
          <w:sz w:val="24"/>
        </w:rPr>
        <w:t>2.8 Machine Learning-Based Credit Risk Assessment</w:t>
      </w:r>
    </w:p>
    <w:p w:rsidR="00A65756" w:rsidRDefault="00000000">
      <w:pPr>
        <w:ind w:firstLine="720"/>
        <w:rPr>
          <w:rFonts w:ascii="Calibri" w:eastAsia="Calibri" w:hAnsi="Calibri" w:cs="Calibri"/>
        </w:rPr>
      </w:pPr>
      <w:r>
        <w:t>Advances in data and computing have driven the adoption of machine learning in credit risk modeling. Algorithms such as Decision Trees, Random Forests, Gradient Boosting (Friedman, 2001), XGBoost, SVM, and Neural Networks capture complex nonlinear relationships and often improve predictive accuracy. They enable automated decision-making and better risk discrimination. However, their complexity reduces interpretability, addressed through explainable AI techniques that provide insights into model behavior and feature importance. Modern approaches balance accuracy with transparency for reliable and accountable lending.</w:t>
      </w:r>
    </w:p>
    <w:p w:rsidR="00A65756" w:rsidRDefault="00000000">
      <w:pPr>
        <w:pStyle w:val="Heading1"/>
        <w:pageBreakBefore/>
        <w:spacing w:before="240" w:after="120"/>
        <w:jc w:val="center"/>
      </w:pPr>
      <w:r>
        <w:rPr>
          <w:rFonts w:ascii="Times New Roman" w:hAnsi="Times New Roman"/>
          <w:b/>
          <w:sz w:val="24"/>
        </w:rPr>
        <w:t>3. Method</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3.1 Dataset</w:t>
      </w:r>
    </w:p>
    <w:p w:rsidR="00FE1DA8" w:rsidRDefault="00000000">
      <w:pPr>
        <w:ind w:firstLine="720"/>
        <w:rPr>
          <w:rFonts w:ascii="Calibri" w:eastAsia="Calibri" w:hAnsi="Calibri" w:cs="Calibri"/>
        </w:rPr>
      </w:pPr>
      <w:r>
        <w:rPr>
          <w:rFonts w:eastAsia="Calibri" w:cs="Calibri"/>
          <w:color w:val="404040"/>
        </w:rPr>
        <w:t>The Credit Risk Modeling Dataset was sourced from Kaggle (https://www.kaggle.com/datasets/laotse/credit-risk-dataset) and is stored in the project repository under data/raw/credit_risk_dataset.csv. The raw dataset contains 32,581 rows and 12 columns covering borrower demographics, loan characteristics, and credit bureau information. The target variables for the full project are loan_status (binary: 1 = default, 0 = non-default) and loan_int_rate (continuous interest rate).</w:t>
      </w:r>
    </w:p>
    <w:p w:rsidR="00FE1DA8" w:rsidRDefault="00000000">
      <w:pPr>
        <w:ind w:firstLine="720"/>
        <w:rPr>
          <w:rFonts w:ascii="Calibri" w:eastAsia="Calibri" w:hAnsi="Calibri" w:cs="Calibri"/>
        </w:rPr>
        <w:keepNext w:val="true"/>
      </w:pPr>
      <w:r>
        <w:rPr>
          <w:rFonts w:eastAsia="Calibri" w:cs="Calibri"/>
          <w:color w:val="404040"/>
        </w:rPr>
        <w:t>Table 1 below describes all 12 columns.</w:t>
      </w:r>
    </w:p>
    <w:p w:rsidR="00A65756" w:rsidRDefault="00000000">
      <w:pPr>
        <w:spacing w:before="240"/>
        <w:keepNext w:val="true"/>
        <w:jc w:val="left"/>
      </w:pPr>
      <w:r>
        <w:rPr>
          <w:rFonts w:ascii="Times New Roman" w:hAnsi="Times New Roman"/>
          <w:b/>
          <w:sz w:val="24"/>
        </w:rPr>
        <w:t>Table 1</w:t>
      </w:r>
    </w:p>
    <w:p w:rsidR="00A65756" w:rsidRDefault="00000000">
      <w:pPr>
        <w:spacing w:after="120"/>
        <w:jc w:val="left"/>
        <w:keepNext w:val="true"/>
      </w:pPr>
      <w:r>
        <w:rPr>
          <w:rFonts w:ascii="Times New Roman" w:hAnsi="Times New Roman"/>
          <w:i/>
          <w:sz w:val="24"/>
        </w:rPr>
        <w:lastRenderedPageBreak/>
        <w:t>Description of all 12 features in the raw Credit Risk dataset</w:t>
      </w:r>
    </w:p>
    <w:tbl>
      <w:tblPr>
        <w:tblStyle w:val="a"/>
        <w:tblW w:w="9360" w:type="dxa"/>
        <w:jc w:val="center"/>
        <w:tblInd w:w="0" w:type="dxa"/>
        <w:tblLayout w:type="fixed"/>
        <w:tblLook w:val="0000" w:firstRow="0" w:lastRow="0" w:firstColumn="0" w:lastColumn="0" w:noHBand="0" w:noVBand="0"/>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2100"/>
        <w:gridCol w:w="1500"/>
        <w:gridCol w:w="5760"/>
      </w:tblGrid>
      <w:tr w:rsidR="00FE1DA8">
        <w:trPr>
          <w:jc w:val="center"/>
          <w:cantSplit w:val="true"/>
          <w:tblHeader w:val="true"/>
        </w:trPr>
        <w:tc>
          <w:tcPr>
            <w:tcW w:w="21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Feature</w:t>
            </w:r>
          </w:p>
        </w:tc>
        <w:tc>
          <w:tcPr>
            <w:tcW w:w="15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Type</w:t>
            </w:r>
          </w:p>
        </w:tc>
        <w:tc>
          <w:tcPr>
            <w:tcW w:w="576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Description</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person_age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Integer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Borrower age in years</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person_income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Integer</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Annual income in USD</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proofErr w:type="spellStart"/>
            <w:r>
              <w:rPr>
                <w:rFonts w:eastAsia="Calibri" w:cs="Calibri" w:ascii="Times New Roman" w:hAnsi="Times New Roman"/>
                <w:color w:val="404040"/>
                <w:sz w:val="20"/>
                <w:szCs w:val="19"/>
              </w:rPr>
              <w:t>person_home_ownership</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Categorical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RENT, OWN, MORTGAGE, OTHER</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person_emp_length</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Employment length in years (2.75% missing)</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proofErr w:type="spellStart"/>
            <w:r>
              <w:rPr>
                <w:rFonts w:eastAsia="Calibri" w:cs="Calibri" w:ascii="Times New Roman" w:hAnsi="Times New Roman"/>
                <w:color w:val="404040"/>
                <w:sz w:val="20"/>
                <w:szCs w:val="19"/>
              </w:rPr>
              <w:t>loan_intent</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Categorical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Purpose: EDUCATION, MEDICAL, PERSONAL, etc.</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proofErr w:type="spellStart"/>
            <w:r>
              <w:rPr>
                <w:rFonts w:eastAsia="Calibri" w:cs="Calibri" w:ascii="Times New Roman" w:hAnsi="Times New Roman"/>
                <w:color w:val="404040"/>
                <w:sz w:val="20"/>
                <w:szCs w:val="19"/>
              </w:rPr>
              <w:t>loan_grade</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Categorical (Ordinal)</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Credit grade A–G (A = lowest risk)</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proofErr w:type="spellStart"/>
            <w:r>
              <w:rPr>
                <w:rFonts w:eastAsia="Calibri" w:cs="Calibri" w:ascii="Times New Roman" w:hAnsi="Times New Roman"/>
                <w:color w:val="404040"/>
                <w:sz w:val="20"/>
                <w:szCs w:val="19"/>
              </w:rPr>
              <w:t>loan_amnt</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Integer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Loan principal amount in USD</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loan_int_rate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Interest rate in % (9.56% missing)</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loan_status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Binary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1 = defaulted, 0 = did not default (target)</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loan_percent_income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Float</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Loan amount as proportion of annual income</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proofErr w:type="spellStart"/>
            <w:r>
              <w:rPr>
                <w:rFonts w:eastAsia="Calibri" w:cs="Calibri" w:ascii="Times New Roman" w:hAnsi="Times New Roman"/>
                <w:color w:val="404040"/>
                <w:sz w:val="20"/>
                <w:szCs w:val="19"/>
              </w:rPr>
              <w:t>cb_person_default_on_file</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Binary (Y/N)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Prior default on credit bureau record</w:t>
            </w:r>
          </w:p>
        </w:tc>
      </w:tr>
      <w:tr w:rsidR="00FE1DA8">
        <w:trPr>
          <w:jc w:val="center"/>
          <w:cantSplit w:val="true"/>
        </w:trPr>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pPr>
            <w:proofErr w:type="spellStart"/>
            <w:r>
              <w:rPr>
                <w:rFonts w:eastAsia="Calibri" w:cs="Calibri" w:ascii="Times New Roman" w:hAnsi="Times New Roman"/>
                <w:color w:val="404040"/>
                <w:sz w:val="20"/>
                <w:szCs w:val="19"/>
              </w:rPr>
              <w:t>cb_person_cred_hist_length</w:t>
            </w:r>
            <w:proofErr w:type="spellEnd"/>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Integer</w:t>
            </w:r>
          </w:p>
        </w:tc>
        <w:tc>
          <w:tcPr>
            <w:tcW w:w="5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Length of credit history in years</w:t>
            </w:r>
          </w:p>
        </w:tc>
      </w:tr>
    </w:tbl>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3.2 Missing Value Imputation</w:t>
      </w:r>
    </w:p>
    <w:p w:rsidR="00FE1DA8" w:rsidRDefault="00000000">
      <w:pPr>
        <w:ind w:firstLine="720"/>
        <w:rPr>
          <w:rFonts w:ascii="Calibri" w:eastAsia="Calibri" w:hAnsi="Calibri" w:cs="Calibri"/>
        </w:rPr>
      </w:pPr>
      <w:r>
        <w:t>Two columns contained missing values. We selected median imputation (Little &amp; Rubin, 2019) rather than mean imputation for both because financial variables in this dataset are right-skewed; the mean is inflated by high-earning outliers and would overestimate the typical missing value.</w:t>
      </w:r>
    </w:p>
    <w:p w:rsidR="00FE1DA8" w:rsidRDefault="00000000">
      <w:pPr>
        <w:ind w:firstLine="720"/>
        <w:rPr>
          <w:rFonts w:ascii="Calibri" w:eastAsia="Calibri" w:hAnsi="Calibri" w:cs="Calibri"/>
        </w:rPr>
      </w:pPr>
      <w:r>
        <w:rPr>
          <w:rFonts w:eastAsia="Calibri" w:cs="Calibri"/>
          <w:color w:val="404040"/>
        </w:rPr>
        <w:t>The median is formally defined as the middle value of a sorted sample:</w:t>
      </w:r>
    </w:p>
    <w:p w:rsidR="00FE1DA8" w:rsidRDefault="00000000">
      <w:pPr>
        <w:spacing w:before="240" w:after="120"/>
        <w:rPr>
          <w:rFonts w:ascii="Calibri" w:eastAsia="Calibri" w:hAnsi="Calibri" w:cs="Calibri"/>
        </w:rPr>
      </w:pPr>
      <w:r>
        <w:rPr>
          <w:rFonts w:eastAsia="Calibri" w:cs="Calibri"/>
          <w:b/>
          <w:bCs/>
          <w:color w:val="1F3864"/>
        </w:rPr>
        <w:t>x̃  =  x₍ₙ₊₁₎/₂  (n odd)    or    [xₙ/₂ + xₙ/₂₊₁] / 2  (n even)</w:t>
      </w:r>
    </w:p>
    <w:p w:rsidR="00FE1DA8" w:rsidRDefault="00000000">
      <w:pPr>
        <w:ind w:firstLine="720"/>
        <w:rPr>
          <w:rFonts w:ascii="Calibri" w:eastAsia="Calibri" w:hAnsi="Calibri" w:cs="Calibri"/>
        </w:rPr>
      </w:pPr>
      <w:r>
        <w:rPr>
          <w:rFonts w:eastAsia="Calibri" w:cs="Calibri"/>
          <w:color w:val="404040"/>
        </w:rPr>
        <w:t>Because the median is rank-based rather than magnitude-based, it is insensitive to extreme values – a property called statistical resistance. Imputed values were:</w:t>
      </w:r>
    </w:p>
    <w:p w:rsidR="00FE1DA8" w:rsidRDefault="00000000">
      <w:pPr>
        <w:numPr>
          <w:ilvl w:val="0"/>
          <w:numId w:val="10"/>
        </w:numPr>
        <w:ind w:left="0" w:firstLine="720"/>
        <w:rPr>
          <w:rFonts w:ascii="Calibri" w:eastAsia="Calibri" w:hAnsi="Calibri" w:cs="Calibri"/>
        </w:rPr>
      </w:pPr>
      <w:r>
        <w:rPr>
          <w:rFonts w:eastAsia="Calibri" w:cs="Calibri"/>
          <w:color w:val="404040"/>
          <w:szCs w:val="21"/>
        </w:rPr>
        <w:t>person_emp_length: median = 4.0000 years (895 missing values, 2.75%)</w:t>
      </w:r>
    </w:p>
    <w:p w:rsidR="00FE1DA8" w:rsidRDefault="00000000">
      <w:pPr>
        <w:numPr>
          <w:ilvl w:val="0"/>
          <w:numId w:val="10"/>
        </w:numPr>
        <w:ind w:left="0" w:firstLine="720"/>
        <w:rPr>
          <w:rFonts w:ascii="Calibri" w:eastAsia="Calibri" w:hAnsi="Calibri" w:cs="Calibri"/>
        </w:rPr>
      </w:pPr>
      <w:r>
        <w:rPr>
          <w:rFonts w:eastAsia="Calibri" w:cs="Calibri"/>
          <w:color w:val="404040"/>
          <w:szCs w:val="21"/>
        </w:rPr>
        <w:t>loan_int_rate: median = 10.9900% (3,116 missing values, 9.56%)</w:t>
      </w:r>
    </w:p>
    <w:p w:rsidR="00FE1DA8" w:rsidRDefault="00000000">
      <w:pPr>
        <w:ind w:firstLine="720"/>
        <w:rPr>
          <w:rFonts w:ascii="Calibri" w:eastAsia="Calibri" w:hAnsi="Calibri" w:cs="Calibri"/>
        </w:rPr>
      </w:pPr>
      <w:r>
        <w:rPr>
          <w:rFonts w:eastAsia="Calibri" w:cs="Calibri"/>
          <w:color w:val="404040"/>
        </w:rPr>
        <w:t>After imputation, zero missing values remained across all columns.</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3.3 Outlier Detection and Filtering</w:t>
      </w:r>
    </w:p>
    <w:p w:rsidR="00FE1DA8" w:rsidRDefault="00000000">
      <w:pPr>
        <w:ind w:firstLine="720"/>
        <w:rPr>
          <w:rFonts w:ascii="Calibri" w:eastAsia="Calibri" w:hAnsi="Calibri" w:cs="Calibri"/>
        </w:rPr>
      </w:pPr>
      <w:r>
        <w:t>Outliers were identified using the IQR method (Tukey, 1977) with Tukey fences applied to person_age and person_income:</w:t>
      </w:r>
    </w:p>
    <w:p w:rsidR="00FE1DA8" w:rsidRDefault="00000000">
      <w:pPr>
        <w:spacing w:before="240" w:after="120"/>
        <w:rPr>
          <w:rFonts w:ascii="Calibri" w:eastAsia="Calibri" w:hAnsi="Calibri" w:cs="Calibri"/>
        </w:rPr>
      </w:pPr>
      <w:r>
        <w:rPr>
          <w:rFonts w:eastAsia="Calibri" w:cs="Calibri"/>
          <w:b/>
          <w:bCs/>
          <w:color w:val="1F3864"/>
        </w:rPr>
        <w:t>Lower Bound  =  Q₁ − 1.5 × IQR</w:t>
      </w:r>
    </w:p>
    <w:p w:rsidR="00FE1DA8" w:rsidRDefault="00000000">
      <w:pPr>
        <w:spacing w:before="240" w:after="120"/>
        <w:rPr>
          <w:rFonts w:ascii="Calibri" w:eastAsia="Calibri" w:hAnsi="Calibri" w:cs="Calibri"/>
        </w:rPr>
      </w:pPr>
      <w:r>
        <w:rPr>
          <w:rFonts w:eastAsia="Calibri" w:cs="Calibri"/>
          <w:b/>
          <w:bCs/>
          <w:color w:val="1F3864"/>
        </w:rPr>
        <w:t>Upper Bound  =  Q₃ + 1.5 × IQR</w:t>
      </w:r>
    </w:p>
    <w:p w:rsidR="00FE1DA8" w:rsidRDefault="00000000">
      <w:pPr>
        <w:ind w:firstLine="720"/>
        <w:rPr>
          <w:rFonts w:ascii="Calibri" w:eastAsia="Calibri" w:hAnsi="Calibri" w:cs="Calibri"/>
        </w:rPr>
        <w:keepNext w:val="true"/>
      </w:pPr>
      <w:r>
        <w:rPr>
          <w:rFonts w:eastAsia="Calibri" w:cs="Calibri"/>
          <w:color w:val="404040"/>
        </w:rPr>
        <w:t xml:space="preserve">Table 2 </w:t>
      </w:r>
      <w:r w:rsidR="001825B5">
        <w:rPr>
          <w:rFonts w:eastAsia="Calibri" w:cs="Calibri"/>
          <w:color w:val="404040"/>
        </w:rPr>
        <w:t>summarizes</w:t>
      </w:r>
      <w:r>
        <w:rPr>
          <w:rFonts w:eastAsia="Calibri" w:cs="Calibri"/>
          <w:color w:val="404040"/>
        </w:rPr>
        <w:t xml:space="preserve"> the computed bounds and outlier counts.</w:t>
      </w:r>
    </w:p>
    <w:p w:rsidR="00A65756" w:rsidRDefault="00000000">
      <w:pPr>
        <w:spacing w:before="240"/>
        <w:keepNext w:val="true"/>
        <w:jc w:val="left"/>
      </w:pPr>
      <w:r>
        <w:rPr>
          <w:rFonts w:ascii="Times New Roman" w:hAnsi="Times New Roman"/>
          <w:b/>
          <w:sz w:val="24"/>
        </w:rPr>
        <w:t>Table 2</w:t>
      </w:r>
    </w:p>
    <w:p w:rsidR="00A65756" w:rsidRDefault="00000000">
      <w:pPr>
        <w:spacing w:after="120"/>
        <w:jc w:val="left"/>
        <w:keepNext w:val="true"/>
      </w:pPr>
      <w:r>
        <w:rPr>
          <w:rFonts w:ascii="Times New Roman" w:hAnsi="Times New Roman"/>
          <w:i/>
          <w:sz w:val="24"/>
        </w:rPr>
        <w:t>IQR outlier detection results for person_age and person_income</w:t>
      </w:r>
    </w:p>
    <w:tbl>
      <w:tblPr>
        <w:tblStyle w:val="a0"/>
        <w:tblW w:w="7860" w:type="dxa"/>
        <w:jc w:val="center"/>
        <w:tblInd w:w="0" w:type="dxa"/>
        <w:tblLayout w:type="fixed"/>
        <w:tblLook w:val="0000" w:firstRow="0" w:lastRow="0" w:firstColumn="0" w:lastColumn="0" w:noHBand="0" w:noVBand="0"/>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680"/>
        <w:gridCol w:w="900"/>
        <w:gridCol w:w="900"/>
        <w:gridCol w:w="900"/>
        <w:gridCol w:w="1200"/>
        <w:gridCol w:w="1200"/>
        <w:gridCol w:w="1080"/>
      </w:tblGrid>
      <w:tr w:rsidR="00FE1DA8">
        <w:trPr>
          <w:jc w:val="center"/>
          <w:cantSplit w:val="true"/>
        </w:trPr>
        <w:tc>
          <w:tcPr>
            <w:tcW w:w="168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Feature</w:t>
            </w:r>
          </w:p>
        </w:tc>
        <w:tc>
          <w:tcPr>
            <w:tcW w:w="9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Q1</w:t>
            </w:r>
          </w:p>
        </w:tc>
        <w:tc>
          <w:tcPr>
            <w:tcW w:w="9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Q3</w:t>
            </w:r>
          </w:p>
        </w:tc>
        <w:tc>
          <w:tcPr>
            <w:tcW w:w="9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IQR</w:t>
            </w:r>
          </w:p>
        </w:tc>
        <w:tc>
          <w:tcPr>
            <w:tcW w:w="12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Lower Bound</w:t>
            </w:r>
          </w:p>
        </w:tc>
        <w:tc>
          <w:tcPr>
            <w:tcW w:w="12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Upper Bound</w:t>
            </w:r>
          </w:p>
        </w:tc>
        <w:tc>
          <w:tcPr>
            <w:tcW w:w="108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Outliers (n)</w:t>
            </w:r>
          </w:p>
        </w:tc>
      </w:tr>
      <w:tr w:rsidR="00FE1DA8">
        <w:trPr>
          <w:jc w:val="center"/>
          <w:cantSplit w:val="true"/>
        </w:trPr>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person_age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23.00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30.00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7.00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12.50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40.50</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1,494</w:t>
            </w:r>
          </w:p>
        </w:tc>
      </w:tr>
      <w:tr w:rsidR="00FE1DA8">
        <w:trPr>
          <w:jc w:val="center"/>
          <w:cantSplit w:val="true"/>
        </w:trPr>
        <w:tc>
          <w:tcPr>
            <w:tcW w:w="1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pPr>
            <w:r>
              <w:rPr>
                <w:rFonts w:eastAsia="Calibri" w:cs="Calibri" w:ascii="Times New Roman" w:hAnsi="Times New Roman"/>
                <w:color w:val="404040"/>
                <w:sz w:val="20"/>
                <w:szCs w:val="19"/>
              </w:rPr>
              <w:t>person_income</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$38,500</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$79,200</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$40,700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−$22,550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$140,250</w:t>
            </w:r>
          </w:p>
        </w:tc>
        <w:tc>
          <w:tcPr>
            <w:tcW w:w="1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1,484</w:t>
            </w:r>
          </w:p>
        </w:tc>
      </w:tr>
    </w:tbl>
    <w:p w:rsidR="00FE1DA8" w:rsidRDefault="00000000">
      <w:pPr>
        <w:ind w:firstLine="720"/>
        <w:rPr>
          <w:rFonts w:ascii="Calibri" w:eastAsia="Calibri" w:hAnsi="Calibri" w:cs="Calibri"/>
        </w:rPr>
      </w:pPr>
      <w:r>
        <w:rPr>
          <w:rFonts w:eastAsia="Calibri" w:cs="Calibri"/>
          <w:color w:val="404040"/>
        </w:rPr>
        <w:t>An additional domain constraint of person_age ≤ 100 years was enforced, as ages above 100 almost certainly represent data entry errors (the raw data included a maximum age of 144 years). Three further sanity checks were applied after the IQR filter:</w:t>
      </w:r>
    </w:p>
    <w:p w:rsidR="00FE1DA8" w:rsidRDefault="00000000">
      <w:pPr>
        <w:numPr>
          <w:ilvl w:val="0"/>
          <w:numId w:val="10"/>
        </w:numPr>
        <w:ind w:left="0" w:firstLine="720"/>
        <w:rPr>
          <w:rFonts w:ascii="Calibri" w:eastAsia="Calibri" w:hAnsi="Calibri" w:cs="Calibri"/>
        </w:rPr>
      </w:pPr>
      <w:r>
        <w:rPr>
          <w:rFonts w:eastAsia="Calibri" w:cs="Calibri"/>
          <w:color w:val="404040"/>
          <w:szCs w:val="21"/>
        </w:rPr>
        <w:t>Duplicate rows: 156 exact duplicates identified and removed.</w:t>
      </w:r>
    </w:p>
    <w:p w:rsidR="00FE1DA8" w:rsidRDefault="00000000">
      <w:pPr>
        <w:numPr>
          <w:ilvl w:val="0"/>
          <w:numId w:val="10"/>
        </w:numPr>
        <w:ind w:left="0" w:firstLine="720"/>
        <w:rPr>
          <w:rFonts w:ascii="Calibri" w:eastAsia="Calibri" w:hAnsi="Calibri" w:cs="Calibri"/>
        </w:rPr>
      </w:pPr>
      <w:r>
        <w:rPr>
          <w:rFonts w:eastAsia="Calibri" w:cs="Calibri"/>
          <w:color w:val="404040"/>
          <w:szCs w:val="21"/>
        </w:rPr>
        <w:lastRenderedPageBreak/>
        <w:t>Employment–age consistency: 1 row removed where person_emp_length &gt; person_age (logically impossible).</w:t>
      </w:r>
    </w:p>
    <w:p w:rsidR="00FE1DA8" w:rsidRDefault="00000000">
      <w:pPr>
        <w:numPr>
          <w:ilvl w:val="0"/>
          <w:numId w:val="10"/>
        </w:numPr>
        <w:ind w:left="0" w:firstLine="720"/>
        <w:rPr>
          <w:rFonts w:ascii="Calibri" w:eastAsia="Calibri" w:hAnsi="Calibri" w:cs="Calibri"/>
        </w:rPr>
      </w:pPr>
      <w:r>
        <w:rPr>
          <w:rFonts w:eastAsia="Calibri" w:cs="Calibri"/>
          <w:color w:val="404040"/>
          <w:szCs w:val="21"/>
        </w:rPr>
        <w:t>Domain constraint: person_age ≤ 100 applied in conjunction with IQR bounds.</w:t>
      </w:r>
    </w:p>
    <w:p w:rsidR="00FE1DA8" w:rsidRDefault="00000000">
      <w:pPr>
        <w:ind w:firstLine="720"/>
        <w:rPr>
          <w:rFonts w:ascii="Calibri" w:eastAsia="Calibri" w:hAnsi="Calibri" w:cs="Calibri"/>
        </w:rPr>
      </w:pPr>
      <w:r>
        <w:t>The net effect was a reduction from 32,581 to 29,567 rows – a loss of 3,014 rows (9.25%). The cleaned dataset was exported to data/processed/credit_risk_cleaned.csv for use by all subsequent stages.</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3.4 Log-Transformation of Income</w:t>
      </w:r>
    </w:p>
    <w:p w:rsidR="00FE1DA8" w:rsidRDefault="00000000">
      <w:pPr>
        <w:ind w:firstLine="720"/>
        <w:rPr>
          <w:rFonts w:ascii="Calibri" w:eastAsia="Calibri" w:hAnsi="Calibri" w:cs="Calibri"/>
        </w:rPr>
      </w:pPr>
      <w:r>
        <w:t>Personal income in this dataset follows a right-skewed distribution (skewness = 0.74). Many statistical models used in subsequent stages – including Ordinary Least Squares (OLS) regression – assume approximate normality and homoscedasticity of residuals. A right-skewed predictor violates these assumptions and distorts model coefficients.</w:t>
      </w:r>
    </w:p>
    <w:p w:rsidR="00FE1DA8" w:rsidRDefault="00000000">
      <w:pPr>
        <w:ind w:firstLine="720"/>
        <w:rPr>
          <w:rFonts w:ascii="Calibri" w:eastAsia="Calibri" w:hAnsi="Calibri" w:cs="Calibri"/>
        </w:rPr>
      </w:pPr>
      <w:r>
        <w:rPr>
          <w:rFonts w:eastAsia="Calibri" w:cs="Calibri"/>
          <w:color w:val="404040"/>
        </w:rPr>
        <w:t xml:space="preserve">We apply the log-transformation y = log(x + 1), where the +1 offset </w:t>
      </w:r>
      <w:r w:rsidR="001825B5">
        <w:rPr>
          <w:rFonts w:eastAsia="Calibri" w:cs="Calibri"/>
          <w:color w:val="404040"/>
        </w:rPr>
        <w:t>ensures,</w:t>
      </w:r>
      <w:r>
        <w:rPr>
          <w:rFonts w:eastAsia="Calibri" w:cs="Calibri"/>
          <w:color w:val="404040"/>
        </w:rPr>
        <w:t xml:space="preserve"> the transformation is defined even for zero-income observations. After transformation, skewness drops from 0.7419 to −0.4378, confirming that the long right tail has been effectively compressed. The log-transformed variable, log_person_income, is added to the cleaned dataset for use in regression modelling.</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3.5 Normality Testing: Shapiro-Wilk Test</w:t>
      </w:r>
    </w:p>
    <w:p w:rsidR="00FE1DA8" w:rsidRDefault="00000000">
      <w:pPr>
        <w:ind w:firstLine="720"/>
        <w:rPr>
          <w:rFonts w:ascii="Calibri" w:eastAsia="Calibri" w:hAnsi="Calibri" w:cs="Calibri"/>
        </w:rPr>
      </w:pPr>
      <w:r>
        <w:t>To formally assess whether the data follow a normal distribution, we apply the Shapiro-Wilk test (Shapiro &amp; Wilk, 1965) to a random sample of 5,000 rows drawn from the cleaned dataset. The hypotheses are:</w:t>
      </w:r>
    </w:p>
    <w:p w:rsidR="00FE1DA8" w:rsidRDefault="00000000">
      <w:pPr>
        <w:ind w:firstLine="720"/>
        <w:rPr>
          <w:rFonts w:ascii="Calibri" w:eastAsia="Calibri" w:hAnsi="Calibri" w:cs="Calibri"/>
        </w:rPr>
      </w:pPr>
      <w:r>
        <w:rPr>
          <w:rFonts w:eastAsia="Calibri" w:cs="Calibri"/>
          <w:b/>
          <w:bCs/>
          <w:color w:val="1F3864"/>
        </w:rPr>
        <w:t xml:space="preserve">H₀: </w:t>
      </w:r>
      <w:r>
        <w:rPr>
          <w:rFonts w:eastAsia="Calibri" w:cs="Calibri"/>
          <w:color w:val="404040"/>
        </w:rPr>
        <w:t>The data are drawn from a normal distribution.</w:t>
      </w:r>
    </w:p>
    <w:p w:rsidR="00FE1DA8" w:rsidRDefault="00000000">
      <w:pPr>
        <w:ind w:firstLine="720"/>
        <w:rPr>
          <w:rFonts w:ascii="Calibri" w:eastAsia="Calibri" w:hAnsi="Calibri" w:cs="Calibri"/>
        </w:rPr>
      </w:pPr>
      <w:r>
        <w:rPr>
          <w:rFonts w:eastAsia="Calibri" w:cs="Calibri"/>
          <w:b/>
          <w:bCs/>
          <w:color w:val="1F3864"/>
        </w:rPr>
        <w:t xml:space="preserve">H₁: </w:t>
      </w:r>
      <w:r>
        <w:rPr>
          <w:rFonts w:eastAsia="Calibri" w:cs="Calibri"/>
          <w:color w:val="404040"/>
        </w:rPr>
        <w:t>The data are not normally distributed.</w:t>
      </w:r>
    </w:p>
    <w:p w:rsidR="00FE1DA8" w:rsidRDefault="00000000">
      <w:pPr>
        <w:ind w:firstLine="720"/>
        <w:rPr>
          <w:rFonts w:ascii="Calibri" w:eastAsia="Calibri" w:hAnsi="Calibri" w:cs="Calibri"/>
        </w:rPr>
      </w:pPr>
      <w:r>
        <w:rPr>
          <w:rFonts w:eastAsia="Calibri" w:cs="Calibri"/>
          <w:color w:val="404040"/>
        </w:rPr>
        <w:lastRenderedPageBreak/>
        <w:t>The test statistic W measures the correlation between the observed order statistics and those expected under normality. W close to 1.0 indicates normality; we reject H₀ at α = 0.05 when p &lt; 0.05.</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3.6 Central Limit Theorem Simulation</w:t>
      </w:r>
    </w:p>
    <w:p w:rsidR="00FE1DA8" w:rsidRDefault="00000000">
      <w:pPr>
        <w:ind w:firstLine="720"/>
        <w:rPr>
          <w:rFonts w:ascii="Calibri" w:eastAsia="Calibri" w:hAnsi="Calibri" w:cs="Calibri"/>
        </w:rPr>
      </w:pPr>
      <w:r>
        <w:rPr>
          <w:rFonts w:eastAsia="Calibri" w:cs="Calibri"/>
          <w:color w:val="404040"/>
        </w:rPr>
        <w:t>Even though individual income observations are not normally distributed, the CLT guarantees convergence of the sampling distribution of the mean:</w:t>
      </w:r>
    </w:p>
    <w:p w:rsidR="00FE1DA8" w:rsidRDefault="00000000">
      <w:pPr>
        <w:spacing w:before="240" w:after="120"/>
        <w:ind w:firstLine="720"/>
        <w:rPr>
          <w:rFonts w:ascii="Calibri" w:eastAsia="Calibri" w:hAnsi="Calibri" w:cs="Calibri"/>
        </w:rPr>
      </w:pPr>
      <w:r>
        <w:rPr>
          <w:rFonts w:eastAsia="Calibri" w:cs="Calibri"/>
          <w:b/>
          <w:bCs/>
          <w:color w:val="1F3864"/>
          <w:szCs w:val="24"/>
        </w:rPr>
        <w:t>X̄ₙ  →  N(μ,  σ²/n)  as n → ∞</w:t>
      </w:r>
    </w:p>
    <w:p w:rsidR="00FE1DA8" w:rsidRDefault="00000000">
      <w:pPr>
        <w:ind w:firstLine="720"/>
        <w:rPr>
          <w:rFonts w:ascii="Calibri" w:eastAsia="Calibri" w:hAnsi="Calibri" w:cs="Calibri"/>
        </w:rPr>
      </w:pPr>
      <w:r>
        <w:rPr>
          <w:rFonts w:eastAsia="Calibri" w:cs="Calibri"/>
          <w:color w:val="404040"/>
        </w:rPr>
        <w:t>To demonstrate this empirically, we draw 5,000 bootstrap samples at each of n = 5, 30, and 200 from the cleaned income population, compute the mean of each sample, and plot the resulting sampling distributions.</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3.7 Pearson Correlation Analysis</w:t>
      </w:r>
    </w:p>
    <w:p w:rsidR="00FE1DA8" w:rsidRDefault="00000000">
      <w:pPr>
        <w:ind w:firstLine="720"/>
        <w:rPr>
          <w:rFonts w:ascii="Calibri" w:eastAsia="Calibri" w:hAnsi="Calibri" w:cs="Calibri"/>
        </w:rPr>
      </w:pPr>
      <w:r>
        <w:t>To understand linear relationships between features and identify potential multicollinearity problems for downstream regression, we compute the full 9 × 9 Pearson correlation matrix across all numeric columns. Pairs with |r| &gt; 0.30 are flagged as potentially significant, and pairs with |r| &gt; 0.80 are flagged as multicollinearity candidates requiring VIF analysis in the diagnostics section.</w:t>
      </w:r>
    </w:p>
    <w:p w:rsidR="00983EE3" w:rsidRDefault="00000000">
      <w:pPr>
        <w:pStyle w:val="Heading2"/>
        <w:spacing w:before="240" w:after="120"/>
        <w:jc w:val="left"/>
      </w:pPr>
      <w:r>
        <w:rPr>
          <w:rFonts w:ascii="Times New Roman" w:hAnsi="Times New Roman"/>
          <w:b/>
          <w:i w:val="0"/>
          <w:sz w:val="24"/>
        </w:rPr>
        <w:t>3.8 Dataset and Engineered Modeling Variables</w:t>
      </w:r>
    </w:p>
    <w:p w:rsidR="00983EE3" w:rsidRDefault="00000000">
      <w:pPr>
        <w:ind w:firstLine="720"/>
      </w:pPr>
      <w:r>
        <w:rPr>
          <w:rFonts w:eastAsia="Calibri"/>
        </w:rPr>
        <w:t xml:space="preserve">Feature engineering is the process of transforming, scaling, grouping, and deriving variables so statistical tests and machine learning models can better represent the structure of the problem. In this project, feature engineering is used to express borrower affordability, loan </w:t>
      </w:r>
      <w:r>
        <w:rPr>
          <w:rFonts w:eastAsia="Calibri"/>
        </w:rPr>
        <w:lastRenderedPageBreak/>
        <w:t>burden, employment and credit history, and prior default behavior in forms that are easier for models to learn and easier for readers to interpret.</w:t>
      </w:r>
    </w:p>
    <w:p w:rsidR="00983EE3" w:rsidRDefault="00000000">
      <w:pPr>
        <w:pStyle w:val="ListBullet"/>
        <w:ind w:left="720" w:firstLine="720"/>
      </w:pPr>
      <w:r>
        <w:rPr>
          <w:rFonts w:eastAsia="Calibri"/>
        </w:rPr>
        <w:t>Log transforms reduce the influence of extreme money values in income and loan amount.</w:t>
      </w:r>
    </w:p>
    <w:p w:rsidR="00983EE3" w:rsidRDefault="00000000">
      <w:pPr>
        <w:pStyle w:val="ListBullet"/>
        <w:ind w:left="720" w:firstLine="720"/>
      </w:pPr>
      <w:r>
        <w:rPr>
          <w:rFonts w:eastAsia="Calibri"/>
        </w:rPr>
        <w:t>Ratio features compare borrower capacity with loan size, which is more informative than raw dollars alone.</w:t>
      </w:r>
    </w:p>
    <w:p w:rsidR="00983EE3" w:rsidRDefault="00000000">
      <w:pPr>
        <w:pStyle w:val="ListBullet"/>
        <w:ind w:left="720" w:firstLine="720"/>
      </w:pPr>
      <w:r>
        <w:rPr>
          <w:rFonts w:eastAsia="Calibri"/>
        </w:rPr>
        <w:t>Grouped features convert continuous variables into readable risk bands for EDA and Bayesian reasoning.</w:t>
      </w:r>
    </w:p>
    <w:p w:rsidR="00983EE3" w:rsidRDefault="00000000">
      <w:pPr>
        <w:pStyle w:val="ListBullet"/>
        <w:ind w:left="720" w:firstLine="720"/>
      </w:pPr>
      <w:r>
        <w:rPr>
          <w:rFonts w:eastAsia="Calibri"/>
        </w:rPr>
        <w:t>Prior default indicators preserve historical credit behavior, which is highly relevant to future default risk.</w:t>
      </w:r>
    </w:p>
    <w:p w:rsidR="00A65756" w:rsidRDefault="00000000">
      <w:pPr>
        <w:spacing w:before="240"/>
        <w:keepNext w:val="true"/>
        <w:jc w:val="left"/>
      </w:pPr>
      <w:r>
        <w:rPr>
          <w:rFonts w:ascii="Times New Roman" w:hAnsi="Times New Roman"/>
          <w:b/>
          <w:sz w:val="24"/>
        </w:rPr>
        <w:t>Table 3</w:t>
      </w:r>
    </w:p>
    <w:p w:rsidR="00A65756" w:rsidRDefault="00000000">
      <w:pPr>
        <w:spacing w:after="120"/>
        <w:jc w:val="left"/>
        <w:keepNext w:val="true"/>
      </w:pPr>
      <w:r>
        <w:rPr>
          <w:rFonts w:ascii="Times New Roman" w:hAnsi="Times New Roman"/>
          <w:i/>
          <w:sz w:val="24"/>
        </w:rPr>
        <w:t>Modeling Dataset Summary</w:t>
      </w:r>
    </w:p>
    <w:tbl>
      <w:tblPr>
        <w:tblStyle w:val="TableGrid"/>
        <w:tblW w:w="9360" w:type="dxa"/>
        <w:jc w:val="center"/>
        <w:tblLook w:val="04A0" w:firstRow="1" w:lastRow="0" w:firstColumn="1" w:lastColumn="0" w:noHBand="0"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4791"/>
        <w:gridCol w:w="4785"/>
      </w:tblGrid>
      <w:tr w:rsidR="00983EE3">
        <w:trPr>
          <w:jc w:val="center"/>
          <w:cantSplit w:val="true"/>
          <w:tblHeader w:val="true"/>
        </w:trPr>
        <w:tc>
          <w:tcPr>
            <w:tcW w:w="4968"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Measure</w:t>
            </w:r>
          </w:p>
        </w:tc>
        <w:tc>
          <w:tcPr>
            <w:tcW w:w="4968"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Value</w:t>
            </w:r>
          </w:p>
        </w:tc>
      </w:tr>
      <w:tr w:rsidR="00983EE3">
        <w:trPr>
          <w:jc w:val="center"/>
          <w:cantSplit w:val="true"/>
        </w:trPr>
        <w:tc>
          <w:tcPr>
            <w:tcW w:w="4968" w:type="dxa"/>
            <w:shd w:val="clear" w:color="auto" w:fill="FFFFFF"/>
          </w:tcPr>
          <w:p w:rsidR="00983EE3" w:rsidRDefault="00000000">
            <w:pPr>
              <w:spacing w:before="40" w:after="40" w:line="276" w:lineRule="auto"/>
              <w:keepNext w:val="true"/>
            </w:pPr>
            <w:r>
              <w:rPr>
                <w:rFonts w:eastAsia="Calibri" w:ascii="Times New Roman" w:hAnsi="Times New Roman"/>
                <w:sz w:val="20"/>
              </w:rPr>
              <w:t>Loan records</w:t>
            </w:r>
          </w:p>
        </w:tc>
        <w:tc>
          <w:tcPr>
            <w:tcW w:w="4968" w:type="dxa"/>
            <w:shd w:val="clear" w:color="auto" w:fill="FFFFFF"/>
          </w:tcPr>
          <w:p w:rsidR="00983EE3" w:rsidRDefault="00000000">
            <w:pPr>
              <w:spacing w:before="40" w:after="40" w:line="276" w:lineRule="auto"/>
              <w:keepNext w:val="true"/>
            </w:pPr>
            <w:r>
              <w:rPr>
                <w:rFonts w:eastAsia="Calibri" w:ascii="Times New Roman" w:hAnsi="Times New Roman"/>
                <w:sz w:val="20"/>
              </w:rPr>
              <w:t>29,567</w:t>
            </w:r>
          </w:p>
        </w:tc>
      </w:tr>
      <w:tr w:rsidR="00983EE3">
        <w:trPr>
          <w:jc w:val="center"/>
          <w:cantSplit w:val="true"/>
        </w:trPr>
        <w:tc>
          <w:tcPr>
            <w:tcW w:w="4968" w:type="dxa"/>
            <w:shd w:val="clear" w:color="auto" w:fill="F2F2F2"/>
          </w:tcPr>
          <w:p w:rsidR="00983EE3" w:rsidRDefault="00000000">
            <w:pPr>
              <w:spacing w:before="40" w:after="40" w:line="276" w:lineRule="auto"/>
              <w:keepNext w:val="true"/>
            </w:pPr>
            <w:r>
              <w:rPr>
                <w:rFonts w:eastAsia="Calibri" w:ascii="Times New Roman" w:hAnsi="Times New Roman"/>
                <w:sz w:val="20"/>
              </w:rPr>
              <w:t>Available modeling columns</w:t>
            </w:r>
          </w:p>
        </w:tc>
        <w:tc>
          <w:tcPr>
            <w:tcW w:w="4968" w:type="dxa"/>
            <w:shd w:val="clear" w:color="auto" w:fill="F2F2F2"/>
          </w:tcPr>
          <w:p w:rsidR="00983EE3" w:rsidRDefault="00000000">
            <w:pPr>
              <w:spacing w:before="40" w:after="40" w:line="276" w:lineRule="auto"/>
              <w:keepNext w:val="true"/>
            </w:pPr>
            <w:r>
              <w:rPr>
                <w:rFonts w:eastAsia="Calibri" w:ascii="Times New Roman" w:hAnsi="Times New Roman"/>
                <w:sz w:val="20"/>
              </w:rPr>
              <w:t>23</w:t>
            </w:r>
          </w:p>
        </w:tc>
      </w:tr>
      <w:tr w:rsidR="00983EE3">
        <w:trPr>
          <w:jc w:val="center"/>
          <w:cantSplit w:val="true"/>
        </w:trPr>
        <w:tc>
          <w:tcPr>
            <w:tcW w:w="4968" w:type="dxa"/>
            <w:shd w:val="clear" w:color="auto" w:fill="FFFFFF"/>
          </w:tcPr>
          <w:p w:rsidR="00983EE3" w:rsidRDefault="00000000">
            <w:pPr>
              <w:spacing w:before="40" w:after="40" w:line="276" w:lineRule="auto"/>
              <w:keepNext w:val="true"/>
            </w:pPr>
            <w:r>
              <w:rPr>
                <w:rFonts w:eastAsia="Calibri" w:ascii="Times New Roman" w:hAnsi="Times New Roman"/>
                <w:sz w:val="20"/>
              </w:rPr>
              <w:t>Observed default rate</w:t>
            </w:r>
          </w:p>
        </w:tc>
        <w:tc>
          <w:tcPr>
            <w:tcW w:w="4968" w:type="dxa"/>
            <w:shd w:val="clear" w:color="auto" w:fill="FFFFFF"/>
          </w:tcPr>
          <w:p w:rsidR="00983EE3" w:rsidRDefault="00000000">
            <w:pPr>
              <w:spacing w:before="40" w:after="40" w:line="276" w:lineRule="auto"/>
              <w:keepNext w:val="true"/>
            </w:pPr>
            <w:r>
              <w:rPr>
                <w:rFonts w:eastAsia="Calibri" w:ascii="Times New Roman" w:hAnsi="Times New Roman"/>
                <w:sz w:val="20"/>
              </w:rPr>
              <w:t>22.44%</w:t>
            </w:r>
          </w:p>
        </w:tc>
      </w:tr>
      <w:tr w:rsidR="00983EE3">
        <w:trPr>
          <w:jc w:val="center"/>
          <w:cantSplit w:val="true"/>
        </w:trPr>
        <w:tc>
          <w:tcPr>
            <w:tcW w:w="4968" w:type="dxa"/>
            <w:shd w:val="clear" w:color="auto" w:fill="F2F2F2"/>
          </w:tcPr>
          <w:p w:rsidR="00983EE3" w:rsidRDefault="00000000">
            <w:pPr>
              <w:spacing w:before="40" w:after="40" w:line="276" w:lineRule="auto"/>
              <w:keepNext w:val="true"/>
            </w:pPr>
            <w:r>
              <w:rPr>
                <w:rFonts w:eastAsia="Calibri" w:ascii="Times New Roman" w:hAnsi="Times New Roman"/>
                <w:sz w:val="20"/>
              </w:rPr>
              <w:t>Median borrower income</w:t>
            </w:r>
          </w:p>
        </w:tc>
        <w:tc>
          <w:tcPr>
            <w:tcW w:w="4968" w:type="dxa"/>
            <w:shd w:val="clear" w:color="auto" w:fill="F2F2F2"/>
          </w:tcPr>
          <w:p w:rsidR="00983EE3" w:rsidRDefault="00000000">
            <w:pPr>
              <w:spacing w:before="40" w:after="40" w:line="276" w:lineRule="auto"/>
              <w:keepNext w:val="true"/>
            </w:pPr>
            <w:r>
              <w:rPr>
                <w:rFonts w:eastAsia="Calibri" w:ascii="Times New Roman" w:hAnsi="Times New Roman"/>
                <w:sz w:val="20"/>
              </w:rPr>
              <w:t>$54,000</w:t>
            </w:r>
          </w:p>
        </w:tc>
      </w:tr>
      <w:tr w:rsidR="00983EE3">
        <w:trPr>
          <w:jc w:val="center"/>
          <w:cantSplit w:val="true"/>
        </w:trPr>
        <w:tc>
          <w:tcPr>
            <w:tcW w:w="4968" w:type="dxa"/>
            <w:shd w:val="clear" w:color="auto" w:fill="FFFFFF"/>
          </w:tcPr>
          <w:p w:rsidR="00983EE3" w:rsidRDefault="00000000">
            <w:pPr>
              <w:spacing w:before="40" w:after="40" w:line="276" w:lineRule="auto"/>
              <w:keepNext w:val="true"/>
            </w:pPr>
            <w:r>
              <w:rPr>
                <w:rFonts w:eastAsia="Calibri" w:ascii="Times New Roman" w:hAnsi="Times New Roman"/>
                <w:sz w:val="20"/>
              </w:rPr>
              <w:t>Median loan amount</w:t>
            </w:r>
          </w:p>
        </w:tc>
        <w:tc>
          <w:tcPr>
            <w:tcW w:w="4968" w:type="dxa"/>
            <w:shd w:val="clear" w:color="auto" w:fill="FFFFFF"/>
          </w:tcPr>
          <w:p w:rsidR="00983EE3" w:rsidRDefault="00000000">
            <w:pPr>
              <w:spacing w:before="40" w:after="40" w:line="276" w:lineRule="auto"/>
              <w:keepNext w:val="true"/>
            </w:pPr>
            <w:r>
              <w:rPr>
                <w:rFonts w:eastAsia="Calibri" w:ascii="Times New Roman" w:hAnsi="Times New Roman"/>
                <w:sz w:val="20"/>
              </w:rPr>
              <w:t>$8,000</w:t>
            </w:r>
          </w:p>
        </w:tc>
      </w:tr>
      <w:tr w:rsidR="00983EE3">
        <w:trPr>
          <w:jc w:val="center"/>
          <w:cantSplit w:val="true"/>
        </w:trPr>
        <w:tc>
          <w:tcPr>
            <w:tcW w:w="4968" w:type="dxa"/>
            <w:shd w:val="clear" w:color="auto" w:fill="F2F2F2"/>
          </w:tcPr>
          <w:p w:rsidR="00983EE3" w:rsidRDefault="00000000">
            <w:pPr>
              <w:spacing w:before="40" w:after="40" w:line="276" w:lineRule="auto"/>
            </w:pPr>
            <w:r>
              <w:rPr>
                <w:rFonts w:eastAsia="Calibri" w:ascii="Times New Roman" w:hAnsi="Times New Roman"/>
                <w:sz w:val="20"/>
              </w:rPr>
              <w:t>Median loan burden</w:t>
            </w:r>
          </w:p>
        </w:tc>
        <w:tc>
          <w:tcPr>
            <w:tcW w:w="4968" w:type="dxa"/>
            <w:shd w:val="clear" w:color="auto" w:fill="F2F2F2"/>
          </w:tcPr>
          <w:p w:rsidR="00983EE3" w:rsidRDefault="00000000">
            <w:pPr>
              <w:spacing w:before="40" w:after="40" w:line="276" w:lineRule="auto"/>
            </w:pPr>
            <w:r>
              <w:rPr>
                <w:rFonts w:eastAsia="Calibri" w:ascii="Times New Roman" w:hAnsi="Times New Roman"/>
                <w:sz w:val="20"/>
              </w:rPr>
              <w:t>15.00%</w:t>
            </w:r>
          </w:p>
        </w:tc>
      </w:tr>
    </w:tbl>
    <w:p w:rsidR="00A65756" w:rsidRDefault="00000000">
      <w:pPr>
        <w:spacing w:before="240"/>
        <w:keepNext w:val="true"/>
        <w:jc w:val="left"/>
      </w:pPr>
      <w:r>
        <w:rPr>
          <w:rFonts w:ascii="Times New Roman" w:hAnsi="Times New Roman"/>
          <w:b/>
          <w:sz w:val="24"/>
        </w:rPr>
        <w:t>Figure 1</w:t>
      </w:r>
    </w:p>
    <w:p w:rsidR="00A65756" w:rsidRDefault="00000000">
      <w:pPr>
        <w:spacing w:after="120"/>
        <w:jc w:val="left"/>
        <w:keepNext w:val="true"/>
      </w:pPr>
      <w:r>
        <w:rPr>
          <w:rFonts w:ascii="Times New Roman" w:hAnsi="Times New Roman"/>
          <w:i/>
          <w:sz w:val="24"/>
        </w:rPr>
        <w:t>Default Rate by Grouped Borrower and Loan Features</w:t>
      </w:r>
    </w:p>
    <w:p w:rsidR="00983EE3" w:rsidRDefault="00000000">
      <w:pPr>
        <w:spacing w:line="240" w:lineRule="auto"/>
        <w:ind w:left="720"/>
        <w:keepNext w:val="true"/>
        <w:keepLines w:val="true"/>
      </w:pPr>
      <w:r>
        <w:rPr>
          <w:rFonts w:ascii="Courier New" w:hAnsi="Courier New"/>
          <w:noProof/>
          <w:color w:val="000000"/>
          <w:sz w:val="20"/>
        </w:rPr>
        <w:lastRenderedPageBreak/>
        <w:drawing>
          <wp:inline distT="0" distB="0" distL="0" distR="0" wp14:anchorId="4C6649F3" wp14:editId="0B2FD0EA">
            <wp:extent cx="5577840" cy="1517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_1_default_rate_groups.png"/>
                    <pic:cNvPicPr/>
                  </pic:nvPicPr>
                  <pic:blipFill>
                    <a:blip r:embed="rId8"/>
                    <a:stretch>
                      <a:fillRect/>
                    </a:stretch>
                  </pic:blipFill>
                  <pic:spPr>
                    <a:xfrm>
                      <a:off x="0" y="0"/>
                      <a:ext cx="5577840" cy="1517524"/>
                    </a:xfrm>
                    <a:prstGeom prst="rect">
                      <a:avLst/>
                    </a:prstGeom>
                  </pic:spPr>
                </pic:pic>
              </a:graphicData>
            </a:graphic>
          </wp:inline>
        </w:drawing>
      </w:r>
    </w:p>
    <w:p w:rsidR="00983EE3" w:rsidRDefault="00000000">
      <w:pPr>
        <w:ind w:firstLine="720"/>
        <w:keepNext w:val="true"/>
      </w:pPr>
      <w:r>
        <w:rPr>
          <w:rFonts w:eastAsia="Calibri"/>
        </w:rPr>
        <w:t>Figure 1 supports the feature engineering design by showing that default risk changes across grouped borrower and loan features. Loan burden groups are especially useful because they connect loan size to borrower income, which is more meaningful than loan amount alone.</w:t>
      </w:r>
    </w:p>
    <w:p w:rsidR="00983EE3" w:rsidRDefault="00000000">
      <w:pPr>
        <w:pStyle w:val="Heading2"/>
        <w:spacing w:before="240" w:after="120"/>
        <w:jc w:val="left"/>
      </w:pPr>
      <w:r>
        <w:rPr>
          <w:rFonts w:ascii="Times New Roman" w:hAnsi="Times New Roman"/>
          <w:b/>
          <w:i w:val="0"/>
          <w:sz w:val="24"/>
        </w:rPr>
        <w:t>3.9 Multicollinearity Diagnostic Using VIF</w:t>
      </w:r>
    </w:p>
    <w:p w:rsidR="00983EE3" w:rsidRDefault="00000000">
      <w:pPr>
        <w:ind w:firstLine="720"/>
      </w:pPr>
      <w:r>
        <w:rPr>
          <w:rFonts w:eastAsia="Calibri"/>
        </w:rPr>
        <w:t>The multicollinearity check evaluates whether model inputs repeat the same information. A high VIF does not mean a column is invalid, and it is not an automatic instruction to delete a feature. Instead, it warns that one predictor is strongly explainable by other predictors. The modeling feature lists were cleaned only where the dependency was direct and avoidable.</w:t>
      </w:r>
    </w:p>
    <w:p w:rsidR="00A65756" w:rsidRDefault="00000000">
      <w:pPr>
        <w:spacing w:before="240"/>
        <w:keepNext w:val="true"/>
        <w:jc w:val="left"/>
      </w:pPr>
      <w:r>
        <w:rPr>
          <w:rFonts w:ascii="Times New Roman" w:hAnsi="Times New Roman"/>
          <w:b/>
          <w:sz w:val="24"/>
        </w:rPr>
        <w:t>Table 4</w:t>
      </w:r>
    </w:p>
    <w:p w:rsidR="00A65756" w:rsidRDefault="00000000">
      <w:pPr>
        <w:spacing w:after="120"/>
        <w:jc w:val="left"/>
        <w:keepNext w:val="true"/>
      </w:pPr>
      <w:r>
        <w:rPr>
          <w:rFonts w:ascii="Times New Roman" w:hAnsi="Times New Roman"/>
          <w:i/>
          <w:sz w:val="24"/>
        </w:rPr>
        <w:t>Multicollinearity and Feature Dependency Decisions</w:t>
      </w:r>
    </w:p>
    <w:tbl>
      <w:tblPr>
        <w:tblStyle w:val="TableGrid"/>
        <w:tblW w:w="9360" w:type="dxa"/>
        <w:jc w:val="center"/>
        <w:tblLook w:val="04A0" w:firstRow="1" w:lastRow="0" w:firstColumn="1" w:lastColumn="0" w:noHBand="0"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3228"/>
        <w:gridCol w:w="3227"/>
        <w:gridCol w:w="3121"/>
      </w:tblGrid>
      <w:tr w:rsidR="00983EE3">
        <w:trPr>
          <w:jc w:val="center"/>
          <w:cantSplit w:val="true"/>
          <w:tblHeader w:val="true"/>
        </w:trPr>
        <w:tc>
          <w:tcPr>
            <w:tcW w:w="3312"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Dependent input pattern</w:t>
            </w:r>
          </w:p>
        </w:tc>
        <w:tc>
          <w:tcPr>
            <w:tcW w:w="3312"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Modeling decision</w:t>
            </w:r>
          </w:p>
        </w:tc>
        <w:tc>
          <w:tcPr>
            <w:tcW w:w="3312"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Technical reason</w:t>
            </w:r>
          </w:p>
        </w:tc>
      </w:tr>
      <w:tr w:rsidR="00983EE3">
        <w:trPr>
          <w:jc w:val="center"/>
          <w:cantSplit w:val="true"/>
        </w:trPr>
        <w:tc>
          <w:tcPr>
            <w:tcW w:w="3312" w:type="dxa"/>
            <w:shd w:val="clear" w:color="auto" w:fill="FFFFFF"/>
          </w:tcPr>
          <w:p w:rsidR="00983EE3" w:rsidRDefault="00000000">
            <w:pPr>
              <w:spacing w:before="40" w:after="40" w:line="276" w:lineRule="auto"/>
              <w:keepNext w:val="true"/>
            </w:pPr>
            <w:r>
              <w:rPr>
                <w:rFonts w:eastAsia="Calibri" w:ascii="Times New Roman" w:hAnsi="Times New Roman"/>
                <w:sz w:val="20"/>
              </w:rPr>
              <w:t>person_income and log_person_income</w:t>
            </w:r>
          </w:p>
        </w:tc>
        <w:tc>
          <w:tcPr>
            <w:tcW w:w="3312" w:type="dxa"/>
            <w:shd w:val="clear" w:color="auto" w:fill="FFFFFF"/>
          </w:tcPr>
          <w:p w:rsidR="00983EE3" w:rsidRDefault="00000000">
            <w:pPr>
              <w:spacing w:before="40" w:after="40" w:line="276" w:lineRule="auto"/>
              <w:keepNext w:val="true"/>
            </w:pPr>
            <w:r>
              <w:rPr>
                <w:rFonts w:eastAsia="Calibri" w:ascii="Times New Roman" w:hAnsi="Times New Roman"/>
                <w:sz w:val="20"/>
              </w:rPr>
              <w:t>Use log_person_income</w:t>
            </w:r>
          </w:p>
        </w:tc>
        <w:tc>
          <w:tcPr>
            <w:tcW w:w="3312" w:type="dxa"/>
            <w:shd w:val="clear" w:color="auto" w:fill="FFFFFF"/>
          </w:tcPr>
          <w:p w:rsidR="00983EE3" w:rsidRDefault="00000000">
            <w:pPr>
              <w:spacing w:before="40" w:after="40" w:line="276" w:lineRule="auto"/>
              <w:keepNext w:val="true"/>
            </w:pPr>
            <w:r>
              <w:rPr>
                <w:rFonts w:eastAsia="Calibri" w:ascii="Times New Roman" w:hAnsi="Times New Roman"/>
                <w:sz w:val="20"/>
              </w:rPr>
              <w:t>The log transform retains income information on a less skewed scale.</w:t>
            </w:r>
          </w:p>
        </w:tc>
      </w:tr>
      <w:tr w:rsidR="00983EE3">
        <w:trPr>
          <w:jc w:val="center"/>
          <w:cantSplit w:val="true"/>
        </w:trPr>
        <w:tc>
          <w:tcPr>
            <w:tcW w:w="3312" w:type="dxa"/>
            <w:shd w:val="clear" w:color="auto" w:fill="F2F2F2"/>
          </w:tcPr>
          <w:p w:rsidR="00983EE3" w:rsidRDefault="00000000">
            <w:pPr>
              <w:spacing w:before="40" w:after="40" w:line="276" w:lineRule="auto"/>
              <w:keepNext w:val="true"/>
            </w:pPr>
            <w:r>
              <w:rPr>
                <w:rFonts w:eastAsia="Calibri" w:ascii="Times New Roman" w:hAnsi="Times New Roman"/>
                <w:sz w:val="20"/>
              </w:rPr>
              <w:t>loan_amnt and log_loan_amnt in classification</w:t>
            </w:r>
          </w:p>
        </w:tc>
        <w:tc>
          <w:tcPr>
            <w:tcW w:w="3312" w:type="dxa"/>
            <w:shd w:val="clear" w:color="auto" w:fill="F2F2F2"/>
          </w:tcPr>
          <w:p w:rsidR="00983EE3" w:rsidRDefault="00000000">
            <w:pPr>
              <w:spacing w:before="40" w:after="40" w:line="276" w:lineRule="auto"/>
              <w:keepNext w:val="true"/>
            </w:pPr>
            <w:r>
              <w:rPr>
                <w:rFonts w:eastAsia="Calibri" w:ascii="Times New Roman" w:hAnsi="Times New Roman"/>
                <w:sz w:val="20"/>
              </w:rPr>
              <w:t>Use log_loan_amnt</w:t>
            </w:r>
          </w:p>
        </w:tc>
        <w:tc>
          <w:tcPr>
            <w:tcW w:w="3312" w:type="dxa"/>
            <w:shd w:val="clear" w:color="auto" w:fill="F2F2F2"/>
          </w:tcPr>
          <w:p w:rsidR="00983EE3" w:rsidRDefault="00000000">
            <w:pPr>
              <w:spacing w:before="40" w:after="40" w:line="276" w:lineRule="auto"/>
              <w:keepNext w:val="true"/>
            </w:pPr>
            <w:r>
              <w:rPr>
                <w:rFonts w:eastAsia="Calibri" w:ascii="Times New Roman" w:hAnsi="Times New Roman"/>
                <w:sz w:val="20"/>
              </w:rPr>
              <w:t>The log transform represents loan size while reducing extreme-value influence.</w:t>
            </w:r>
          </w:p>
        </w:tc>
      </w:tr>
      <w:tr w:rsidR="00983EE3">
        <w:trPr>
          <w:jc w:val="center"/>
          <w:cantSplit w:val="true"/>
        </w:trPr>
        <w:tc>
          <w:tcPr>
            <w:tcW w:w="3312" w:type="dxa"/>
            <w:shd w:val="clear" w:color="auto" w:fill="FFFFFF"/>
          </w:tcPr>
          <w:p w:rsidR="00983EE3" w:rsidRDefault="00000000">
            <w:pPr>
              <w:spacing w:before="40" w:after="40" w:line="276" w:lineRule="auto"/>
              <w:keepNext w:val="true"/>
            </w:pPr>
            <w:r>
              <w:rPr>
                <w:rFonts w:eastAsia="Calibri" w:ascii="Times New Roman" w:hAnsi="Times New Roman"/>
                <w:sz w:val="20"/>
              </w:rPr>
              <w:t>loan_grade and loan_grade_numeric</w:t>
            </w:r>
          </w:p>
        </w:tc>
        <w:tc>
          <w:tcPr>
            <w:tcW w:w="3312" w:type="dxa"/>
            <w:shd w:val="clear" w:color="auto" w:fill="FFFFFF"/>
          </w:tcPr>
          <w:p w:rsidR="00983EE3" w:rsidRDefault="00000000">
            <w:pPr>
              <w:spacing w:before="40" w:after="40" w:line="276" w:lineRule="auto"/>
              <w:keepNext w:val="true"/>
            </w:pPr>
            <w:r>
              <w:rPr>
                <w:rFonts w:eastAsia="Calibri" w:ascii="Times New Roman" w:hAnsi="Times New Roman"/>
                <w:sz w:val="20"/>
              </w:rPr>
              <w:t>Use loan_grade</w:t>
            </w:r>
          </w:p>
        </w:tc>
        <w:tc>
          <w:tcPr>
            <w:tcW w:w="3312" w:type="dxa"/>
            <w:shd w:val="clear" w:color="auto" w:fill="FFFFFF"/>
          </w:tcPr>
          <w:p w:rsidR="00983EE3" w:rsidRDefault="00000000">
            <w:pPr>
              <w:spacing w:before="40" w:after="40" w:line="276" w:lineRule="auto"/>
              <w:keepNext w:val="true"/>
            </w:pPr>
            <w:r>
              <w:rPr>
                <w:rFonts w:eastAsia="Calibri" w:ascii="Times New Roman" w:hAnsi="Times New Roman"/>
                <w:sz w:val="20"/>
              </w:rPr>
              <w:t>The pipeline ordinal-encodes the original grade; the numeric duplicate is redundant.</w:t>
            </w:r>
          </w:p>
        </w:tc>
      </w:tr>
      <w:tr w:rsidR="00983EE3">
        <w:trPr>
          <w:jc w:val="center"/>
          <w:cantSplit w:val="true"/>
        </w:trPr>
        <w:tc>
          <w:tcPr>
            <w:tcW w:w="3312" w:type="dxa"/>
            <w:shd w:val="clear" w:color="auto" w:fill="F2F2F2"/>
          </w:tcPr>
          <w:p w:rsidR="00983EE3" w:rsidRDefault="00000000">
            <w:pPr>
              <w:spacing w:before="40" w:after="40" w:line="276" w:lineRule="auto"/>
            </w:pPr>
            <w:r>
              <w:rPr>
                <w:rFonts w:eastAsia="Calibri" w:ascii="Times New Roman" w:hAnsi="Times New Roman"/>
                <w:sz w:val="20"/>
              </w:rPr>
              <w:t>cb_person_default_on_file and default_on_file_binary</w:t>
            </w:r>
          </w:p>
        </w:tc>
        <w:tc>
          <w:tcPr>
            <w:tcW w:w="3312" w:type="dxa"/>
            <w:shd w:val="clear" w:color="auto" w:fill="F2F2F2"/>
          </w:tcPr>
          <w:p w:rsidR="00983EE3" w:rsidRDefault="00000000">
            <w:pPr>
              <w:spacing w:before="40" w:after="40" w:line="276" w:lineRule="auto"/>
            </w:pPr>
            <w:r>
              <w:rPr>
                <w:rFonts w:eastAsia="Calibri" w:ascii="Times New Roman" w:hAnsi="Times New Roman"/>
                <w:sz w:val="20"/>
              </w:rPr>
              <w:t>Use cb_person_default_on_file</w:t>
            </w:r>
          </w:p>
        </w:tc>
        <w:tc>
          <w:tcPr>
            <w:tcW w:w="3312" w:type="dxa"/>
            <w:shd w:val="clear" w:color="auto" w:fill="F2F2F2"/>
          </w:tcPr>
          <w:p w:rsidR="00983EE3" w:rsidRDefault="00000000">
            <w:pPr>
              <w:spacing w:before="40" w:after="40" w:line="276" w:lineRule="auto"/>
            </w:pPr>
            <w:r>
              <w:rPr>
                <w:rFonts w:eastAsia="Calibri" w:ascii="Times New Roman" w:hAnsi="Times New Roman"/>
                <w:sz w:val="20"/>
              </w:rPr>
              <w:t>The pipeline encodes the original Y/N field directly.</w:t>
            </w:r>
          </w:p>
        </w:tc>
      </w:tr>
    </w:tbl>
    <w:p w:rsidR="00983EE3" w:rsidRDefault="00000000">
      <w:pPr>
        <w:ind w:firstLine="720"/>
        <w:keepNext w:val="true"/>
      </w:pPr>
      <w:r>
        <w:t xml:space="preserve">Table 4 shows that duplicate representations were removed from model inputs, not from the saved dataset. The dataset keeps the full set of raw and engineered fields for transparency, </w:t>
      </w:r>
      <w:r>
        <w:lastRenderedPageBreak/>
        <w:t>while B2 uses cleaner feature lists for training. This distinction is important: data columns can remain available for interpretation even when they are not all used simultaneously as model predictors.</w:t>
      </w:r>
    </w:p>
    <w:p w:rsidR="00983EE3" w:rsidRDefault="00000000">
      <w:pPr>
        <w:pStyle w:val="Heading2"/>
        <w:spacing w:before="240" w:after="120"/>
        <w:jc w:val="left"/>
      </w:pPr>
      <w:r>
        <w:rPr>
          <w:rFonts w:ascii="Times New Roman" w:hAnsi="Times New Roman"/>
          <w:b/>
          <w:i w:val="0"/>
          <w:sz w:val="24"/>
        </w:rPr>
        <w:t>3.10 Shared Modeling Preprocessing Pipeline</w:t>
      </w:r>
    </w:p>
    <w:p w:rsidR="00983EE3" w:rsidRDefault="00000000">
      <w:pPr>
        <w:ind w:firstLine="720"/>
      </w:pPr>
      <w:r>
        <w:rPr>
          <w:rFonts w:eastAsia="Calibri"/>
        </w:rPr>
        <w:t>After the multicollinearity review, the workflow moves into modeling. All Scikit-learn models use the same preprocessing pipeline so that training data, test data, saved models, and applicant examples are transformed consistently. Numeric variables are imputed and scaled. Nominal categories are one-hot encoded into numeric columns. Binary default-on-file values and ordinal loan grades are encoded into numeric form. The original CSV remains readable; the encoded matrix is created inside the pipeline for model training.</w:t>
      </w:r>
    </w:p>
    <w:p w:rsidR="00A65756" w:rsidRDefault="00000000">
      <w:pPr>
        <w:spacing w:before="240"/>
        <w:keepNext w:val="true"/>
        <w:jc w:val="left"/>
      </w:pPr>
      <w:r>
        <w:rPr>
          <w:rFonts w:ascii="Times New Roman" w:hAnsi="Times New Roman"/>
          <w:b/>
          <w:sz w:val="24"/>
        </w:rPr>
        <w:t>Figure 2</w:t>
      </w:r>
    </w:p>
    <w:p w:rsidR="00A65756" w:rsidRDefault="00000000">
      <w:pPr>
        <w:spacing w:after="120"/>
        <w:jc w:val="left"/>
        <w:keepNext w:val="true"/>
      </w:pPr>
      <w:r>
        <w:rPr>
          <w:rFonts w:ascii="Times New Roman" w:hAnsi="Times New Roman"/>
          <w:i/>
          <w:sz w:val="24"/>
        </w:rPr>
        <w:t>Python Code for Shared Preprocessing Pipeline</w:t>
      </w:r>
    </w:p>
    <w:p w:rsidR="00983EE3" w:rsidRDefault="00000000">
      <w:pPr>
        <w:spacing w:line="240" w:lineRule="auto"/>
        <w:ind w:left="720"/>
      </w:pPr>
      <w:r>
        <w:rPr>
          <w:rFonts w:ascii="Courier New" w:eastAsia="Courier New" w:hAnsi="Courier New"/>
          <w:color w:val="000000"/>
          <w:sz w:val="20"/>
        </w:rPr>
        <w:t>Pipeline([</w:t>
      </w:r>
      <w:r>
        <w:rPr>
          <w:rFonts w:ascii="Courier New" w:hAnsi="Courier New"/>
          <w:color w:val="000000"/>
          <w:sz w:val="20"/>
        </w:rPr>
        <w:br/>
      </w:r>
      <w:r>
        <w:rPr>
          <w:rFonts w:ascii="Courier New" w:eastAsia="Courier New" w:hAnsi="Courier New"/>
          <w:color w:val="000000"/>
          <w:sz w:val="20"/>
        </w:rPr>
        <w:t xml:space="preserve">    ("preprocess", make_model_preprocessor(feature_cols)),</w:t>
      </w:r>
      <w:r>
        <w:rPr>
          <w:rFonts w:ascii="Courier New" w:hAnsi="Courier New"/>
          <w:color w:val="000000"/>
          <w:sz w:val="20"/>
        </w:rPr>
        <w:br/>
      </w:r>
      <w:r>
        <w:rPr>
          <w:rFonts w:ascii="Courier New" w:eastAsia="Courier New" w:hAnsi="Courier New"/>
          <w:color w:val="000000"/>
          <w:sz w:val="20"/>
        </w:rPr>
        <w:t xml:space="preserve">    ("model", clone(model)),</w:t>
      </w:r>
      <w:r>
        <w:rPr>
          <w:rFonts w:ascii="Courier New" w:hAnsi="Courier New"/>
          <w:color w:val="000000"/>
          <w:sz w:val="20"/>
        </w:rPr>
        <w:br/>
      </w:r>
      <w:r>
        <w:rPr>
          <w:rFonts w:ascii="Courier New" w:eastAsia="Courier New" w:hAnsi="Courier New"/>
          <w:color w:val="000000"/>
          <w:sz w:val="20"/>
        </w:rPr>
        <w:t>])</w:t>
      </w:r>
    </w:p>
    <w:p w:rsidR="00983EE3" w:rsidRDefault="00000000">
      <w:pPr>
        <w:pStyle w:val="Heading2"/>
        <w:spacing w:before="240" w:after="120"/>
        <w:jc w:val="left"/>
      </w:pPr>
      <w:r>
        <w:rPr>
          <w:rFonts w:ascii="Times New Roman" w:hAnsi="Times New Roman"/>
          <w:b/>
          <w:i w:val="0"/>
          <w:sz w:val="24"/>
        </w:rPr>
        <w:t>3.11 Train and Test Data Split</w:t>
      </w:r>
    </w:p>
    <w:p w:rsidR="00983EE3" w:rsidRDefault="00000000">
      <w:pPr>
        <w:ind w:firstLine="720"/>
      </w:pPr>
      <w:r>
        <w:rPr>
          <w:rFonts w:eastAsia="Calibri"/>
        </w:rPr>
        <w:t>Before training the models, the dataset is divided into training data and test data. Training data is the part the model uses to learn patterns. Test data is kept separate and is used only after training to check whether the model works on records it has not already seen. This prevents the report from showing results that only look good because the model memorized the training records.</w:t>
      </w:r>
    </w:p>
    <w:p w:rsidR="00983EE3" w:rsidRDefault="00000000">
      <w:pPr>
        <w:ind w:firstLine="720"/>
      </w:pPr>
      <w:r>
        <w:t xml:space="preserve">The project uses TEST_SIZE = 0.20, so 80% of the records are used for training and 20% are held out for testing. The classification and Bayesian Network (Heckerman, 1997) splits use </w:t>
      </w:r>
      <w:r>
        <w:lastRenderedPageBreak/>
        <w:t>stratification, which keeps the default and non-default class balance similar in both train and test data. Regression uses the same 80% / 20% split for loan amount, loan percent of income, and interest rate. RANDOM_STATE = 42 is used so the same split can be recreated each time the notebook is run.</w:t>
      </w:r>
    </w:p>
    <w:p w:rsidR="00983EE3" w:rsidRDefault="00000000">
      <w:pPr>
        <w:ind w:firstLine="720"/>
      </w:pPr>
      <w:r>
        <w:rPr>
          <w:rFonts w:eastAsia="Calibri"/>
        </w:rPr>
        <w:t>Classification split code used in the modeling notebook:</w:t>
      </w:r>
    </w:p>
    <w:p w:rsidR="00A65756" w:rsidRDefault="00000000">
      <w:pPr>
        <w:spacing w:before="240"/>
        <w:keepNext w:val="true"/>
        <w:jc w:val="left"/>
      </w:pPr>
      <w:r>
        <w:rPr>
          <w:rFonts w:ascii="Times New Roman" w:hAnsi="Times New Roman"/>
          <w:b/>
          <w:sz w:val="24"/>
        </w:rPr>
        <w:t>Figure 3</w:t>
      </w:r>
    </w:p>
    <w:p w:rsidR="00A65756" w:rsidRDefault="00000000">
      <w:pPr>
        <w:spacing w:after="120"/>
        <w:jc w:val="left"/>
        <w:keepNext w:val="true"/>
      </w:pPr>
      <w:r>
        <w:rPr>
          <w:rFonts w:ascii="Times New Roman" w:hAnsi="Times New Roman"/>
          <w:i/>
          <w:sz w:val="24"/>
        </w:rPr>
        <w:t>Python Code for Classification Train-Test Data Split</w:t>
      </w:r>
    </w:p>
    <w:p w:rsidR="00983EE3" w:rsidRDefault="00000000">
      <w:pPr>
        <w:spacing w:line="240" w:lineRule="auto"/>
        <w:ind w:left="720"/>
      </w:pPr>
      <w:r>
        <w:rPr>
          <w:rFonts w:ascii="Courier New" w:eastAsia="Courier New" w:hAnsi="Courier New"/>
          <w:color w:val="000000"/>
          <w:sz w:val="20"/>
        </w:rPr>
        <w:t>TEST_SIZE = 0.20</w:t>
      </w:r>
      <w:r>
        <w:rPr>
          <w:rFonts w:ascii="Courier New" w:hAnsi="Courier New"/>
          <w:color w:val="000000"/>
          <w:sz w:val="20"/>
        </w:rPr>
        <w:br/>
      </w:r>
      <w:r>
        <w:rPr>
          <w:rFonts w:ascii="Courier New" w:eastAsia="Courier New" w:hAnsi="Courier New"/>
          <w:color w:val="000000"/>
          <w:sz w:val="20"/>
        </w:rPr>
        <w:t>RANDOM_STATE = 42</w:t>
      </w:r>
      <w:r>
        <w:rPr>
          <w:rFonts w:ascii="Courier New" w:hAnsi="Courier New"/>
          <w:color w:val="000000"/>
          <w:sz w:val="20"/>
        </w:rPr>
        <w:br/>
      </w:r>
      <w:r>
        <w:rPr>
          <w:rFonts w:ascii="Courier New" w:hAnsi="Courier New"/>
          <w:color w:val="000000"/>
          <w:sz w:val="20"/>
        </w:rPr>
        <w:br/>
      </w:r>
      <w:r>
        <w:rPr>
          <w:rFonts w:ascii="Courier New" w:eastAsia="Courier New" w:hAnsi="Courier New"/>
          <w:color w:val="000000"/>
          <w:sz w:val="20"/>
        </w:rPr>
        <w:t>X_train_cls, X_test_cls, y_train_cls, y_test_cls = train_test_split(</w:t>
      </w:r>
      <w:r>
        <w:rPr>
          <w:rFonts w:ascii="Courier New" w:hAnsi="Courier New"/>
          <w:color w:val="000000"/>
          <w:sz w:val="20"/>
        </w:rPr>
        <w:br/>
      </w:r>
      <w:r>
        <w:rPr>
          <w:rFonts w:ascii="Courier New" w:eastAsia="Courier New" w:hAnsi="Courier New"/>
          <w:color w:val="000000"/>
          <w:sz w:val="20"/>
        </w:rPr>
        <w:t xml:space="preserve">    X_cls,</w:t>
      </w:r>
      <w:r>
        <w:rPr>
          <w:rFonts w:ascii="Courier New" w:hAnsi="Courier New"/>
          <w:color w:val="000000"/>
          <w:sz w:val="20"/>
        </w:rPr>
        <w:br/>
      </w:r>
      <w:r>
        <w:rPr>
          <w:rFonts w:ascii="Courier New" w:eastAsia="Courier New" w:hAnsi="Courier New"/>
          <w:color w:val="000000"/>
          <w:sz w:val="20"/>
        </w:rPr>
        <w:t xml:space="preserve">    y_cls,</w:t>
      </w:r>
      <w:r>
        <w:rPr>
          <w:rFonts w:ascii="Courier New" w:hAnsi="Courier New"/>
          <w:color w:val="000000"/>
          <w:sz w:val="20"/>
        </w:rPr>
        <w:br/>
      </w:r>
      <w:r>
        <w:rPr>
          <w:rFonts w:ascii="Courier New" w:eastAsia="Courier New" w:hAnsi="Courier New"/>
          <w:color w:val="000000"/>
          <w:sz w:val="20"/>
        </w:rPr>
        <w:t xml:space="preserve">    test_size=TEST_SIZE,</w:t>
      </w:r>
      <w:r>
        <w:rPr>
          <w:rFonts w:ascii="Courier New" w:hAnsi="Courier New"/>
          <w:color w:val="000000"/>
          <w:sz w:val="20"/>
        </w:rPr>
        <w:br/>
      </w:r>
      <w:r>
        <w:rPr>
          <w:rFonts w:ascii="Courier New" w:eastAsia="Courier New" w:hAnsi="Courier New"/>
          <w:color w:val="000000"/>
          <w:sz w:val="20"/>
        </w:rPr>
        <w:t xml:space="preserve">    stratify=y_cls,</w:t>
      </w:r>
      <w:r>
        <w:rPr>
          <w:rFonts w:ascii="Courier New" w:hAnsi="Courier New"/>
          <w:color w:val="000000"/>
          <w:sz w:val="20"/>
        </w:rPr>
        <w:br/>
      </w:r>
      <w:r>
        <w:rPr>
          <w:rFonts w:ascii="Courier New" w:eastAsia="Courier New" w:hAnsi="Courier New"/>
          <w:color w:val="000000"/>
          <w:sz w:val="20"/>
        </w:rPr>
        <w:t xml:space="preserve">    random_state=RANDOM_STATE,</w:t>
      </w:r>
      <w:r>
        <w:rPr>
          <w:rFonts w:ascii="Courier New" w:hAnsi="Courier New"/>
          <w:color w:val="000000"/>
          <w:sz w:val="20"/>
        </w:rPr>
        <w:br/>
      </w:r>
      <w:r>
        <w:rPr>
          <w:rFonts w:ascii="Courier New" w:eastAsia="Courier New" w:hAnsi="Courier New"/>
          <w:color w:val="000000"/>
          <w:sz w:val="20"/>
        </w:rPr>
        <w:t>)</w:t>
      </w:r>
    </w:p>
    <w:p w:rsidR="00983EE3" w:rsidRDefault="00000000">
      <w:pPr>
        <w:ind w:firstLine="720"/>
      </w:pPr>
      <w:r>
        <w:rPr>
          <w:rFonts w:eastAsia="Calibri"/>
        </w:rPr>
        <w:t>Regression split code used in the modeling notebook:</w:t>
      </w:r>
    </w:p>
    <w:p w:rsidR="00A65756" w:rsidRDefault="00000000">
      <w:pPr>
        <w:spacing w:before="240"/>
        <w:keepNext w:val="true"/>
        <w:jc w:val="left"/>
      </w:pPr>
      <w:r>
        <w:rPr>
          <w:rFonts w:ascii="Times New Roman" w:hAnsi="Times New Roman"/>
          <w:b/>
          <w:sz w:val="24"/>
        </w:rPr>
        <w:t>Figure 4</w:t>
      </w:r>
    </w:p>
    <w:p w:rsidR="00A65756" w:rsidRDefault="00000000">
      <w:pPr>
        <w:spacing w:after="120"/>
        <w:jc w:val="left"/>
        <w:keepNext w:val="true"/>
      </w:pPr>
      <w:r>
        <w:rPr>
          <w:rFonts w:ascii="Times New Roman" w:hAnsi="Times New Roman"/>
          <w:i/>
          <w:sz w:val="24"/>
        </w:rPr>
        <w:t>Python Code for Regression Train-Test Data Split</w:t>
      </w:r>
    </w:p>
    <w:p w:rsidR="00983EE3" w:rsidRDefault="00000000">
      <w:pPr>
        <w:spacing w:line="240" w:lineRule="auto"/>
        <w:ind w:left="720"/>
      </w:pPr>
      <w:r>
        <w:rPr>
          <w:rFonts w:ascii="Courier New" w:eastAsia="Courier New" w:hAnsi="Courier New"/>
          <w:color w:val="000000"/>
          <w:sz w:val="20"/>
        </w:rPr>
        <w:t>X_reg_train, X_reg_test, y_amt_train, y_amt_test = train_test_split(</w:t>
      </w:r>
      <w:r>
        <w:rPr>
          <w:rFonts w:ascii="Courier New" w:hAnsi="Courier New"/>
          <w:color w:val="000000"/>
          <w:sz w:val="20"/>
        </w:rPr>
        <w:br/>
      </w:r>
      <w:r>
        <w:rPr>
          <w:rFonts w:ascii="Courier New" w:eastAsia="Courier New" w:hAnsi="Courier New"/>
          <w:color w:val="000000"/>
          <w:sz w:val="20"/>
        </w:rPr>
        <w:t xml:space="preserve">    X_reg,</w:t>
      </w:r>
      <w:r>
        <w:rPr>
          <w:rFonts w:ascii="Courier New" w:hAnsi="Courier New"/>
          <w:color w:val="000000"/>
          <w:sz w:val="20"/>
        </w:rPr>
        <w:br/>
      </w:r>
      <w:r>
        <w:rPr>
          <w:rFonts w:ascii="Courier New" w:eastAsia="Courier New" w:hAnsi="Courier New"/>
          <w:color w:val="000000"/>
          <w:sz w:val="20"/>
        </w:rPr>
        <w:t xml:space="preserve">    y_loan_amount,</w:t>
      </w:r>
      <w:r>
        <w:rPr>
          <w:rFonts w:ascii="Courier New" w:hAnsi="Courier New"/>
          <w:color w:val="000000"/>
          <w:sz w:val="20"/>
        </w:rPr>
        <w:br/>
      </w:r>
      <w:r>
        <w:rPr>
          <w:rFonts w:ascii="Courier New" w:eastAsia="Courier New" w:hAnsi="Courier New"/>
          <w:color w:val="000000"/>
          <w:sz w:val="20"/>
        </w:rPr>
        <w:t xml:space="preserve">    test_size=TEST_SIZE,</w:t>
      </w:r>
      <w:r>
        <w:rPr>
          <w:rFonts w:ascii="Courier New" w:hAnsi="Courier New"/>
          <w:color w:val="000000"/>
          <w:sz w:val="20"/>
        </w:rPr>
        <w:br/>
      </w:r>
      <w:r>
        <w:rPr>
          <w:rFonts w:ascii="Courier New" w:eastAsia="Courier New" w:hAnsi="Courier New"/>
          <w:color w:val="000000"/>
          <w:sz w:val="20"/>
        </w:rPr>
        <w:t xml:space="preserve">    random_state=RANDOM_STATE,</w:t>
      </w:r>
      <w:r>
        <w:rPr>
          <w:rFonts w:ascii="Courier New" w:hAnsi="Courier New"/>
          <w:color w:val="000000"/>
          <w:sz w:val="20"/>
        </w:rPr>
        <w:br/>
      </w:r>
      <w:r>
        <w:rPr>
          <w:rFonts w:ascii="Courier New" w:eastAsia="Courier New" w:hAnsi="Courier New"/>
          <w:color w:val="000000"/>
          <w:sz w:val="20"/>
        </w:rPr>
        <w:t>)</w:t>
      </w:r>
    </w:p>
    <w:p w:rsidR="00983EE3" w:rsidRDefault="00000000">
      <w:pPr>
        <w:pStyle w:val="Heading2"/>
        <w:spacing w:before="240" w:after="120"/>
        <w:jc w:val="left"/>
      </w:pPr>
      <w:r>
        <w:rPr>
          <w:rFonts w:ascii="Times New Roman" w:hAnsi="Times New Roman"/>
          <w:b/>
          <w:i w:val="0"/>
          <w:sz w:val="24"/>
        </w:rPr>
        <w:t>3.12 Classification Models</w:t>
      </w:r>
    </w:p>
    <w:p w:rsidR="00983EE3" w:rsidRDefault="00000000">
      <w:pPr>
        <w:ind w:firstLine="720"/>
      </w:pPr>
      <w:r>
        <w:rPr>
          <w:rFonts w:eastAsia="Calibri"/>
        </w:rPr>
        <w:t>The classification target is loan_status, where 1 represents default and 0 represents non-default. The purpose of this stage is to estimate default probability and then convert that probability into a lending-risk label. Four model families are compared so the final selection is based on measured performance rather than on a preselected algorithm.</w:t>
      </w:r>
    </w:p>
    <w:p w:rsidR="00983EE3" w:rsidRDefault="00000000">
      <w:pPr>
        <w:pStyle w:val="Heading3"/>
        <w:spacing w:before="240" w:after="120"/>
        <w:jc w:val="left"/>
      </w:pPr>
      <w:r>
        <w:rPr>
          <w:rFonts w:ascii="Times New Roman" w:hAnsi="Times New Roman"/>
          <w:b/>
          <w:i/>
          <w:sz w:val="24"/>
        </w:rPr>
        <w:lastRenderedPageBreak/>
        <w:t>3.12.1 Logistic Regression</w:t>
      </w:r>
    </w:p>
    <w:p w:rsidR="00983EE3" w:rsidRDefault="00000000">
      <w:pPr>
        <w:ind w:firstLine="720"/>
      </w:pPr>
      <w:r>
        <w:rPr>
          <w:rFonts w:eastAsia="Calibri"/>
        </w:rPr>
        <w:t>Logistic Regression is the interpretable baseline for binary default prediction. It estimates the log-odds of default as a weighted combination of input features and then converts that value into a probability between 0 and 1. It is useful because coefficients can be inspected, but it assumes a mostly linear relationship between predictors and the log-odds of default.</w:t>
      </w:r>
    </w:p>
    <w:p w:rsidR="00983EE3" w:rsidRDefault="00000000">
      <w:pPr>
        <w:ind w:firstLine="720"/>
      </w:pPr>
      <w:r>
        <w:rPr>
          <w:rFonts w:eastAsia="Calibri"/>
        </w:rPr>
        <w:t>Project code used in the modeling notebook:</w:t>
      </w:r>
    </w:p>
    <w:p w:rsidR="00983EE3" w:rsidRDefault="00000000">
      <w:pPr>
        <w:spacing w:line="240" w:lineRule="auto"/>
        <w:ind w:left="720"/>
      </w:pPr>
      <w:r>
        <w:rPr>
          <w:rFonts w:ascii="Courier New" w:eastAsia="Courier New" w:hAnsi="Courier New"/>
          <w:color w:val="000000"/>
          <w:sz w:val="20"/>
        </w:rPr>
        <w:t>LogisticRegression(</w:t>
      </w:r>
      <w:r>
        <w:rPr>
          <w:rFonts w:ascii="Courier New" w:hAnsi="Courier New"/>
          <w:color w:val="000000"/>
          <w:sz w:val="20"/>
        </w:rPr>
        <w:br/>
      </w:r>
      <w:r>
        <w:rPr>
          <w:rFonts w:ascii="Courier New" w:eastAsia="Courier New" w:hAnsi="Courier New"/>
          <w:color w:val="000000"/>
          <w:sz w:val="20"/>
        </w:rPr>
        <w:t xml:space="preserve">    max_iter=1000,</w:t>
      </w:r>
      <w:r>
        <w:rPr>
          <w:rFonts w:ascii="Courier New" w:hAnsi="Courier New"/>
          <w:color w:val="000000"/>
          <w:sz w:val="20"/>
        </w:rPr>
        <w:br/>
      </w:r>
      <w:r>
        <w:rPr>
          <w:rFonts w:ascii="Courier New" w:eastAsia="Courier New" w:hAnsi="Courier New"/>
          <w:color w:val="000000"/>
          <w:sz w:val="20"/>
        </w:rPr>
        <w:t xml:space="preserve">    class_weight="balanced",</w:t>
      </w:r>
      <w:r>
        <w:rPr>
          <w:rFonts w:ascii="Courier New" w:hAnsi="Courier New"/>
          <w:color w:val="000000"/>
          <w:sz w:val="20"/>
        </w:rPr>
        <w:br/>
      </w:r>
      <w:r>
        <w:rPr>
          <w:rFonts w:ascii="Courier New" w:eastAsia="Courier New" w:hAnsi="Courier New"/>
          <w:color w:val="000000"/>
          <w:sz w:val="20"/>
        </w:rPr>
        <w:t xml:space="preserve">    random_state=RANDOM_STATE</w:t>
      </w:r>
      <w:r>
        <w:rPr>
          <w:rFonts w:ascii="Courier New" w:hAnsi="Courier New"/>
          <w:color w:val="000000"/>
          <w:sz w:val="20"/>
        </w:rPr>
        <w:br/>
      </w:r>
      <w:r>
        <w:rPr>
          <w:rFonts w:ascii="Courier New" w:eastAsia="Courier New" w:hAnsi="Courier New"/>
          <w:color w:val="000000"/>
          <w:sz w:val="20"/>
        </w:rPr>
        <w:t>)</w:t>
      </w:r>
    </w:p>
    <w:p w:rsidR="00983EE3" w:rsidRDefault="00000000">
      <w:pPr>
        <w:ind w:firstLine="720"/>
      </w:pPr>
      <w:r>
        <w:rPr>
          <w:rFonts w:eastAsia="Calibri"/>
        </w:rPr>
        <w:t>Hyperparameter meaning:</w:t>
      </w:r>
    </w:p>
    <w:p w:rsidR="00983EE3" w:rsidRDefault="00000000">
      <w:pPr>
        <w:pStyle w:val="ListBullet"/>
        <w:ind w:left="720" w:firstLine="720"/>
      </w:pPr>
      <w:r>
        <w:rPr>
          <w:rFonts w:eastAsia="Calibri"/>
        </w:rPr>
        <w:t>max_iter=1000 gives the optimizer enough iterations to find stable coefficients after preprocessing creates many encoded columns.</w:t>
      </w:r>
    </w:p>
    <w:p w:rsidR="00983EE3" w:rsidRDefault="00000000">
      <w:pPr>
        <w:pStyle w:val="ListBullet"/>
        <w:ind w:left="720" w:firstLine="720"/>
      </w:pPr>
      <w:r>
        <w:rPr>
          <w:rFonts w:eastAsia="Calibri"/>
        </w:rPr>
        <w:t>class_weight="balanced" gives more importance to the smaller default class, so the model does not mostly learn the majority non-default class.</w:t>
      </w:r>
    </w:p>
    <w:p w:rsidR="00983EE3" w:rsidRDefault="00000000">
      <w:pPr>
        <w:pStyle w:val="ListBullet"/>
        <w:ind w:left="720" w:firstLine="720"/>
      </w:pPr>
      <w:r>
        <w:rPr>
          <w:rFonts w:eastAsia="Calibri"/>
        </w:rPr>
        <w:t>random_state=RANDOM_STATE keeps the result reproducible when the model uses random initialization internally.</w:t>
      </w:r>
    </w:p>
    <w:p w:rsidR="00983EE3" w:rsidRDefault="00000000">
      <w:pPr>
        <w:pStyle w:val="Heading3"/>
        <w:spacing w:before="240" w:after="120"/>
        <w:jc w:val="left"/>
      </w:pPr>
      <w:r>
        <w:rPr>
          <w:rFonts w:ascii="Times New Roman" w:hAnsi="Times New Roman"/>
          <w:b/>
          <w:i/>
          <w:sz w:val="24"/>
        </w:rPr>
        <w:t>3.12.2 Random Forest Classifier</w:t>
      </w:r>
    </w:p>
    <w:p w:rsidR="00983EE3" w:rsidRDefault="00000000">
      <w:pPr>
        <w:ind w:firstLine="720"/>
      </w:pPr>
      <w:r>
        <w:rPr>
          <w:rFonts w:eastAsia="Calibri"/>
        </w:rPr>
        <w:t>Random Forest is an ensemble of decision trees. Each tree learns a different set of rule-based splits, and the forest combines the trees to produce a more stable prediction. This is useful for credit data because borrower risk can depend on combinations of variables, such as loan burden, home ownership, prior default status, and loan intent.</w:t>
      </w:r>
    </w:p>
    <w:p w:rsidR="00983EE3" w:rsidRDefault="00000000">
      <w:pPr>
        <w:ind w:firstLine="720"/>
      </w:pPr>
      <w:r>
        <w:rPr>
          <w:rFonts w:eastAsia="Calibri"/>
        </w:rPr>
        <w:t>Project code used in the modeling notebook:</w:t>
      </w:r>
    </w:p>
    <w:p w:rsidR="00983EE3" w:rsidRDefault="00000000">
      <w:pPr>
        <w:spacing w:line="240" w:lineRule="auto"/>
        <w:ind w:left="720"/>
      </w:pPr>
      <w:r>
        <w:rPr>
          <w:rFonts w:ascii="Courier New" w:eastAsia="Courier New" w:hAnsi="Courier New"/>
          <w:color w:val="000000"/>
          <w:sz w:val="20"/>
        </w:rPr>
        <w:t>RandomForestClassifier(</w:t>
      </w:r>
      <w:r>
        <w:rPr>
          <w:rFonts w:ascii="Courier New" w:hAnsi="Courier New"/>
          <w:color w:val="000000"/>
          <w:sz w:val="20"/>
        </w:rPr>
        <w:br/>
      </w:r>
      <w:r>
        <w:rPr>
          <w:rFonts w:ascii="Courier New" w:eastAsia="Courier New" w:hAnsi="Courier New"/>
          <w:color w:val="000000"/>
          <w:sz w:val="20"/>
        </w:rPr>
        <w:t xml:space="preserve">    n_estimators=300,</w:t>
      </w:r>
      <w:r>
        <w:rPr>
          <w:rFonts w:ascii="Courier New" w:hAnsi="Courier New"/>
          <w:color w:val="000000"/>
          <w:sz w:val="20"/>
        </w:rPr>
        <w:br/>
      </w:r>
      <w:r>
        <w:rPr>
          <w:rFonts w:ascii="Courier New" w:eastAsia="Courier New" w:hAnsi="Courier New"/>
          <w:color w:val="000000"/>
          <w:sz w:val="20"/>
        </w:rPr>
        <w:t xml:space="preserve">    class_weight="balanced",</w:t>
      </w:r>
      <w:r>
        <w:rPr>
          <w:rFonts w:ascii="Courier New" w:hAnsi="Courier New"/>
          <w:color w:val="000000"/>
          <w:sz w:val="20"/>
        </w:rPr>
        <w:br/>
      </w:r>
      <w:r>
        <w:rPr>
          <w:rFonts w:ascii="Courier New" w:eastAsia="Courier New" w:hAnsi="Courier New"/>
          <w:color w:val="000000"/>
          <w:sz w:val="20"/>
        </w:rPr>
        <w:lastRenderedPageBreak/>
        <w:t xml:space="preserve">    random_state=RANDOM_STATE,</w:t>
      </w:r>
      <w:r>
        <w:rPr>
          <w:rFonts w:ascii="Courier New" w:hAnsi="Courier New"/>
          <w:color w:val="000000"/>
          <w:sz w:val="20"/>
        </w:rPr>
        <w:br/>
      </w:r>
      <w:r>
        <w:rPr>
          <w:rFonts w:ascii="Courier New" w:eastAsia="Courier New" w:hAnsi="Courier New"/>
          <w:color w:val="000000"/>
          <w:sz w:val="20"/>
        </w:rPr>
        <w:t xml:space="preserve">    n_jobs=-1</w:t>
      </w:r>
      <w:r>
        <w:rPr>
          <w:rFonts w:ascii="Courier New" w:hAnsi="Courier New"/>
          <w:color w:val="000000"/>
          <w:sz w:val="20"/>
        </w:rPr>
        <w:br/>
      </w:r>
      <w:r>
        <w:rPr>
          <w:rFonts w:ascii="Courier New" w:eastAsia="Courier New" w:hAnsi="Courier New"/>
          <w:color w:val="000000"/>
          <w:sz w:val="20"/>
        </w:rPr>
        <w:t>)</w:t>
      </w:r>
    </w:p>
    <w:p w:rsidR="00983EE3" w:rsidRDefault="00000000">
      <w:pPr>
        <w:ind w:firstLine="720"/>
      </w:pPr>
      <w:r>
        <w:rPr>
          <w:rFonts w:eastAsia="Calibri"/>
        </w:rPr>
        <w:t>Hyperparameter meaning:</w:t>
      </w:r>
    </w:p>
    <w:p w:rsidR="00983EE3" w:rsidRDefault="00000000">
      <w:pPr>
        <w:pStyle w:val="ListBullet"/>
        <w:ind w:left="720" w:firstLine="720"/>
      </w:pPr>
      <w:r>
        <w:rPr>
          <w:rFonts w:eastAsia="Calibri"/>
        </w:rPr>
        <w:t>n_estimators=300 builds 300 trees. More trees usually make the average prediction more stable.</w:t>
      </w:r>
    </w:p>
    <w:p w:rsidR="00983EE3" w:rsidRDefault="00000000">
      <w:pPr>
        <w:pStyle w:val="ListBullet"/>
        <w:ind w:left="720" w:firstLine="720"/>
      </w:pPr>
      <w:r>
        <w:rPr>
          <w:rFonts w:eastAsia="Calibri"/>
        </w:rPr>
        <w:t>class_weight="balanced" helps the forest pay attention to default cases even though non-default cases are more common.</w:t>
      </w:r>
    </w:p>
    <w:p w:rsidR="00983EE3" w:rsidRDefault="00000000">
      <w:pPr>
        <w:pStyle w:val="ListBullet"/>
        <w:ind w:left="720" w:firstLine="720"/>
      </w:pPr>
      <w:r>
        <w:rPr>
          <w:rFonts w:eastAsia="Calibri"/>
        </w:rPr>
        <w:t>random_state=RANDOM_STATE makes the tree sampling repeatable.</w:t>
      </w:r>
    </w:p>
    <w:p w:rsidR="00983EE3" w:rsidRDefault="00000000">
      <w:pPr>
        <w:pStyle w:val="ListBullet"/>
        <w:ind w:left="720" w:firstLine="720"/>
      </w:pPr>
      <w:r>
        <w:rPr>
          <w:rFonts w:eastAsia="Calibri"/>
        </w:rPr>
        <w:t>n_jobs=-1 uses all available CPU cores to train faster.</w:t>
      </w:r>
    </w:p>
    <w:p w:rsidR="00983EE3" w:rsidRDefault="00000000">
      <w:pPr>
        <w:pStyle w:val="Heading3"/>
        <w:spacing w:before="240" w:after="120"/>
        <w:jc w:val="left"/>
      </w:pPr>
      <w:r>
        <w:rPr>
          <w:rFonts w:ascii="Times New Roman" w:hAnsi="Times New Roman"/>
          <w:b/>
          <w:i/>
          <w:sz w:val="24"/>
        </w:rPr>
        <w:t>3.12.3 Gradient Boosting Classifier</w:t>
      </w:r>
    </w:p>
    <w:p w:rsidR="00983EE3" w:rsidRDefault="00000000">
      <w:pPr>
        <w:ind w:firstLine="720"/>
      </w:pPr>
      <w:r>
        <w:t>Gradient Boosting (Friedman, 2001) also uses decision trees, but it builds them sequentially. Each new tree focuses on the errors left by the previous trees. This approach can capture nonlinear patterns and interactions in tabular financial data, although it needs careful evaluation to avoid overfitting.</w:t>
      </w:r>
    </w:p>
    <w:p w:rsidR="00983EE3" w:rsidRDefault="00000000">
      <w:pPr>
        <w:ind w:firstLine="720"/>
      </w:pPr>
      <w:r>
        <w:rPr>
          <w:rFonts w:eastAsia="Calibri"/>
        </w:rPr>
        <w:t>Project code used in the modeling notebook:</w:t>
      </w:r>
    </w:p>
    <w:p w:rsidR="00983EE3" w:rsidRDefault="00000000">
      <w:pPr>
        <w:spacing w:line="240" w:lineRule="auto"/>
        <w:ind w:left="720"/>
      </w:pPr>
      <w:r>
        <w:rPr>
          <w:rFonts w:ascii="Courier New" w:eastAsia="Courier New" w:hAnsi="Courier New"/>
          <w:color w:val="000000"/>
          <w:sz w:val="20"/>
        </w:rPr>
        <w:t>GradientBoostingClassifier(</w:t>
      </w:r>
      <w:r>
        <w:rPr>
          <w:rFonts w:ascii="Courier New" w:hAnsi="Courier New"/>
          <w:color w:val="000000"/>
          <w:sz w:val="20"/>
        </w:rPr>
        <w:br/>
      </w:r>
      <w:r>
        <w:rPr>
          <w:rFonts w:ascii="Courier New" w:eastAsia="Courier New" w:hAnsi="Courier New"/>
          <w:color w:val="000000"/>
          <w:sz w:val="20"/>
        </w:rPr>
        <w:t xml:space="preserve">    random_state=RANDOM_STATE</w:t>
      </w:r>
      <w:r>
        <w:rPr>
          <w:rFonts w:ascii="Courier New" w:hAnsi="Courier New"/>
          <w:color w:val="000000"/>
          <w:sz w:val="20"/>
        </w:rPr>
        <w:br/>
      </w:r>
      <w:r>
        <w:rPr>
          <w:rFonts w:ascii="Courier New" w:eastAsia="Courier New" w:hAnsi="Courier New"/>
          <w:color w:val="000000"/>
          <w:sz w:val="20"/>
        </w:rPr>
        <w:t>)</w:t>
      </w:r>
    </w:p>
    <w:p w:rsidR="00983EE3" w:rsidRDefault="00000000">
      <w:pPr>
        <w:ind w:firstLine="720"/>
      </w:pPr>
      <w:r>
        <w:rPr>
          <w:rFonts w:eastAsia="Calibri"/>
        </w:rPr>
        <w:t>Hyperparameter meaning:</w:t>
      </w:r>
    </w:p>
    <w:p w:rsidR="00983EE3" w:rsidRDefault="00000000">
      <w:pPr>
        <w:pStyle w:val="ListBullet"/>
        <w:ind w:left="720" w:firstLine="720"/>
      </w:pPr>
      <w:r>
        <w:rPr>
          <w:rFonts w:eastAsia="Calibri"/>
        </w:rPr>
        <w:t>random_state=RANDOM_STATE makes the boosting process reproducible.</w:t>
      </w:r>
    </w:p>
    <w:p w:rsidR="00983EE3" w:rsidRDefault="00000000">
      <w:pPr>
        <w:pStyle w:val="ListBullet"/>
        <w:ind w:left="720" w:firstLine="720"/>
      </w:pPr>
      <w:r>
        <w:rPr>
          <w:rFonts w:eastAsia="Calibri"/>
        </w:rPr>
        <w:t>Other settings use Scikit-learn defaults. This keeps the model as a standard benchmark without adding extra tuning complexity.</w:t>
      </w:r>
    </w:p>
    <w:p w:rsidR="00983EE3" w:rsidRDefault="00000000">
      <w:pPr>
        <w:pStyle w:val="Heading3"/>
        <w:spacing w:before="240" w:after="120"/>
        <w:jc w:val="left"/>
      </w:pPr>
      <w:r>
        <w:rPr>
          <w:rFonts w:ascii="Times New Roman" w:hAnsi="Times New Roman"/>
          <w:b/>
          <w:i/>
          <w:sz w:val="24"/>
        </w:rPr>
        <w:t>3.12.4 CatBoost Classifier</w:t>
      </w:r>
    </w:p>
    <w:p w:rsidR="00983EE3" w:rsidRDefault="00000000">
      <w:pPr>
        <w:ind w:firstLine="720"/>
      </w:pPr>
      <w:r>
        <w:t xml:space="preserve">CatBoost (Prokhorenkova et al., 2018) is a boosted-tree model designed for structured tabular datasets. It is included because credit risk data contains a mix of numeric, binary, ordinal, </w:t>
      </w:r>
      <w:r>
        <w:lastRenderedPageBreak/>
        <w:t>and categorical information. In the saved notebook results, CatBoost (Prokhorenkova et al., 2018) provides the strongest classification performance, so it becomes the selected default-risk classifier.</w:t>
      </w:r>
    </w:p>
    <w:p w:rsidR="00983EE3" w:rsidRDefault="00000000">
      <w:pPr>
        <w:ind w:firstLine="720"/>
      </w:pPr>
      <w:r>
        <w:rPr>
          <w:rFonts w:eastAsia="Calibri"/>
        </w:rPr>
        <w:t>Project code used in the modeling notebook:</w:t>
      </w:r>
    </w:p>
    <w:p w:rsidR="00983EE3" w:rsidRPr="001825B5" w:rsidRDefault="00000000" w:rsidP="00362596">
      <w:pPr>
        <w:spacing w:line="240" w:lineRule="auto"/>
        <w:ind w:left="720"/>
        <w:rPr>
          <w:rFonts w:ascii="Courier New" w:hAnsi="Courier New" w:cs="Courier New"/>
          <w:sz w:val="20"/>
          <w:szCs w:val="20"/>
        </w:rPr>
      </w:pPr>
      <w:r w:rsidRPr="001825B5">
        <w:rPr>
          <w:rFonts w:ascii="Courier New" w:hAnsi="Courier New" w:cs="Courier New"/>
          <w:sz w:val="20"/>
          <w:szCs w:val="20"/>
        </w:rPr>
        <w:t>CatBoostClassifier(</w:t>
      </w:r>
      <w:r w:rsidRPr="001825B5">
        <w:rPr>
          <w:rFonts w:ascii="Courier New" w:hAnsi="Courier New" w:cs="Courier New"/>
          <w:sz w:val="20"/>
          <w:szCs w:val="20"/>
        </w:rPr>
        <w:br/>
        <w:t xml:space="preserve">    iterations=300,</w:t>
      </w:r>
      <w:r w:rsidRPr="001825B5">
        <w:rPr>
          <w:rFonts w:ascii="Courier New" w:hAnsi="Courier New" w:cs="Courier New"/>
          <w:sz w:val="20"/>
          <w:szCs w:val="20"/>
        </w:rPr>
        <w:br/>
        <w:t xml:space="preserve">    learning_rate=0.05,</w:t>
      </w:r>
      <w:r w:rsidRPr="001825B5">
        <w:rPr>
          <w:rFonts w:ascii="Courier New" w:hAnsi="Courier New" w:cs="Courier New"/>
          <w:sz w:val="20"/>
          <w:szCs w:val="20"/>
        </w:rPr>
        <w:br/>
        <w:t xml:space="preserve">    depth=6,</w:t>
      </w:r>
      <w:r w:rsidRPr="001825B5">
        <w:rPr>
          <w:rFonts w:ascii="Courier New" w:hAnsi="Courier New" w:cs="Courier New"/>
          <w:sz w:val="20"/>
          <w:szCs w:val="20"/>
        </w:rPr>
        <w:br/>
        <w:t xml:space="preserve">    eval_metric="AUC",</w:t>
      </w:r>
      <w:r w:rsidRPr="001825B5">
        <w:rPr>
          <w:rFonts w:ascii="Courier New" w:hAnsi="Courier New" w:cs="Courier New"/>
          <w:sz w:val="20"/>
          <w:szCs w:val="20"/>
        </w:rPr>
        <w:br/>
        <w:t xml:space="preserve">    random_seed=RANDOM_STATE,</w:t>
      </w:r>
      <w:r w:rsidRPr="001825B5">
        <w:rPr>
          <w:rFonts w:ascii="Courier New" w:hAnsi="Courier New" w:cs="Courier New"/>
          <w:sz w:val="20"/>
          <w:szCs w:val="20"/>
        </w:rPr>
        <w:br/>
        <w:t xml:space="preserve">    verbose=0</w:t>
      </w:r>
      <w:r w:rsidRPr="001825B5">
        <w:rPr>
          <w:rFonts w:ascii="Courier New" w:hAnsi="Courier New" w:cs="Courier New"/>
          <w:sz w:val="20"/>
          <w:szCs w:val="20"/>
        </w:rPr>
        <w:br/>
        <w:t>)</w:t>
      </w:r>
    </w:p>
    <w:p w:rsidR="00983EE3" w:rsidRDefault="00000000">
      <w:pPr>
        <w:ind w:firstLine="720"/>
      </w:pPr>
      <w:r>
        <w:rPr>
          <w:rFonts w:eastAsia="Calibri"/>
        </w:rPr>
        <w:t>Hyperparameter meaning:</w:t>
      </w:r>
    </w:p>
    <w:p w:rsidR="00983EE3" w:rsidRDefault="00000000">
      <w:pPr>
        <w:pStyle w:val="ListBullet"/>
        <w:ind w:left="720" w:firstLine="720"/>
      </w:pPr>
      <w:r>
        <w:rPr>
          <w:rFonts w:eastAsia="Calibri"/>
        </w:rPr>
        <w:t>iterations=300 trains 300 boosting steps. Each step adds a new tree that improves the previous prediction.</w:t>
      </w:r>
    </w:p>
    <w:p w:rsidR="00983EE3" w:rsidRDefault="00000000">
      <w:pPr>
        <w:pStyle w:val="ListBullet"/>
        <w:ind w:left="720" w:firstLine="720"/>
      </w:pPr>
      <w:r>
        <w:rPr>
          <w:rFonts w:eastAsia="Calibri"/>
        </w:rPr>
        <w:t>learning_rate=0.05 controls how much each new tree changes the model. A smaller value learns more gradually.</w:t>
      </w:r>
    </w:p>
    <w:p w:rsidR="00983EE3" w:rsidRDefault="00000000">
      <w:pPr>
        <w:pStyle w:val="ListBullet"/>
        <w:ind w:left="720" w:firstLine="720"/>
      </w:pPr>
      <w:r>
        <w:rPr>
          <w:rFonts w:eastAsia="Calibri"/>
        </w:rPr>
        <w:t>depth=6 limits each tree to six levels, allowing useful interactions while reducing overfitting risk.</w:t>
      </w:r>
    </w:p>
    <w:p w:rsidR="00983EE3" w:rsidRDefault="00000000">
      <w:pPr>
        <w:pStyle w:val="ListBullet"/>
        <w:ind w:left="720" w:firstLine="720"/>
      </w:pPr>
      <w:r>
        <w:rPr>
          <w:rFonts w:eastAsia="Calibri"/>
        </w:rPr>
        <w:t>eval_metric="AUC" tells CatBoost to monitor ranking quality for the binary default task.</w:t>
      </w:r>
    </w:p>
    <w:p w:rsidR="00983EE3" w:rsidRDefault="00000000">
      <w:pPr>
        <w:pStyle w:val="ListBullet"/>
        <w:ind w:left="720" w:firstLine="720"/>
      </w:pPr>
      <w:r>
        <w:rPr>
          <w:rFonts w:eastAsia="Calibri"/>
        </w:rPr>
        <w:t>random_seed=RANDOM_STATE makes CatBoost results repeatable.</w:t>
      </w:r>
    </w:p>
    <w:p w:rsidR="00983EE3" w:rsidRDefault="00000000">
      <w:pPr>
        <w:pStyle w:val="ListBullet"/>
        <w:ind w:left="720" w:firstLine="720"/>
      </w:pPr>
      <w:r>
        <w:rPr>
          <w:rFonts w:eastAsia="Calibri"/>
        </w:rPr>
        <w:t>verbose=0 keeps notebook output clean during training.</w:t>
      </w:r>
    </w:p>
    <w:p w:rsidR="00983EE3" w:rsidRDefault="00000000">
      <w:pPr>
        <w:pStyle w:val="Heading3"/>
        <w:spacing w:before="240" w:after="120"/>
        <w:jc w:val="left"/>
      </w:pPr>
      <w:r>
        <w:rPr>
          <w:rFonts w:ascii="Times New Roman" w:hAnsi="Times New Roman"/>
          <w:b/>
          <w:i/>
          <w:sz w:val="24"/>
        </w:rPr>
        <w:t>3.12.5 Classification Metrics</w:t>
      </w:r>
    </w:p>
    <w:p w:rsidR="00983EE3" w:rsidRDefault="00000000">
      <w:pPr>
        <w:ind w:firstLine="720"/>
      </w:pPr>
      <w:r>
        <w:rPr>
          <w:rFonts w:eastAsia="Calibri"/>
        </w:rPr>
        <w:t xml:space="preserve">ROC-AUC evaluates how well the model ranks default cases above non-default cases across thresholds. Accuracy measures the share of correct labels. Precision measures how often </w:t>
      </w:r>
      <w:r>
        <w:rPr>
          <w:rFonts w:eastAsia="Calibri"/>
        </w:rPr>
        <w:lastRenderedPageBreak/>
        <w:t>predicted defaults are truly defaults. Recall measures how many actual defaults are caught. F1 combines precision and recall, which is useful when one metric alone does not tell the full story.</w:t>
      </w:r>
    </w:p>
    <w:p w:rsidR="00983EE3" w:rsidRDefault="00000000">
      <w:pPr>
        <w:pStyle w:val="Heading2"/>
        <w:spacing w:before="240" w:after="120"/>
        <w:jc w:val="left"/>
      </w:pPr>
      <w:r>
        <w:rPr>
          <w:rFonts w:ascii="Times New Roman" w:hAnsi="Times New Roman"/>
          <w:b/>
          <w:i w:val="0"/>
          <w:sz w:val="24"/>
        </w:rPr>
        <w:t>3.13 Regression Models</w:t>
      </w:r>
    </w:p>
    <w:p w:rsidR="00983EE3" w:rsidRDefault="00000000">
      <w:pPr>
        <w:ind w:firstLine="720"/>
      </w:pPr>
      <w:r>
        <w:rPr>
          <w:rFonts w:eastAsia="Calibri"/>
        </w:rPr>
        <w:t>The regression tasks estimate numeric lending benchmarks: loan amount, loan percent of income, and interest rate. These outputs are not treated as automatic approvals; they are model-based estimates that can support review. Five regression model families are compared using the same preprocessing pipeline.</w:t>
      </w:r>
    </w:p>
    <w:p w:rsidR="00983EE3" w:rsidRDefault="00000000">
      <w:pPr>
        <w:pStyle w:val="Heading3"/>
        <w:spacing w:before="240" w:after="120"/>
        <w:jc w:val="left"/>
      </w:pPr>
      <w:r>
        <w:rPr>
          <w:rFonts w:ascii="Times New Roman" w:hAnsi="Times New Roman"/>
          <w:b/>
          <w:i/>
          <w:sz w:val="24"/>
        </w:rPr>
        <w:t>3.13.1 Linear Regression</w:t>
      </w:r>
    </w:p>
    <w:p w:rsidR="00983EE3" w:rsidRDefault="00000000">
      <w:pPr>
        <w:ind w:firstLine="720"/>
      </w:pPr>
      <w:r>
        <w:rPr>
          <w:rFonts w:eastAsia="Calibri"/>
        </w:rPr>
        <w:t>Linear Regression is the ordinary least squares baseline. It predicts a numeric target by fitting a weighted linear relationship between the encoded predictors and the outcome. It is easy to explain, but it may underfit if the true relationship is nonlinear.</w:t>
      </w:r>
    </w:p>
    <w:p w:rsidR="00983EE3" w:rsidRDefault="00000000">
      <w:pPr>
        <w:ind w:firstLine="720"/>
      </w:pPr>
      <w:r>
        <w:rPr>
          <w:rFonts w:eastAsia="Calibri"/>
        </w:rPr>
        <w:t>Project code used in the modeling notebook:</w:t>
      </w:r>
    </w:p>
    <w:p w:rsidR="00983EE3" w:rsidRDefault="00000000">
      <w:pPr>
        <w:spacing w:line="240" w:lineRule="auto"/>
        <w:ind w:left="720"/>
      </w:pPr>
      <w:r>
        <w:rPr>
          <w:rFonts w:ascii="Courier New" w:eastAsia="Courier New" w:hAnsi="Courier New"/>
          <w:color w:val="000000"/>
          <w:sz w:val="20"/>
        </w:rPr>
        <w:t>LinearRegression()</w:t>
      </w:r>
    </w:p>
    <w:p w:rsidR="00983EE3" w:rsidRDefault="00000000">
      <w:pPr>
        <w:ind w:firstLine="720"/>
      </w:pPr>
      <w:r>
        <w:rPr>
          <w:rFonts w:eastAsia="Calibri"/>
        </w:rPr>
        <w:t>Hyperparameter meaning:</w:t>
      </w:r>
    </w:p>
    <w:p w:rsidR="00983EE3" w:rsidRDefault="00000000">
      <w:pPr>
        <w:ind w:firstLine="720"/>
      </w:pPr>
      <w:r>
        <w:rPr>
          <w:rFonts w:eastAsia="Calibri"/>
        </w:rPr>
        <w:t>This model uses the library defaults. In this project, it is used as a simple baseline so the stronger models can be compared against a clear starting point.</w:t>
      </w:r>
    </w:p>
    <w:p w:rsidR="00983EE3" w:rsidRDefault="00000000">
      <w:pPr>
        <w:pStyle w:val="Heading3"/>
        <w:spacing w:before="240" w:after="120"/>
        <w:jc w:val="left"/>
      </w:pPr>
      <w:r>
        <w:rPr>
          <w:rFonts w:ascii="Times New Roman" w:hAnsi="Times New Roman"/>
          <w:b/>
          <w:i/>
          <w:sz w:val="24"/>
        </w:rPr>
        <w:t>3.13.2 Ridge Regression</w:t>
      </w:r>
    </w:p>
    <w:p w:rsidR="00983EE3" w:rsidRDefault="00000000">
      <w:pPr>
        <w:ind w:firstLine="720"/>
      </w:pPr>
      <w:r>
        <w:rPr>
          <w:rFonts w:eastAsia="Calibri"/>
        </w:rPr>
        <w:t>Ridge Regression is a regularized version of Linear Regression. It adds a penalty for large coefficients, which helps when predictors are related to each other. This makes it useful after a multicollinearity review because it can reduce coefficient instability without removing every related feature.</w:t>
      </w:r>
    </w:p>
    <w:p w:rsidR="00983EE3" w:rsidRDefault="00000000">
      <w:pPr>
        <w:ind w:firstLine="720"/>
      </w:pPr>
      <w:r>
        <w:rPr>
          <w:rFonts w:eastAsia="Calibri"/>
        </w:rPr>
        <w:t>Project code used in the modeling notebook:</w:t>
      </w:r>
    </w:p>
    <w:p w:rsidR="00983EE3" w:rsidRDefault="00000000">
      <w:pPr>
        <w:spacing w:line="240" w:lineRule="auto"/>
        <w:ind w:left="720"/>
      </w:pPr>
      <w:r>
        <w:rPr>
          <w:rFonts w:ascii="Courier New" w:eastAsia="Courier New" w:hAnsi="Courier New"/>
          <w:color w:val="000000"/>
          <w:sz w:val="20"/>
        </w:rPr>
        <w:lastRenderedPageBreak/>
        <w:t>Ridge(</w:t>
      </w:r>
      <w:r>
        <w:rPr>
          <w:rFonts w:ascii="Courier New" w:hAnsi="Courier New"/>
          <w:color w:val="000000"/>
          <w:sz w:val="20"/>
        </w:rPr>
        <w:br/>
      </w:r>
      <w:r>
        <w:rPr>
          <w:rFonts w:ascii="Courier New" w:eastAsia="Courier New" w:hAnsi="Courier New"/>
          <w:color w:val="000000"/>
          <w:sz w:val="20"/>
        </w:rPr>
        <w:t xml:space="preserve">    alpha=1.0,</w:t>
      </w:r>
      <w:r>
        <w:rPr>
          <w:rFonts w:ascii="Courier New" w:hAnsi="Courier New"/>
          <w:color w:val="000000"/>
          <w:sz w:val="20"/>
        </w:rPr>
        <w:br/>
      </w:r>
      <w:r>
        <w:rPr>
          <w:rFonts w:ascii="Courier New" w:eastAsia="Courier New" w:hAnsi="Courier New"/>
          <w:color w:val="000000"/>
          <w:sz w:val="20"/>
        </w:rPr>
        <w:t xml:space="preserve">    random_state=RANDOM_STATE</w:t>
      </w:r>
      <w:r>
        <w:rPr>
          <w:rFonts w:ascii="Courier New" w:hAnsi="Courier New"/>
          <w:color w:val="000000"/>
          <w:sz w:val="20"/>
        </w:rPr>
        <w:br/>
      </w:r>
      <w:r>
        <w:rPr>
          <w:rFonts w:ascii="Courier New" w:eastAsia="Courier New" w:hAnsi="Courier New"/>
          <w:color w:val="000000"/>
          <w:sz w:val="20"/>
        </w:rPr>
        <w:t>)</w:t>
      </w:r>
    </w:p>
    <w:p w:rsidR="00983EE3" w:rsidRDefault="00000000">
      <w:pPr>
        <w:ind w:firstLine="720"/>
      </w:pPr>
      <w:r>
        <w:rPr>
          <w:rFonts w:eastAsia="Calibri"/>
        </w:rPr>
        <w:t>Hyperparameter meaning:</w:t>
      </w:r>
    </w:p>
    <w:p w:rsidR="00983EE3" w:rsidRDefault="00000000">
      <w:pPr>
        <w:pStyle w:val="ListBullet"/>
        <w:ind w:left="720" w:firstLine="720"/>
      </w:pPr>
      <w:r>
        <w:rPr>
          <w:rFonts w:eastAsia="Calibri"/>
        </w:rPr>
        <w:t>alpha=1.0 controls the regularization strength. A larger alpha shrinks coefficients more strongly.</w:t>
      </w:r>
    </w:p>
    <w:p w:rsidR="00983EE3" w:rsidRDefault="00000000">
      <w:pPr>
        <w:pStyle w:val="ListBullet"/>
        <w:ind w:left="720" w:firstLine="720"/>
      </w:pPr>
      <w:r>
        <w:rPr>
          <w:rFonts w:eastAsia="Calibri"/>
        </w:rPr>
        <w:t>random_state=RANDOM_STATE keeps the solver behavior reproducible where randomness is used.</w:t>
      </w:r>
    </w:p>
    <w:p w:rsidR="00983EE3" w:rsidRDefault="00000000">
      <w:pPr>
        <w:pStyle w:val="Heading3"/>
        <w:spacing w:before="240" w:after="120"/>
        <w:jc w:val="left"/>
      </w:pPr>
      <w:r>
        <w:rPr>
          <w:rFonts w:ascii="Times New Roman" w:hAnsi="Times New Roman"/>
          <w:b/>
          <w:i/>
          <w:sz w:val="24"/>
        </w:rPr>
        <w:t>3.13.3 Random Forest Regressor</w:t>
      </w:r>
    </w:p>
    <w:p w:rsidR="00983EE3" w:rsidRDefault="00000000">
      <w:pPr>
        <w:ind w:firstLine="720"/>
      </w:pPr>
      <w:r>
        <w:rPr>
          <w:rFonts w:eastAsia="Calibri"/>
        </w:rPr>
        <w:t>Random Forest Regressor averages many decision-tree predictions. It can learn nonlinear relationships and feature interactions without requiring a straight-line assumption. It is useful as a flexible benchmark for numeric lending targets.</w:t>
      </w:r>
    </w:p>
    <w:p w:rsidR="00983EE3" w:rsidRDefault="00000000">
      <w:pPr>
        <w:ind w:firstLine="720"/>
      </w:pPr>
      <w:r>
        <w:rPr>
          <w:rFonts w:eastAsia="Calibri"/>
        </w:rPr>
        <w:t>Project code used in the modeling notebook:</w:t>
      </w:r>
    </w:p>
    <w:p w:rsidR="00983EE3" w:rsidRDefault="00000000">
      <w:pPr>
        <w:spacing w:line="240" w:lineRule="auto"/>
        <w:ind w:left="720"/>
      </w:pPr>
      <w:r>
        <w:rPr>
          <w:rFonts w:ascii="Courier New" w:eastAsia="Courier New" w:hAnsi="Courier New"/>
          <w:color w:val="000000"/>
          <w:sz w:val="20"/>
        </w:rPr>
        <w:t>RandomForestRegressor(</w:t>
      </w:r>
      <w:r>
        <w:rPr>
          <w:rFonts w:ascii="Courier New" w:hAnsi="Courier New"/>
          <w:color w:val="000000"/>
          <w:sz w:val="20"/>
        </w:rPr>
        <w:br/>
      </w:r>
      <w:r>
        <w:rPr>
          <w:rFonts w:ascii="Courier New" w:eastAsia="Courier New" w:hAnsi="Courier New"/>
          <w:color w:val="000000"/>
          <w:sz w:val="20"/>
        </w:rPr>
        <w:t xml:space="preserve">    n_estimators=300,</w:t>
      </w:r>
      <w:r>
        <w:rPr>
          <w:rFonts w:ascii="Courier New" w:hAnsi="Courier New"/>
          <w:color w:val="000000"/>
          <w:sz w:val="20"/>
        </w:rPr>
        <w:br/>
      </w:r>
      <w:r>
        <w:rPr>
          <w:rFonts w:ascii="Courier New" w:eastAsia="Courier New" w:hAnsi="Courier New"/>
          <w:color w:val="000000"/>
          <w:sz w:val="20"/>
        </w:rPr>
        <w:t xml:space="preserve">    min_samples_leaf=10,</w:t>
      </w:r>
      <w:r>
        <w:rPr>
          <w:rFonts w:ascii="Courier New" w:hAnsi="Courier New"/>
          <w:color w:val="000000"/>
          <w:sz w:val="20"/>
        </w:rPr>
        <w:br/>
      </w:r>
      <w:r>
        <w:rPr>
          <w:rFonts w:ascii="Courier New" w:eastAsia="Courier New" w:hAnsi="Courier New"/>
          <w:color w:val="000000"/>
          <w:sz w:val="20"/>
        </w:rPr>
        <w:t xml:space="preserve">    random_state=RANDOM_STATE,</w:t>
      </w:r>
      <w:r>
        <w:rPr>
          <w:rFonts w:ascii="Courier New" w:hAnsi="Courier New"/>
          <w:color w:val="000000"/>
          <w:sz w:val="20"/>
        </w:rPr>
        <w:br/>
      </w:r>
      <w:r>
        <w:rPr>
          <w:rFonts w:ascii="Courier New" w:eastAsia="Courier New" w:hAnsi="Courier New"/>
          <w:color w:val="000000"/>
          <w:sz w:val="20"/>
        </w:rPr>
        <w:t xml:space="preserve">    n_jobs=-1</w:t>
      </w:r>
      <w:r>
        <w:rPr>
          <w:rFonts w:ascii="Courier New" w:hAnsi="Courier New"/>
          <w:color w:val="000000"/>
          <w:sz w:val="20"/>
        </w:rPr>
        <w:br/>
      </w:r>
      <w:r>
        <w:rPr>
          <w:rFonts w:ascii="Courier New" w:eastAsia="Courier New" w:hAnsi="Courier New"/>
          <w:color w:val="000000"/>
          <w:sz w:val="20"/>
        </w:rPr>
        <w:t>)</w:t>
      </w:r>
    </w:p>
    <w:p w:rsidR="00983EE3" w:rsidRDefault="00000000">
      <w:pPr>
        <w:ind w:firstLine="720"/>
      </w:pPr>
      <w:r>
        <w:rPr>
          <w:rFonts w:eastAsia="Calibri"/>
        </w:rPr>
        <w:t>Hyperparameter meaning:</w:t>
      </w:r>
    </w:p>
    <w:p w:rsidR="00983EE3" w:rsidRDefault="00000000">
      <w:pPr>
        <w:pStyle w:val="ListBullet"/>
        <w:ind w:left="720" w:firstLine="720"/>
      </w:pPr>
      <w:r>
        <w:rPr>
          <w:rFonts w:eastAsia="Calibri"/>
        </w:rPr>
        <w:t>n_estimators=300 builds 300 regression trees and averages their predictions.</w:t>
      </w:r>
    </w:p>
    <w:p w:rsidR="00983EE3" w:rsidRDefault="00000000">
      <w:pPr>
        <w:pStyle w:val="ListBullet"/>
        <w:ind w:left="720" w:firstLine="720"/>
      </w:pPr>
      <w:r>
        <w:rPr>
          <w:rFonts w:eastAsia="Calibri"/>
        </w:rPr>
        <w:t>min_samples_leaf=10 requires at least 10 records in a final leaf node, which smooths predictions and reduces overfitting.</w:t>
      </w:r>
    </w:p>
    <w:p w:rsidR="00983EE3" w:rsidRDefault="00000000">
      <w:pPr>
        <w:pStyle w:val="ListBullet"/>
        <w:ind w:left="720" w:firstLine="720"/>
      </w:pPr>
      <w:r>
        <w:rPr>
          <w:rFonts w:eastAsia="Calibri"/>
        </w:rPr>
        <w:t>random_state=RANDOM_STATE makes tree sampling reproducible.</w:t>
      </w:r>
    </w:p>
    <w:p w:rsidR="00983EE3" w:rsidRDefault="00000000">
      <w:pPr>
        <w:pStyle w:val="ListBullet"/>
        <w:ind w:left="720" w:firstLine="720"/>
      </w:pPr>
      <w:r>
        <w:rPr>
          <w:rFonts w:eastAsia="Calibri"/>
        </w:rPr>
        <w:t>n_jobs=-1 uses all available CPU cores for faster training.</w:t>
      </w:r>
    </w:p>
    <w:p w:rsidR="00983EE3" w:rsidRDefault="00000000">
      <w:pPr>
        <w:pStyle w:val="Heading3"/>
        <w:spacing w:before="240" w:after="120"/>
        <w:jc w:val="left"/>
      </w:pPr>
      <w:r>
        <w:rPr>
          <w:rFonts w:ascii="Times New Roman" w:hAnsi="Times New Roman"/>
          <w:b/>
          <w:i/>
          <w:sz w:val="24"/>
        </w:rPr>
        <w:lastRenderedPageBreak/>
        <w:t>3.13.4 Gradient Boosting Regressor</w:t>
      </w:r>
    </w:p>
    <w:p w:rsidR="00983EE3" w:rsidRDefault="00000000">
      <w:pPr>
        <w:ind w:firstLine="720"/>
      </w:pPr>
      <w:r>
        <w:t>Gradient Boosting (Friedman, 2001) Regressor builds trees sequentially to reduce prediction errors. It is often strong on structured data because later trees focus on observations that earlier trees predicted poorly. In this project, it performs best for loan amount and loan percent of income.</w:t>
      </w:r>
    </w:p>
    <w:p w:rsidR="00983EE3" w:rsidRDefault="00000000">
      <w:pPr>
        <w:ind w:firstLine="720"/>
      </w:pPr>
      <w:r>
        <w:rPr>
          <w:rFonts w:eastAsia="Calibri"/>
        </w:rPr>
        <w:t>Project code used in the modeling notebook:</w:t>
      </w:r>
    </w:p>
    <w:p w:rsidR="00983EE3" w:rsidRDefault="00000000">
      <w:pPr>
        <w:spacing w:line="240" w:lineRule="auto"/>
        <w:ind w:left="720"/>
      </w:pPr>
      <w:r>
        <w:rPr>
          <w:rFonts w:ascii="Courier New" w:eastAsia="Courier New" w:hAnsi="Courier New"/>
          <w:color w:val="000000"/>
          <w:sz w:val="20"/>
        </w:rPr>
        <w:t>GradientBoostingRegressor(</w:t>
      </w:r>
      <w:r>
        <w:rPr>
          <w:rFonts w:ascii="Courier New" w:hAnsi="Courier New"/>
          <w:color w:val="000000"/>
          <w:sz w:val="20"/>
        </w:rPr>
        <w:br/>
      </w:r>
      <w:r>
        <w:rPr>
          <w:rFonts w:ascii="Courier New" w:eastAsia="Courier New" w:hAnsi="Courier New"/>
          <w:color w:val="000000"/>
          <w:sz w:val="20"/>
        </w:rPr>
        <w:t xml:space="preserve">    random_state=RANDOM_STATE</w:t>
      </w:r>
      <w:r>
        <w:rPr>
          <w:rFonts w:ascii="Courier New" w:hAnsi="Courier New"/>
          <w:color w:val="000000"/>
          <w:sz w:val="20"/>
        </w:rPr>
        <w:br/>
      </w:r>
      <w:r>
        <w:rPr>
          <w:rFonts w:ascii="Courier New" w:eastAsia="Courier New" w:hAnsi="Courier New"/>
          <w:color w:val="000000"/>
          <w:sz w:val="20"/>
        </w:rPr>
        <w:t>)</w:t>
      </w:r>
    </w:p>
    <w:p w:rsidR="00983EE3" w:rsidRDefault="00000000">
      <w:pPr>
        <w:ind w:firstLine="720"/>
      </w:pPr>
      <w:r>
        <w:rPr>
          <w:rFonts w:eastAsia="Calibri"/>
        </w:rPr>
        <w:t>Hyperparameter meaning:</w:t>
      </w:r>
    </w:p>
    <w:p w:rsidR="00983EE3" w:rsidRDefault="00000000">
      <w:pPr>
        <w:pStyle w:val="ListBullet"/>
        <w:ind w:left="720" w:firstLine="720"/>
      </w:pPr>
      <w:r>
        <w:rPr>
          <w:rFonts w:eastAsia="Calibri"/>
        </w:rPr>
        <w:t>random_state=RANDOM_STATE makes the boosting result reproducible.</w:t>
      </w:r>
    </w:p>
    <w:p w:rsidR="00983EE3" w:rsidRDefault="00000000">
      <w:pPr>
        <w:pStyle w:val="ListBullet"/>
        <w:ind w:left="720" w:firstLine="720"/>
      </w:pPr>
      <w:r>
        <w:rPr>
          <w:rFonts w:eastAsia="Calibri"/>
        </w:rPr>
        <w:t>Other settings use Scikit-learn defaults, making this a clear boosted-tree benchmark for numeric targets.</w:t>
      </w:r>
    </w:p>
    <w:p w:rsidR="00983EE3" w:rsidRDefault="00000000">
      <w:pPr>
        <w:pStyle w:val="Heading3"/>
        <w:spacing w:before="240" w:after="120"/>
        <w:jc w:val="left"/>
      </w:pPr>
      <w:r>
        <w:rPr>
          <w:rFonts w:ascii="Times New Roman" w:hAnsi="Times New Roman"/>
          <w:b/>
          <w:i/>
          <w:sz w:val="24"/>
        </w:rPr>
        <w:t>3.13.5 CatBoost Regressor</w:t>
      </w:r>
    </w:p>
    <w:p w:rsidR="00983EE3" w:rsidRDefault="00000000">
      <w:pPr>
        <w:ind w:firstLine="720"/>
      </w:pPr>
      <w:r>
        <w:t>CatBoost (Prokhorenkova et al., 2018) Regressor applies boosted-tree learning to numeric targets. It is useful when relationships between loan features and the target are nonlinear. In the saved results, it performs best for interest-rate prediction.</w:t>
      </w:r>
    </w:p>
    <w:p w:rsidR="00983EE3" w:rsidRDefault="00000000">
      <w:pPr>
        <w:ind w:firstLine="720"/>
      </w:pPr>
      <w:r>
        <w:rPr>
          <w:rFonts w:eastAsia="Calibri"/>
        </w:rPr>
        <w:t>Project code used in the modeling notebook:</w:t>
      </w:r>
    </w:p>
    <w:p w:rsidR="00983EE3" w:rsidRPr="004558CF" w:rsidRDefault="00000000" w:rsidP="004558CF">
      <w:pPr>
        <w:spacing w:line="240" w:lineRule="auto"/>
        <w:ind w:left="720"/>
        <w:rPr>
          <w:rFonts w:ascii="Courier New" w:hAnsi="Courier New" w:cs="Courier New"/>
          <w:sz w:val="20"/>
          <w:szCs w:val="20"/>
        </w:rPr>
      </w:pPr>
      <w:proofErr w:type="spellStart"/>
      <w:r w:rsidRPr="004558CF">
        <w:rPr>
          <w:rFonts w:ascii="Courier New" w:hAnsi="Courier New" w:cs="Courier New"/>
          <w:sz w:val="20"/>
          <w:szCs w:val="20"/>
        </w:rPr>
        <w:t>CatBoostRegressor</w:t>
      </w:r>
      <w:proofErr w:type="spellEnd"/>
      <w:r w:rsidRPr="004558CF">
        <w:rPr>
          <w:rFonts w:ascii="Courier New" w:hAnsi="Courier New" w:cs="Courier New"/>
          <w:sz w:val="20"/>
          <w:szCs w:val="20"/>
        </w:rPr>
        <w:t>(</w:t>
      </w:r>
      <w:r w:rsidRPr="004558CF">
        <w:rPr>
          <w:rFonts w:ascii="Courier New" w:hAnsi="Courier New" w:cs="Courier New"/>
          <w:sz w:val="20"/>
          <w:szCs w:val="20"/>
        </w:rPr>
        <w:br/>
        <w:t xml:space="preserve">    iterations=300,</w:t>
      </w:r>
      <w:r w:rsidRPr="004558CF">
        <w:rPr>
          <w:rFonts w:ascii="Courier New" w:hAnsi="Courier New" w:cs="Courier New"/>
          <w:sz w:val="20"/>
          <w:szCs w:val="20"/>
        </w:rPr>
        <w:br/>
        <w:t xml:space="preserve">    learning_rate=0.05,</w:t>
      </w:r>
      <w:r w:rsidRPr="004558CF">
        <w:rPr>
          <w:rFonts w:ascii="Courier New" w:hAnsi="Courier New" w:cs="Courier New"/>
          <w:sz w:val="20"/>
          <w:szCs w:val="20"/>
        </w:rPr>
        <w:br/>
        <w:t xml:space="preserve">    depth=6,</w:t>
      </w:r>
      <w:r w:rsidRPr="004558CF">
        <w:rPr>
          <w:rFonts w:ascii="Courier New" w:hAnsi="Courier New" w:cs="Courier New"/>
          <w:sz w:val="20"/>
          <w:szCs w:val="20"/>
        </w:rPr>
        <w:br/>
        <w:t xml:space="preserve">    </w:t>
      </w:r>
      <w:proofErr w:type="spellStart"/>
      <w:r w:rsidRPr="004558CF">
        <w:rPr>
          <w:rFonts w:ascii="Courier New" w:hAnsi="Courier New" w:cs="Courier New"/>
          <w:sz w:val="20"/>
          <w:szCs w:val="20"/>
        </w:rPr>
        <w:t>loss_function</w:t>
      </w:r>
      <w:proofErr w:type="spellEnd"/>
      <w:r w:rsidRPr="004558CF">
        <w:rPr>
          <w:rFonts w:ascii="Courier New" w:hAnsi="Courier New" w:cs="Courier New"/>
          <w:sz w:val="20"/>
          <w:szCs w:val="20"/>
        </w:rPr>
        <w:t>="RMSE",</w:t>
      </w:r>
      <w:r w:rsidRPr="004558CF">
        <w:rPr>
          <w:rFonts w:ascii="Courier New" w:hAnsi="Courier New" w:cs="Courier New"/>
          <w:sz w:val="20"/>
          <w:szCs w:val="20"/>
        </w:rPr>
        <w:br/>
        <w:t xml:space="preserve">    </w:t>
      </w:r>
      <w:proofErr w:type="spellStart"/>
      <w:r w:rsidRPr="004558CF">
        <w:rPr>
          <w:rFonts w:ascii="Courier New" w:hAnsi="Courier New" w:cs="Courier New"/>
          <w:sz w:val="20"/>
          <w:szCs w:val="20"/>
        </w:rPr>
        <w:t>random_seed</w:t>
      </w:r>
      <w:proofErr w:type="spellEnd"/>
      <w:r w:rsidRPr="004558CF">
        <w:rPr>
          <w:rFonts w:ascii="Courier New" w:hAnsi="Courier New" w:cs="Courier New"/>
          <w:sz w:val="20"/>
          <w:szCs w:val="20"/>
        </w:rPr>
        <w:t>=RANDOM_STATE,</w:t>
      </w:r>
      <w:r w:rsidRPr="004558CF">
        <w:rPr>
          <w:rFonts w:ascii="Courier New" w:hAnsi="Courier New" w:cs="Courier New"/>
          <w:sz w:val="20"/>
          <w:szCs w:val="20"/>
        </w:rPr>
        <w:br/>
        <w:t xml:space="preserve">    verbose=0</w:t>
      </w:r>
      <w:r w:rsidRPr="004558CF">
        <w:rPr>
          <w:rFonts w:ascii="Courier New" w:hAnsi="Courier New" w:cs="Courier New"/>
          <w:sz w:val="20"/>
          <w:szCs w:val="20"/>
        </w:rPr>
        <w:br/>
        <w:t>)</w:t>
      </w:r>
    </w:p>
    <w:p w:rsidR="00983EE3" w:rsidRDefault="00000000">
      <w:pPr>
        <w:ind w:firstLine="720"/>
      </w:pPr>
      <w:r>
        <w:rPr>
          <w:rFonts w:eastAsia="Calibri"/>
        </w:rPr>
        <w:t>Hyperparameter meaning:</w:t>
      </w:r>
    </w:p>
    <w:p w:rsidR="00983EE3" w:rsidRDefault="00000000">
      <w:pPr>
        <w:pStyle w:val="ListBullet"/>
        <w:ind w:left="720" w:firstLine="720"/>
      </w:pPr>
      <w:r>
        <w:rPr>
          <w:rFonts w:eastAsia="Calibri"/>
        </w:rPr>
        <w:t>iterations=300 trains 300 boosting steps.</w:t>
      </w:r>
    </w:p>
    <w:p w:rsidR="00983EE3" w:rsidRDefault="00000000">
      <w:pPr>
        <w:pStyle w:val="ListBullet"/>
        <w:ind w:left="720" w:firstLine="720"/>
      </w:pPr>
      <w:r>
        <w:rPr>
          <w:rFonts w:eastAsia="Calibri"/>
        </w:rPr>
        <w:lastRenderedPageBreak/>
        <w:t>learning_rate=0.05 makes the model learn gradually instead of making large changes at each step.</w:t>
      </w:r>
    </w:p>
    <w:p w:rsidR="00983EE3" w:rsidRDefault="00000000">
      <w:pPr>
        <w:pStyle w:val="ListBullet"/>
        <w:ind w:left="720" w:firstLine="720"/>
      </w:pPr>
      <w:r>
        <w:rPr>
          <w:rFonts w:eastAsia="Calibri"/>
        </w:rPr>
        <w:t>depth=6 controls the complexity of each tree.</w:t>
      </w:r>
    </w:p>
    <w:p w:rsidR="00983EE3" w:rsidRDefault="00000000">
      <w:pPr>
        <w:pStyle w:val="ListBullet"/>
        <w:ind w:left="720" w:firstLine="720"/>
      </w:pPr>
      <w:r>
        <w:rPr>
          <w:rFonts w:eastAsia="Calibri"/>
        </w:rPr>
        <w:t>loss_function="RMSE" trains the model to reduce squared prediction error for numeric targets.</w:t>
      </w:r>
    </w:p>
    <w:p w:rsidR="00983EE3" w:rsidRDefault="00000000">
      <w:pPr>
        <w:pStyle w:val="ListBullet"/>
        <w:ind w:left="720" w:firstLine="720"/>
      </w:pPr>
      <w:r>
        <w:rPr>
          <w:rFonts w:eastAsia="Calibri"/>
        </w:rPr>
        <w:t>random_seed=RANDOM_STATE makes the training result reproducible.</w:t>
      </w:r>
    </w:p>
    <w:p w:rsidR="00983EE3" w:rsidRDefault="00000000">
      <w:pPr>
        <w:pStyle w:val="ListBullet"/>
        <w:ind w:left="720" w:firstLine="720"/>
      </w:pPr>
      <w:r>
        <w:rPr>
          <w:rFonts w:eastAsia="Calibri"/>
        </w:rPr>
        <w:t>verbose=0 prevents long training logs from cluttering the notebook.</w:t>
      </w:r>
    </w:p>
    <w:p w:rsidR="00983EE3" w:rsidRDefault="00000000">
      <w:pPr>
        <w:pStyle w:val="Heading3"/>
        <w:spacing w:before="240" w:after="120"/>
        <w:jc w:val="left"/>
      </w:pPr>
      <w:r>
        <w:rPr>
          <w:rFonts w:ascii="Times New Roman" w:hAnsi="Times New Roman"/>
          <w:b/>
          <w:i/>
          <w:sz w:val="24"/>
        </w:rPr>
        <w:t>3.13.6 Regression Metrics</w:t>
      </w:r>
    </w:p>
    <w:p w:rsidR="00983EE3" w:rsidRDefault="00000000">
      <w:pPr>
        <w:ind w:firstLine="720"/>
      </w:pPr>
      <w:r>
        <w:rPr>
          <w:rFonts w:eastAsia="Calibri"/>
        </w:rPr>
        <w:t>MAE is the average absolute error. RMSE penalizes large errors more strongly. R-squared measures how much target variation is explained by the model. Low R-squared values do not make the model useless, but they do mean the prediction should be interpreted as an approximate benchmark rather than an exact lending limit.</w:t>
      </w:r>
    </w:p>
    <w:p w:rsidR="00983EE3" w:rsidRDefault="00000000">
      <w:pPr>
        <w:pStyle w:val="Heading2"/>
        <w:spacing w:before="240" w:after="120"/>
        <w:jc w:val="left"/>
      </w:pPr>
      <w:r>
        <w:rPr>
          <w:rFonts w:ascii="Times New Roman" w:hAnsi="Times New Roman"/>
          <w:b/>
          <w:i w:val="0"/>
          <w:sz w:val="24"/>
        </w:rPr>
        <w:t>3.14 Threshold Tuning</w:t>
      </w:r>
    </w:p>
    <w:p w:rsidR="00983EE3" w:rsidRDefault="00000000">
      <w:pPr>
        <w:ind w:firstLine="720"/>
      </w:pPr>
      <w:r>
        <w:rPr>
          <w:rFonts w:eastAsia="Calibri"/>
        </w:rPr>
        <w:t>The main classification table uses the standard 0.50 cutoff. A separate threshold-tuning step evaluates business cost by assigning a larger penalty to missed defaults than to false alarms. This is why the cost-focused threshold can be lower than 0.50: it catches more potential defaults, but it also flags more non-default borrowers for review.</w:t>
      </w:r>
    </w:p>
    <w:p w:rsidR="00983EE3" w:rsidRDefault="00000000">
      <w:pPr>
        <w:pStyle w:val="Heading2"/>
        <w:spacing w:before="240" w:after="120"/>
        <w:jc w:val="left"/>
      </w:pPr>
      <w:r>
        <w:rPr>
          <w:rFonts w:ascii="Times New Roman" w:hAnsi="Times New Roman"/>
          <w:b/>
          <w:i w:val="0"/>
          <w:sz w:val="24"/>
        </w:rPr>
        <w:t>3.15 Bayesian Network Reasoning</w:t>
      </w:r>
    </w:p>
    <w:p w:rsidR="00983EE3" w:rsidRDefault="00000000">
      <w:pPr>
        <w:ind w:firstLine="720"/>
      </w:pPr>
      <w:r>
        <w:t xml:space="preserve">The Bayesian Network (Heckerman, 1997) is trained on grouped and discrete variables so that the probability structure can be inspected. In simple terms, each node is a variable, each arrow shows a learned conditional relationship, and the conditional probability tables show how </w:t>
      </w:r>
      <w:r>
        <w:lastRenderedPageBreak/>
        <w:t>default probability changes when evidence is known. The network does not replace the strongest classifier; it adds a transparent reasoning layer that shows how evidence such as loan burden, loan grade, and prior default status changes default probability.</w:t>
      </w:r>
    </w:p>
    <w:p w:rsidR="00983EE3" w:rsidRDefault="00000000">
      <w:pPr>
        <w:ind w:firstLine="720"/>
      </w:pPr>
      <w:r>
        <w:rPr>
          <w:rFonts w:eastAsia="Calibri"/>
        </w:rPr>
        <w:t>Project code used in the modeling notebook:</w:t>
      </w:r>
    </w:p>
    <w:p w:rsidR="00A65756" w:rsidRDefault="00000000">
      <w:pPr>
        <w:spacing w:before="240"/>
        <w:keepNext w:val="true"/>
        <w:jc w:val="left"/>
      </w:pPr>
      <w:r>
        <w:rPr>
          <w:rFonts w:ascii="Times New Roman" w:hAnsi="Times New Roman"/>
          <w:b/>
          <w:sz w:val="24"/>
        </w:rPr>
        <w:t>Figure 5</w:t>
      </w:r>
    </w:p>
    <w:p w:rsidR="00A65756" w:rsidRDefault="00000000">
      <w:pPr>
        <w:spacing w:after="120"/>
        <w:jc w:val="left"/>
        <w:keepNext w:val="true"/>
      </w:pPr>
      <w:r>
        <w:rPr>
          <w:rFonts w:ascii="Times New Roman" w:hAnsi="Times New Roman"/>
          <w:i/>
          <w:sz w:val="24"/>
        </w:rPr>
        <w:t>Python Code for Bayesian Network Structure Learning</w:t>
      </w:r>
    </w:p>
    <w:p w:rsidR="00983EE3" w:rsidRDefault="00000000">
      <w:pPr>
        <w:spacing w:line="240" w:lineRule="auto"/>
        <w:ind w:left="720"/>
      </w:pPr>
      <w:r>
        <w:rPr>
          <w:rFonts w:ascii="Courier New" w:eastAsia="Courier New" w:hAnsi="Courier New"/>
          <w:color w:val="000000"/>
          <w:sz w:val="20"/>
        </w:rPr>
        <w:t>hill_search = HillClimbSearch(bn_learning_data)</w:t>
      </w:r>
      <w:r>
        <w:rPr>
          <w:rFonts w:ascii="Courier New" w:hAnsi="Courier New"/>
          <w:color w:val="000000"/>
          <w:sz w:val="20"/>
        </w:rPr>
        <w:br/>
      </w:r>
      <w:r>
        <w:rPr>
          <w:rFonts w:ascii="Courier New" w:eastAsia="Courier New" w:hAnsi="Courier New"/>
          <w:color w:val="000000"/>
          <w:sz w:val="20"/>
        </w:rPr>
        <w:t>learned_structure = hill_search.estimate(</w:t>
      </w:r>
      <w:r>
        <w:rPr>
          <w:rFonts w:ascii="Courier New" w:hAnsi="Courier New"/>
          <w:color w:val="000000"/>
          <w:sz w:val="20"/>
        </w:rPr>
        <w:br/>
      </w:r>
      <w:r>
        <w:rPr>
          <w:rFonts w:ascii="Courier New" w:eastAsia="Courier New" w:hAnsi="Courier New"/>
          <w:color w:val="000000"/>
          <w:sz w:val="20"/>
        </w:rPr>
        <w:t xml:space="preserve">    scoring_method=BIC(bn_learning_data),</w:t>
      </w:r>
      <w:r>
        <w:rPr>
          <w:rFonts w:ascii="Courier New" w:hAnsi="Courier New"/>
          <w:color w:val="000000"/>
          <w:sz w:val="20"/>
        </w:rPr>
        <w:br/>
      </w:r>
      <w:r>
        <w:rPr>
          <w:rFonts w:ascii="Courier New" w:eastAsia="Courier New" w:hAnsi="Courier New"/>
          <w:color w:val="000000"/>
          <w:sz w:val="20"/>
        </w:rPr>
        <w:t xml:space="preserve">    max_indegree=3,</w:t>
      </w:r>
      <w:r>
        <w:rPr>
          <w:rFonts w:ascii="Courier New" w:hAnsi="Courier New"/>
          <w:color w:val="000000"/>
          <w:sz w:val="20"/>
        </w:rPr>
        <w:br/>
      </w:r>
      <w:r>
        <w:rPr>
          <w:rFonts w:ascii="Courier New" w:eastAsia="Courier New" w:hAnsi="Courier New"/>
          <w:color w:val="000000"/>
          <w:sz w:val="20"/>
        </w:rPr>
        <w:t>)</w:t>
      </w:r>
      <w:r>
        <w:rPr>
          <w:rFonts w:ascii="Courier New" w:hAnsi="Courier New"/>
          <w:color w:val="000000"/>
          <w:sz w:val="20"/>
        </w:rPr>
        <w:br/>
      </w:r>
      <w:r>
        <w:rPr>
          <w:rFonts w:ascii="Courier New" w:hAnsi="Courier New"/>
          <w:color w:val="000000"/>
          <w:sz w:val="20"/>
        </w:rPr>
        <w:br/>
      </w:r>
      <w:r>
        <w:rPr>
          <w:rFonts w:ascii="Courier New" w:eastAsia="Courier New" w:hAnsi="Courier New"/>
          <w:color w:val="000000"/>
          <w:sz w:val="20"/>
        </w:rPr>
        <w:t>bn_model = PgmpyBayesianNetwork(list(learned_structure.edges()))</w:t>
      </w:r>
      <w:r>
        <w:rPr>
          <w:rFonts w:ascii="Courier New" w:hAnsi="Courier New"/>
          <w:color w:val="000000"/>
          <w:sz w:val="20"/>
        </w:rPr>
        <w:br/>
      </w:r>
      <w:r>
        <w:rPr>
          <w:rFonts w:ascii="Courier New" w:eastAsia="Courier New" w:hAnsi="Courier New"/>
          <w:color w:val="000000"/>
          <w:sz w:val="20"/>
        </w:rPr>
        <w:t>bn_model.add_nodes_from(bn_cols)</w:t>
      </w:r>
      <w:r>
        <w:rPr>
          <w:rFonts w:ascii="Courier New" w:hAnsi="Courier New"/>
          <w:color w:val="000000"/>
          <w:sz w:val="20"/>
        </w:rPr>
        <w:br/>
      </w:r>
      <w:r>
        <w:rPr>
          <w:rFonts w:ascii="Courier New" w:eastAsia="Courier New" w:hAnsi="Courier New"/>
          <w:color w:val="000000"/>
          <w:sz w:val="20"/>
        </w:rPr>
        <w:t>bn_model.fit(bn_learning_data)</w:t>
      </w:r>
      <w:r>
        <w:rPr>
          <w:rFonts w:ascii="Courier New" w:hAnsi="Courier New"/>
          <w:color w:val="000000"/>
          <w:sz w:val="20"/>
        </w:rPr>
        <w:br/>
      </w:r>
      <w:r>
        <w:rPr>
          <w:rFonts w:ascii="Courier New" w:hAnsi="Courier New"/>
          <w:color w:val="000000"/>
          <w:sz w:val="20"/>
        </w:rPr>
        <w:br/>
      </w:r>
      <w:r>
        <w:rPr>
          <w:rFonts w:ascii="Courier New" w:eastAsia="Courier New" w:hAnsi="Courier New"/>
          <w:color w:val="000000"/>
          <w:sz w:val="20"/>
        </w:rPr>
        <w:t>bn_inference = VariableElimination(bn_model)</w:t>
      </w:r>
    </w:p>
    <w:p w:rsidR="00983EE3" w:rsidRDefault="00000000">
      <w:pPr>
        <w:ind w:firstLine="720"/>
      </w:pPr>
      <w:r>
        <w:rPr>
          <w:rFonts w:eastAsia="Calibri"/>
        </w:rPr>
        <w:t>Hyperparameter and method meaning:</w:t>
      </w:r>
    </w:p>
    <w:p w:rsidR="00983EE3" w:rsidRDefault="00000000">
      <w:pPr>
        <w:pStyle w:val="ListBullet"/>
        <w:ind w:left="720" w:firstLine="720"/>
      </w:pPr>
      <w:r>
        <w:rPr>
          <w:rFonts w:eastAsia="Calibri"/>
        </w:rPr>
        <w:t>HillClimbSearch is the pgmpy structure-learning estimator. It searches for a graph that explains the discrete data well.</w:t>
      </w:r>
    </w:p>
    <w:p w:rsidR="00983EE3" w:rsidRDefault="00000000">
      <w:pPr>
        <w:pStyle w:val="ListBullet"/>
        <w:ind w:left="720" w:firstLine="720"/>
      </w:pPr>
      <w:r>
        <w:rPr>
          <w:rFonts w:eastAsia="Calibri"/>
        </w:rPr>
        <w:t>BIC is the scoring method. It rewards a graph that fits the data but penalizes graphs that become unnecessarily complicated.</w:t>
      </w:r>
    </w:p>
    <w:p w:rsidR="00983EE3" w:rsidRDefault="00000000">
      <w:pPr>
        <w:pStyle w:val="ListBullet"/>
        <w:ind w:left="720" w:firstLine="720"/>
      </w:pPr>
      <w:r>
        <w:rPr>
          <w:rFonts w:eastAsia="Calibri"/>
        </w:rPr>
        <w:t>max_indegree=3 limits each node to at most three parent variables, keeping the graph readable and reducing over-complex relationships.</w:t>
      </w:r>
    </w:p>
    <w:p w:rsidR="00983EE3" w:rsidRDefault="00000000">
      <w:pPr>
        <w:pStyle w:val="ListBullet"/>
        <w:ind w:left="720" w:firstLine="720"/>
      </w:pPr>
      <w:r>
        <w:rPr>
          <w:rFonts w:eastAsia="Calibri"/>
        </w:rPr>
        <w:t>bn_model.fit(bn_learning_data) estimates the conditional probability tables after the graph structure is selected.</w:t>
      </w:r>
    </w:p>
    <w:p w:rsidR="00983EE3" w:rsidRDefault="00000000">
      <w:pPr>
        <w:pStyle w:val="ListBullet"/>
        <w:ind w:left="720" w:firstLine="720"/>
      </w:pPr>
      <w:r>
        <w:rPr>
          <w:rFonts w:eastAsia="Calibri"/>
        </w:rPr>
        <w:t>VariableElimination is used for inference. It calculates default probability after evidence is supplied.</w:t>
      </w:r>
    </w:p>
    <w:p w:rsidR="00A65756" w:rsidRDefault="00000000">
      <w:pPr>
        <w:spacing w:before="240"/>
        <w:keepNext w:val="true"/>
        <w:jc w:val="left"/>
      </w:pPr>
      <w:r>
        <w:rPr>
          <w:rFonts w:ascii="Times New Roman" w:hAnsi="Times New Roman"/>
          <w:b/>
          <w:sz w:val="24"/>
        </w:rPr>
        <w:t>Figure 6</w:t>
      </w:r>
    </w:p>
    <w:p w:rsidR="00A65756" w:rsidRDefault="00000000">
      <w:pPr>
        <w:spacing w:after="120"/>
        <w:jc w:val="left"/>
        <w:keepNext w:val="true"/>
      </w:pPr>
      <w:r>
        <w:rPr>
          <w:rFonts w:ascii="Times New Roman" w:hAnsi="Times New Roman"/>
          <w:i/>
          <w:sz w:val="24"/>
        </w:rPr>
        <w:lastRenderedPageBreak/>
        <w:t>Bayesian Network (Heckerman, 1997) Dependency Graph</w:t>
      </w:r>
    </w:p>
    <w:p w:rsidR="00983EE3" w:rsidRDefault="00000000">
      <w:pPr>
        <w:spacing w:line="240" w:lineRule="auto"/>
        <w:ind w:left="720"/>
        <w:keepNext w:val="true"/>
        <w:keepLines w:val="true"/>
      </w:pPr>
      <w:r>
        <w:rPr>
          <w:rFonts w:ascii="Courier New" w:hAnsi="Courier New"/>
          <w:noProof/>
          <w:color w:val="000000"/>
          <w:sz w:val="20"/>
        </w:rPr>
        <w:drawing>
          <wp:inline distT="0" distB="0" distL="0" distR="0" wp14:anchorId="446E481F" wp14:editId="55D1A00E">
            <wp:extent cx="5577840" cy="2353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_2_bayesian_network_dag.png"/>
                    <pic:cNvPicPr/>
                  </pic:nvPicPr>
                  <pic:blipFill>
                    <a:blip r:embed="rId9"/>
                    <a:stretch>
                      <a:fillRect/>
                    </a:stretch>
                  </pic:blipFill>
                  <pic:spPr>
                    <a:xfrm>
                      <a:off x="0" y="0"/>
                      <a:ext cx="5577840" cy="2353655"/>
                    </a:xfrm>
                    <a:prstGeom prst="rect">
                      <a:avLst/>
                    </a:prstGeom>
                  </pic:spPr>
                </pic:pic>
              </a:graphicData>
            </a:graphic>
          </wp:inline>
        </w:drawing>
      </w:r>
    </w:p>
    <w:p w:rsidR="00983EE3" w:rsidRDefault="00000000">
      <w:pPr>
        <w:pStyle w:val="Heading2"/>
        <w:spacing w:before="240" w:after="120"/>
        <w:jc w:val="left"/>
      </w:pPr>
      <w:r>
        <w:rPr>
          <w:rFonts w:ascii="Times New Roman" w:hAnsi="Times New Roman"/>
          <w:b/>
          <w:i w:val="0"/>
          <w:sz w:val="24"/>
        </w:rPr>
        <w:t>3.16 Saved Models and Applicant Inference</w:t>
      </w:r>
    </w:p>
    <w:p w:rsidR="00983EE3" w:rsidRDefault="00000000">
      <w:pPr>
        <w:ind w:firstLine="720"/>
      </w:pPr>
      <w:r>
        <w:rPr>
          <w:rFonts w:eastAsia="Calibri"/>
        </w:rPr>
        <w:t>After the models are trained and evaluated, the notebook saves the fitted models using joblib. This is important because the saved object is not only the mathematical estimator; it is the full fitted pipeline. The pipeline contains the preprocessing steps and the trained model together. Because of this, future applicant data can be passed into the saved model in the same readable column format, and the pipeline will handle imputation, scaling, encoding, and prediction consistently.</w:t>
      </w:r>
    </w:p>
    <w:p w:rsidR="00983EE3" w:rsidRDefault="00000000">
      <w:pPr>
        <w:ind w:firstLine="720"/>
      </w:pPr>
      <w:r>
        <w:rPr>
          <w:rFonts w:eastAsia="Calibri"/>
        </w:rPr>
        <w:t>The project saves all trained classification models and all trained regression models so they can be reviewed later. However, the final applicant examples do not load every saved model. They load only the selected best models with stable file names. This keeps inference simple: the training section compares all candidates, while the prediction section reuses the best saved model for each task.</w:t>
      </w:r>
    </w:p>
    <w:p w:rsidR="00983EE3" w:rsidRDefault="00000000">
      <w:pPr>
        <w:ind w:firstLine="720"/>
      </w:pPr>
      <w:r>
        <w:rPr>
          <w:rFonts w:eastAsia="Calibri"/>
        </w:rPr>
        <w:t>Model saving and loading helper functions used in the modeling notebook:</w:t>
      </w:r>
    </w:p>
    <w:p w:rsidR="00A65756" w:rsidRDefault="00000000">
      <w:pPr>
        <w:spacing w:before="240"/>
        <w:keepNext w:val="true"/>
        <w:jc w:val="left"/>
      </w:pPr>
      <w:r>
        <w:rPr>
          <w:rFonts w:ascii="Times New Roman" w:hAnsi="Times New Roman"/>
          <w:b/>
          <w:sz w:val="24"/>
        </w:rPr>
        <w:t>Figure 7</w:t>
      </w:r>
    </w:p>
    <w:p w:rsidR="00A65756" w:rsidRDefault="00000000">
      <w:pPr>
        <w:spacing w:after="120"/>
        <w:jc w:val="left"/>
        <w:keepNext w:val="true"/>
      </w:pPr>
      <w:r>
        <w:rPr>
          <w:rFonts w:ascii="Times New Roman" w:hAnsi="Times New Roman"/>
          <w:i/>
          <w:sz w:val="24"/>
        </w:rPr>
        <w:lastRenderedPageBreak/>
        <w:t>Python Code for Model Save and Load Helper Functions</w:t>
      </w:r>
    </w:p>
    <w:p w:rsidR="00983EE3" w:rsidRDefault="00000000">
      <w:pPr>
        <w:spacing w:line="240" w:lineRule="auto"/>
        <w:ind w:left="720"/>
      </w:pPr>
      <w:r>
        <w:rPr>
          <w:rFonts w:ascii="Courier New" w:eastAsia="Courier New" w:hAnsi="Courier New"/>
          <w:color w:val="000000"/>
          <w:sz w:val="20"/>
        </w:rPr>
        <w:t>def save_model(model, folder, file_name):</w:t>
      </w:r>
      <w:r>
        <w:rPr>
          <w:rFonts w:ascii="Courier New" w:hAnsi="Courier New"/>
          <w:color w:val="000000"/>
          <w:sz w:val="20"/>
        </w:rPr>
        <w:br/>
      </w:r>
      <w:r>
        <w:rPr>
          <w:rFonts w:ascii="Courier New" w:eastAsia="Courier New" w:hAnsi="Courier New"/>
          <w:color w:val="000000"/>
          <w:sz w:val="20"/>
        </w:rPr>
        <w:t xml:space="preserve">    folder.mkdir(parents=True, exist_ok=True)</w:t>
      </w:r>
      <w:r>
        <w:rPr>
          <w:rFonts w:ascii="Courier New" w:hAnsi="Courier New"/>
          <w:color w:val="000000"/>
          <w:sz w:val="20"/>
        </w:rPr>
        <w:br/>
      </w:r>
      <w:r>
        <w:rPr>
          <w:rFonts w:ascii="Courier New" w:eastAsia="Courier New" w:hAnsi="Courier New"/>
          <w:color w:val="000000"/>
          <w:sz w:val="20"/>
        </w:rPr>
        <w:t xml:space="preserve">    path = folder / file_name</w:t>
      </w:r>
      <w:r>
        <w:rPr>
          <w:rFonts w:ascii="Courier New" w:hAnsi="Courier New"/>
          <w:color w:val="000000"/>
          <w:sz w:val="20"/>
        </w:rPr>
        <w:br/>
      </w:r>
      <w:r>
        <w:rPr>
          <w:rFonts w:ascii="Courier New" w:eastAsia="Courier New" w:hAnsi="Courier New"/>
          <w:color w:val="000000"/>
          <w:sz w:val="20"/>
        </w:rPr>
        <w:t xml:space="preserve">    joblib.dump(model, path)</w:t>
      </w:r>
      <w:r>
        <w:rPr>
          <w:rFonts w:ascii="Courier New" w:hAnsi="Courier New"/>
          <w:color w:val="000000"/>
          <w:sz w:val="20"/>
        </w:rPr>
        <w:br/>
      </w:r>
      <w:r>
        <w:rPr>
          <w:rFonts w:ascii="Courier New" w:eastAsia="Courier New" w:hAnsi="Courier New"/>
          <w:color w:val="000000"/>
          <w:sz w:val="20"/>
        </w:rPr>
        <w:t xml:space="preserve">    return path</w:t>
      </w:r>
      <w:r>
        <w:rPr>
          <w:rFonts w:ascii="Courier New" w:hAnsi="Courier New"/>
          <w:color w:val="000000"/>
          <w:sz w:val="20"/>
        </w:rPr>
        <w:br/>
      </w:r>
      <w:r>
        <w:rPr>
          <w:rFonts w:ascii="Courier New" w:hAnsi="Courier New"/>
          <w:color w:val="000000"/>
          <w:sz w:val="20"/>
        </w:rPr>
        <w:br/>
      </w:r>
      <w:r>
        <w:rPr>
          <w:rFonts w:ascii="Courier New" w:eastAsia="Courier New" w:hAnsi="Courier New"/>
          <w:color w:val="000000"/>
          <w:sz w:val="20"/>
        </w:rPr>
        <w:t>def save_model_group(models, folder, prefix=""):</w:t>
      </w:r>
      <w:r>
        <w:rPr>
          <w:rFonts w:ascii="Courier New" w:hAnsi="Courier New"/>
          <w:color w:val="000000"/>
          <w:sz w:val="20"/>
        </w:rPr>
        <w:br/>
      </w:r>
      <w:r>
        <w:rPr>
          <w:rFonts w:ascii="Courier New" w:eastAsia="Courier New" w:hAnsi="Courier New"/>
          <w:color w:val="000000"/>
          <w:sz w:val="20"/>
        </w:rPr>
        <w:t xml:space="preserve">    rows = []</w:t>
      </w:r>
      <w:r>
        <w:rPr>
          <w:rFonts w:ascii="Courier New" w:hAnsi="Courier New"/>
          <w:color w:val="000000"/>
          <w:sz w:val="20"/>
        </w:rPr>
        <w:br/>
      </w:r>
      <w:r>
        <w:rPr>
          <w:rFonts w:ascii="Courier New" w:eastAsia="Courier New" w:hAnsi="Courier New"/>
          <w:color w:val="000000"/>
          <w:sz w:val="20"/>
        </w:rPr>
        <w:t xml:space="preserve">    for model_name, fitted_model in models.items():</w:t>
      </w:r>
      <w:r>
        <w:rPr>
          <w:rFonts w:ascii="Courier New" w:hAnsi="Courier New"/>
          <w:color w:val="000000"/>
          <w:sz w:val="20"/>
        </w:rPr>
        <w:br/>
      </w:r>
      <w:r>
        <w:rPr>
          <w:rFonts w:ascii="Courier New" w:eastAsia="Courier New" w:hAnsi="Courier New"/>
          <w:color w:val="000000"/>
          <w:sz w:val="20"/>
        </w:rPr>
        <w:t xml:space="preserve">        file_name = f"{prefix}{model_file_stem(model_name)}.joblib"</w:t>
      </w:r>
      <w:r>
        <w:rPr>
          <w:rFonts w:ascii="Courier New" w:hAnsi="Courier New"/>
          <w:color w:val="000000"/>
          <w:sz w:val="20"/>
        </w:rPr>
        <w:br/>
      </w:r>
      <w:r>
        <w:rPr>
          <w:rFonts w:ascii="Courier New" w:eastAsia="Courier New" w:hAnsi="Courier New"/>
          <w:color w:val="000000"/>
          <w:sz w:val="20"/>
        </w:rPr>
        <w:t xml:space="preserve">        path = save_model(fitted_model, folder, file_name)</w:t>
      </w:r>
      <w:r>
        <w:rPr>
          <w:rFonts w:ascii="Courier New" w:hAnsi="Courier New"/>
          <w:color w:val="000000"/>
          <w:sz w:val="20"/>
        </w:rPr>
        <w:br/>
      </w:r>
      <w:r>
        <w:rPr>
          <w:rFonts w:ascii="Courier New" w:eastAsia="Courier New" w:hAnsi="Courier New"/>
          <w:color w:val="000000"/>
          <w:sz w:val="20"/>
        </w:rPr>
        <w:t xml:space="preserve">        rows.append({"model": model_name, "file_name": path.name})</w:t>
      </w:r>
      <w:r>
        <w:rPr>
          <w:rFonts w:ascii="Courier New" w:hAnsi="Courier New"/>
          <w:color w:val="000000"/>
          <w:sz w:val="20"/>
        </w:rPr>
        <w:br/>
      </w:r>
      <w:r>
        <w:rPr>
          <w:rFonts w:ascii="Courier New" w:eastAsia="Courier New" w:hAnsi="Courier New"/>
          <w:color w:val="000000"/>
          <w:sz w:val="20"/>
        </w:rPr>
        <w:t xml:space="preserve">    return pd.DataFrame(rows)</w:t>
      </w:r>
      <w:r>
        <w:rPr>
          <w:rFonts w:ascii="Courier New" w:hAnsi="Courier New"/>
          <w:color w:val="000000"/>
          <w:sz w:val="20"/>
        </w:rPr>
        <w:br/>
      </w:r>
      <w:r>
        <w:rPr>
          <w:rFonts w:ascii="Courier New" w:hAnsi="Courier New"/>
          <w:color w:val="000000"/>
          <w:sz w:val="20"/>
        </w:rPr>
        <w:br/>
      </w:r>
      <w:r>
        <w:rPr>
          <w:rFonts w:ascii="Courier New" w:eastAsia="Courier New" w:hAnsi="Courier New"/>
          <w:color w:val="000000"/>
          <w:sz w:val="20"/>
        </w:rPr>
        <w:t>def load_model(folder, file_name):</w:t>
      </w:r>
      <w:r>
        <w:rPr>
          <w:rFonts w:ascii="Courier New" w:hAnsi="Courier New"/>
          <w:color w:val="000000"/>
          <w:sz w:val="20"/>
        </w:rPr>
        <w:br/>
      </w:r>
      <w:r>
        <w:rPr>
          <w:rFonts w:ascii="Courier New" w:eastAsia="Courier New" w:hAnsi="Courier New"/>
          <w:color w:val="000000"/>
          <w:sz w:val="20"/>
        </w:rPr>
        <w:t xml:space="preserve">    return joblib.load(folder / file_name)</w:t>
      </w:r>
    </w:p>
    <w:p w:rsidR="00983EE3" w:rsidRDefault="00000000">
      <w:pPr>
        <w:ind w:firstLine="720"/>
      </w:pPr>
      <w:r>
        <w:rPr>
          <w:rFonts w:eastAsia="Calibri"/>
        </w:rPr>
        <w:t>For default prediction, all classification pipelines are saved first. The selected best classifier is also saved as best_default_classifier.joblib. In the applicant default-prediction example, this best saved classifier is loaded and used to predict the applicant default probability and final default/non-default label.</w:t>
      </w:r>
    </w:p>
    <w:p w:rsidR="00A65756" w:rsidRDefault="00000000">
      <w:pPr>
        <w:spacing w:before="240"/>
        <w:keepNext w:val="true"/>
        <w:jc w:val="left"/>
      </w:pPr>
      <w:r>
        <w:rPr>
          <w:rFonts w:ascii="Times New Roman" w:hAnsi="Times New Roman"/>
          <w:b/>
          <w:sz w:val="24"/>
        </w:rPr>
        <w:t>Figure 8</w:t>
      </w:r>
    </w:p>
    <w:p w:rsidR="00A65756" w:rsidRDefault="00000000">
      <w:pPr>
        <w:spacing w:after="120"/>
        <w:jc w:val="left"/>
        <w:keepNext w:val="true"/>
      </w:pPr>
      <w:r>
        <w:rPr>
          <w:rFonts w:ascii="Times New Roman" w:hAnsi="Times New Roman"/>
          <w:i/>
          <w:sz w:val="24"/>
        </w:rPr>
        <w:t>Python Code for Best Classifier Loading and Inference</w:t>
      </w:r>
    </w:p>
    <w:p w:rsidR="00983EE3" w:rsidRDefault="00000000">
      <w:pPr>
        <w:spacing w:line="240" w:lineRule="auto"/>
        <w:ind w:left="720"/>
      </w:pPr>
      <w:r>
        <w:rPr>
          <w:rFonts w:ascii="Courier New" w:eastAsia="Courier New" w:hAnsi="Courier New"/>
          <w:color w:val="000000"/>
          <w:sz w:val="20"/>
        </w:rPr>
        <w:t>saved_best_cls_model = load_model(</w:t>
      </w:r>
      <w:r>
        <w:rPr>
          <w:rFonts w:ascii="Courier New" w:hAnsi="Courier New"/>
          <w:color w:val="000000"/>
          <w:sz w:val="20"/>
        </w:rPr>
        <w:br/>
      </w:r>
      <w:r>
        <w:rPr>
          <w:rFonts w:ascii="Courier New" w:eastAsia="Courier New" w:hAnsi="Courier New"/>
          <w:color w:val="000000"/>
          <w:sz w:val="20"/>
        </w:rPr>
        <w:t xml:space="preserve">    CLASSIFICATION_MODEL_DIR,</w:t>
      </w:r>
      <w:r>
        <w:rPr>
          <w:rFonts w:ascii="Courier New" w:hAnsi="Courier New"/>
          <w:color w:val="000000"/>
          <w:sz w:val="20"/>
        </w:rPr>
        <w:br/>
      </w:r>
      <w:r>
        <w:rPr>
          <w:rFonts w:ascii="Courier New" w:eastAsia="Courier New" w:hAnsi="Courier New"/>
          <w:color w:val="000000"/>
          <w:sz w:val="20"/>
        </w:rPr>
        <w:t xml:space="preserve">    "best_default_classifier.joblib"</w:t>
      </w:r>
      <w:r>
        <w:rPr>
          <w:rFonts w:ascii="Courier New" w:hAnsi="Courier New"/>
          <w:color w:val="000000"/>
          <w:sz w:val="20"/>
        </w:rPr>
        <w:br/>
      </w:r>
      <w:r>
        <w:rPr>
          <w:rFonts w:ascii="Courier New" w:eastAsia="Courier New" w:hAnsi="Courier New"/>
          <w:color w:val="000000"/>
          <w:sz w:val="20"/>
        </w:rPr>
        <w:t>)</w:t>
      </w:r>
      <w:r>
        <w:rPr>
          <w:rFonts w:ascii="Courier New" w:hAnsi="Courier New"/>
          <w:color w:val="000000"/>
          <w:sz w:val="20"/>
        </w:rPr>
        <w:br/>
      </w:r>
      <w:r>
        <w:rPr>
          <w:rFonts w:ascii="Courier New" w:hAnsi="Courier New"/>
          <w:color w:val="000000"/>
          <w:sz w:val="20"/>
        </w:rPr>
        <w:br/>
      </w:r>
      <w:r>
        <w:rPr>
          <w:rFonts w:ascii="Courier New" w:eastAsia="Courier New" w:hAnsi="Courier New"/>
          <w:color w:val="000000"/>
          <w:sz w:val="20"/>
        </w:rPr>
        <w:t>sklearn_default_probability = float(</w:t>
      </w:r>
      <w:r>
        <w:rPr>
          <w:rFonts w:ascii="Courier New" w:hAnsi="Courier New"/>
          <w:color w:val="000000"/>
          <w:sz w:val="20"/>
        </w:rPr>
        <w:br/>
      </w:r>
      <w:r>
        <w:rPr>
          <w:rFonts w:ascii="Courier New" w:eastAsia="Courier New" w:hAnsi="Courier New"/>
          <w:color w:val="000000"/>
          <w:sz w:val="20"/>
        </w:rPr>
        <w:t xml:space="preserve">    saved_best_cls_model.predict_proba(applicant_cls_features)[:, 1][0]</w:t>
      </w:r>
      <w:r>
        <w:rPr>
          <w:rFonts w:ascii="Courier New" w:hAnsi="Courier New"/>
          <w:color w:val="000000"/>
          <w:sz w:val="20"/>
        </w:rPr>
        <w:br/>
      </w:r>
      <w:r>
        <w:rPr>
          <w:rFonts w:ascii="Courier New" w:eastAsia="Courier New" w:hAnsi="Courier New"/>
          <w:color w:val="000000"/>
          <w:sz w:val="20"/>
        </w:rPr>
        <w:t>)</w:t>
      </w:r>
      <w:r>
        <w:rPr>
          <w:rFonts w:ascii="Courier New" w:hAnsi="Courier New"/>
          <w:color w:val="000000"/>
          <w:sz w:val="20"/>
        </w:rPr>
        <w:br/>
      </w:r>
      <w:r>
        <w:rPr>
          <w:rFonts w:ascii="Courier New" w:eastAsia="Courier New" w:hAnsi="Courier New"/>
          <w:color w:val="000000"/>
          <w:sz w:val="20"/>
        </w:rPr>
        <w:t>sklearn_predicted_class = int(</w:t>
      </w:r>
      <w:r>
        <w:rPr>
          <w:rFonts w:ascii="Courier New" w:hAnsi="Courier New"/>
          <w:color w:val="000000"/>
          <w:sz w:val="20"/>
        </w:rPr>
        <w:br/>
      </w:r>
      <w:r>
        <w:rPr>
          <w:rFonts w:ascii="Courier New" w:eastAsia="Courier New" w:hAnsi="Courier New"/>
          <w:color w:val="000000"/>
          <w:sz w:val="20"/>
        </w:rPr>
        <w:t xml:space="preserve">    saved_best_cls_model.predict(applicant_cls_features)[0]</w:t>
      </w:r>
      <w:r>
        <w:rPr>
          <w:rFonts w:ascii="Courier New" w:hAnsi="Courier New"/>
          <w:color w:val="000000"/>
          <w:sz w:val="20"/>
        </w:rPr>
        <w:br/>
      </w:r>
      <w:r>
        <w:rPr>
          <w:rFonts w:ascii="Courier New" w:eastAsia="Courier New" w:hAnsi="Courier New"/>
          <w:color w:val="000000"/>
          <w:sz w:val="20"/>
        </w:rPr>
        <w:t>)</w:t>
      </w:r>
    </w:p>
    <w:p w:rsidR="00983EE3" w:rsidRDefault="00000000">
      <w:pPr>
        <w:ind w:firstLine="720"/>
      </w:pPr>
      <w:r>
        <w:rPr>
          <w:rFonts w:eastAsia="Calibri"/>
        </w:rPr>
        <w:t>For loan estimation, the notebook saves all regression models for each target. The final applicant estimate loads the best saved regressor for loan amount, the best saved regressor for loan percent of income, and the best saved regressor for interest rate.</w:t>
      </w:r>
    </w:p>
    <w:p w:rsidR="00A65756" w:rsidRDefault="00000000">
      <w:pPr>
        <w:spacing w:before="240"/>
        <w:keepNext w:val="true"/>
        <w:jc w:val="left"/>
      </w:pPr>
      <w:r>
        <w:rPr>
          <w:rFonts w:ascii="Times New Roman" w:hAnsi="Times New Roman"/>
          <w:b/>
          <w:sz w:val="24"/>
        </w:rPr>
        <w:t>Figure 9</w:t>
      </w:r>
    </w:p>
    <w:p w:rsidR="00A65756" w:rsidRDefault="00000000">
      <w:pPr>
        <w:spacing w:after="120"/>
        <w:jc w:val="left"/>
        <w:keepNext w:val="true"/>
      </w:pPr>
      <w:r>
        <w:rPr>
          <w:rFonts w:ascii="Times New Roman" w:hAnsi="Times New Roman"/>
          <w:i/>
          <w:sz w:val="24"/>
        </w:rPr>
        <w:lastRenderedPageBreak/>
        <w:t>Python Code for Best Regressors Loading and Inference</w:t>
      </w:r>
    </w:p>
    <w:p w:rsidR="00983EE3" w:rsidRDefault="00000000">
      <w:pPr>
        <w:spacing w:line="240" w:lineRule="auto"/>
        <w:ind w:left="720"/>
      </w:pPr>
      <w:r>
        <w:rPr>
          <w:rFonts w:ascii="Courier New" w:eastAsia="Courier New" w:hAnsi="Courier New"/>
          <w:color w:val="000000"/>
          <w:sz w:val="20"/>
        </w:rPr>
        <w:t>saved_amount_model = load_model(</w:t>
      </w:r>
      <w:r>
        <w:rPr>
          <w:rFonts w:ascii="Courier New" w:hAnsi="Courier New"/>
          <w:color w:val="000000"/>
          <w:sz w:val="20"/>
        </w:rPr>
        <w:br/>
      </w:r>
      <w:r>
        <w:rPr>
          <w:rFonts w:ascii="Courier New" w:eastAsia="Courier New" w:hAnsi="Courier New"/>
          <w:color w:val="000000"/>
          <w:sz w:val="20"/>
        </w:rPr>
        <w:t xml:space="preserve">    REGRESSION_MODEL_DIR,</w:t>
      </w:r>
      <w:r>
        <w:rPr>
          <w:rFonts w:ascii="Courier New" w:hAnsi="Courier New"/>
          <w:color w:val="000000"/>
          <w:sz w:val="20"/>
        </w:rPr>
        <w:br/>
      </w:r>
      <w:r>
        <w:rPr>
          <w:rFonts w:ascii="Courier New" w:eastAsia="Courier New" w:hAnsi="Courier New"/>
          <w:color w:val="000000"/>
          <w:sz w:val="20"/>
        </w:rPr>
        <w:t xml:space="preserve">    "best_loan_amount_regressor.joblib"</w:t>
      </w:r>
      <w:r>
        <w:rPr>
          <w:rFonts w:ascii="Courier New" w:hAnsi="Courier New"/>
          <w:color w:val="000000"/>
          <w:sz w:val="20"/>
        </w:rPr>
        <w:br/>
      </w:r>
      <w:r>
        <w:rPr>
          <w:rFonts w:ascii="Courier New" w:eastAsia="Courier New" w:hAnsi="Courier New"/>
          <w:color w:val="000000"/>
          <w:sz w:val="20"/>
        </w:rPr>
        <w:t>)</w:t>
      </w:r>
      <w:r>
        <w:rPr>
          <w:rFonts w:ascii="Courier New" w:hAnsi="Courier New"/>
          <w:color w:val="000000"/>
          <w:sz w:val="20"/>
        </w:rPr>
        <w:br/>
      </w:r>
      <w:r>
        <w:rPr>
          <w:rFonts w:ascii="Courier New" w:eastAsia="Courier New" w:hAnsi="Courier New"/>
          <w:color w:val="000000"/>
          <w:sz w:val="20"/>
        </w:rPr>
        <w:t>saved_percent_model = load_model(</w:t>
      </w:r>
      <w:r>
        <w:rPr>
          <w:rFonts w:ascii="Courier New" w:hAnsi="Courier New"/>
          <w:color w:val="000000"/>
          <w:sz w:val="20"/>
        </w:rPr>
        <w:br/>
      </w:r>
      <w:r>
        <w:rPr>
          <w:rFonts w:ascii="Courier New" w:eastAsia="Courier New" w:hAnsi="Courier New"/>
          <w:color w:val="000000"/>
          <w:sz w:val="20"/>
        </w:rPr>
        <w:t xml:space="preserve">    REGRESSION_MODEL_DIR,</w:t>
      </w:r>
      <w:r>
        <w:rPr>
          <w:rFonts w:ascii="Courier New" w:hAnsi="Courier New"/>
          <w:color w:val="000000"/>
          <w:sz w:val="20"/>
        </w:rPr>
        <w:br/>
      </w:r>
      <w:r>
        <w:rPr>
          <w:rFonts w:ascii="Courier New" w:eastAsia="Courier New" w:hAnsi="Courier New"/>
          <w:color w:val="000000"/>
          <w:sz w:val="20"/>
        </w:rPr>
        <w:t xml:space="preserve">    "best_loan_percent_income_regressor.joblib"</w:t>
      </w:r>
      <w:r>
        <w:rPr>
          <w:rFonts w:ascii="Courier New" w:hAnsi="Courier New"/>
          <w:color w:val="000000"/>
          <w:sz w:val="20"/>
        </w:rPr>
        <w:br/>
      </w:r>
      <w:r>
        <w:rPr>
          <w:rFonts w:ascii="Courier New" w:eastAsia="Courier New" w:hAnsi="Courier New"/>
          <w:color w:val="000000"/>
          <w:sz w:val="20"/>
        </w:rPr>
        <w:t>)</w:t>
      </w:r>
      <w:r>
        <w:rPr>
          <w:rFonts w:ascii="Courier New" w:hAnsi="Courier New"/>
          <w:color w:val="000000"/>
          <w:sz w:val="20"/>
        </w:rPr>
        <w:br/>
      </w:r>
      <w:r>
        <w:rPr>
          <w:rFonts w:ascii="Courier New" w:eastAsia="Courier New" w:hAnsi="Courier New"/>
          <w:color w:val="000000"/>
          <w:sz w:val="20"/>
        </w:rPr>
        <w:t>saved_rate_model = load_model(</w:t>
      </w:r>
      <w:r>
        <w:rPr>
          <w:rFonts w:ascii="Courier New" w:hAnsi="Courier New"/>
          <w:color w:val="000000"/>
          <w:sz w:val="20"/>
        </w:rPr>
        <w:br/>
      </w:r>
      <w:r>
        <w:rPr>
          <w:rFonts w:ascii="Courier New" w:eastAsia="Courier New" w:hAnsi="Courier New"/>
          <w:color w:val="000000"/>
          <w:sz w:val="20"/>
        </w:rPr>
        <w:t xml:space="preserve">    REGRESSION_MODEL_DIR,</w:t>
      </w:r>
      <w:r>
        <w:rPr>
          <w:rFonts w:ascii="Courier New" w:hAnsi="Courier New"/>
          <w:color w:val="000000"/>
          <w:sz w:val="20"/>
        </w:rPr>
        <w:br/>
      </w:r>
      <w:r>
        <w:rPr>
          <w:rFonts w:ascii="Courier New" w:eastAsia="Courier New" w:hAnsi="Courier New"/>
          <w:color w:val="000000"/>
          <w:sz w:val="20"/>
        </w:rPr>
        <w:t xml:space="preserve">    "best_interest_rate_regressor.joblib"</w:t>
      </w:r>
      <w:r>
        <w:rPr>
          <w:rFonts w:ascii="Courier New" w:hAnsi="Courier New"/>
          <w:color w:val="000000"/>
          <w:sz w:val="20"/>
        </w:rPr>
        <w:br/>
      </w:r>
      <w:r>
        <w:rPr>
          <w:rFonts w:ascii="Courier New" w:eastAsia="Courier New" w:hAnsi="Courier New"/>
          <w:color w:val="000000"/>
          <w:sz w:val="20"/>
        </w:rPr>
        <w:t>)</w:t>
      </w:r>
    </w:p>
    <w:p w:rsidR="00983EE3" w:rsidRDefault="00000000">
      <w:pPr>
        <w:ind w:firstLine="720"/>
      </w:pPr>
      <w:r>
        <w:t>The Bayesian Network (Heckerman, 1997) is also saved with its metadata. The model file stores the learned probability structure, while the metadata stores supporting information such as the Bayesian Network (Heckerman, 1997) columns and fallback probability. The applicant default example loads both files before running Bayesian probability inference.</w:t>
      </w:r>
    </w:p>
    <w:p w:rsidR="00A65756" w:rsidRDefault="00000000">
      <w:pPr>
        <w:spacing w:before="240"/>
        <w:keepNext w:val="true"/>
        <w:jc w:val="left"/>
      </w:pPr>
      <w:r>
        <w:rPr>
          <w:rFonts w:ascii="Times New Roman" w:hAnsi="Times New Roman"/>
          <w:b/>
          <w:sz w:val="24"/>
        </w:rPr>
        <w:t>Figure 10</w:t>
      </w:r>
    </w:p>
    <w:p w:rsidR="00A65756" w:rsidRDefault="00000000">
      <w:pPr>
        <w:spacing w:after="120"/>
        <w:jc w:val="left"/>
        <w:keepNext w:val="true"/>
      </w:pPr>
      <w:r>
        <w:rPr>
          <w:rFonts w:ascii="Times New Roman" w:hAnsi="Times New Roman"/>
          <w:i/>
          <w:sz w:val="24"/>
        </w:rPr>
        <w:t>Python Code for Saved Bayesian Network Inference</w:t>
      </w:r>
    </w:p>
    <w:p w:rsidR="00983EE3" w:rsidRDefault="00000000">
      <w:pPr>
        <w:spacing w:line="240" w:lineRule="auto"/>
        <w:ind w:left="720"/>
      </w:pPr>
      <w:r>
        <w:rPr>
          <w:rFonts w:ascii="Courier New" w:eastAsia="Courier New" w:hAnsi="Courier New"/>
          <w:color w:val="000000"/>
          <w:sz w:val="20"/>
        </w:rPr>
        <w:t>saved_bn_model = load_model(</w:t>
      </w:r>
      <w:r>
        <w:rPr>
          <w:rFonts w:ascii="Courier New" w:hAnsi="Courier New"/>
          <w:color w:val="000000"/>
          <w:sz w:val="20"/>
        </w:rPr>
        <w:br/>
      </w:r>
      <w:r>
        <w:rPr>
          <w:rFonts w:ascii="Courier New" w:eastAsia="Courier New" w:hAnsi="Courier New"/>
          <w:color w:val="000000"/>
          <w:sz w:val="20"/>
        </w:rPr>
        <w:t xml:space="preserve">    BAYESIAN_MODEL_DIR,</w:t>
      </w:r>
      <w:r>
        <w:rPr>
          <w:rFonts w:ascii="Courier New" w:hAnsi="Courier New"/>
          <w:color w:val="000000"/>
          <w:sz w:val="20"/>
        </w:rPr>
        <w:br/>
      </w:r>
      <w:r>
        <w:rPr>
          <w:rFonts w:ascii="Courier New" w:eastAsia="Courier New" w:hAnsi="Courier New"/>
          <w:color w:val="000000"/>
          <w:sz w:val="20"/>
        </w:rPr>
        <w:t xml:space="preserve">    "bayesian_network_model.joblib"</w:t>
      </w:r>
      <w:r>
        <w:rPr>
          <w:rFonts w:ascii="Courier New" w:hAnsi="Courier New"/>
          <w:color w:val="000000"/>
          <w:sz w:val="20"/>
        </w:rPr>
        <w:br/>
      </w:r>
      <w:r>
        <w:rPr>
          <w:rFonts w:ascii="Courier New" w:eastAsia="Courier New" w:hAnsi="Courier New"/>
          <w:color w:val="000000"/>
          <w:sz w:val="20"/>
        </w:rPr>
        <w:t>)</w:t>
      </w:r>
      <w:r>
        <w:rPr>
          <w:rFonts w:ascii="Courier New" w:hAnsi="Courier New"/>
          <w:color w:val="000000"/>
          <w:sz w:val="20"/>
        </w:rPr>
        <w:br/>
      </w:r>
      <w:r>
        <w:rPr>
          <w:rFonts w:ascii="Courier New" w:eastAsia="Courier New" w:hAnsi="Courier New"/>
          <w:color w:val="000000"/>
          <w:sz w:val="20"/>
        </w:rPr>
        <w:t>saved_bn_metadata = joblib.load(</w:t>
      </w:r>
      <w:r>
        <w:rPr>
          <w:rFonts w:ascii="Courier New" w:hAnsi="Courier New"/>
          <w:color w:val="000000"/>
          <w:sz w:val="20"/>
        </w:rPr>
        <w:br/>
      </w:r>
      <w:r>
        <w:rPr>
          <w:rFonts w:ascii="Courier New" w:eastAsia="Courier New" w:hAnsi="Courier New"/>
          <w:color w:val="000000"/>
          <w:sz w:val="20"/>
        </w:rPr>
        <w:t xml:space="preserve">    BAYESIAN_MODEL_DIR / "bayesian_network_metadata.joblib"</w:t>
      </w:r>
      <w:r>
        <w:rPr>
          <w:rFonts w:ascii="Courier New" w:hAnsi="Courier New"/>
          <w:color w:val="000000"/>
          <w:sz w:val="20"/>
        </w:rPr>
        <w:br/>
      </w:r>
      <w:r>
        <w:rPr>
          <w:rFonts w:ascii="Courier New" w:eastAsia="Courier New" w:hAnsi="Courier New"/>
          <w:color w:val="000000"/>
          <w:sz w:val="20"/>
        </w:rPr>
        <w:t>)</w:t>
      </w:r>
    </w:p>
    <w:p w:rsidR="00A65756"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3.17 Data preparation and Model selection</w:t>
      </w:r>
    </w:p>
    <w:p w:rsidR="00A65756" w:rsidRDefault="00000000">
      <w:pPr>
        <w:ind w:firstLine="720"/>
        <w:rPr>
          <w:rFonts w:ascii="Calibri" w:eastAsia="Calibri" w:hAnsi="Calibri" w:cs="Calibri"/>
          <w:color w:val="27251E"/>
          <w:szCs w:val="24"/>
        </w:rPr>
      </w:pPr>
      <w:r>
        <w:t>In the data preparation stage, the credit risk dataset was cleaned by removing missing values, duplicate records, and outliers, resulting in a final dataset of 29,567 observations (from an initial 32,581). Data formats were also standardized to ensure consistency for modeling.</w:t>
      </w:r>
    </w:p>
    <w:p w:rsidR="00A65756" w:rsidRDefault="00000000">
      <w:pPr>
        <w:ind w:firstLine="720"/>
        <w:rPr>
          <w:rFonts w:ascii="Calibri" w:eastAsia="Calibri" w:hAnsi="Calibri" w:cs="Calibri"/>
          <w:color w:val="27251E"/>
          <w:szCs w:val="24"/>
        </w:rPr>
      </w:pPr>
      <w:r>
        <w:t>For model selection, the CatBoost (Prokhorenkova et al., 2018) Classifier was chosen for the default prediction task based on its superior performance. Regression models were selected to predict the loan amount, loan-to-income percentage, and interest rate.</w:t>
      </w:r>
    </w:p>
    <w:p w:rsidR="00A65756" w:rsidRDefault="00000000">
      <w:pPr>
        <w:ind w:firstLine="720"/>
        <w:rPr>
          <w:rFonts w:ascii="Calibri" w:eastAsia="Calibri" w:hAnsi="Calibri" w:cs="Calibri"/>
        </w:rPr>
      </w:pPr>
      <w:r>
        <w:rPr>
          <w:rFonts w:eastAsia="Calibri" w:cs="Calibri"/>
          <w:color w:val="27251E"/>
          <w:szCs w:val="24"/>
        </w:rPr>
        <w:lastRenderedPageBreak/>
        <w:t>The classification dataset was split using stratified sampling into 80% training (23,653 samples) and 20% testing (5,914 samples), preserving a default rate of approximately 22.4%. For regression, only non-default cases were considered, resulting in 18,344 training samples and 4,587 test samples. The feature set included socio-demographic attributes, financial ratios, and credit history variables.</w:t>
      </w:r>
    </w:p>
    <w:p w:rsidR="00A65756" w:rsidRDefault="00000000">
      <w:pPr>
        <w:pStyle w:val="Heading2"/>
        <w:keepNext w:val="0"/>
        <w:keepLines w:val="0"/>
        <w:spacing w:before="240" w:after="120"/>
        <w:jc w:val="left"/>
        <w:rPr>
          <w:rFonts w:ascii="Calibri" w:eastAsia="Calibri" w:hAnsi="Calibri" w:cs="Calibri"/>
          <w:color w:val="2E75B6"/>
        </w:rPr>
      </w:pPr>
      <w:bookmarkStart w:id="2" w:name="_d7wp8beay9mv" w:colFirst="0" w:colLast="0"/>
      <w:bookmarkEnd w:id="2"/>
      <w:r>
        <w:rPr>
          <w:rFonts w:ascii="Times New Roman" w:eastAsia="Calibri" w:hAnsi="Times New Roman" w:cs="Calibri"/>
          <w:b/>
          <w:i w:val="0"/>
          <w:color w:val="2E75B6"/>
          <w:sz w:val="24"/>
        </w:rPr>
        <w:t>3.18 Classification Diagnostics</w:t>
      </w:r>
    </w:p>
    <w:p w:rsidR="00A65756" w:rsidRDefault="00000000">
      <w:pPr>
        <w:ind w:firstLine="720"/>
        <w:rPr>
          <w:rFonts w:ascii="Calibri" w:eastAsia="Calibri" w:hAnsi="Calibri" w:cs="Calibri"/>
          <w:color w:val="404040"/>
          <w:szCs w:val="24"/>
        </w:rPr>
      </w:pPr>
      <w:r>
        <w:t>The CatBoost (Prokhorenkova et al., 2018) Classifier was evaluated across five dimensions: discriminative ability (ROC/PR curves), probability accuracy (calibration), decision-threshold analysis (confusion matrix), segment-level errors (by loan grade), and feature attribution (SHAP values).</w:t>
      </w:r>
    </w:p>
    <w:p w:rsidR="00A65756" w:rsidRDefault="00000000">
      <w:pPr>
        <w:pStyle w:val="Heading3"/>
        <w:keepNext w:val="0"/>
        <w:keepLines w:val="0"/>
        <w:spacing w:before="240" w:after="120"/>
        <w:jc w:val="left"/>
        <w:rPr>
          <w:rFonts w:ascii="Calibri" w:eastAsia="Calibri" w:hAnsi="Calibri" w:cs="Calibri"/>
          <w:color w:val="2E75B6"/>
        </w:rPr>
      </w:pPr>
      <w:bookmarkStart w:id="3" w:name="_mtgfveh680pv" w:colFirst="0" w:colLast="0"/>
      <w:bookmarkEnd w:id="3"/>
      <w:r>
        <w:rPr>
          <w:rFonts w:ascii="Times New Roman" w:eastAsia="Calibri" w:hAnsi="Times New Roman" w:cs="Calibri"/>
          <w:b/>
          <w:i/>
          <w:color w:val="2E75B6"/>
          <w:sz w:val="24"/>
        </w:rPr>
        <w:t>3.18.1 ROC Curve and Precision-Recall Analysis</w:t>
      </w:r>
    </w:p>
    <w:p w:rsidR="00A65756" w:rsidRDefault="00000000">
      <w:pPr>
        <w:ind w:firstLine="720"/>
        <w:rPr>
          <w:rFonts w:ascii="Calibri" w:eastAsia="Calibri" w:hAnsi="Calibri" w:cs="Calibri"/>
          <w:szCs w:val="24"/>
        </w:rPr>
      </w:pPr>
      <w:r>
        <w:rPr>
          <w:rFonts w:eastAsia="Calibri" w:cs="Calibri"/>
          <w:szCs w:val="24"/>
        </w:rPr>
        <w:t xml:space="preserve">The </w:t>
      </w:r>
      <w:r>
        <w:rPr>
          <w:rFonts w:eastAsia="Calibri" w:cs="Calibri"/>
          <w:b/>
          <w:bCs/>
          <w:szCs w:val="24"/>
        </w:rPr>
        <w:t>Receiver Operating Characteristic (ROC)</w:t>
      </w:r>
      <w:r>
        <w:rPr>
          <w:rFonts w:eastAsia="Calibri" w:cs="Calibri"/>
          <w:szCs w:val="24"/>
        </w:rPr>
        <w:t xml:space="preserve"> Curve plots the </w:t>
      </w:r>
      <w:r>
        <w:rPr>
          <w:rFonts w:eastAsia="Calibri" w:cs="Calibri"/>
          <w:b/>
          <w:bCs/>
          <w:szCs w:val="24"/>
        </w:rPr>
        <w:t>True Positive Rate (TPR)</w:t>
      </w:r>
      <w:r>
        <w:rPr>
          <w:rFonts w:eastAsia="Calibri" w:cs="Calibri"/>
          <w:szCs w:val="24"/>
        </w:rPr>
        <w:t xml:space="preserve"> against the </w:t>
      </w:r>
      <w:r>
        <w:rPr>
          <w:rFonts w:eastAsia="Calibri" w:cs="Calibri"/>
          <w:b/>
          <w:bCs/>
          <w:szCs w:val="24"/>
        </w:rPr>
        <w:t>False Positive Rate (FPR)</w:t>
      </w:r>
      <w:r>
        <w:rPr>
          <w:rFonts w:eastAsia="Calibri" w:cs="Calibri"/>
          <w:szCs w:val="24"/>
        </w:rPr>
        <w:t xml:space="preserve"> across all possible classification thresholds. It answers the question: how well can the model distinguish defaulters from non-defaulters? </w:t>
      </w:r>
    </w:p>
    <w:p w:rsidR="00A65756" w:rsidRDefault="00000000">
      <w:pPr>
        <w:ind w:firstLine="720"/>
        <w:rPr>
          <w:rFonts w:ascii="Calibri" w:eastAsia="Calibri" w:hAnsi="Calibri" w:cs="Calibri"/>
          <w:szCs w:val="24"/>
        </w:rPr>
      </w:pPr>
      <w:r>
        <w:rPr>
          <w:rFonts w:eastAsia="Calibri" w:cs="Calibri"/>
          <w:szCs w:val="24"/>
        </w:rPr>
        <w:t xml:space="preserve">TPR indicates the </w:t>
      </w:r>
      <w:r>
        <w:rPr>
          <w:rFonts w:eastAsia="Calibri" w:cs="Calibri"/>
          <w:b/>
          <w:bCs/>
          <w:szCs w:val="24"/>
        </w:rPr>
        <w:t>Proportion of actual defaults correctly identified</w:t>
      </w:r>
      <w:r>
        <w:rPr>
          <w:rFonts w:eastAsia="Calibri" w:cs="Calibri"/>
          <w:szCs w:val="24"/>
        </w:rPr>
        <w:t xml:space="preserve"> </w:t>
      </w:r>
    </w:p>
    <w:p w:rsidR="00A65756" w:rsidRDefault="00000000">
      <w:pPr>
        <w:spacing w:before="240" w:after="120"/>
        <w:ind w:firstLine="720"/>
        <w:rPr>
          <w:rFonts w:ascii="Calibri" w:eastAsia="Calibri" w:hAnsi="Calibri" w:cs="Calibri"/>
          <w:b/>
          <w:bCs/>
          <w:szCs w:val="24"/>
        </w:rPr>
      </w:pPr>
      <w:r>
        <w:rPr>
          <w:rFonts w:eastAsia="Calibri" w:cs="Calibri"/>
          <w:b/>
          <w:szCs w:val="24"/>
        </w:rPr>
        <w:t xml:space="preserve"> </w:t>
      </w:r>
      <w:r>
        <w:rPr>
          <w:rFonts w:eastAsia="Calibri" w:cs="Calibri"/>
          <w:b/>
          <w:szCs w:val="24"/>
        </w:rPr>
        <w:tab/>
      </w:r>
      <w:r>
        <w:rPr>
          <w:rFonts w:eastAsia="Calibri" w:cs="Calibri"/>
          <w:b/>
          <w:bCs/>
          <w:szCs w:val="24"/>
        </w:rPr>
        <w:t>TPR = TP / (TP +  FN)</w:t>
      </w:r>
    </w:p>
    <w:p w:rsidR="00A65756" w:rsidRDefault="00000000">
      <w:pPr>
        <w:ind w:firstLine="720"/>
        <w:rPr>
          <w:rFonts w:ascii="Calibri" w:eastAsia="Calibri" w:hAnsi="Calibri" w:cs="Calibri"/>
          <w:szCs w:val="24"/>
        </w:rPr>
      </w:pPr>
      <w:r>
        <w:rPr>
          <w:rFonts w:eastAsia="Calibri" w:cs="Calibri"/>
          <w:szCs w:val="24"/>
        </w:rPr>
        <w:t xml:space="preserve">FPR indicates </w:t>
      </w:r>
      <w:r>
        <w:rPr>
          <w:rFonts w:eastAsia="Calibri" w:cs="Calibri"/>
          <w:b/>
          <w:bCs/>
          <w:szCs w:val="24"/>
        </w:rPr>
        <w:t>Proportion of non-defaults incorrectly flagged as defaults</w:t>
      </w:r>
      <w:r>
        <w:rPr>
          <w:rFonts w:eastAsia="Calibri" w:cs="Calibri"/>
          <w:szCs w:val="24"/>
        </w:rPr>
        <w:t xml:space="preserve"> </w:t>
      </w:r>
    </w:p>
    <w:p w:rsidR="00A65756" w:rsidRDefault="00000000">
      <w:pPr>
        <w:spacing w:before="240" w:after="120"/>
        <w:ind w:firstLine="720"/>
        <w:rPr>
          <w:rFonts w:ascii="Calibri" w:eastAsia="Calibri" w:hAnsi="Calibri" w:cs="Calibri"/>
          <w:b/>
          <w:bCs/>
          <w:szCs w:val="24"/>
        </w:rPr>
      </w:pPr>
      <w:r>
        <w:rPr>
          <w:rFonts w:eastAsia="Calibri" w:cs="Calibri"/>
          <w:b/>
          <w:bCs/>
          <w:szCs w:val="24"/>
        </w:rPr>
        <w:t>FPR = FP / (FP + TN)</w:t>
      </w:r>
    </w:p>
    <w:p w:rsidR="00A65756" w:rsidRDefault="00000000">
      <w:pPr>
        <w:ind w:firstLine="720"/>
        <w:rPr>
          <w:rFonts w:ascii="Calibri" w:eastAsia="Calibri" w:hAnsi="Calibri" w:cs="Calibri"/>
          <w:szCs w:val="24"/>
        </w:rPr>
      </w:pPr>
      <w:r>
        <w:rPr>
          <w:rFonts w:eastAsia="Calibri" w:cs="Calibri"/>
          <w:b/>
          <w:bCs/>
          <w:szCs w:val="24"/>
        </w:rPr>
        <w:t>Precision-Recall Curve:</w:t>
      </w:r>
      <w:r>
        <w:rPr>
          <w:rFonts w:eastAsia="Calibri" w:cs="Calibri"/>
          <w:szCs w:val="24"/>
        </w:rPr>
        <w:t xml:space="preserve"> This is very effective when class imbalance exists, It is focused only on the positive class (defaults) . . The PR curve directly measures the quality of predictions on the minority (default) class.</w:t>
      </w:r>
    </w:p>
    <w:p w:rsidR="00A65756" w:rsidRDefault="00000000">
      <w:pPr>
        <w:ind w:firstLine="720"/>
        <w:rPr>
          <w:rFonts w:ascii="Calibri" w:eastAsia="Calibri" w:hAnsi="Calibri" w:cs="Calibri"/>
          <w:szCs w:val="24"/>
        </w:rPr>
      </w:pPr>
      <w:r>
        <w:rPr>
          <w:rFonts w:eastAsia="Calibri" w:cs="Calibri"/>
          <w:szCs w:val="24"/>
        </w:rPr>
        <w:lastRenderedPageBreak/>
        <w:t xml:space="preserve">Precision indicates the precision of all loans predicted as default </w:t>
      </w:r>
    </w:p>
    <w:p w:rsidR="00A65756" w:rsidRDefault="00000000">
      <w:pPr>
        <w:spacing w:before="240" w:after="120"/>
        <w:ind w:firstLine="720"/>
        <w:rPr>
          <w:rFonts w:ascii="Calibri" w:eastAsia="Calibri" w:hAnsi="Calibri" w:cs="Calibri"/>
          <w:b/>
          <w:bCs/>
          <w:szCs w:val="24"/>
        </w:rPr>
      </w:pPr>
      <w:r>
        <w:rPr>
          <w:rFonts w:eastAsia="Calibri" w:cs="Calibri"/>
          <w:b/>
          <w:bCs/>
          <w:color w:val="000000"/>
          <w:szCs w:val="24"/>
        </w:rPr>
        <w:t>Precision=TP / (TP + FP)​</w:t>
      </w:r>
    </w:p>
    <w:p w:rsidR="00A65756" w:rsidRDefault="00000000">
      <w:pPr>
        <w:ind w:firstLine="720"/>
        <w:rPr>
          <w:rFonts w:ascii="Calibri" w:eastAsia="Calibri" w:hAnsi="Calibri" w:cs="Calibri"/>
          <w:szCs w:val="24"/>
        </w:rPr>
      </w:pPr>
      <w:r>
        <w:rPr>
          <w:rFonts w:eastAsia="Calibri" w:cs="Calibri"/>
          <w:szCs w:val="24"/>
        </w:rPr>
        <w:t xml:space="preserve">Recall of all actual defaults </w:t>
      </w:r>
    </w:p>
    <w:p w:rsidR="00A65756" w:rsidRDefault="00000000">
      <w:pPr>
        <w:spacing w:before="240" w:after="120"/>
        <w:ind w:firstLine="720"/>
        <w:rPr>
          <w:rFonts w:ascii="Calibri" w:eastAsia="Calibri" w:hAnsi="Calibri" w:cs="Calibri"/>
          <w:b/>
          <w:bCs/>
          <w:szCs w:val="24"/>
        </w:rPr>
      </w:pPr>
      <w:r>
        <w:rPr>
          <w:rFonts w:eastAsia="Calibri" w:cs="Calibri"/>
          <w:b/>
          <w:szCs w:val="24"/>
        </w:rPr>
        <w:tab/>
      </w:r>
      <w:r>
        <w:rPr>
          <w:rFonts w:eastAsia="Calibri" w:cs="Calibri"/>
          <w:b/>
          <w:szCs w:val="24"/>
        </w:rPr>
        <w:tab/>
      </w:r>
      <w:r>
        <w:rPr>
          <w:rFonts w:eastAsia="Calibri" w:cs="Calibri"/>
          <w:b/>
          <w:szCs w:val="24"/>
        </w:rPr>
        <w:tab/>
      </w:r>
      <w:r>
        <w:rPr>
          <w:rFonts w:eastAsia="Calibri" w:cs="Calibri"/>
          <w:b/>
          <w:szCs w:val="24"/>
        </w:rPr>
        <w:tab/>
      </w:r>
      <w:r>
        <w:rPr>
          <w:rFonts w:eastAsia="Calibri" w:cs="Calibri"/>
          <w:b/>
          <w:szCs w:val="24"/>
        </w:rPr>
        <w:tab/>
      </w:r>
      <w:r>
        <w:rPr>
          <w:rFonts w:eastAsia="Calibri" w:cs="Calibri"/>
          <w:b/>
          <w:bCs/>
          <w:szCs w:val="24"/>
        </w:rPr>
        <w:t>Recall  = TP / (TP + FN)</w:t>
      </w:r>
    </w:p>
    <w:p w:rsidR="00A65756" w:rsidRDefault="00000000">
      <w:pPr>
        <w:ind w:firstLine="720"/>
        <w:rPr>
          <w:rFonts w:ascii="Calibri" w:eastAsia="Calibri" w:hAnsi="Calibri" w:cs="Calibri"/>
          <w:szCs w:val="24"/>
        </w:rPr>
      </w:pPr>
      <w:r>
        <w:rPr>
          <w:rFonts w:eastAsia="Calibri" w:cs="Calibri"/>
          <w:szCs w:val="24"/>
        </w:rPr>
        <w:t xml:space="preserve">Where: </w:t>
      </w:r>
    </w:p>
    <w:p w:rsidR="00A65756" w:rsidRDefault="00000000">
      <w:pPr>
        <w:numPr>
          <w:ilvl w:val="0"/>
          <w:numId w:val="11"/>
        </w:numPr>
        <w:ind w:left="0" w:firstLine="720"/>
        <w:rPr>
          <w:rFonts w:ascii="Calibri" w:eastAsia="Calibri" w:hAnsi="Calibri" w:cs="Calibri"/>
          <w:szCs w:val="24"/>
        </w:rPr>
      </w:pPr>
      <w:r>
        <w:rPr>
          <w:rFonts w:eastAsia="Calibri" w:cs="Calibri"/>
          <w:szCs w:val="24"/>
        </w:rPr>
        <w:t xml:space="preserve">TP = Correctly predicted defaults </w:t>
      </w:r>
    </w:p>
    <w:p w:rsidR="00A65756" w:rsidRDefault="00000000">
      <w:pPr>
        <w:numPr>
          <w:ilvl w:val="0"/>
          <w:numId w:val="11"/>
        </w:numPr>
        <w:ind w:left="0" w:firstLine="720"/>
        <w:rPr>
          <w:rFonts w:ascii="Calibri" w:eastAsia="Calibri" w:hAnsi="Calibri" w:cs="Calibri"/>
          <w:szCs w:val="24"/>
        </w:rPr>
      </w:pPr>
      <w:r>
        <w:rPr>
          <w:rFonts w:eastAsia="Calibri" w:cs="Calibri"/>
          <w:szCs w:val="24"/>
        </w:rPr>
        <w:t>FN = Missed defaults</w:t>
      </w:r>
    </w:p>
    <w:p w:rsidR="00A65756" w:rsidRDefault="00000000">
      <w:pPr>
        <w:numPr>
          <w:ilvl w:val="0"/>
          <w:numId w:val="11"/>
        </w:numPr>
        <w:ind w:left="0" w:firstLine="720"/>
        <w:rPr>
          <w:rFonts w:ascii="Calibri" w:eastAsia="Calibri" w:hAnsi="Calibri" w:cs="Calibri"/>
          <w:szCs w:val="24"/>
        </w:rPr>
      </w:pPr>
      <w:r>
        <w:rPr>
          <w:rFonts w:eastAsia="Calibri" w:cs="Calibri"/>
          <w:szCs w:val="24"/>
        </w:rPr>
        <w:t>FP = False alarm</w:t>
      </w:r>
    </w:p>
    <w:p w:rsidR="00A65756" w:rsidRDefault="00000000">
      <w:pPr>
        <w:numPr>
          <w:ilvl w:val="0"/>
          <w:numId w:val="11"/>
        </w:numPr>
        <w:ind w:left="0" w:firstLine="720"/>
        <w:rPr>
          <w:rFonts w:ascii="Calibri" w:eastAsia="Calibri" w:hAnsi="Calibri" w:cs="Calibri"/>
          <w:szCs w:val="24"/>
        </w:rPr>
      </w:pPr>
      <w:r>
        <w:rPr>
          <w:rFonts w:eastAsia="Calibri" w:cs="Calibri"/>
          <w:szCs w:val="24"/>
        </w:rPr>
        <w:t>TN = Correctly identified non-defaults</w:t>
      </w:r>
    </w:p>
    <w:p w:rsidR="00A65756" w:rsidRDefault="00000000">
      <w:pPr>
        <w:ind w:firstLine="720"/>
        <w:rPr>
          <w:rFonts w:ascii="Calibri" w:eastAsia="Calibri" w:hAnsi="Calibri" w:cs="Calibri"/>
          <w:szCs w:val="24"/>
        </w:rPr>
      </w:pPr>
      <w:r>
        <w:rPr>
          <w:rFonts w:eastAsia="Calibri" w:cs="Calibri"/>
          <w:szCs w:val="24"/>
        </w:rPr>
        <w:t xml:space="preserve">ROC-AUC </w:t>
      </w:r>
      <w:r>
        <w:rPr>
          <w:rFonts w:eastAsia="Calibri" w:cs="Calibri"/>
          <w:b/>
          <w:bCs/>
          <w:szCs w:val="24"/>
        </w:rPr>
        <w:t xml:space="preserve">: </w:t>
      </w:r>
      <w:r>
        <w:rPr>
          <w:rFonts w:eastAsia="Calibri" w:cs="Calibri"/>
          <w:szCs w:val="24"/>
        </w:rPr>
        <w:t>Area under the ROC curve</w:t>
      </w:r>
    </w:p>
    <w:p w:rsidR="00A65756" w:rsidRDefault="00000000">
      <w:pPr>
        <w:ind w:firstLine="720"/>
        <w:rPr>
          <w:rFonts w:ascii="Calibri" w:eastAsia="Calibri" w:hAnsi="Calibri" w:cs="Calibri"/>
          <w:szCs w:val="24"/>
        </w:rPr>
      </w:pPr>
      <w:r>
        <w:rPr>
          <w:rFonts w:eastAsia="Calibri" w:cs="Calibri"/>
          <w:szCs w:val="24"/>
        </w:rPr>
        <w:t>PR-AUC:  Area under PR curve</w:t>
      </w:r>
    </w:p>
    <w:p w:rsidR="00A65756" w:rsidRDefault="00000000">
      <w:pPr>
        <w:pStyle w:val="Heading3"/>
        <w:keepNext w:val="0"/>
        <w:keepLines w:val="0"/>
        <w:spacing w:before="240" w:after="120"/>
        <w:jc w:val="left"/>
        <w:rPr>
          <w:rFonts w:ascii="Calibri" w:eastAsia="Calibri" w:hAnsi="Calibri" w:cs="Calibri"/>
          <w:color w:val="2E75B6"/>
        </w:rPr>
      </w:pPr>
      <w:r>
        <w:rPr>
          <w:rFonts w:ascii="Times New Roman" w:eastAsia="Calibri" w:hAnsi="Times New Roman" w:cs="Calibri"/>
          <w:b/>
          <w:i/>
          <w:color w:val="2E75B6"/>
          <w:sz w:val="24"/>
        </w:rPr>
        <w:t>3.18.2 Calibration Analysis</w:t>
      </w:r>
    </w:p>
    <w:p w:rsidR="00A65756" w:rsidRDefault="00000000">
      <w:pPr>
        <w:ind w:firstLine="720"/>
        <w:rPr>
          <w:rFonts w:ascii="Calibri" w:eastAsia="Calibri" w:hAnsi="Calibri" w:cs="Calibri"/>
          <w:szCs w:val="24"/>
        </w:rPr>
      </w:pPr>
      <w:r>
        <w:rPr>
          <w:rFonts w:eastAsia="Calibri" w:cs="Calibri"/>
          <w:szCs w:val="24"/>
        </w:rPr>
        <w:t>Calibration Analysis assesses how closely the predicted default probabilities align with the observed</w:t>
      </w:r>
    </w:p>
    <w:p w:rsidR="00A65756" w:rsidRDefault="00000000">
      <w:pPr>
        <w:ind w:firstLine="720"/>
        <w:rPr>
          <w:rFonts w:ascii="Calibri" w:eastAsia="Calibri" w:hAnsi="Calibri" w:cs="Calibri"/>
          <w:szCs w:val="24"/>
        </w:rPr>
      </w:pPr>
      <w:r>
        <w:rPr>
          <w:rFonts w:eastAsia="Calibri" w:cs="Calibri"/>
          <w:szCs w:val="24"/>
        </w:rPr>
        <w:t>default rates.</w:t>
      </w:r>
    </w:p>
    <w:p w:rsidR="00A65756" w:rsidRDefault="00000000">
      <w:pPr>
        <w:ind w:firstLine="720"/>
        <w:rPr>
          <w:b/>
          <w:bCs/>
          <w:sz w:val="26"/>
          <w:szCs w:val="26"/>
        </w:rPr>
      </w:pPr>
      <w:r>
        <w:t>Brier Score (Brier, 1950)</w:t>
      </w:r>
    </w:p>
    <w:p w:rsidR="00A65756" w:rsidRDefault="00000000">
      <w:pPr>
        <w:ind w:firstLine="720"/>
        <w:rPr>
          <w:rFonts w:ascii="Calibri" w:eastAsia="Calibri" w:hAnsi="Calibri" w:cs="Calibri"/>
          <w:szCs w:val="24"/>
        </w:rPr>
      </w:pPr>
      <w:r>
        <w:t xml:space="preserve">The Brier Score (Brier, 1950) is computed as the mean squared error between predicted probabilities and actual outcomes, it measures the accuracy of probabilistic predications: </w:t>
      </w:r>
    </w:p>
    <w:p w:rsidR="00A65756" w:rsidRDefault="00000000">
      <w:pPr>
        <w:ind w:firstLine="720"/>
        <w:rPr>
          <w:rFonts w:ascii="Calibri" w:eastAsia="Calibri" w:hAnsi="Calibri" w:cs="Calibri"/>
          <w:szCs w:val="24"/>
        </w:rPr>
      </w:pPr>
      <w:r>
        <w:t>Brier Score (Brier, 1950) = (1/N) × Σ (pᵢ − yᵢ)²</w:t>
      </w:r>
    </w:p>
    <w:p w:rsidR="00A65756" w:rsidRDefault="00000000">
      <w:pPr>
        <w:ind w:firstLine="720"/>
        <w:rPr>
          <w:rFonts w:ascii="Calibri" w:eastAsia="Calibri" w:hAnsi="Calibri" w:cs="Calibri"/>
          <w:szCs w:val="24"/>
        </w:rPr>
      </w:pPr>
      <w:r>
        <w:rPr>
          <w:rFonts w:eastAsia="Calibri" w:cs="Calibri"/>
          <w:szCs w:val="24"/>
        </w:rPr>
        <w:t xml:space="preserve">where pᵢ is the predicted default probability and yᵢ ∈ {0, 1} is the actual outcome. Its value varies between 0 to 1.  </w:t>
      </w:r>
    </w:p>
    <w:p w:rsidR="00A65756" w:rsidRDefault="00000000">
      <w:pPr>
        <w:ind w:firstLine="720"/>
        <w:rPr>
          <w:rFonts w:ascii="Calibri" w:eastAsia="Calibri" w:hAnsi="Calibri" w:cs="Calibri"/>
          <w:szCs w:val="24"/>
        </w:rPr>
      </w:pPr>
      <w:r>
        <w:rPr>
          <w:rFonts w:eastAsia="Calibri" w:cs="Calibri"/>
          <w:szCs w:val="24"/>
        </w:rPr>
        <w:lastRenderedPageBreak/>
        <w:t>Where:</w:t>
      </w:r>
    </w:p>
    <w:p w:rsidR="00A65756" w:rsidRDefault="00000000">
      <w:pPr>
        <w:ind w:firstLine="720"/>
        <w:rPr>
          <w:rFonts w:ascii="Calibri" w:eastAsia="Calibri" w:hAnsi="Calibri" w:cs="Calibri"/>
          <w:szCs w:val="24"/>
        </w:rPr>
      </w:pPr>
      <w:r>
        <w:rPr>
          <w:rFonts w:eastAsia="Calibri" w:cs="Calibri"/>
          <w:szCs w:val="24"/>
        </w:rPr>
        <w:t>• 0 = Perfect calibration</w:t>
      </w:r>
    </w:p>
    <w:p w:rsidR="00A65756" w:rsidRDefault="00000000">
      <w:pPr>
        <w:ind w:firstLine="720"/>
        <w:rPr>
          <w:rFonts w:ascii="Calibri" w:eastAsia="Calibri" w:hAnsi="Calibri" w:cs="Calibri"/>
          <w:szCs w:val="24"/>
        </w:rPr>
      </w:pPr>
      <w:r>
        <w:rPr>
          <w:rFonts w:eastAsia="Calibri" w:cs="Calibri"/>
          <w:szCs w:val="24"/>
        </w:rPr>
        <w:t>• Lower values = Better probability estimates</w:t>
      </w:r>
    </w:p>
    <w:p w:rsidR="00A65756" w:rsidRDefault="00000000">
      <w:pPr>
        <w:ind w:firstLine="720"/>
        <w:rPr>
          <w:rFonts w:ascii="Calibri" w:eastAsia="Calibri" w:hAnsi="Calibri" w:cs="Calibri"/>
          <w:szCs w:val="24"/>
        </w:rPr>
      </w:pPr>
      <w:r>
        <w:rPr>
          <w:rFonts w:eastAsia="Calibri" w:cs="Calibri"/>
          <w:szCs w:val="24"/>
        </w:rPr>
        <w:t>• Higher values = Poorer calibration</w:t>
      </w:r>
    </w:p>
    <w:p w:rsidR="00A65756" w:rsidRDefault="00000000">
      <w:pPr>
        <w:ind w:firstLine="720"/>
      </w:pPr>
      <w:r>
        <w:t>Calibration Curve Interpretation</w:t>
      </w:r>
    </w:p>
    <w:p w:rsidR="00A65756" w:rsidRDefault="00000000">
      <w:pPr>
        <w:ind w:firstLine="720"/>
        <w:rPr>
          <w:rFonts w:ascii="Calibri" w:eastAsia="Calibri" w:hAnsi="Calibri" w:cs="Calibri"/>
          <w:szCs w:val="24"/>
        </w:rPr>
      </w:pPr>
      <w:r>
        <w:rPr>
          <w:rFonts w:eastAsia="Calibri" w:cs="Calibri"/>
          <w:szCs w:val="24"/>
        </w:rPr>
        <w:t>The calibration plot shows predicted probability on the x-axis versus actual default rate in each probability bin on the y-axis. A perfectly calibrated model would follow the red diagonal. Key observations:</w:t>
      </w:r>
    </w:p>
    <w:p w:rsidR="00A65756" w:rsidRDefault="00000000">
      <w:pPr>
        <w:ind w:firstLine="720"/>
        <w:rPr>
          <w:rFonts w:ascii="Calibri" w:eastAsia="Calibri" w:hAnsi="Calibri" w:cs="Calibri"/>
          <w:szCs w:val="24"/>
        </w:rPr>
      </w:pPr>
      <w:r>
        <w:rPr>
          <w:rFonts w:eastAsia="Calibri" w:cs="Calibri"/>
          <w:szCs w:val="24"/>
        </w:rPr>
        <w:t>•        Low probability range (0–0.30): Model is very slightly under-confident – actual rates slightly exceed predicted rates, but the deviation is small</w:t>
      </w:r>
    </w:p>
    <w:p w:rsidR="00A65756" w:rsidRDefault="00000000">
      <w:pPr>
        <w:ind w:firstLine="720"/>
        <w:rPr>
          <w:rFonts w:ascii="Calibri" w:eastAsia="Calibri" w:hAnsi="Calibri" w:cs="Calibri"/>
          <w:szCs w:val="24"/>
        </w:rPr>
      </w:pPr>
      <w:r>
        <w:rPr>
          <w:rFonts w:eastAsia="Calibri" w:cs="Calibri"/>
          <w:szCs w:val="24"/>
        </w:rPr>
        <w:t>•        Mid range (0.30–0.60): Model shows the largest deviation from perfect calibration, common in tree-based models due to their discrete prediction structure</w:t>
      </w:r>
    </w:p>
    <w:p w:rsidR="00A65756" w:rsidRDefault="00000000">
      <w:pPr>
        <w:ind w:firstLine="720"/>
        <w:rPr>
          <w:rFonts w:ascii="Calibri" w:eastAsia="Calibri" w:hAnsi="Calibri" w:cs="Calibri"/>
          <w:szCs w:val="24"/>
        </w:rPr>
      </w:pPr>
      <w:r>
        <w:rPr>
          <w:rFonts w:eastAsia="Calibri" w:cs="Calibri"/>
          <w:szCs w:val="24"/>
        </w:rPr>
        <w:t>•        High range (0.60–1.0): Model returns to near-perfect calibration, correctly identifying high-risk borrowers</w:t>
      </w:r>
    </w:p>
    <w:p w:rsidR="00A65756" w:rsidRDefault="00000000">
      <w:pPr>
        <w:pStyle w:val="Heading3"/>
        <w:keepNext w:val="0"/>
        <w:keepLines w:val="0"/>
        <w:spacing w:before="240" w:after="120"/>
        <w:jc w:val="left"/>
        <w:rPr>
          <w:rFonts w:ascii="Calibri" w:eastAsia="Calibri" w:hAnsi="Calibri" w:cs="Calibri"/>
          <w:color w:val="2E75B6"/>
        </w:rPr>
      </w:pPr>
      <w:bookmarkStart w:id="4" w:name="_ja21b64rgduo" w:colFirst="0" w:colLast="0"/>
      <w:bookmarkEnd w:id="4"/>
      <w:r>
        <w:rPr>
          <w:rFonts w:ascii="Times New Roman" w:eastAsia="Calibri" w:hAnsi="Times New Roman" w:cs="Calibri"/>
          <w:b/>
          <w:i/>
          <w:color w:val="2E75B6"/>
          <w:sz w:val="24"/>
        </w:rPr>
        <w:t>3.18.3 Confusion Matrix</w:t>
      </w:r>
    </w:p>
    <w:p w:rsidR="00A65756" w:rsidRDefault="00000000">
      <w:pPr>
        <w:ind w:firstLine="720"/>
        <w:rPr>
          <w:rFonts w:ascii="Calibri" w:eastAsia="Calibri" w:hAnsi="Calibri" w:cs="Calibri"/>
          <w:szCs w:val="24"/>
        </w:rPr>
      </w:pPr>
      <w:r>
        <w:rPr>
          <w:rFonts w:eastAsia="Calibri" w:cs="Calibri"/>
          <w:szCs w:val="24"/>
        </w:rPr>
        <w:t xml:space="preserve">A </w:t>
      </w:r>
      <w:r>
        <w:rPr>
          <w:rFonts w:eastAsia="Calibri" w:cs="Calibri"/>
          <w:b/>
          <w:bCs/>
          <w:szCs w:val="24"/>
        </w:rPr>
        <w:t>confusion matrix</w:t>
      </w:r>
      <w:r>
        <w:rPr>
          <w:rFonts w:eastAsia="Calibri" w:cs="Calibri"/>
          <w:szCs w:val="24"/>
        </w:rPr>
        <w:t xml:space="preserve"> is a diagnostic table used to evaluate a classification model by comparing predicted labels with actual outcomes. It summarizes predictions into four categories: </w:t>
      </w:r>
      <w:r>
        <w:rPr>
          <w:rFonts w:eastAsia="Calibri" w:cs="Calibri"/>
          <w:b/>
          <w:bCs/>
          <w:szCs w:val="24"/>
        </w:rPr>
        <w:t>true positives, true negatives, false positives, and false negatives</w:t>
      </w:r>
      <w:r>
        <w:rPr>
          <w:rFonts w:eastAsia="Calibri" w:cs="Calibri"/>
          <w:szCs w:val="24"/>
        </w:rPr>
        <w:t xml:space="preserve">. This provides insight not only into overall model accuracy but also into the specific types of classification errors being made. The confusion matrix is particularly valuable in applications such as medical diagnosis, fraud detection, and credit risk assessment, where the cost of different errors can vary significantly. It serves as the foundation for calculating key performance metrics, including </w:t>
      </w:r>
      <w:r>
        <w:rPr>
          <w:rFonts w:eastAsia="Calibri" w:cs="Calibri"/>
          <w:b/>
          <w:bCs/>
          <w:szCs w:val="24"/>
        </w:rPr>
        <w:lastRenderedPageBreak/>
        <w:t>accuracy, precision, recall, and F1-score</w:t>
      </w:r>
      <w:r>
        <w:rPr>
          <w:rFonts w:eastAsia="Calibri" w:cs="Calibri"/>
          <w:szCs w:val="24"/>
        </w:rPr>
        <w:t xml:space="preserve">, helping assess both the effectiveness and reliability of the model. </w:t>
      </w:r>
    </w:p>
    <w:p w:rsidR="00A65756" w:rsidRDefault="00000000">
      <w:pPr>
        <w:pStyle w:val="Heading3"/>
        <w:keepNext w:val="0"/>
        <w:keepLines w:val="0"/>
        <w:spacing w:before="240" w:after="120"/>
        <w:jc w:val="left"/>
      </w:pPr>
      <w:bookmarkStart w:id="5" w:name="_rxmbjtz051p4" w:colFirst="0" w:colLast="0"/>
      <w:bookmarkEnd w:id="5"/>
      <w:r>
        <w:rPr>
          <w:rFonts w:ascii="Times New Roman" w:eastAsia="Calibri" w:hAnsi="Times New Roman" w:cs="Calibri"/>
          <w:b/>
          <w:i/>
          <w:color w:val="2E75B6"/>
          <w:sz w:val="24"/>
        </w:rPr>
        <w:t>3.18.4 Error Analysis by Loan Grade</w:t>
      </w:r>
    </w:p>
    <w:p w:rsidR="00A65756" w:rsidRDefault="00000000">
      <w:pPr>
        <w:ind w:firstLine="720"/>
        <w:rPr>
          <w:rFonts w:ascii="Calibri" w:eastAsia="Calibri" w:hAnsi="Calibri" w:cs="Calibri"/>
          <w:szCs w:val="24"/>
        </w:rPr>
      </w:pPr>
      <w:r>
        <w:rPr>
          <w:rFonts w:eastAsia="Calibri" w:cs="Calibri"/>
          <w:b/>
          <w:bCs/>
          <w:szCs w:val="24"/>
        </w:rPr>
        <w:t>Error Analysis by Loan Grade</w:t>
      </w:r>
      <w:r>
        <w:rPr>
          <w:rFonts w:eastAsia="Calibri" w:cs="Calibri"/>
          <w:szCs w:val="24"/>
        </w:rPr>
        <w:t xml:space="preserve"> is the process of evaluating a model's prediction performance separately for each loan grade (A–G) rather than looking only at overall accuracy.</w:t>
      </w:r>
    </w:p>
    <w:p w:rsidR="00A65756" w:rsidRDefault="00000000">
      <w:pPr>
        <w:ind w:firstLine="720"/>
        <w:rPr>
          <w:rFonts w:ascii="Calibri" w:eastAsia="Calibri" w:hAnsi="Calibri" w:cs="Calibri"/>
          <w:szCs w:val="24"/>
        </w:rPr>
      </w:pPr>
      <w:r>
        <w:rPr>
          <w:rFonts w:eastAsia="Calibri" w:cs="Calibri"/>
          <w:szCs w:val="24"/>
        </w:rPr>
        <w:t>In credit risk assessment, loan grades represent different risk levels:</w:t>
      </w:r>
    </w:p>
    <w:p w:rsidR="00A65756" w:rsidRDefault="00000000">
      <w:pPr>
        <w:numPr>
          <w:ilvl w:val="0"/>
          <w:numId w:val="12"/>
        </w:numPr>
        <w:ind w:left="0" w:firstLine="720"/>
        <w:rPr>
          <w:szCs w:val="24"/>
        </w:rPr>
      </w:pPr>
      <w:r>
        <w:rPr>
          <w:rFonts w:eastAsia="Calibri" w:cs="Calibri"/>
          <w:b/>
          <w:bCs/>
          <w:szCs w:val="24"/>
        </w:rPr>
        <w:t>Grade A:</w:t>
      </w:r>
      <w:r>
        <w:rPr>
          <w:rFonts w:eastAsia="Calibri" w:cs="Calibri"/>
          <w:szCs w:val="24"/>
        </w:rPr>
        <w:t xml:space="preserve"> Lowest-risk borrowers</w:t>
      </w:r>
    </w:p>
    <w:p w:rsidR="00A65756" w:rsidRDefault="00000000">
      <w:pPr>
        <w:numPr>
          <w:ilvl w:val="0"/>
          <w:numId w:val="12"/>
        </w:numPr>
        <w:ind w:left="0" w:firstLine="720"/>
        <w:rPr>
          <w:szCs w:val="24"/>
        </w:rPr>
      </w:pPr>
      <w:r>
        <w:rPr>
          <w:rFonts w:eastAsia="Calibri" w:cs="Calibri"/>
          <w:b/>
          <w:bCs/>
          <w:szCs w:val="24"/>
        </w:rPr>
        <w:t>Grade G:</w:t>
      </w:r>
      <w:r>
        <w:rPr>
          <w:rFonts w:eastAsia="Calibri" w:cs="Calibri"/>
          <w:szCs w:val="24"/>
        </w:rPr>
        <w:t xml:space="preserve"> Highest-risk borrowers</w:t>
      </w:r>
    </w:p>
    <w:p w:rsidR="00A65756" w:rsidRDefault="00000000">
      <w:pPr>
        <w:ind w:firstLine="720"/>
        <w:rPr>
          <w:rFonts w:ascii="Calibri" w:eastAsia="Calibri" w:hAnsi="Calibri" w:cs="Calibri"/>
          <w:szCs w:val="24"/>
        </w:rPr>
      </w:pPr>
      <w:r>
        <w:rPr>
          <w:rFonts w:eastAsia="Calibri" w:cs="Calibri"/>
          <w:szCs w:val="24"/>
        </w:rPr>
        <w:t>Instead of asking, "How accurate is the model overall?", error analysis asks:</w:t>
      </w:r>
    </w:p>
    <w:p w:rsidR="00A65756" w:rsidRDefault="00000000">
      <w:pPr>
        <w:numPr>
          <w:ilvl w:val="0"/>
          <w:numId w:val="13"/>
        </w:numPr>
        <w:ind w:left="0" w:firstLine="720"/>
        <w:rPr>
          <w:rFonts w:ascii="Calibri" w:eastAsia="Calibri" w:hAnsi="Calibri" w:cs="Calibri"/>
          <w:szCs w:val="24"/>
        </w:rPr>
      </w:pPr>
      <w:r>
        <w:rPr>
          <w:rFonts w:eastAsia="Calibri" w:cs="Calibri"/>
          <w:szCs w:val="24"/>
        </w:rPr>
        <w:t>Does the model perform equally well across all risk categories?</w:t>
      </w:r>
    </w:p>
    <w:p w:rsidR="00A65756" w:rsidRDefault="00000000">
      <w:pPr>
        <w:numPr>
          <w:ilvl w:val="0"/>
          <w:numId w:val="13"/>
        </w:numPr>
        <w:ind w:left="0" w:firstLine="720"/>
        <w:rPr>
          <w:rFonts w:ascii="Calibri" w:eastAsia="Calibri" w:hAnsi="Calibri" w:cs="Calibri"/>
          <w:szCs w:val="24"/>
        </w:rPr>
      </w:pPr>
      <w:r>
        <w:rPr>
          <w:rFonts w:eastAsia="Calibri" w:cs="Calibri"/>
          <w:szCs w:val="24"/>
        </w:rPr>
        <w:t>Which grades generate the most prediction errors?</w:t>
      </w:r>
    </w:p>
    <w:p w:rsidR="00A65756" w:rsidRDefault="00000000">
      <w:pPr>
        <w:numPr>
          <w:ilvl w:val="0"/>
          <w:numId w:val="13"/>
        </w:numPr>
        <w:ind w:left="0" w:firstLine="720"/>
        <w:rPr>
          <w:rFonts w:ascii="Calibri" w:eastAsia="Calibri" w:hAnsi="Calibri" w:cs="Calibri"/>
          <w:szCs w:val="24"/>
        </w:rPr>
      </w:pPr>
      <w:r>
        <w:rPr>
          <w:rFonts w:eastAsia="Calibri" w:cs="Calibri"/>
          <w:szCs w:val="24"/>
        </w:rPr>
        <w:t>Are certain borrower groups systematically misclassified?</w:t>
      </w:r>
    </w:p>
    <w:p w:rsidR="00A65756" w:rsidRDefault="00000000">
      <w:pPr>
        <w:ind w:firstLine="720"/>
        <w:rPr>
          <w:rFonts w:ascii="Calibri" w:eastAsia="Calibri" w:hAnsi="Calibri" w:cs="Calibri"/>
          <w:b/>
          <w:bCs/>
          <w:color w:val="2E75B6"/>
          <w:sz w:val="28"/>
          <w:szCs w:val="28"/>
        </w:rPr>
      </w:pPr>
      <w:r>
        <w:rPr>
          <w:rFonts w:eastAsia="Calibri" w:cs="Calibri"/>
          <w:szCs w:val="24"/>
        </w:rPr>
        <w:t>By calculating metrics such as accuracy, precision, recall, and default rates for each grade, we can identify segments where the model performs strongly or weakly.</w:t>
      </w:r>
    </w:p>
    <w:p w:rsidR="00A65756" w:rsidRDefault="00000000">
      <w:pPr>
        <w:pStyle w:val="Heading3"/>
        <w:keepNext w:val="0"/>
        <w:keepLines w:val="0"/>
        <w:spacing w:before="240" w:after="120"/>
        <w:jc w:val="left"/>
        <w:rPr>
          <w:rFonts w:ascii="Calibri" w:eastAsia="Calibri" w:hAnsi="Calibri" w:cs="Calibri"/>
          <w:color w:val="2E75B6"/>
        </w:rPr>
      </w:pPr>
      <w:bookmarkStart w:id="6" w:name="_72xasyta9exs" w:colFirst="0" w:colLast="0"/>
      <w:bookmarkEnd w:id="6"/>
      <w:r>
        <w:rPr>
          <w:rFonts w:ascii="Times New Roman" w:eastAsia="Calibri" w:hAnsi="Times New Roman" w:cs="Calibri"/>
          <w:b/>
          <w:i/>
          <w:color w:val="2E75B6"/>
          <w:sz w:val="24"/>
        </w:rPr>
        <w:t>3.18.5 Feature Importance - SHAP Analysis</w:t>
      </w:r>
    </w:p>
    <w:p w:rsidR="00A65756" w:rsidRDefault="00000000">
      <w:pPr>
        <w:ind w:firstLine="720"/>
        <w:rPr>
          <w:rFonts w:ascii="Calibri" w:eastAsia="Calibri" w:hAnsi="Calibri" w:cs="Calibri"/>
          <w:szCs w:val="24"/>
        </w:rPr>
      </w:pPr>
      <w:r>
        <w:t>SHAP (SHapley Additive exPlanations (Lundberg &amp; Lee, 2017)) values were computed using a TreeExplainer on a 500-sample random subset of the test data. SHAP values provide a game-theoretic decomposition of each prediction into individual feature contributions, enabling trustworthy model interpretability.</w:t>
      </w:r>
    </w:p>
    <w:p w:rsidR="00A65756" w:rsidRDefault="00000000">
      <w:pPr>
        <w:spacing w:before="240" w:after="120"/>
        <w:ind w:firstLine="720"/>
        <w:rPr>
          <w:rFonts w:ascii="Calibri" w:eastAsia="Calibri" w:hAnsi="Calibri" w:cs="Calibri"/>
          <w:b/>
          <w:bCs/>
          <w:szCs w:val="24"/>
        </w:rPr>
      </w:pPr>
      <w:r>
        <w:rPr>
          <w:rFonts w:eastAsia="Calibri" w:cs="Calibri"/>
          <w:b/>
          <w:bCs/>
          <w:szCs w:val="24"/>
        </w:rPr>
        <w:t>How to read the SHAP summary plot:</w:t>
      </w:r>
    </w:p>
    <w:p w:rsidR="00A65756" w:rsidRDefault="00000000">
      <w:pPr>
        <w:ind w:firstLine="720"/>
        <w:rPr>
          <w:rFonts w:ascii="Calibri" w:eastAsia="Calibri" w:hAnsi="Calibri" w:cs="Calibri"/>
          <w:szCs w:val="24"/>
        </w:rPr>
      </w:pPr>
      <w:r>
        <w:rPr>
          <w:rFonts w:eastAsia="Calibri" w:cs="Calibri"/>
          <w:szCs w:val="24"/>
        </w:rPr>
        <w:lastRenderedPageBreak/>
        <w:t>•        Each row represents a feature, ordered by mean absolute SHAP value (top = most important)</w:t>
      </w:r>
    </w:p>
    <w:p w:rsidR="00A65756" w:rsidRDefault="00000000">
      <w:pPr>
        <w:ind w:firstLine="720"/>
        <w:rPr>
          <w:rFonts w:ascii="Calibri" w:eastAsia="Calibri" w:hAnsi="Calibri" w:cs="Calibri"/>
          <w:szCs w:val="24"/>
        </w:rPr>
      </w:pPr>
      <w:r>
        <w:rPr>
          <w:rFonts w:eastAsia="Calibri" w:cs="Calibri"/>
          <w:szCs w:val="24"/>
        </w:rPr>
        <w:t>•        Each dot is one sample; horizontal position shows the SHAP value (impact on model output)</w:t>
      </w:r>
    </w:p>
    <w:p w:rsidR="00A65756" w:rsidRDefault="00000000">
      <w:pPr>
        <w:ind w:firstLine="720"/>
        <w:rPr>
          <w:rFonts w:ascii="Calibri" w:eastAsia="Calibri" w:hAnsi="Calibri" w:cs="Calibri"/>
          <w:szCs w:val="24"/>
        </w:rPr>
      </w:pPr>
      <w:r>
        <w:rPr>
          <w:rFonts w:eastAsia="Calibri" w:cs="Calibri"/>
          <w:szCs w:val="24"/>
        </w:rPr>
        <w:t>•        Red dots = high feature value, Blue dots = low feature value</w:t>
      </w:r>
    </w:p>
    <w:p w:rsidR="00A65756" w:rsidRDefault="00000000">
      <w:pPr>
        <w:ind w:firstLine="720"/>
        <w:rPr>
          <w:rFonts w:ascii="Calibri" w:eastAsia="Calibri" w:hAnsi="Calibri" w:cs="Calibri"/>
          <w:b/>
          <w:bCs/>
          <w:color w:val="2E75B6"/>
          <w:szCs w:val="24"/>
        </w:rPr>
      </w:pPr>
      <w:r>
        <w:rPr>
          <w:rFonts w:eastAsia="Calibri" w:cs="Calibri"/>
          <w:szCs w:val="24"/>
        </w:rPr>
        <w:t>•        Points to the right of zero increase default probability; points to the left decrease it</w:t>
      </w:r>
    </w:p>
    <w:p w:rsidR="00A65756"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3.19 Regression Model Diagnostics</w:t>
      </w:r>
    </w:p>
    <w:p w:rsidR="00A65756" w:rsidRDefault="00000000">
      <w:pPr>
        <w:pStyle w:val="Heading3"/>
        <w:keepNext w:val="0"/>
        <w:keepLines w:val="0"/>
        <w:spacing w:before="240" w:after="120"/>
        <w:jc w:val="left"/>
      </w:pPr>
      <w:bookmarkStart w:id="7" w:name="_1na4ebs3raba" w:colFirst="0" w:colLast="0"/>
      <w:bookmarkEnd w:id="7"/>
      <w:r>
        <w:rPr>
          <w:rFonts w:ascii="Times New Roman" w:eastAsia="Calibri" w:hAnsi="Times New Roman" w:cs="Calibri"/>
          <w:b/>
          <w:i/>
          <w:color w:val="2E75B6"/>
          <w:sz w:val="24"/>
        </w:rPr>
        <w:t>3.19.1 Residual Analysis - Interest Rate</w:t>
      </w:r>
    </w:p>
    <w:p w:rsidR="00A65756" w:rsidRDefault="00000000">
      <w:pPr>
        <w:numPr>
          <w:ilvl w:val="0"/>
          <w:numId w:val="14"/>
        </w:numPr>
        <w:ind w:left="0" w:firstLine="720"/>
        <w:rPr>
          <w:szCs w:val="24"/>
        </w:rPr>
      </w:pPr>
      <w:r>
        <w:rPr>
          <w:rFonts w:eastAsia="Calibri" w:cs="Calibri"/>
          <w:b/>
          <w:bCs/>
          <w:szCs w:val="24"/>
        </w:rPr>
        <w:t>Residuals vs. Fitted Values</w:t>
      </w:r>
      <w:r>
        <w:rPr>
          <w:rFonts w:eastAsia="Calibri" w:cs="Calibri"/>
          <w:szCs w:val="24"/>
        </w:rPr>
        <w:t xml:space="preserve"> : Tests for non-linearity and systematic bias. Residuals should scatter randomly around the zero line with no visible pattern.</w:t>
      </w:r>
    </w:p>
    <w:p w:rsidR="00A65756" w:rsidRDefault="00000000">
      <w:pPr>
        <w:numPr>
          <w:ilvl w:val="0"/>
          <w:numId w:val="14"/>
        </w:numPr>
        <w:ind w:left="0" w:firstLine="720"/>
        <w:rPr>
          <w:rFonts w:ascii="Calibri" w:eastAsia="Calibri" w:hAnsi="Calibri" w:cs="Calibri"/>
          <w:szCs w:val="24"/>
        </w:rPr>
      </w:pPr>
      <w:r>
        <w:rPr>
          <w:rFonts w:eastAsia="Calibri" w:cs="Calibri"/>
          <w:b/>
          <w:bCs/>
          <w:szCs w:val="24"/>
        </w:rPr>
        <w:t xml:space="preserve">Q-Q Plot (Normality Check) </w:t>
      </w:r>
      <w:r>
        <w:rPr>
          <w:rFonts w:eastAsia="Calibri" w:cs="Calibri"/>
          <w:szCs w:val="24"/>
        </w:rPr>
        <w:t xml:space="preserve"> : Tests whether residuals follow a normal distribution. Points should fall on the diagonal red line.</w:t>
      </w:r>
    </w:p>
    <w:p w:rsidR="00A65756" w:rsidRDefault="00000000">
      <w:pPr>
        <w:numPr>
          <w:ilvl w:val="0"/>
          <w:numId w:val="14"/>
        </w:numPr>
        <w:ind w:left="0" w:firstLine="720"/>
        <w:rPr>
          <w:rFonts w:ascii="Calibri" w:eastAsia="Calibri" w:hAnsi="Calibri" w:cs="Calibri"/>
          <w:szCs w:val="24"/>
        </w:rPr>
      </w:pPr>
      <w:r>
        <w:rPr>
          <w:rFonts w:eastAsia="Calibri" w:cs="Calibri"/>
          <w:b/>
          <w:bCs/>
          <w:szCs w:val="24"/>
        </w:rPr>
        <w:t>Residual Distribution:</w:t>
      </w:r>
      <w:r>
        <w:rPr>
          <w:rFonts w:eastAsia="Calibri" w:cs="Calibri"/>
          <w:szCs w:val="24"/>
        </w:rPr>
        <w:t xml:space="preserve"> The residual histogram is approximately symmetric and bell-shaped, centered at mean = −0.0003 (essentially zero). This confirms the model is unbiased – it does not systematically overestimate or underestimate interest rates across the test set. The slight right skew is consistent with the heavy-tail observation in the Q-Q plot.</w:t>
      </w:r>
    </w:p>
    <w:p w:rsidR="00A65756" w:rsidRDefault="00000000">
      <w:pPr>
        <w:numPr>
          <w:ilvl w:val="0"/>
          <w:numId w:val="14"/>
        </w:numPr>
        <w:ind w:left="0" w:firstLine="720"/>
        <w:rPr>
          <w:rFonts w:ascii="Calibri" w:eastAsia="Calibri" w:hAnsi="Calibri" w:cs="Calibri"/>
          <w:b/>
          <w:bCs/>
          <w:szCs w:val="24"/>
        </w:rPr>
      </w:pPr>
      <w:r>
        <w:rPr>
          <w:rFonts w:eastAsia="Calibri" w:cs="Calibri"/>
          <w:b/>
          <w:bCs/>
          <w:szCs w:val="24"/>
        </w:rPr>
        <w:t xml:space="preserve">Scale-Location Plot (Homoscedasticity):  </w:t>
      </w:r>
      <w:r>
        <w:rPr>
          <w:rFonts w:eastAsia="Calibri" w:cs="Calibri"/>
          <w:szCs w:val="24"/>
        </w:rPr>
        <w:t>Tests whether the variance of residuals is constant across fitted values (homoscedasticity). Points should be roughly horizontal with constant spread.</w:t>
      </w:r>
    </w:p>
    <w:p w:rsidR="00A65756" w:rsidRDefault="00000000">
      <w:pPr>
        <w:pStyle w:val="Heading3"/>
        <w:keepNext w:val="0"/>
        <w:keepLines w:val="0"/>
        <w:spacing w:before="240" w:after="120"/>
        <w:jc w:val="left"/>
        <w:rPr>
          <w:rFonts w:ascii="Calibri" w:eastAsia="Calibri" w:hAnsi="Calibri" w:cs="Calibri"/>
          <w:color w:val="2E75B6"/>
        </w:rPr>
      </w:pPr>
      <w:r>
        <w:rPr>
          <w:rFonts w:ascii="Times New Roman" w:eastAsia="Calibri" w:hAnsi="Times New Roman" w:cs="Calibri"/>
          <w:b/>
          <w:i/>
          <w:color w:val="2E75B6"/>
          <w:sz w:val="24"/>
        </w:rPr>
        <w:t>3.19.2 Predicted vs. Actual Analysis - All Regression Targets</w:t>
      </w:r>
    </w:p>
    <w:p w:rsidR="00A65756" w:rsidRDefault="00000000">
      <w:pPr>
        <w:ind w:firstLine="720"/>
        <w:rPr>
          <w:rFonts w:ascii="Calibri" w:eastAsia="Calibri" w:hAnsi="Calibri" w:cs="Calibri"/>
        </w:rPr>
      </w:pPr>
      <w:r>
        <w:rPr>
          <w:rFonts w:eastAsia="Calibri" w:cs="Calibri"/>
          <w:szCs w:val="24"/>
        </w:rPr>
        <w:t xml:space="preserve">Predicted Vs Actual Analysis evaluates regression performance by comparing predicted values with actual observed values. It is typically visualized using scatter plots, where the </w:t>
      </w:r>
      <w:r>
        <w:rPr>
          <w:rFonts w:eastAsia="Calibri" w:cs="Calibri"/>
          <w:b/>
          <w:bCs/>
          <w:szCs w:val="24"/>
        </w:rPr>
        <w:t xml:space="preserve">x-axis </w:t>
      </w:r>
      <w:r>
        <w:rPr>
          <w:rFonts w:eastAsia="Calibri" w:cs="Calibri"/>
          <w:b/>
          <w:bCs/>
          <w:szCs w:val="24"/>
        </w:rPr>
        <w:lastRenderedPageBreak/>
        <w:t>represents actual values</w:t>
      </w:r>
      <w:r>
        <w:rPr>
          <w:rFonts w:eastAsia="Calibri" w:cs="Calibri"/>
          <w:szCs w:val="24"/>
        </w:rPr>
        <w:t xml:space="preserve"> and the </w:t>
      </w:r>
      <w:r>
        <w:rPr>
          <w:rFonts w:eastAsia="Calibri" w:cs="Calibri"/>
          <w:b/>
          <w:bCs/>
          <w:szCs w:val="24"/>
        </w:rPr>
        <w:t>y-axis represents predicted values</w:t>
      </w:r>
      <w:r>
        <w:rPr>
          <w:rFonts w:eastAsia="Calibri" w:cs="Calibri"/>
          <w:szCs w:val="24"/>
        </w:rPr>
        <w:t xml:space="preserve">. A </w:t>
      </w:r>
      <w:r>
        <w:rPr>
          <w:rFonts w:eastAsia="Calibri" w:cs="Calibri"/>
          <w:b/>
          <w:bCs/>
          <w:szCs w:val="24"/>
        </w:rPr>
        <w:t>45-degree diagonal reference line</w:t>
      </w:r>
      <w:r>
        <w:rPr>
          <w:rFonts w:eastAsia="Calibri" w:cs="Calibri"/>
          <w:szCs w:val="24"/>
        </w:rPr>
        <w:t xml:space="preserve"> indicates perfect predictions; points closer to this line reflect higher accuracy, while greater deviations represent prediction errors. This analysis provides a clear visual assessment of how well the model estimates targets such as loan amount, interest rate, and loan-to-income ratio. </w:t>
      </w:r>
    </w:p>
    <w:p w:rsidR="00A65756" w:rsidRDefault="00000000">
      <w:pPr>
        <w:pStyle w:val="Heading3"/>
        <w:keepNext w:val="0"/>
        <w:keepLines w:val="0"/>
        <w:spacing w:before="240" w:after="120"/>
        <w:jc w:val="left"/>
      </w:pPr>
      <w:r>
        <w:rPr>
          <w:rFonts w:ascii="Times New Roman" w:eastAsia="Calibri" w:hAnsi="Times New Roman" w:cs="Calibri"/>
          <w:b/>
          <w:i/>
          <w:color w:val="2E75B6"/>
          <w:sz w:val="24"/>
        </w:rPr>
        <w:t>3.19.3 Interest Rate Prediction - Performance by Loan Grade</w:t>
      </w:r>
    </w:p>
    <w:p w:rsidR="00A65756" w:rsidRDefault="00000000">
      <w:pPr>
        <w:ind w:firstLine="720"/>
        <w:rPr>
          <w:rFonts w:ascii="Calibri" w:eastAsia="Calibri" w:hAnsi="Calibri" w:cs="Calibri"/>
          <w:szCs w:val="24"/>
        </w:rPr>
      </w:pPr>
      <w:r>
        <w:rPr>
          <w:rFonts w:eastAsia="Calibri" w:cs="Calibri"/>
          <w:b/>
          <w:bCs/>
          <w:szCs w:val="24"/>
        </w:rPr>
        <w:t>Interest Rate Prediction Performance by Loan Grade</w:t>
      </w:r>
      <w:r>
        <w:rPr>
          <w:rFonts w:eastAsia="Calibri" w:cs="Calibri"/>
          <w:szCs w:val="24"/>
        </w:rPr>
        <w:t xml:space="preserve"> evaluates how accurately the regression model predicts interest rates for borrowers within each loan grade (A–G). Since loan grades reflect different levels of credit risk, this analysis helps determine whether prediction accuracy varies across risk segments.</w:t>
      </w:r>
    </w:p>
    <w:p w:rsidR="00A65756" w:rsidRDefault="00000000">
      <w:pPr>
        <w:ind w:firstLine="720"/>
        <w:rPr>
          <w:rFonts w:ascii="Calibri" w:eastAsia="Calibri" w:hAnsi="Calibri" w:cs="Calibri"/>
          <w:szCs w:val="24"/>
        </w:rPr>
      </w:pPr>
      <w:r>
        <w:rPr>
          <w:rFonts w:eastAsia="Calibri" w:cs="Calibri"/>
          <w:szCs w:val="24"/>
        </w:rPr>
        <w:t>The objective is to answer questions such as:</w:t>
      </w:r>
    </w:p>
    <w:p w:rsidR="00A65756" w:rsidRDefault="00000000">
      <w:pPr>
        <w:numPr>
          <w:ilvl w:val="0"/>
          <w:numId w:val="15"/>
        </w:numPr>
        <w:ind w:left="0" w:firstLine="720"/>
        <w:rPr>
          <w:rFonts w:ascii="Calibri" w:eastAsia="Calibri" w:hAnsi="Calibri" w:cs="Calibri"/>
          <w:szCs w:val="24"/>
        </w:rPr>
      </w:pPr>
      <w:r>
        <w:rPr>
          <w:rFonts w:eastAsia="Calibri" w:cs="Calibri"/>
          <w:szCs w:val="24"/>
        </w:rPr>
        <w:t>Does the model predict interest rates equally well across all loan grades?</w:t>
      </w:r>
    </w:p>
    <w:p w:rsidR="00A65756" w:rsidRDefault="00000000">
      <w:pPr>
        <w:numPr>
          <w:ilvl w:val="0"/>
          <w:numId w:val="15"/>
        </w:numPr>
        <w:ind w:left="0" w:firstLine="720"/>
        <w:rPr>
          <w:rFonts w:ascii="Calibri" w:eastAsia="Calibri" w:hAnsi="Calibri" w:cs="Calibri"/>
          <w:szCs w:val="24"/>
        </w:rPr>
      </w:pPr>
      <w:r>
        <w:rPr>
          <w:rFonts w:eastAsia="Calibri" w:cs="Calibri"/>
          <w:szCs w:val="24"/>
        </w:rPr>
        <w:t>Which grades have the highest prediction errors?</w:t>
      </w:r>
    </w:p>
    <w:p w:rsidR="00A65756" w:rsidRDefault="00000000">
      <w:pPr>
        <w:numPr>
          <w:ilvl w:val="0"/>
          <w:numId w:val="15"/>
        </w:numPr>
        <w:ind w:left="0" w:firstLine="720"/>
        <w:rPr>
          <w:rFonts w:ascii="Calibri" w:eastAsia="Calibri" w:hAnsi="Calibri" w:cs="Calibri"/>
          <w:szCs w:val="24"/>
        </w:rPr>
      </w:pPr>
      <w:r>
        <w:rPr>
          <w:rFonts w:eastAsia="Calibri" w:cs="Calibri"/>
          <w:szCs w:val="24"/>
        </w:rPr>
        <w:t>Does performance deteriorate for higher-risk borrowers?</w:t>
      </w:r>
    </w:p>
    <w:p w:rsidR="00A65756" w:rsidRDefault="00000000">
      <w:pPr>
        <w:ind w:firstLine="720"/>
        <w:rPr>
          <w:rFonts w:ascii="Calibri" w:eastAsia="Calibri" w:hAnsi="Calibri" w:cs="Calibri"/>
          <w:color w:val="404040"/>
        </w:rPr>
      </w:pPr>
      <w:r>
        <w:rPr>
          <w:rFonts w:eastAsia="Calibri" w:cs="Calibri"/>
          <w:szCs w:val="24"/>
        </w:rPr>
        <w:t xml:space="preserve">Typically, metrics such as </w:t>
      </w:r>
      <w:r>
        <w:rPr>
          <w:rFonts w:eastAsia="Calibri" w:cs="Calibri"/>
          <w:b/>
          <w:bCs/>
          <w:szCs w:val="24"/>
        </w:rPr>
        <w:t>Mean Absolute Error (MAE)</w:t>
      </w:r>
      <w:r>
        <w:rPr>
          <w:rFonts w:eastAsia="Calibri" w:cs="Calibri"/>
          <w:szCs w:val="24"/>
        </w:rPr>
        <w:t xml:space="preserve"> and </w:t>
      </w:r>
      <w:r>
        <w:rPr>
          <w:rFonts w:eastAsia="Calibri" w:cs="Calibri"/>
          <w:b/>
          <w:bCs/>
          <w:szCs w:val="24"/>
        </w:rPr>
        <w:t>Standard Error</w:t>
      </w:r>
      <w:r>
        <w:rPr>
          <w:rFonts w:eastAsia="Calibri" w:cs="Calibri"/>
          <w:szCs w:val="24"/>
        </w:rPr>
        <w:t xml:space="preserve"> are calculated for each grade. Lower values indicate more accurate predictions.</w:t>
      </w:r>
    </w:p>
    <w:p w:rsidR="00A65756" w:rsidRDefault="00000000">
      <w:pPr>
        <w:pStyle w:val="Heading3"/>
        <w:keepNext w:val="0"/>
        <w:keepLines w:val="0"/>
        <w:spacing w:before="240" w:after="120"/>
        <w:jc w:val="left"/>
        <w:rPr>
          <w:rFonts w:ascii="Calibri" w:eastAsia="Calibri" w:hAnsi="Calibri" w:cs="Calibri"/>
          <w:color w:val="2E75B6"/>
        </w:rPr>
      </w:pPr>
      <w:bookmarkStart w:id="8" w:name="_x8bqnviyjju9" w:colFirst="0" w:colLast="0"/>
      <w:bookmarkEnd w:id="8"/>
      <w:r>
        <w:rPr>
          <w:rFonts w:ascii="Times New Roman" w:eastAsia="Calibri" w:hAnsi="Times New Roman" w:cs="Calibri"/>
          <w:b/>
          <w:i/>
          <w:color w:val="2E75B6"/>
          <w:sz w:val="24"/>
        </w:rPr>
        <w:t>3.19.4 Feature Importance SHAP analysis (Interest Rate Model)</w:t>
      </w:r>
    </w:p>
    <w:p w:rsidR="00A65756" w:rsidRDefault="00000000">
      <w:pPr>
        <w:ind w:firstLine="720"/>
        <w:rPr>
          <w:rFonts w:ascii="Calibri" w:eastAsia="Calibri" w:hAnsi="Calibri" w:cs="Calibri"/>
          <w:szCs w:val="24"/>
        </w:rPr>
      </w:pPr>
      <w:r>
        <w:rPr>
          <w:rFonts w:eastAsia="Calibri" w:cs="Calibri"/>
          <w:szCs w:val="24"/>
        </w:rPr>
        <w:t>SHAP analysis for the interest rate regression model reveals which borrower attributes most strongly drive interest rate assignments. Prior default history dominates, reflecting the fundamental credit pricing principle that higher historical risk commands higher rates.</w:t>
      </w:r>
    </w:p>
    <w:p w:rsidR="00A65756" w:rsidRDefault="00000000">
      <w:pPr>
        <w:pStyle w:val="Heading1"/>
        <w:pageBreakBefore/>
        <w:spacing w:before="240" w:after="120"/>
        <w:jc w:val="center"/>
      </w:pPr>
      <w:r>
        <w:rPr>
          <w:rFonts w:ascii="Times New Roman" w:hAnsi="Times New Roman"/>
          <w:b/>
          <w:sz w:val="24"/>
        </w:rPr>
        <w:lastRenderedPageBreak/>
        <w:t>4. Results</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4.1 Raw Data Profile</w:t>
      </w:r>
    </w:p>
    <w:p w:rsidR="00FE1DA8" w:rsidRDefault="00000000">
      <w:pPr>
        <w:ind w:firstLine="720"/>
        <w:rPr>
          <w:rFonts w:ascii="Calibri" w:eastAsia="Calibri" w:hAnsi="Calibri" w:cs="Calibri"/>
        </w:rPr>
      </w:pPr>
      <w:r>
        <w:t>The raw dataset contains 32,581 rows and 12 columns. A summary of key descriptive statistics is shown in Table 5.</w:t>
      </w:r>
    </w:p>
    <w:p w:rsidR="00A65756" w:rsidRDefault="00000000">
      <w:pPr>
        <w:spacing w:before="240"/>
        <w:keepNext w:val="true"/>
        <w:jc w:val="left"/>
      </w:pPr>
      <w:r>
        <w:rPr>
          <w:rFonts w:ascii="Times New Roman" w:hAnsi="Times New Roman"/>
          <w:b/>
          <w:sz w:val="24"/>
        </w:rPr>
        <w:t>Table 5</w:t>
      </w:r>
    </w:p>
    <w:p w:rsidR="00A65756" w:rsidRDefault="00000000">
      <w:pPr>
        <w:spacing w:after="120"/>
        <w:jc w:val="left"/>
        <w:keepNext w:val="true"/>
      </w:pPr>
      <w:r>
        <w:rPr>
          <w:rFonts w:ascii="Times New Roman" w:hAnsi="Times New Roman"/>
          <w:i/>
          <w:sz w:val="24"/>
        </w:rPr>
        <w:t>Descriptive statistics for the raw Credit Risk dataset (n = 32,581)</w:t>
      </w:r>
    </w:p>
    <w:tbl>
      <w:tblPr>
        <w:tblStyle w:val="a0"/>
        <w:tblW w:w="8760" w:type="dxa"/>
        <w:jc w:val="center"/>
        <w:tblInd w:w="0" w:type="dxa"/>
        <w:tblLayout w:type="fixed"/>
        <w:tblLook w:val="0000" w:firstRow="0" w:lastRow="0" w:firstColumn="0" w:lastColumn="0" w:noHBand="0" w:noVBand="0"/>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2400"/>
        <w:gridCol w:w="1320"/>
        <w:gridCol w:w="1320"/>
        <w:gridCol w:w="1200"/>
        <w:gridCol w:w="1200"/>
        <w:gridCol w:w="1320"/>
      </w:tblGrid>
      <w:tr w:rsidR="00FE1DA8">
        <w:trPr>
          <w:jc w:val="center"/>
          <w:cantSplit w:val="true"/>
          <w:tblHeader w:val="true"/>
        </w:trPr>
        <w:tc>
          <w:tcPr>
            <w:tcW w:w="24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Feature</w:t>
            </w:r>
          </w:p>
        </w:tc>
        <w:tc>
          <w:tcPr>
            <w:tcW w:w="132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Mean</w:t>
            </w:r>
          </w:p>
        </w:tc>
        <w:tc>
          <w:tcPr>
            <w:tcW w:w="132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Std Dev</w:t>
            </w:r>
          </w:p>
        </w:tc>
        <w:tc>
          <w:tcPr>
            <w:tcW w:w="12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Min</w:t>
            </w:r>
          </w:p>
        </w:tc>
        <w:tc>
          <w:tcPr>
            <w:tcW w:w="12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Median</w:t>
            </w:r>
          </w:p>
        </w:tc>
        <w:tc>
          <w:tcPr>
            <w:tcW w:w="132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Max</w:t>
            </w:r>
          </w:p>
        </w:tc>
      </w:tr>
      <w:tr w:rsidR="00FE1DA8">
        <w:trPr>
          <w:jc w:val="center"/>
          <w:cantSplit w:val="true"/>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person_age</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27.73</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6.35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20.00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26.00</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144.00</w:t>
            </w:r>
          </w:p>
        </w:tc>
      </w:tr>
      <w:tr w:rsidR="00FE1DA8">
        <w:trPr>
          <w:jc w:val="center"/>
          <w:cantSplit w:val="true"/>
        </w:trPr>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person_income</w:t>
            </w:r>
          </w:p>
        </w:tc>
        <w:tc>
          <w:tcPr>
            <w:tcW w:w="1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$66,075</w:t>
            </w:r>
          </w:p>
        </w:tc>
        <w:tc>
          <w:tcPr>
            <w:tcW w:w="1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$61,983</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$4,000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$55,000</w:t>
            </w:r>
          </w:p>
        </w:tc>
        <w:tc>
          <w:tcPr>
            <w:tcW w:w="1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$6,000,000</w:t>
            </w:r>
          </w:p>
        </w:tc>
      </w:tr>
      <w:tr w:rsidR="00FE1DA8">
        <w:trPr>
          <w:jc w:val="center"/>
          <w:cantSplit w:val="true"/>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person_emp_length</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 xml:space="preserve">4.79 </w:t>
            </w:r>
            <w:proofErr w:type="spellStart"/>
            <w:r>
              <w:rPr>
                <w:rFonts w:eastAsia="Calibri" w:cs="Calibri" w:ascii="Times New Roman" w:hAnsi="Times New Roman"/>
                <w:color w:val="404040"/>
                <w:sz w:val="20"/>
                <w:szCs w:val="19"/>
              </w:rPr>
              <w:t>yrs</w:t>
            </w:r>
            <w:proofErr w:type="spellEnd"/>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4.14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4.00</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123.00</w:t>
            </w:r>
          </w:p>
        </w:tc>
      </w:tr>
      <w:tr w:rsidR="00FE1DA8">
        <w:trPr>
          <w:jc w:val="center"/>
          <w:cantSplit w:val="true"/>
        </w:trPr>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proofErr w:type="spellStart"/>
            <w:r>
              <w:rPr>
                <w:rFonts w:eastAsia="Calibri" w:cs="Calibri" w:ascii="Times New Roman" w:hAnsi="Times New Roman"/>
                <w:color w:val="404040"/>
                <w:sz w:val="20"/>
                <w:szCs w:val="19"/>
              </w:rPr>
              <w:t>loan_amnt</w:t>
            </w:r>
            <w:proofErr w:type="spellEnd"/>
          </w:p>
        </w:tc>
        <w:tc>
          <w:tcPr>
            <w:tcW w:w="1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$9,589</w:t>
            </w:r>
          </w:p>
        </w:tc>
        <w:tc>
          <w:tcPr>
            <w:tcW w:w="1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$6,322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$500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$8,000</w:t>
            </w:r>
          </w:p>
        </w:tc>
        <w:tc>
          <w:tcPr>
            <w:tcW w:w="1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$35,000</w:t>
            </w:r>
          </w:p>
        </w:tc>
      </w:tr>
      <w:tr w:rsidR="00FE1DA8">
        <w:trPr>
          <w:jc w:val="center"/>
          <w:cantSplit w:val="true"/>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loan_int_rate</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11.01%</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3.24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5.42%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10.99%</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23.22%</w:t>
            </w:r>
          </w:p>
        </w:tc>
      </w:tr>
      <w:tr w:rsidR="00FE1DA8">
        <w:trPr>
          <w:jc w:val="center"/>
          <w:cantSplit w:val="true"/>
        </w:trPr>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loan_status (default rate)</w:t>
            </w:r>
          </w:p>
        </w:tc>
        <w:tc>
          <w:tcPr>
            <w:tcW w:w="1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0.22</w:t>
            </w:r>
          </w:p>
        </w:tc>
        <w:tc>
          <w:tcPr>
            <w:tcW w:w="1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0.41</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w:t>
            </w:r>
          </w:p>
        </w:tc>
        <w:tc>
          <w:tcPr>
            <w:tcW w:w="1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1</w:t>
            </w:r>
          </w:p>
        </w:tc>
      </w:tr>
      <w:tr w:rsidR="00FE1DA8">
        <w:trPr>
          <w:jc w:val="center"/>
          <w:cantSplit w:val="true"/>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pPr>
            <w:r>
              <w:rPr>
                <w:rFonts w:eastAsia="Calibri" w:cs="Calibri" w:ascii="Times New Roman" w:hAnsi="Times New Roman"/>
                <w:color w:val="404040"/>
                <w:sz w:val="20"/>
                <w:szCs w:val="19"/>
              </w:rPr>
              <w:t>loan_percent_income</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0.17</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0.11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0.00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0.15</w:t>
            </w:r>
          </w:p>
        </w:tc>
        <w:tc>
          <w:tcPr>
            <w:tcW w:w="1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0.83</w:t>
            </w:r>
          </w:p>
        </w:tc>
      </w:tr>
    </w:tbl>
    <w:p w:rsidR="00A65756" w:rsidRDefault="00000000">
      <w:pPr>
        <w:spacing w:before="120" w:after="240" w:line="480" w:lineRule="auto"/>
        <w:jc w:val="left"/>
        <w:keepLines w:val="true"/>
      </w:pPr>
      <w:r>
        <w:rPr>
          <w:i/>
          <w:sz w:val="20"/>
        </w:rPr>
        <w:t xml:space="preserve">Note. </w:t>
      </w:r>
      <w:r>
        <w:rPr>
          <w:sz w:val="20"/>
        </w:rPr>
        <w:t>Note the unrealistic maximum age (144 years) and maximum income ($6M) – both flagged for outlier removal.</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4.2 Missing Value Audit</w:t>
      </w:r>
    </w:p>
    <w:p w:rsidR="00FE1DA8" w:rsidRDefault="00000000">
      <w:pPr>
        <w:ind w:firstLine="720"/>
        <w:rPr>
          <w:rFonts w:ascii="Calibri" w:eastAsia="Calibri" w:hAnsi="Calibri" w:cs="Calibri"/>
        </w:rPr>
      </w:pPr>
      <w:r>
        <w:rPr>
          <w:rFonts w:eastAsia="Calibri" w:cs="Calibri"/>
          <w:color w:val="404040"/>
        </w:rPr>
        <w:t>Two of the 12 columns contained missing values:</w:t>
      </w:r>
    </w:p>
    <w:p w:rsidR="00A65756" w:rsidRDefault="00000000">
      <w:pPr>
        <w:spacing w:before="240"/>
        <w:keepNext w:val="true"/>
        <w:jc w:val="left"/>
      </w:pPr>
      <w:r>
        <w:rPr>
          <w:rFonts w:ascii="Times New Roman" w:hAnsi="Times New Roman"/>
          <w:b/>
          <w:sz w:val="24"/>
        </w:rPr>
        <w:t>Table 6</w:t>
      </w:r>
    </w:p>
    <w:p w:rsidR="00A65756" w:rsidRDefault="00000000">
      <w:pPr>
        <w:spacing w:after="120"/>
        <w:jc w:val="left"/>
        <w:keepNext w:val="true"/>
      </w:pPr>
      <w:r>
        <w:rPr>
          <w:rFonts w:ascii="Times New Roman" w:hAnsi="Times New Roman"/>
          <w:i/>
          <w:sz w:val="24"/>
        </w:rPr>
        <w:t>Missing value audit results and imputation strategy</w:t>
      </w:r>
    </w:p>
    <w:tbl>
      <w:tblPr>
        <w:tblStyle w:val="a0"/>
        <w:tblW w:w="9360" w:type="dxa"/>
        <w:jc w:val="center"/>
        <w:tblInd w:w="0" w:type="dxa"/>
        <w:tblLayout w:type="fixed"/>
        <w:tblLook w:val="0000" w:firstRow="0" w:lastRow="0" w:firstColumn="0" w:lastColumn="0" w:noHBand="0" w:noVBand="0"/>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2400"/>
        <w:gridCol w:w="1560"/>
        <w:gridCol w:w="1560"/>
        <w:gridCol w:w="3840"/>
      </w:tblGrid>
      <w:tr w:rsidR="00FE1DA8">
        <w:trPr>
          <w:jc w:val="center"/>
          <w:cantSplit w:val="true"/>
        </w:trPr>
        <w:tc>
          <w:tcPr>
            <w:tcW w:w="24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Column</w:t>
            </w:r>
          </w:p>
        </w:tc>
        <w:tc>
          <w:tcPr>
            <w:tcW w:w="156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Missing (n)</w:t>
            </w:r>
          </w:p>
        </w:tc>
        <w:tc>
          <w:tcPr>
            <w:tcW w:w="156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Missing (%)</w:t>
            </w:r>
          </w:p>
        </w:tc>
        <w:tc>
          <w:tcPr>
            <w:tcW w:w="384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Imputed With</w:t>
            </w:r>
          </w:p>
        </w:tc>
      </w:tr>
      <w:tr w:rsidR="00FE1DA8">
        <w:trPr>
          <w:jc w:val="center"/>
          <w:cantSplit w:val="true"/>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person_emp_length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895</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2.75%</w:t>
            </w:r>
          </w:p>
        </w:tc>
        <w:tc>
          <w:tcPr>
            <w:tcW w:w="3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Median = 4.00 years</w:t>
            </w:r>
          </w:p>
        </w:tc>
      </w:tr>
      <w:tr w:rsidR="00FE1DA8">
        <w:trPr>
          <w:jc w:val="center"/>
          <w:cantSplit w:val="true"/>
        </w:trPr>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pPr>
            <w:r>
              <w:rPr>
                <w:rFonts w:eastAsia="Calibri" w:cs="Calibri" w:ascii="Times New Roman" w:hAnsi="Times New Roman"/>
                <w:color w:val="404040"/>
                <w:sz w:val="20"/>
                <w:szCs w:val="19"/>
              </w:rPr>
              <w:t>loan_int_rate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3,116</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9.56%</w:t>
            </w:r>
          </w:p>
        </w:tc>
        <w:tc>
          <w:tcPr>
            <w:tcW w:w="38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Median = 10.99%</w:t>
            </w:r>
          </w:p>
        </w:tc>
      </w:tr>
    </w:tbl>
    <w:p w:rsidR="00A65756" w:rsidRDefault="00000000">
      <w:pPr>
        <w:spacing w:before="120" w:after="240" w:line="480" w:lineRule="auto"/>
        <w:jc w:val="left"/>
        <w:keepLines w:val="true"/>
      </w:pPr>
      <w:r>
        <w:rPr>
          <w:i/>
          <w:sz w:val="20"/>
        </w:rPr>
        <w:lastRenderedPageBreak/>
        <w:t xml:space="preserve">Note. </w:t>
      </w:r>
      <w:r>
        <w:rPr>
          <w:sz w:val="20"/>
        </w:rPr>
        <w:t>All other 10 columns had zero missing values.</w:t>
      </w:r>
    </w:p>
    <w:p w:rsidR="00FE1DA8" w:rsidRDefault="00000000">
      <w:pPr>
        <w:ind w:firstLine="720"/>
        <w:rPr>
          <w:rFonts w:ascii="Calibri" w:eastAsia="Calibri" w:hAnsi="Calibri" w:cs="Calibri"/>
        </w:rPr>
      </w:pPr>
      <w:r>
        <w:t>After applying median imputation (Little &amp; Rubin, 2019), zero missing values remained in the dataset.</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4.3 Outlier Filtering Results</w:t>
      </w:r>
    </w:p>
    <w:p w:rsidR="00FE1DA8" w:rsidRDefault="00000000">
      <w:pPr>
        <w:ind w:firstLine="720"/>
        <w:rPr>
          <w:rFonts w:ascii="Calibri" w:eastAsia="Calibri" w:hAnsi="Calibri" w:cs="Calibri"/>
        </w:rPr>
      </w:pPr>
      <w:r>
        <w:rPr>
          <w:rFonts w:eastAsia="Calibri" w:cs="Calibri"/>
          <w:color w:val="404040"/>
        </w:rPr>
        <w:t>After applying IQR filters, the domain age constraint (≤ 100), duplicate removal, and the employment–age sanity check, the dataset was reduced from 32,581 to 29,567 records – a net removal of 3,014 rows (9.25%). The final cleaned dataset has 29,567 rows and 12 columns (plus log_person_income added during EDA), split 77.56% non-default and 22.44% default.</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4.4 Income Distribution and Log-Transformation</w:t>
      </w:r>
    </w:p>
    <w:p w:rsidR="00A65756" w:rsidRDefault="00000000">
      <w:pPr>
        <w:spacing w:before="240"/>
        <w:keepNext w:val="true"/>
        <w:jc w:val="left"/>
      </w:pPr>
      <w:r>
        <w:rPr>
          <w:rFonts w:ascii="Times New Roman" w:hAnsi="Times New Roman"/>
          <w:b/>
          <w:sz w:val="24"/>
        </w:rPr>
        <w:t>Figure 11</w:t>
      </w:r>
    </w:p>
    <w:p w:rsidR="00A65756" w:rsidRDefault="00000000">
      <w:pPr>
        <w:spacing w:after="120"/>
        <w:jc w:val="left"/>
        <w:keepNext w:val="true"/>
      </w:pPr>
      <w:r>
        <w:rPr>
          <w:rFonts w:ascii="Times New Roman" w:hAnsi="Times New Roman"/>
          <w:i/>
          <w:sz w:val="24"/>
        </w:rPr>
        <w:t>Side-by-side histograms of person_income (left, steelblue) and log_person_income (right, seagreen)</w:t>
      </w:r>
    </w:p>
    <w:p w:rsidR="00FE1DA8" w:rsidRDefault="00000000">
      <w:pPr>
        <w:pBdr>
          <w:top w:val="single" w:sz="4" w:space="0" w:color="2E75B6"/>
          <w:left w:val="single" w:sz="4" w:space="0" w:color="2E75B6"/>
          <w:bottom w:val="single" w:sz="4" w:space="0" w:color="2E75B6"/>
          <w:right w:val="single" w:sz="4" w:space="0" w:color="2E75B6"/>
        </w:pBdr>
        <w:spacing w:line="240" w:lineRule="auto"/>
        <w:ind w:left="720"/>
        <w:rPr>
          <w:rFonts w:ascii="Calibri" w:eastAsia="Calibri" w:hAnsi="Calibri" w:cs="Calibri"/>
        </w:rPr>
        <w:keepNext w:val="true"/>
        <w:keepLines w:val="true"/>
      </w:pPr>
      <w:r>
        <w:rPr>
          <w:rFonts w:ascii="Courier New" w:eastAsia="Calibri" w:hAnsi="Courier New" w:cs="Calibri"/>
          <w:noProof/>
          <w:color w:val="000000"/>
          <w:sz w:val="20"/>
        </w:rPr>
        <w:drawing>
          <wp:inline distT="114300" distB="114300" distL="114300" distR="114300">
            <wp:extent cx="6572190" cy="248133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0"/>
                    <a:srcRect/>
                    <a:stretch>
                      <a:fillRect/>
                    </a:stretch>
                  </pic:blipFill>
                  <pic:spPr>
                    <a:xfrm>
                      <a:off x="0" y="0"/>
                      <a:ext cx="6572190" cy="2481337"/>
                    </a:xfrm>
                    <a:prstGeom prst="rect">
                      <a:avLst/>
                    </a:prstGeom>
                    <a:ln/>
                  </pic:spPr>
                </pic:pic>
              </a:graphicData>
            </a:graphic>
          </wp:inline>
        </w:drawing>
      </w:r>
    </w:p>
    <w:p w:rsidR="00A65756" w:rsidRDefault="00000000">
      <w:pPr>
        <w:spacing w:before="120" w:after="240" w:line="480" w:lineRule="auto"/>
        <w:jc w:val="left"/>
        <w:keepLines w:val="true"/>
      </w:pPr>
      <w:r>
        <w:rPr>
          <w:i/>
          <w:sz w:val="20"/>
        </w:rPr>
        <w:t xml:space="preserve">Note. </w:t>
      </w:r>
      <w:r>
        <w:rPr>
          <w:sz w:val="20"/>
        </w:rPr>
        <w:t>The raw income distribution is right-skewed (skewness = 0.7419). After applying log(x+1), skewness drops to −0.4378, confirming the long right tail has been effectively compressed. The log-transformed variable will be used as the income predictor in OLS regression.</w:t>
      </w:r>
    </w:p>
    <w:p w:rsidR="00FE1DA8" w:rsidRDefault="00000000">
      <w:pPr>
        <w:ind w:firstLine="720"/>
        <w:rPr>
          <w:rFonts w:ascii="Calibri" w:eastAsia="Calibri" w:hAnsi="Calibri" w:cs="Calibri"/>
        </w:rPr>
      </w:pPr>
      <w:r>
        <w:rPr>
          <w:rFonts w:eastAsia="Calibri" w:cs="Calibri"/>
          <w:color w:val="404040"/>
        </w:rPr>
        <w:t>The log-transformation successfully compresses the right tail. The raw income distribution peaks around $40,000–$60,000 and has a long tail extending beyond $140,000. After transformation, the distribution is approximately symmetric and unimodal – properties that will reduce heteroscedasticity in OLS regression residuals.</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4.5 Univariate Distributions</w:t>
      </w:r>
    </w:p>
    <w:p w:rsidR="00A65756" w:rsidRDefault="00000000">
      <w:pPr>
        <w:spacing w:before="240"/>
        <w:keepNext w:val="true"/>
        <w:jc w:val="left"/>
      </w:pPr>
      <w:r>
        <w:rPr>
          <w:rFonts w:ascii="Times New Roman" w:hAnsi="Times New Roman"/>
          <w:b/>
          <w:sz w:val="24"/>
        </w:rPr>
        <w:t>Figure 12</w:t>
      </w:r>
    </w:p>
    <w:p w:rsidR="00A65756" w:rsidRDefault="00000000">
      <w:pPr>
        <w:spacing w:after="120"/>
        <w:jc w:val="left"/>
        <w:keepNext w:val="true"/>
      </w:pPr>
      <w:r>
        <w:rPr>
          <w:rFonts w:ascii="Times New Roman" w:hAnsi="Times New Roman"/>
          <w:i/>
          <w:sz w:val="24"/>
        </w:rPr>
        <w:t>Multi-panel univariate distributions</w:t>
      </w:r>
    </w:p>
    <w:p w:rsidR="00FE1DA8" w:rsidRDefault="00000000">
      <w:pPr>
        <w:pBdr>
          <w:top w:val="single" w:sz="4" w:space="0" w:color="2E75B6"/>
          <w:left w:val="single" w:sz="4" w:space="0" w:color="2E75B6"/>
          <w:bottom w:val="single" w:sz="4" w:space="0" w:color="2E75B6"/>
          <w:right w:val="single" w:sz="4" w:space="0" w:color="2E75B6"/>
        </w:pBdr>
        <w:spacing w:line="240" w:lineRule="auto"/>
        <w:ind w:left="720"/>
        <w:rPr>
          <w:rFonts w:ascii="Calibri" w:eastAsia="Calibri" w:hAnsi="Calibri" w:cs="Calibri"/>
        </w:rPr>
        <w:keepNext w:val="true"/>
        <w:keepLines w:val="true"/>
      </w:pPr>
      <w:r>
        <w:rPr>
          <w:rFonts w:ascii="Courier New" w:eastAsia="Calibri" w:hAnsi="Courier New" w:cs="Calibri"/>
          <w:noProof/>
          <w:color w:val="000000"/>
          <w:sz w:val="20"/>
        </w:rPr>
        <w:drawing>
          <wp:inline distT="114300" distB="114300" distL="114300" distR="114300">
            <wp:extent cx="6421746" cy="414033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1"/>
                    <a:srcRect/>
                    <a:stretch>
                      <a:fillRect/>
                    </a:stretch>
                  </pic:blipFill>
                  <pic:spPr>
                    <a:xfrm>
                      <a:off x="0" y="0"/>
                      <a:ext cx="6421746" cy="4140336"/>
                    </a:xfrm>
                    <a:prstGeom prst="rect">
                      <a:avLst/>
                    </a:prstGeom>
                    <a:ln/>
                  </pic:spPr>
                </pic:pic>
              </a:graphicData>
            </a:graphic>
          </wp:inline>
        </w:drawing>
      </w:r>
    </w:p>
    <w:p w:rsidR="00A65756" w:rsidRDefault="00000000">
      <w:pPr>
        <w:spacing w:before="120" w:after="240" w:line="480" w:lineRule="auto"/>
        <w:jc w:val="left"/>
        <w:keepLines w:val="true"/>
      </w:pPr>
      <w:r>
        <w:rPr>
          <w:i/>
          <w:sz w:val="20"/>
        </w:rPr>
        <w:t xml:space="preserve">Note. </w:t>
      </w:r>
      <w:r>
        <w:rPr>
          <w:sz w:val="20"/>
        </w:rPr>
        <w:t>Top-left: Distribution of person_age (coral histogram, Mean = 26.73 years, SD = 4.51). Top-right: Distribution of loan_amnt (goldenrod histogram, Mean = $9,278.75, SD = $6,024.91). Bottom (spanning full width): Loan status class balance bar chart showing 22,931 non-default borrowers (77.56%, forestgreen) and 6,636 defaulters (22.44%, crimson). The class imbalance of approximately 3.5:1 will be addressed in the modeling stage.</w:t>
      </w:r>
    </w:p>
    <w:p w:rsidR="00FE1DA8" w:rsidRDefault="00000000">
      <w:pPr>
        <w:ind w:firstLine="720"/>
        <w:rPr>
          <w:rFonts w:ascii="Calibri" w:eastAsia="Calibri" w:hAnsi="Calibri" w:cs="Calibri"/>
        </w:rPr>
      </w:pPr>
      <w:r>
        <w:t>The age distribution after outlier removal is appropriately concentrated between 20 and 40 years, with no unrealistic extremes. Loan amounts are right-skewed with most loans below $15,000. The loan status distribution confirms a meaningful class imbalance – 77.56% non-default versus 22.44% default – which will require class-weighted training or resampling techniques in subsequent modeling sections.</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4.6 Normality Testing</w:t>
      </w:r>
    </w:p>
    <w:p w:rsidR="00FE1DA8" w:rsidRDefault="00000000">
      <w:pPr>
        <w:ind w:firstLine="720"/>
        <w:rPr>
          <w:rFonts w:ascii="Calibri" w:eastAsia="Calibri" w:hAnsi="Calibri" w:cs="Calibri"/>
        </w:rPr>
        <w:keepNext w:val="true"/>
      </w:pPr>
      <w:r>
        <w:t>Table 7 presents the Shapiro-Wilk test (Shapiro &amp; Wilk, 1965) results on a sample of 5,000 rows:</w:t>
      </w:r>
    </w:p>
    <w:p w:rsidR="00A65756" w:rsidRDefault="00000000">
      <w:pPr>
        <w:spacing w:before="240"/>
        <w:keepNext w:val="true"/>
        <w:jc w:val="left"/>
      </w:pPr>
      <w:r>
        <w:rPr>
          <w:rFonts w:ascii="Times New Roman" w:hAnsi="Times New Roman"/>
          <w:b/>
          <w:sz w:val="24"/>
        </w:rPr>
        <w:t>Table 7</w:t>
      </w:r>
    </w:p>
    <w:p w:rsidR="00A65756" w:rsidRDefault="00000000">
      <w:pPr>
        <w:spacing w:after="120"/>
        <w:jc w:val="left"/>
        <w:keepNext w:val="true"/>
      </w:pPr>
      <w:r>
        <w:rPr>
          <w:rFonts w:ascii="Times New Roman" w:hAnsi="Times New Roman"/>
          <w:i/>
          <w:sz w:val="24"/>
        </w:rPr>
        <w:t>Shapiro-Wilk normality test results (n = 5,000 random sample)</w:t>
      </w:r>
    </w:p>
    <w:tbl>
      <w:tblPr>
        <w:tblStyle w:val="a0"/>
        <w:tblW w:w="8760" w:type="dxa"/>
        <w:jc w:val="center"/>
        <w:tblInd w:w="0" w:type="dxa"/>
        <w:tblLayout w:type="fixed"/>
        <w:tblLook w:val="0000" w:firstRow="0" w:lastRow="0" w:firstColumn="0" w:lastColumn="0" w:noHBand="0" w:noVBand="0"/>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2700"/>
        <w:gridCol w:w="1560"/>
        <w:gridCol w:w="1800"/>
        <w:gridCol w:w="2700"/>
      </w:tblGrid>
      <w:tr w:rsidR="00FE1DA8">
        <w:trPr>
          <w:jc w:val="center"/>
          <w:cantSplit w:val="true"/>
        </w:trPr>
        <w:tc>
          <w:tcPr>
            <w:tcW w:w="27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Variable</w:t>
            </w:r>
          </w:p>
        </w:tc>
        <w:tc>
          <w:tcPr>
            <w:tcW w:w="156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W Statistic</w:t>
            </w:r>
          </w:p>
        </w:tc>
        <w:tc>
          <w:tcPr>
            <w:tcW w:w="18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p-value</w:t>
            </w:r>
          </w:p>
        </w:tc>
        <w:tc>
          <w:tcPr>
            <w:tcW w:w="27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Normal at α=0.05?</w:t>
            </w:r>
          </w:p>
        </w:tc>
      </w:tr>
      <w:tr w:rsidR="00FE1DA8">
        <w:trPr>
          <w:jc w:val="center"/>
          <w:cantSplit w:val="true"/>
        </w:trPr>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person_income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0.9534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&lt; 0.000001</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No – Reject H₀</w:t>
            </w:r>
          </w:p>
        </w:tc>
      </w:tr>
      <w:tr w:rsidR="00FE1DA8">
        <w:trPr>
          <w:jc w:val="center"/>
          <w:cantSplit w:val="true"/>
        </w:trPr>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pPr>
            <w:r>
              <w:rPr>
                <w:rFonts w:eastAsia="Calibri" w:cs="Calibri" w:ascii="Times New Roman" w:hAnsi="Times New Roman"/>
                <w:color w:val="404040"/>
                <w:sz w:val="20"/>
                <w:szCs w:val="19"/>
              </w:rPr>
              <w:t>log_person_income</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0.9856</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&lt; 0.000001</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No – Reject H₀</w:t>
            </w:r>
          </w:p>
        </w:tc>
      </w:tr>
    </w:tbl>
    <w:p w:rsidR="00A65756" w:rsidRDefault="00000000">
      <w:pPr>
        <w:spacing w:before="120" w:after="240" w:line="480" w:lineRule="auto"/>
        <w:jc w:val="left"/>
        <w:keepLines w:val="true"/>
      </w:pPr>
      <w:r>
        <w:rPr>
          <w:i/>
          <w:sz w:val="20"/>
        </w:rPr>
        <w:t xml:space="preserve">Note. </w:t>
      </w:r>
      <w:r>
        <w:rPr>
          <w:sz w:val="20"/>
        </w:rPr>
        <w:t>Both person_income and log_person_income statistically reject normality at α = 0.05. This is expected at large sample sizes where the test is sensitive to even trivial departures from normality.</w:t>
      </w:r>
    </w:p>
    <w:p w:rsidR="00FE1DA8" w:rsidRDefault="00000000">
      <w:pPr>
        <w:ind w:firstLine="720"/>
        <w:rPr>
          <w:rFonts w:ascii="Calibri" w:eastAsia="Calibri" w:hAnsi="Calibri" w:cs="Calibri"/>
        </w:rPr>
      </w:pPr>
      <w:r>
        <w:t>Both variables reject normality. This is not surprising: at n = 5,000, the Shapiro-Wilk test (Shapiro &amp; Wilk, 1965) has extremely high statistical power and will detect even trivially small departures from a theoretical normal distribution. The practical implication is that we should not assume normality of individual observations; instead, we rely on the Central Limit Theorem to justify parametric inference on sample means.</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4.7 Central Limit Theorem Simulation</w:t>
      </w:r>
    </w:p>
    <w:p w:rsidR="00A65756" w:rsidRDefault="00000000">
      <w:pPr>
        <w:spacing w:before="240"/>
        <w:keepNext w:val="true"/>
        <w:jc w:val="left"/>
      </w:pPr>
      <w:r>
        <w:rPr>
          <w:rFonts w:ascii="Times New Roman" w:hAnsi="Times New Roman"/>
          <w:b/>
          <w:sz w:val="24"/>
        </w:rPr>
        <w:t>Figure 13</w:t>
      </w:r>
    </w:p>
    <w:p w:rsidR="00A65756" w:rsidRDefault="00000000">
      <w:pPr>
        <w:spacing w:after="120"/>
        <w:jc w:val="left"/>
        <w:keepNext w:val="true"/>
      </w:pPr>
      <w:r>
        <w:rPr>
          <w:rFonts w:ascii="Times New Roman" w:hAnsi="Times New Roman"/>
          <w:i/>
          <w:sz w:val="24"/>
        </w:rPr>
        <w:lastRenderedPageBreak/>
        <w:t>CLT simulation: sampling distribution of mean person_income under 5,000 bootstrap samples at three sample sizes</w:t>
      </w:r>
    </w:p>
    <w:p w:rsidR="00FE1DA8" w:rsidRDefault="00000000">
      <w:pPr>
        <w:pBdr>
          <w:top w:val="single" w:sz="4" w:space="0" w:color="2E75B6"/>
          <w:left w:val="single" w:sz="4" w:space="0" w:color="2E75B6"/>
          <w:bottom w:val="single" w:sz="4" w:space="0" w:color="2E75B6"/>
          <w:right w:val="single" w:sz="4" w:space="0" w:color="2E75B6"/>
        </w:pBdr>
        <w:spacing w:line="240" w:lineRule="auto"/>
        <w:ind w:left="720"/>
        <w:rPr>
          <w:rFonts w:ascii="Calibri" w:eastAsia="Calibri" w:hAnsi="Calibri" w:cs="Calibri"/>
        </w:rPr>
        <w:keepNext w:val="true"/>
        <w:keepLines w:val="true"/>
      </w:pPr>
      <w:r>
        <w:rPr>
          <w:rFonts w:ascii="Courier New" w:eastAsia="Calibri" w:hAnsi="Courier New" w:cs="Calibri"/>
          <w:noProof/>
          <w:color w:val="000000"/>
          <w:sz w:val="20"/>
        </w:rPr>
        <w:drawing>
          <wp:inline distT="114300" distB="114300" distL="114300" distR="114300">
            <wp:extent cx="6543675" cy="189738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2"/>
                    <a:srcRect/>
                    <a:stretch>
                      <a:fillRect/>
                    </a:stretch>
                  </pic:blipFill>
                  <pic:spPr>
                    <a:xfrm>
                      <a:off x="0" y="0"/>
                      <a:ext cx="6543675" cy="1897388"/>
                    </a:xfrm>
                    <a:prstGeom prst="rect">
                      <a:avLst/>
                    </a:prstGeom>
                    <a:ln/>
                  </pic:spPr>
                </pic:pic>
              </a:graphicData>
            </a:graphic>
          </wp:inline>
        </w:drawing>
      </w:r>
    </w:p>
    <w:p w:rsidR="00A65756" w:rsidRDefault="00000000">
      <w:pPr>
        <w:spacing w:before="120" w:after="240" w:line="480" w:lineRule="auto"/>
        <w:jc w:val="left"/>
        <w:keepLines w:val="true"/>
      </w:pPr>
      <w:r>
        <w:rPr>
          <w:i/>
          <w:sz w:val="20"/>
        </w:rPr>
        <w:t xml:space="preserve">Note. </w:t>
      </w:r>
      <w:r>
        <w:rPr>
          <w:sz w:val="20"/>
        </w:rPr>
        <w:t>Left (coral, n=5): substantially right-skewed (skewness = 0.36), SE = $12,178. Centre (steelblue, n=30): approaches bell shape (skewness = 0.12), SE = $4,997. Right (seagreen, n=200): near-perfect normal (skewness ≈ 0.02), SE = $1,916. Black dashed line overlays the theoretical N(μ, SE²) density.</w:t>
      </w:r>
    </w:p>
    <w:p w:rsidR="00A65756" w:rsidRDefault="00000000">
      <w:pPr>
        <w:spacing w:before="240"/>
        <w:keepNext w:val="true"/>
        <w:jc w:val="left"/>
      </w:pPr>
      <w:r>
        <w:rPr>
          <w:rFonts w:ascii="Times New Roman" w:hAnsi="Times New Roman"/>
          <w:b/>
          <w:sz w:val="24"/>
        </w:rPr>
        <w:t>Table 8</w:t>
      </w:r>
    </w:p>
    <w:p w:rsidR="00A65756" w:rsidRDefault="00000000">
      <w:pPr>
        <w:spacing w:after="120"/>
        <w:jc w:val="left"/>
        <w:keepNext w:val="true"/>
      </w:pPr>
      <w:r>
        <w:rPr>
          <w:rFonts w:ascii="Times New Roman" w:hAnsi="Times New Roman"/>
          <w:i/>
          <w:sz w:val="24"/>
        </w:rPr>
        <w:t>CLT simulation summary: mean of simulated sample means, standard error, and skewness of the sampling distribution at three sample sizes (5,000 bootstrap iterations each)</w:t>
      </w:r>
    </w:p>
    <w:tbl>
      <w:tblPr>
        <w:tblStyle w:val="a0"/>
        <w:tblW w:w="8760" w:type="dxa"/>
        <w:jc w:val="center"/>
        <w:tblInd w:w="0" w:type="dxa"/>
        <w:tblLayout w:type="fixed"/>
        <w:tblLook w:val="0000" w:firstRow="0" w:lastRow="0" w:firstColumn="0" w:lastColumn="0" w:noHBand="0" w:noVBand="0"/>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920"/>
        <w:gridCol w:w="2400"/>
        <w:gridCol w:w="2400"/>
        <w:gridCol w:w="2040"/>
      </w:tblGrid>
      <w:tr w:rsidR="00FE1DA8">
        <w:trPr>
          <w:jc w:val="center"/>
          <w:cantSplit w:val="true"/>
        </w:trPr>
        <w:tc>
          <w:tcPr>
            <w:tcW w:w="192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Sample Size (n)</w:t>
            </w:r>
          </w:p>
        </w:tc>
        <w:tc>
          <w:tcPr>
            <w:tcW w:w="24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Mean of Simulated Means</w:t>
            </w:r>
          </w:p>
        </w:tc>
        <w:tc>
          <w:tcPr>
            <w:tcW w:w="24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SE of Simulated Means</w:t>
            </w:r>
          </w:p>
        </w:tc>
        <w:tc>
          <w:tcPr>
            <w:tcW w:w="204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Skewness</w:t>
            </w:r>
          </w:p>
        </w:tc>
      </w:tr>
      <w:tr w:rsidR="00FE1DA8">
        <w:trPr>
          <w:jc w:val="center"/>
          <w:cantSplit w:val="true"/>
        </w:trPr>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$58,226.68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$12,136.05</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0.3621</w:t>
            </w:r>
          </w:p>
        </w:tc>
      </w:tr>
      <w:tr w:rsidR="00FE1DA8">
        <w:trPr>
          <w:jc w:val="center"/>
          <w:cantSplit w:val="true"/>
        </w:trPr>
        <w:tc>
          <w:tcPr>
            <w:tcW w:w="19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30</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$58,588.21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$4,910.66</w:t>
            </w:r>
          </w:p>
        </w:tc>
        <w:tc>
          <w:tcPr>
            <w:tcW w:w="2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0.1222</w:t>
            </w:r>
          </w:p>
        </w:tc>
      </w:tr>
      <w:tr w:rsidR="00FE1DA8">
        <w:trPr>
          <w:jc w:val="center"/>
          <w:cantSplit w:val="true"/>
        </w:trPr>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pPr>
            <w:r>
              <w:rPr>
                <w:rFonts w:eastAsia="Calibri" w:cs="Calibri" w:ascii="Times New Roman" w:hAnsi="Times New Roman"/>
                <w:color w:val="404040"/>
                <w:sz w:val="20"/>
                <w:szCs w:val="19"/>
              </w:rPr>
              <w:t>200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$58,569.82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$1,941.92</w:t>
            </w:r>
          </w:p>
        </w:tc>
        <w:tc>
          <w:tcPr>
            <w:tcW w:w="2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0.0180</w:t>
            </w:r>
          </w:p>
        </w:tc>
      </w:tr>
    </w:tbl>
    <w:p w:rsidR="00FE1DA8" w:rsidRDefault="00000000">
      <w:pPr>
        <w:ind w:firstLine="720"/>
        <w:rPr>
          <w:rFonts w:ascii="Calibri" w:eastAsia="Calibri" w:hAnsi="Calibri" w:cs="Calibri"/>
        </w:rPr>
      </w:pPr>
      <w:r>
        <w:t>The simulation provides compelling visual evidence of CLT convergence. At n = 5, the sampling distribution retains substantial skewness from the parent income distribution. By n = 30 – the conventional threshold cited in statistical textbooks – the distribution is approximately bell-shaped. At n = 200, it is nearly indistinguishable from a normal distribution. With 29,567 records in the cleaned dataset, all parametric tests conducted in model selection and diagnostics stages are firmly within the CLT convergence regime.</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lastRenderedPageBreak/>
        <w:t>4.8 Pearson Correlation Matrix</w:t>
      </w:r>
    </w:p>
    <w:p w:rsidR="00A65756" w:rsidRDefault="00000000">
      <w:pPr>
        <w:spacing w:before="240"/>
        <w:keepNext w:val="true"/>
        <w:jc w:val="left"/>
      </w:pPr>
      <w:r>
        <w:rPr>
          <w:rFonts w:ascii="Times New Roman" w:hAnsi="Times New Roman"/>
          <w:b/>
          <w:sz w:val="24"/>
        </w:rPr>
        <w:t>Figure 14</w:t>
      </w:r>
    </w:p>
    <w:p w:rsidR="00A65756" w:rsidRDefault="00000000">
      <w:pPr>
        <w:spacing w:after="120"/>
        <w:jc w:val="left"/>
        <w:keepNext w:val="true"/>
      </w:pPr>
      <w:r>
        <w:rPr>
          <w:rFonts w:ascii="Times New Roman" w:hAnsi="Times New Roman"/>
          <w:i/>
          <w:sz w:val="24"/>
        </w:rPr>
        <w:t>Full 9×9 Pearson correlation heatmap (coolwarm colour scheme, range −1 to +1)</w:t>
      </w:r>
    </w:p>
    <w:p w:rsidR="00FE1DA8" w:rsidRDefault="00000000">
      <w:pPr>
        <w:pBdr>
          <w:top w:val="single" w:sz="4" w:space="0" w:color="2E75B6"/>
          <w:left w:val="single" w:sz="4" w:space="0" w:color="2E75B6"/>
          <w:bottom w:val="single" w:sz="4" w:space="0" w:color="2E75B6"/>
          <w:right w:val="single" w:sz="4" w:space="0" w:color="2E75B6"/>
        </w:pBdr>
        <w:spacing w:line="240" w:lineRule="auto"/>
        <w:ind w:left="720"/>
        <w:rPr>
          <w:rFonts w:ascii="Calibri" w:eastAsia="Calibri" w:hAnsi="Calibri" w:cs="Calibri"/>
        </w:rPr>
        <w:keepNext w:val="true"/>
        <w:keepLines w:val="true"/>
      </w:pPr>
      <w:r>
        <w:rPr>
          <w:rFonts w:ascii="Courier New" w:eastAsia="Calibri" w:hAnsi="Courier New" w:cs="Calibri"/>
          <w:noProof/>
          <w:color w:val="000000"/>
          <w:sz w:val="20"/>
        </w:rPr>
        <w:drawing>
          <wp:inline distT="114300" distB="114300" distL="114300" distR="114300">
            <wp:extent cx="6270859" cy="435575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6" name="image1.png"/>
                    <pic:cNvPicPr preferRelativeResize="0"/>
                  </pic:nvPicPr>
                  <pic:blipFill>
                    <a:blip r:embed="rId13"/>
                    <a:srcRect/>
                    <a:stretch>
                      <a:fillRect/>
                    </a:stretch>
                  </pic:blipFill>
                  <pic:spPr>
                    <a:xfrm>
                      <a:off x="0" y="0"/>
                      <a:ext cx="6270859" cy="4355753"/>
                    </a:xfrm>
                    <a:prstGeom prst="rect">
                      <a:avLst/>
                    </a:prstGeom>
                    <a:ln/>
                  </pic:spPr>
                </pic:pic>
              </a:graphicData>
            </a:graphic>
          </wp:inline>
        </w:drawing>
      </w:r>
    </w:p>
    <w:p w:rsidR="00A65756" w:rsidRDefault="00000000">
      <w:pPr>
        <w:spacing w:before="120" w:after="240" w:line="480" w:lineRule="auto"/>
        <w:jc w:val="left"/>
        <w:keepLines w:val="true"/>
      </w:pPr>
      <w:r>
        <w:rPr>
          <w:i/>
          <w:sz w:val="20"/>
        </w:rPr>
        <w:t xml:space="preserve">Note. </w:t>
      </w:r>
      <w:r>
        <w:rPr>
          <w:sz w:val="20"/>
        </w:rPr>
        <w:t>Each cell is annotated with the Pearson r value. White text indicates |r| &gt; 0.60. Key high-correlation regions: person_age – cb_person_cred_hist_length (r = 0.836, top-right quadrant, dark red); person_income – log_person_income (r = 0.953, diagonal band, dark red); loan_amnt – loan_percent_income (r = 0.641). Strong negative correlation: loan_status – person_income (r = −0.257) and loan_status – log_person_income (r = −0.299).</w:t>
      </w:r>
    </w:p>
    <w:p w:rsidR="00FE1DA8" w:rsidRDefault="00000000">
      <w:pPr>
        <w:ind w:firstLine="720"/>
        <w:rPr>
          <w:rFonts w:ascii="Calibri" w:eastAsia="Calibri" w:hAnsi="Calibri" w:cs="Calibri"/>
        </w:rPr>
        <w:keepNext w:val="true"/>
      </w:pPr>
      <w:r>
        <w:t>Table 9 lists all feature pairs with |r| &gt; 0.30, sorted by absolute correlation strength:</w:t>
      </w:r>
    </w:p>
    <w:p w:rsidR="00A65756" w:rsidRDefault="00000000">
      <w:pPr>
        <w:spacing w:before="240"/>
        <w:keepNext w:val="true"/>
        <w:jc w:val="left"/>
      </w:pPr>
      <w:r>
        <w:rPr>
          <w:rFonts w:ascii="Times New Roman" w:hAnsi="Times New Roman"/>
          <w:b/>
          <w:sz w:val="24"/>
        </w:rPr>
        <w:t>Table 9</w:t>
      </w:r>
    </w:p>
    <w:p w:rsidR="00A65756" w:rsidRDefault="00000000">
      <w:pPr>
        <w:spacing w:after="120"/>
        <w:jc w:val="left"/>
        <w:keepNext w:val="true"/>
      </w:pPr>
      <w:r>
        <w:rPr>
          <w:rFonts w:ascii="Times New Roman" w:hAnsi="Times New Roman"/>
          <w:i/>
          <w:sz w:val="24"/>
        </w:rPr>
        <w:t>All feature pairs with |r| &gt; 0.30 in the cleaned dataset, with practical interpretations</w:t>
      </w:r>
    </w:p>
    <w:tbl>
      <w:tblPr>
        <w:tblStyle w:val="a0"/>
        <w:tblW w:w="9360" w:type="dxa"/>
        <w:jc w:val="center"/>
        <w:tblInd w:w="0" w:type="dxa"/>
        <w:tblLayout w:type="fixed"/>
        <w:tblLook w:val="0000" w:firstRow="0" w:lastRow="0" w:firstColumn="0" w:lastColumn="0" w:noHBand="0" w:noVBand="0"/>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2160"/>
        <w:gridCol w:w="2280"/>
        <w:gridCol w:w="1200"/>
        <w:gridCol w:w="3720"/>
      </w:tblGrid>
      <w:tr w:rsidR="00FE1DA8">
        <w:trPr>
          <w:jc w:val="center"/>
          <w:cantSplit w:val="true"/>
          <w:tblHeader w:val="true"/>
        </w:trPr>
        <w:tc>
          <w:tcPr>
            <w:tcW w:w="216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lastRenderedPageBreak/>
              <w:t>Feature A</w:t>
            </w:r>
          </w:p>
        </w:tc>
        <w:tc>
          <w:tcPr>
            <w:tcW w:w="228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Feature B</w:t>
            </w:r>
          </w:p>
        </w:tc>
        <w:tc>
          <w:tcPr>
            <w:tcW w:w="120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Pearson r</w:t>
            </w:r>
          </w:p>
        </w:tc>
        <w:tc>
          <w:tcPr>
            <w:tcW w:w="3720" w:type="dxa"/>
            <w:shd w:val="clear" w:color="auto" w:fill="1F3864"/>
            <w:tcMar>
              <w:top w:w="80" w:type="dxa"/>
              <w:left w:w="120" w:type="dxa"/>
              <w:bottom w:w="80" w:type="dxa"/>
              <w:right w:w="120" w:type="dxa"/>
            </w:tcMar>
            <w:vAlign w:val="center"/>
            <w:tcBorders>
              <w:bottom w:val="single" w:sz="4" w:space="0" w:color="000000"/>
            </w:tcBorders>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b/>
                <w:bCs/>
                <w:color w:val="FFFFFF"/>
                <w:sz w:val="20"/>
                <w:szCs w:val="19"/>
              </w:rPr>
              <w:t>Implication</w:t>
            </w:r>
          </w:p>
        </w:tc>
      </w:tr>
      <w:tr w:rsidR="00FE1DA8">
        <w:trPr>
          <w:jc w:val="center"/>
          <w:cantSplit w:val="true"/>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person_income</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log_person_income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0.9533</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Redundant – use one in regression</w:t>
            </w:r>
          </w:p>
        </w:tc>
      </w:tr>
      <w:tr w:rsidR="00FE1DA8">
        <w:trPr>
          <w:jc w:val="center"/>
          <w:cantSplit w:val="true"/>
        </w:trPr>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person_age</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proofErr w:type="spellStart"/>
            <w:r>
              <w:rPr>
                <w:rFonts w:eastAsia="Calibri" w:cs="Calibri" w:ascii="Times New Roman" w:hAnsi="Times New Roman"/>
                <w:color w:val="404040"/>
                <w:sz w:val="20"/>
                <w:szCs w:val="19"/>
              </w:rPr>
              <w:t>cb_person_cred_hist_length</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0.8362</w:t>
            </w:r>
          </w:p>
        </w:tc>
        <w:tc>
          <w:tcPr>
            <w:tcW w:w="3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ascii="Times New Roman" w:hAnsi="Times New Roman"/>
                <w:sz w:val="20"/>
              </w:rPr>
              <w:t>VIF screening required in the diagnostics stage</w:t>
            </w:r>
          </w:p>
        </w:tc>
      </w:tr>
      <w:tr w:rsidR="00FE1DA8">
        <w:trPr>
          <w:jc w:val="center"/>
          <w:cantSplit w:val="true"/>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proofErr w:type="spellStart"/>
            <w:r>
              <w:rPr>
                <w:rFonts w:eastAsia="Calibri" w:cs="Calibri" w:ascii="Times New Roman" w:hAnsi="Times New Roman"/>
                <w:color w:val="404040"/>
                <w:sz w:val="20"/>
                <w:szCs w:val="19"/>
              </w:rPr>
              <w:t>loan_amnt</w:t>
            </w:r>
            <w:proofErr w:type="spellEnd"/>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loan_percent_income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0.6407</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Moderate collinearity – monitor VIF</w:t>
            </w:r>
          </w:p>
        </w:tc>
      </w:tr>
      <w:tr w:rsidR="00FE1DA8">
        <w:trPr>
          <w:jc w:val="center"/>
          <w:cantSplit w:val="true"/>
        </w:trPr>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proofErr w:type="spellStart"/>
            <w:r>
              <w:rPr>
                <w:rFonts w:eastAsia="Calibri" w:cs="Calibri" w:ascii="Times New Roman" w:hAnsi="Times New Roman"/>
                <w:color w:val="404040"/>
                <w:sz w:val="20"/>
                <w:szCs w:val="19"/>
              </w:rPr>
              <w:t>loan_amnt</w:t>
            </w:r>
            <w:proofErr w:type="spellEnd"/>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log_person_income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0.3969</w:t>
            </w:r>
          </w:p>
        </w:tc>
        <w:tc>
          <w:tcPr>
            <w:tcW w:w="3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Borrowers earn more → borrow more</w:t>
            </w:r>
          </w:p>
        </w:tc>
      </w:tr>
      <w:tr w:rsidR="00FE1DA8">
        <w:trPr>
          <w:jc w:val="center"/>
          <w:cantSplit w:val="true"/>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loan_status</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loan_percent_income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0.3798</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Higher burden → more defaults</w:t>
            </w:r>
          </w:p>
        </w:tc>
      </w:tr>
      <w:tr w:rsidR="00FE1DA8">
        <w:trPr>
          <w:jc w:val="center"/>
          <w:cantSplit w:val="true"/>
        </w:trPr>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person_income</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proofErr w:type="spellStart"/>
            <w:r>
              <w:rPr>
                <w:rFonts w:eastAsia="Calibri" w:cs="Calibri" w:ascii="Times New Roman" w:hAnsi="Times New Roman"/>
                <w:color w:val="404040"/>
                <w:sz w:val="20"/>
                <w:szCs w:val="19"/>
              </w:rPr>
              <w:t>loan_amnt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0.3860</w:t>
            </w:r>
          </w:p>
        </w:tc>
        <w:tc>
          <w:tcPr>
            <w:tcW w:w="3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Higher earners → larger loans</w:t>
            </w:r>
          </w:p>
        </w:tc>
      </w:tr>
      <w:tr w:rsidR="00FE1DA8">
        <w:trPr>
          <w:jc w:val="center"/>
          <w:cantSplit w:val="true"/>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loan_int_rate</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loan_status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0.3184</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Higher rates → more defaults</w:t>
            </w:r>
          </w:p>
        </w:tc>
      </w:tr>
      <w:tr w:rsidR="00FE1DA8">
        <w:trPr>
          <w:jc w:val="center"/>
          <w:cantSplit w:val="true"/>
        </w:trPr>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rPr>
                <w:rFonts w:ascii="Calibri" w:eastAsia="Calibri" w:hAnsi="Calibri" w:cs="Calibri"/>
              </w:rPr>
              <w:keepNext w:val="true"/>
            </w:pPr>
            <w:r>
              <w:rPr>
                <w:rFonts w:eastAsia="Calibri" w:cs="Calibri" w:ascii="Times New Roman" w:hAnsi="Times New Roman"/>
                <w:color w:val="404040"/>
                <w:sz w:val="20"/>
                <w:szCs w:val="19"/>
              </w:rPr>
              <w:t>loan_status</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log_person_income</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−0.2990</w:t>
            </w:r>
          </w:p>
        </w:tc>
        <w:tc>
          <w:tcPr>
            <w:tcW w:w="3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keepNext w:val="true"/>
            </w:pPr>
            <w:r>
              <w:rPr>
                <w:rFonts w:eastAsia="Calibri" w:cs="Calibri" w:ascii="Times New Roman" w:hAnsi="Times New Roman"/>
                <w:color w:val="404040"/>
                <w:sz w:val="20"/>
                <w:szCs w:val="19"/>
              </w:rPr>
              <w:t>Higher income → fewer defaults</w:t>
            </w:r>
          </w:p>
        </w:tc>
      </w:tr>
      <w:tr w:rsidR="00FE1DA8">
        <w:trPr>
          <w:jc w:val="center"/>
          <w:cantSplit w:val="true"/>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rPr>
                <w:rFonts w:ascii="Calibri" w:eastAsia="Calibri" w:hAnsi="Calibri" w:cs="Calibri"/>
              </w:rPr>
            </w:pPr>
            <w:r>
              <w:rPr>
                <w:rFonts w:eastAsia="Calibri" w:cs="Calibri" w:ascii="Times New Roman" w:hAnsi="Times New Roman"/>
                <w:color w:val="404040"/>
                <w:sz w:val="20"/>
                <w:szCs w:val="19"/>
              </w:rPr>
              <w:t>person_income</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loan_percent_income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−0.3309</w:t>
            </w:r>
          </w:p>
        </w:tc>
        <w:tc>
          <w:tcPr>
            <w:tcW w:w="3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rsidR="00FE1DA8" w:rsidRDefault="00000000">
            <w:pPr>
              <w:spacing w:before="40" w:after="40" w:line="276" w:lineRule="auto"/>
              <w:jc w:val="center"/>
              <w:rPr>
                <w:rFonts w:ascii="Calibri" w:eastAsia="Calibri" w:hAnsi="Calibri" w:cs="Calibri"/>
              </w:rPr>
            </w:pPr>
            <w:r>
              <w:rPr>
                <w:rFonts w:eastAsia="Calibri" w:cs="Calibri" w:ascii="Times New Roman" w:hAnsi="Times New Roman"/>
                <w:color w:val="404040"/>
                <w:sz w:val="20"/>
                <w:szCs w:val="19"/>
              </w:rPr>
              <w:t>Higher income → lower debt burden</w:t>
            </w:r>
          </w:p>
        </w:tc>
      </w:tr>
    </w:tbl>
    <w:p w:rsidR="00A65756" w:rsidRDefault="00000000">
      <w:pPr>
        <w:spacing w:before="120" w:after="240" w:line="480" w:lineRule="auto"/>
        <w:jc w:val="left"/>
        <w:keepLines w:val="true"/>
      </w:pPr>
      <w:r>
        <w:rPr>
          <w:i/>
          <w:sz w:val="20"/>
        </w:rPr>
        <w:t xml:space="preserve">Note. </w:t>
      </w:r>
      <w:r>
        <w:rPr>
          <w:sz w:val="20"/>
        </w:rPr>
        <w:t>Pairs with |r| &gt; 0.80 represents potential multicollinearity risks requiring VIF analysis in the diagnostics section.</w:t>
      </w:r>
    </w:p>
    <w:p w:rsidR="00FE1DA8" w:rsidRDefault="00000000">
      <w:pPr>
        <w:ind w:firstLine="720"/>
        <w:rPr>
          <w:rFonts w:ascii="Calibri" w:eastAsia="Calibri" w:hAnsi="Calibri" w:cs="Calibri"/>
        </w:rPr>
      </w:pPr>
      <w:r>
        <w:rPr>
          <w:rFonts w:eastAsia="Calibri" w:cs="Calibri"/>
          <w:color w:val="404040"/>
        </w:rPr>
        <w:t>Several findings from the correlation matrix carry direct implications for modelling:</w:t>
      </w:r>
    </w:p>
    <w:p w:rsidR="00FE1DA8" w:rsidRDefault="00000000">
      <w:pPr>
        <w:numPr>
          <w:ilvl w:val="0"/>
          <w:numId w:val="16"/>
        </w:numPr>
        <w:ind w:left="0" w:firstLine="720"/>
        <w:rPr>
          <w:rFonts w:ascii="Calibri" w:eastAsia="Calibri" w:hAnsi="Calibri" w:cs="Calibri"/>
        </w:rPr>
      </w:pPr>
      <w:r>
        <w:rPr>
          <w:rFonts w:eastAsia="Calibri" w:cs="Calibri"/>
          <w:color w:val="404040"/>
          <w:szCs w:val="21"/>
        </w:rPr>
        <w:t>person_income vs log_person_income (r = 0.953): These two variables are nearly perfectly correlated. Only log_person_income should be used as a predictor in regression to avoid perfect multicollinearity.</w:t>
      </w:r>
    </w:p>
    <w:p w:rsidR="00FE1DA8" w:rsidRDefault="00000000">
      <w:pPr>
        <w:numPr>
          <w:ilvl w:val="0"/>
          <w:numId w:val="16"/>
        </w:numPr>
        <w:ind w:left="0" w:firstLine="720"/>
        <w:rPr>
          <w:rFonts w:ascii="Calibri" w:eastAsia="Calibri" w:hAnsi="Calibri" w:cs="Calibri"/>
        </w:rPr>
      </w:pPr>
      <w:r>
        <w:t>person_age vs cb_person_cred_hist_length (r = 0.836): This is the most significant multicollinearity risk. Older borrowers naturally have longer credit histories. Including both variables in OLS or logistic regression will produce inflated standard errors. Formal VIF screening is planned for the diagnostics section.</w:t>
      </w:r>
    </w:p>
    <w:p w:rsidR="00FE1DA8" w:rsidRDefault="00000000">
      <w:pPr>
        <w:numPr>
          <w:ilvl w:val="0"/>
          <w:numId w:val="16"/>
        </w:numPr>
        <w:ind w:left="0" w:firstLine="720"/>
        <w:rPr>
          <w:rFonts w:ascii="Calibri" w:eastAsia="Calibri" w:hAnsi="Calibri" w:cs="Calibri"/>
        </w:rPr>
      </w:pPr>
      <w:r>
        <w:rPr>
          <w:rFonts w:eastAsia="Calibri" w:cs="Calibri"/>
          <w:color w:val="404040"/>
          <w:szCs w:val="21"/>
        </w:rPr>
        <w:t>loan_int_rate vs loan_status (r = 0.318): Interest rate is positively correlated with default – riskier borrowers are charged more, and they are also more likely to default. This is the core credit risk pricing relationship motivating the entire project.</w:t>
      </w:r>
    </w:p>
    <w:p w:rsidR="00FE1DA8" w:rsidRDefault="00000000">
      <w:pPr>
        <w:numPr>
          <w:ilvl w:val="0"/>
          <w:numId w:val="16"/>
        </w:numPr>
        <w:ind w:left="0" w:firstLine="720"/>
        <w:rPr>
          <w:rFonts w:ascii="Calibri" w:eastAsia="Calibri" w:hAnsi="Calibri" w:cs="Calibri"/>
        </w:rPr>
      </w:pPr>
      <w:r>
        <w:lastRenderedPageBreak/>
        <w:t>person_income vs loan_status (r = −0.257): Higher-income borrowers are less likely to default, consistent with the ability-to-pay hypothesis tested formally in regression diagnostics.</w:t>
      </w:r>
    </w:p>
    <w:p w:rsidR="00983EE3" w:rsidRDefault="00000000">
      <w:pPr>
        <w:pStyle w:val="Heading2"/>
        <w:spacing w:before="240" w:after="120"/>
        <w:jc w:val="left"/>
      </w:pPr>
      <w:r>
        <w:rPr>
          <w:rFonts w:ascii="Times New Roman" w:hAnsi="Times New Roman"/>
          <w:b/>
          <w:i w:val="0"/>
          <w:sz w:val="24"/>
        </w:rPr>
        <w:t>4.9 Classification Results</w:t>
      </w:r>
    </w:p>
    <w:p w:rsidR="00A65756" w:rsidRDefault="00000000">
      <w:pPr>
        <w:spacing w:before="240"/>
        <w:keepNext w:val="true"/>
        <w:jc w:val="left"/>
      </w:pPr>
      <w:r>
        <w:rPr>
          <w:rFonts w:ascii="Times New Roman" w:hAnsi="Times New Roman"/>
          <w:b/>
          <w:sz w:val="24"/>
        </w:rPr>
        <w:t>Table 10</w:t>
      </w:r>
    </w:p>
    <w:p w:rsidR="00A65756" w:rsidRDefault="00000000">
      <w:pPr>
        <w:spacing w:after="120"/>
        <w:jc w:val="left"/>
        <w:keepNext w:val="true"/>
      </w:pPr>
      <w:r>
        <w:rPr>
          <w:rFonts w:ascii="Times New Roman" w:hAnsi="Times New Roman"/>
          <w:i/>
          <w:sz w:val="24"/>
        </w:rPr>
        <w:t>Classification Model Comparison at the Standard 0.50 Cutoff</w:t>
      </w:r>
    </w:p>
    <w:tbl>
      <w:tblPr>
        <w:tblStyle w:val="TableGrid"/>
        <w:tblW w:w="9360" w:type="dxa"/>
        <w:jc w:val="center"/>
        <w:tblLook w:val="04A0" w:firstRow="1" w:lastRow="0" w:firstColumn="1" w:lastColumn="0" w:noHBand="0"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643"/>
        <w:gridCol w:w="1588"/>
        <w:gridCol w:w="1596"/>
        <w:gridCol w:w="1597"/>
        <w:gridCol w:w="1576"/>
        <w:gridCol w:w="1576"/>
      </w:tblGrid>
      <w:tr w:rsidR="00983EE3">
        <w:trPr>
          <w:jc w:val="center"/>
          <w:cantSplit w:val="true"/>
          <w:tblHeader w:val="true"/>
        </w:trPr>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model</w:t>
            </w:r>
          </w:p>
        </w:tc>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roc_auc</w:t>
            </w:r>
          </w:p>
        </w:tc>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accuracy</w:t>
            </w:r>
          </w:p>
        </w:tc>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precision</w:t>
            </w:r>
          </w:p>
        </w:tc>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recall</w:t>
            </w:r>
          </w:p>
        </w:tc>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f1</w:t>
            </w:r>
          </w:p>
        </w:tc>
      </w:tr>
      <w:tr w:rsidR="00983EE3">
        <w:trPr>
          <w:jc w:val="center"/>
          <w:cantSplit w:val="true"/>
        </w:trPr>
        <w:tc>
          <w:tcPr>
            <w:tcW w:w="1656" w:type="dxa"/>
            <w:shd w:val="clear" w:color="auto" w:fill="FFFFFF"/>
          </w:tcPr>
          <w:p w:rsidR="00983EE3" w:rsidRDefault="00000000">
            <w:pPr>
              <w:spacing w:before="40" w:after="40" w:line="276" w:lineRule="auto"/>
              <w:keepNext w:val="true"/>
            </w:pPr>
            <w:r>
              <w:rPr>
                <w:rFonts w:ascii="Times New Roman" w:hAnsi="Times New Roman"/>
                <w:sz w:val="20"/>
              </w:rPr>
              <w:t>CatBoost (Prokhorenkova et al., 2018)</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0.9430</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0.9376</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0.9908</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0.7287</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0.8398</w:t>
            </w:r>
          </w:p>
        </w:tc>
      </w:tr>
      <w:tr w:rsidR="00983EE3">
        <w:trPr>
          <w:jc w:val="center"/>
          <w:cantSplit w:val="true"/>
        </w:trPr>
        <w:tc>
          <w:tcPr>
            <w:tcW w:w="1656" w:type="dxa"/>
            <w:shd w:val="clear" w:color="auto" w:fill="F2F2F2"/>
          </w:tcPr>
          <w:p w:rsidR="00983EE3" w:rsidRDefault="00000000">
            <w:pPr>
              <w:spacing w:before="40" w:after="40" w:line="276" w:lineRule="auto"/>
              <w:keepNext w:val="true"/>
            </w:pPr>
            <w:r>
              <w:rPr>
                <w:rFonts w:eastAsia="Calibri" w:ascii="Times New Roman" w:hAnsi="Times New Roman"/>
                <w:sz w:val="20"/>
              </w:rPr>
              <w:t>Random Forest</w:t>
            </w:r>
          </w:p>
        </w:tc>
        <w:tc>
          <w:tcPr>
            <w:tcW w:w="1656" w:type="dxa"/>
            <w:shd w:val="clear" w:color="auto" w:fill="F2F2F2"/>
          </w:tcPr>
          <w:p w:rsidR="00983EE3" w:rsidRDefault="00000000">
            <w:pPr>
              <w:spacing w:before="40" w:after="40" w:line="276" w:lineRule="auto"/>
              <w:keepNext w:val="true"/>
            </w:pPr>
            <w:r>
              <w:rPr>
                <w:rFonts w:eastAsia="Calibri" w:ascii="Times New Roman" w:hAnsi="Times New Roman"/>
                <w:sz w:val="20"/>
              </w:rPr>
              <w:t>0.9327</w:t>
            </w:r>
          </w:p>
        </w:tc>
        <w:tc>
          <w:tcPr>
            <w:tcW w:w="1656" w:type="dxa"/>
            <w:shd w:val="clear" w:color="auto" w:fill="F2F2F2"/>
          </w:tcPr>
          <w:p w:rsidR="00983EE3" w:rsidRDefault="00000000">
            <w:pPr>
              <w:spacing w:before="40" w:after="40" w:line="276" w:lineRule="auto"/>
              <w:keepNext w:val="true"/>
            </w:pPr>
            <w:r>
              <w:rPr>
                <w:rFonts w:eastAsia="Calibri" w:ascii="Times New Roman" w:hAnsi="Times New Roman"/>
                <w:sz w:val="20"/>
              </w:rPr>
              <w:t>0.9302</w:t>
            </w:r>
          </w:p>
        </w:tc>
        <w:tc>
          <w:tcPr>
            <w:tcW w:w="1656" w:type="dxa"/>
            <w:shd w:val="clear" w:color="auto" w:fill="F2F2F2"/>
          </w:tcPr>
          <w:p w:rsidR="00983EE3" w:rsidRDefault="00000000">
            <w:pPr>
              <w:spacing w:before="40" w:after="40" w:line="276" w:lineRule="auto"/>
              <w:keepNext w:val="true"/>
            </w:pPr>
            <w:r>
              <w:rPr>
                <w:rFonts w:eastAsia="Calibri" w:ascii="Times New Roman" w:hAnsi="Times New Roman"/>
                <w:sz w:val="20"/>
              </w:rPr>
              <w:t>0.9279</w:t>
            </w:r>
          </w:p>
        </w:tc>
        <w:tc>
          <w:tcPr>
            <w:tcW w:w="1656" w:type="dxa"/>
            <w:shd w:val="clear" w:color="auto" w:fill="F2F2F2"/>
          </w:tcPr>
          <w:p w:rsidR="00983EE3" w:rsidRDefault="00000000">
            <w:pPr>
              <w:spacing w:before="40" w:after="40" w:line="276" w:lineRule="auto"/>
              <w:keepNext w:val="true"/>
            </w:pPr>
            <w:r>
              <w:rPr>
                <w:rFonts w:eastAsia="Calibri" w:ascii="Times New Roman" w:hAnsi="Times New Roman"/>
                <w:sz w:val="20"/>
              </w:rPr>
              <w:t>0.7468</w:t>
            </w:r>
          </w:p>
        </w:tc>
        <w:tc>
          <w:tcPr>
            <w:tcW w:w="1656" w:type="dxa"/>
            <w:shd w:val="clear" w:color="auto" w:fill="F2F2F2"/>
          </w:tcPr>
          <w:p w:rsidR="00983EE3" w:rsidRDefault="00000000">
            <w:pPr>
              <w:spacing w:before="40" w:after="40" w:line="276" w:lineRule="auto"/>
              <w:keepNext w:val="true"/>
            </w:pPr>
            <w:r>
              <w:rPr>
                <w:rFonts w:eastAsia="Calibri" w:ascii="Times New Roman" w:hAnsi="Times New Roman"/>
                <w:sz w:val="20"/>
              </w:rPr>
              <w:t>0.8276</w:t>
            </w:r>
          </w:p>
        </w:tc>
      </w:tr>
      <w:tr w:rsidR="00983EE3">
        <w:trPr>
          <w:jc w:val="center"/>
          <w:cantSplit w:val="true"/>
        </w:trPr>
        <w:tc>
          <w:tcPr>
            <w:tcW w:w="1656" w:type="dxa"/>
            <w:shd w:val="clear" w:color="auto" w:fill="FFFFFF"/>
          </w:tcPr>
          <w:p w:rsidR="00983EE3" w:rsidRDefault="00000000">
            <w:pPr>
              <w:spacing w:before="40" w:after="40" w:line="276" w:lineRule="auto"/>
              <w:keepNext w:val="true"/>
            </w:pPr>
            <w:r>
              <w:rPr>
                <w:rFonts w:ascii="Times New Roman" w:hAnsi="Times New Roman"/>
                <w:sz w:val="20"/>
              </w:rPr>
              <w:t>Gradient Boosting (Friedman, 2001)</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0.9288</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0.9324</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0.9576</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0.7310</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0.8291</w:t>
            </w:r>
          </w:p>
        </w:tc>
      </w:tr>
      <w:tr w:rsidR="00983EE3">
        <w:trPr>
          <w:jc w:val="center"/>
          <w:cantSplit w:val="true"/>
        </w:trPr>
        <w:tc>
          <w:tcPr>
            <w:tcW w:w="1656" w:type="dxa"/>
            <w:shd w:val="clear" w:color="auto" w:fill="F2F2F2"/>
          </w:tcPr>
          <w:p w:rsidR="00983EE3" w:rsidRDefault="00000000">
            <w:pPr>
              <w:spacing w:before="40" w:after="40" w:line="276" w:lineRule="auto"/>
            </w:pPr>
            <w:r>
              <w:rPr>
                <w:rFonts w:eastAsia="Calibri" w:ascii="Times New Roman" w:hAnsi="Times New Roman"/>
                <w:sz w:val="20"/>
              </w:rPr>
              <w:t>Logistic Regression</w:t>
            </w:r>
          </w:p>
        </w:tc>
        <w:tc>
          <w:tcPr>
            <w:tcW w:w="1656" w:type="dxa"/>
            <w:shd w:val="clear" w:color="auto" w:fill="F2F2F2"/>
          </w:tcPr>
          <w:p w:rsidR="00983EE3" w:rsidRDefault="00000000">
            <w:pPr>
              <w:spacing w:before="40" w:after="40" w:line="276" w:lineRule="auto"/>
            </w:pPr>
            <w:r>
              <w:rPr>
                <w:rFonts w:eastAsia="Calibri" w:ascii="Times New Roman" w:hAnsi="Times New Roman"/>
                <w:sz w:val="20"/>
              </w:rPr>
              <w:t>0.8760</w:t>
            </w:r>
          </w:p>
        </w:tc>
        <w:tc>
          <w:tcPr>
            <w:tcW w:w="1656" w:type="dxa"/>
            <w:shd w:val="clear" w:color="auto" w:fill="F2F2F2"/>
          </w:tcPr>
          <w:p w:rsidR="00983EE3" w:rsidRDefault="00000000">
            <w:pPr>
              <w:spacing w:before="40" w:after="40" w:line="276" w:lineRule="auto"/>
            </w:pPr>
            <w:r>
              <w:rPr>
                <w:rFonts w:eastAsia="Calibri" w:ascii="Times New Roman" w:hAnsi="Times New Roman"/>
                <w:sz w:val="20"/>
              </w:rPr>
              <w:t>0.8054</w:t>
            </w:r>
          </w:p>
        </w:tc>
        <w:tc>
          <w:tcPr>
            <w:tcW w:w="1656" w:type="dxa"/>
            <w:shd w:val="clear" w:color="auto" w:fill="F2F2F2"/>
          </w:tcPr>
          <w:p w:rsidR="00983EE3" w:rsidRDefault="00000000">
            <w:pPr>
              <w:spacing w:before="40" w:after="40" w:line="276" w:lineRule="auto"/>
            </w:pPr>
            <w:r>
              <w:rPr>
                <w:rFonts w:eastAsia="Calibri" w:ascii="Times New Roman" w:hAnsi="Times New Roman"/>
                <w:sz w:val="20"/>
              </w:rPr>
              <w:t>0.5464</w:t>
            </w:r>
          </w:p>
        </w:tc>
        <w:tc>
          <w:tcPr>
            <w:tcW w:w="1656" w:type="dxa"/>
            <w:shd w:val="clear" w:color="auto" w:fill="F2F2F2"/>
          </w:tcPr>
          <w:p w:rsidR="00983EE3" w:rsidRDefault="00000000">
            <w:pPr>
              <w:spacing w:before="40" w:after="40" w:line="276" w:lineRule="auto"/>
            </w:pPr>
            <w:r>
              <w:rPr>
                <w:rFonts w:eastAsia="Calibri" w:ascii="Times New Roman" w:hAnsi="Times New Roman"/>
                <w:sz w:val="20"/>
              </w:rPr>
              <w:t>0.7815</w:t>
            </w:r>
          </w:p>
        </w:tc>
        <w:tc>
          <w:tcPr>
            <w:tcW w:w="1656" w:type="dxa"/>
            <w:shd w:val="clear" w:color="auto" w:fill="F2F2F2"/>
          </w:tcPr>
          <w:p w:rsidR="00983EE3" w:rsidRDefault="00000000">
            <w:pPr>
              <w:spacing w:before="40" w:after="40" w:line="276" w:lineRule="auto"/>
            </w:pPr>
            <w:r>
              <w:rPr>
                <w:rFonts w:eastAsia="Calibri" w:ascii="Times New Roman" w:hAnsi="Times New Roman"/>
                <w:sz w:val="20"/>
              </w:rPr>
              <w:t>0.6431</w:t>
            </w:r>
          </w:p>
        </w:tc>
      </w:tr>
    </w:tbl>
    <w:p w:rsidR="00983EE3" w:rsidRDefault="00000000">
      <w:pPr>
        <w:ind w:firstLine="720"/>
      </w:pPr>
      <w:r>
        <w:t>CatBoost (Prokhorenkova et al., 2018) is the strongest classifier in the saved outputs, with ROC-AUC 0.9430 and accuracy 0.9376. The high precision value shows that predicted defaults are usually correct at the 0.50 cutoff. The recall value is lower than precision, meaning some true defaults are still missed. This tradeoff motivates the separate threshold-tuning analysis.</w:t>
      </w:r>
    </w:p>
    <w:p w:rsidR="00983EE3" w:rsidRDefault="00000000">
      <w:pPr>
        <w:pStyle w:val="Heading2"/>
        <w:spacing w:before="240" w:after="120"/>
        <w:jc w:val="left"/>
      </w:pPr>
      <w:r>
        <w:rPr>
          <w:rFonts w:ascii="Times New Roman" w:hAnsi="Times New Roman"/>
          <w:b/>
          <w:i w:val="0"/>
          <w:sz w:val="24"/>
        </w:rPr>
        <w:t>4.10 Threshold Tuning Result</w:t>
      </w:r>
    </w:p>
    <w:p w:rsidR="00A65756" w:rsidRDefault="00000000">
      <w:pPr>
        <w:spacing w:before="240"/>
        <w:keepNext w:val="true"/>
        <w:jc w:val="left"/>
      </w:pPr>
      <w:r>
        <w:rPr>
          <w:rFonts w:ascii="Times New Roman" w:hAnsi="Times New Roman"/>
          <w:b/>
          <w:sz w:val="24"/>
        </w:rPr>
        <w:t>Table 11</w:t>
      </w:r>
    </w:p>
    <w:p w:rsidR="00A65756" w:rsidRDefault="00000000">
      <w:pPr>
        <w:spacing w:after="120"/>
        <w:jc w:val="left"/>
        <w:keepNext w:val="true"/>
      </w:pPr>
      <w:r>
        <w:rPr>
          <w:rFonts w:ascii="Times New Roman" w:hAnsi="Times New Roman"/>
          <w:i/>
          <w:sz w:val="24"/>
        </w:rPr>
        <w:t>Standard Cutoff and Cost-focused Cutoff Comparison</w:t>
      </w:r>
    </w:p>
    <w:tbl>
      <w:tblPr>
        <w:tblStyle w:val="TableGrid"/>
        <w:tblW w:w="9360" w:type="dxa"/>
        <w:jc w:val="center"/>
        <w:tblLook w:val="04A0" w:firstRow="1" w:lastRow="0" w:firstColumn="1" w:lastColumn="0" w:noHBand="0"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359"/>
        <w:gridCol w:w="1378"/>
        <w:gridCol w:w="1368"/>
        <w:gridCol w:w="1365"/>
        <w:gridCol w:w="1334"/>
        <w:gridCol w:w="1334"/>
        <w:gridCol w:w="1438"/>
      </w:tblGrid>
      <w:tr w:rsidR="00983EE3">
        <w:trPr>
          <w:jc w:val="center"/>
          <w:cantSplit w:val="true"/>
        </w:trPr>
        <w:tc>
          <w:tcPr>
            <w:tcW w:w="1419"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Decision rule</w:t>
            </w:r>
          </w:p>
        </w:tc>
        <w:tc>
          <w:tcPr>
            <w:tcW w:w="1419"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Threshold</w:t>
            </w:r>
          </w:p>
        </w:tc>
        <w:tc>
          <w:tcPr>
            <w:tcW w:w="1419"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Accuracy</w:t>
            </w:r>
          </w:p>
        </w:tc>
        <w:tc>
          <w:tcPr>
            <w:tcW w:w="1419"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Precision</w:t>
            </w:r>
          </w:p>
        </w:tc>
        <w:tc>
          <w:tcPr>
            <w:tcW w:w="1419"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Recall</w:t>
            </w:r>
          </w:p>
        </w:tc>
        <w:tc>
          <w:tcPr>
            <w:tcW w:w="1419"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F1</w:t>
            </w:r>
          </w:p>
        </w:tc>
        <w:tc>
          <w:tcPr>
            <w:tcW w:w="1419"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Interpretation</w:t>
            </w:r>
          </w:p>
        </w:tc>
      </w:tr>
      <w:tr w:rsidR="00983EE3">
        <w:trPr>
          <w:jc w:val="center"/>
          <w:cantSplit w:val="true"/>
        </w:trPr>
        <w:tc>
          <w:tcPr>
            <w:tcW w:w="1419" w:type="dxa"/>
            <w:shd w:val="clear" w:color="auto" w:fill="FFFFFF"/>
          </w:tcPr>
          <w:p w:rsidR="00983EE3" w:rsidRDefault="00000000">
            <w:pPr>
              <w:spacing w:before="40" w:after="40" w:line="276" w:lineRule="auto"/>
              <w:keepNext w:val="true"/>
            </w:pPr>
            <w:r>
              <w:rPr>
                <w:rFonts w:eastAsia="Calibri" w:ascii="Times New Roman" w:hAnsi="Times New Roman"/>
                <w:sz w:val="20"/>
              </w:rPr>
              <w:t>Standard reporting cutoff</w:t>
            </w:r>
          </w:p>
        </w:tc>
        <w:tc>
          <w:tcPr>
            <w:tcW w:w="1419" w:type="dxa"/>
            <w:shd w:val="clear" w:color="auto" w:fill="FFFFFF"/>
          </w:tcPr>
          <w:p w:rsidR="00983EE3" w:rsidRDefault="00000000">
            <w:pPr>
              <w:spacing w:before="40" w:after="40" w:line="276" w:lineRule="auto"/>
              <w:keepNext w:val="true"/>
            </w:pPr>
            <w:r>
              <w:rPr>
                <w:rFonts w:eastAsia="Calibri" w:ascii="Times New Roman" w:hAnsi="Times New Roman"/>
                <w:sz w:val="20"/>
              </w:rPr>
              <w:t>0.50</w:t>
            </w:r>
          </w:p>
        </w:tc>
        <w:tc>
          <w:tcPr>
            <w:tcW w:w="1419" w:type="dxa"/>
            <w:shd w:val="clear" w:color="auto" w:fill="FFFFFF"/>
          </w:tcPr>
          <w:p w:rsidR="00983EE3" w:rsidRDefault="00000000">
            <w:pPr>
              <w:spacing w:before="40" w:after="40" w:line="276" w:lineRule="auto"/>
              <w:keepNext w:val="true"/>
            </w:pPr>
            <w:r>
              <w:rPr>
                <w:rFonts w:eastAsia="Calibri" w:ascii="Times New Roman" w:hAnsi="Times New Roman"/>
                <w:sz w:val="20"/>
              </w:rPr>
              <w:t>0.9376</w:t>
            </w:r>
          </w:p>
        </w:tc>
        <w:tc>
          <w:tcPr>
            <w:tcW w:w="1419" w:type="dxa"/>
            <w:shd w:val="clear" w:color="auto" w:fill="FFFFFF"/>
          </w:tcPr>
          <w:p w:rsidR="00983EE3" w:rsidRDefault="00000000">
            <w:pPr>
              <w:spacing w:before="40" w:after="40" w:line="276" w:lineRule="auto"/>
              <w:keepNext w:val="true"/>
            </w:pPr>
            <w:r>
              <w:rPr>
                <w:rFonts w:eastAsia="Calibri" w:ascii="Times New Roman" w:hAnsi="Times New Roman"/>
                <w:sz w:val="20"/>
              </w:rPr>
              <w:t>0.9908</w:t>
            </w:r>
          </w:p>
        </w:tc>
        <w:tc>
          <w:tcPr>
            <w:tcW w:w="1419" w:type="dxa"/>
            <w:shd w:val="clear" w:color="auto" w:fill="FFFFFF"/>
          </w:tcPr>
          <w:p w:rsidR="00983EE3" w:rsidRDefault="00000000">
            <w:pPr>
              <w:spacing w:before="40" w:after="40" w:line="276" w:lineRule="auto"/>
              <w:keepNext w:val="true"/>
            </w:pPr>
            <w:r>
              <w:rPr>
                <w:rFonts w:eastAsia="Calibri" w:ascii="Times New Roman" w:hAnsi="Times New Roman"/>
                <w:sz w:val="20"/>
              </w:rPr>
              <w:t>0.7287</w:t>
            </w:r>
          </w:p>
        </w:tc>
        <w:tc>
          <w:tcPr>
            <w:tcW w:w="1419" w:type="dxa"/>
            <w:shd w:val="clear" w:color="auto" w:fill="FFFFFF"/>
          </w:tcPr>
          <w:p w:rsidR="00983EE3" w:rsidRDefault="00000000">
            <w:pPr>
              <w:spacing w:before="40" w:after="40" w:line="276" w:lineRule="auto"/>
              <w:keepNext w:val="true"/>
            </w:pPr>
            <w:r>
              <w:rPr>
                <w:rFonts w:eastAsia="Calibri" w:ascii="Times New Roman" w:hAnsi="Times New Roman"/>
                <w:sz w:val="20"/>
              </w:rPr>
              <w:t>0.8398</w:t>
            </w:r>
          </w:p>
        </w:tc>
        <w:tc>
          <w:tcPr>
            <w:tcW w:w="1419" w:type="dxa"/>
            <w:shd w:val="clear" w:color="auto" w:fill="FFFFFF"/>
          </w:tcPr>
          <w:p w:rsidR="00983EE3" w:rsidRDefault="00000000">
            <w:pPr>
              <w:spacing w:before="40" w:after="40" w:line="276" w:lineRule="auto"/>
              <w:keepNext w:val="true"/>
            </w:pPr>
            <w:r>
              <w:rPr>
                <w:rFonts w:eastAsia="Calibri" w:ascii="Times New Roman" w:hAnsi="Times New Roman"/>
                <w:sz w:val="20"/>
              </w:rPr>
              <w:t xml:space="preserve">Higher accuracy and precision for standard </w:t>
            </w:r>
            <w:r>
              <w:rPr>
                <w:rFonts w:eastAsia="Calibri" w:ascii="Times New Roman" w:hAnsi="Times New Roman"/>
                <w:sz w:val="20"/>
              </w:rPr>
              <w:lastRenderedPageBreak/>
              <w:t>reporting.</w:t>
            </w:r>
          </w:p>
        </w:tc>
      </w:tr>
      <w:tr w:rsidR="00983EE3">
        <w:trPr>
          <w:jc w:val="center"/>
          <w:cantSplit w:val="true"/>
        </w:trPr>
        <w:tc>
          <w:tcPr>
            <w:tcW w:w="1419" w:type="dxa"/>
            <w:shd w:val="clear" w:color="auto" w:fill="F2F2F2"/>
          </w:tcPr>
          <w:p w:rsidR="00983EE3" w:rsidRDefault="00000000">
            <w:pPr>
              <w:spacing w:before="40" w:after="40" w:line="276" w:lineRule="auto"/>
            </w:pPr>
            <w:r>
              <w:rPr>
                <w:rFonts w:eastAsia="Calibri" w:ascii="Times New Roman" w:hAnsi="Times New Roman"/>
                <w:sz w:val="20"/>
              </w:rPr>
              <w:lastRenderedPageBreak/>
              <w:t>Cost-focused review cutoff</w:t>
            </w:r>
          </w:p>
        </w:tc>
        <w:tc>
          <w:tcPr>
            <w:tcW w:w="1419" w:type="dxa"/>
            <w:shd w:val="clear" w:color="auto" w:fill="F2F2F2"/>
          </w:tcPr>
          <w:p w:rsidR="00983EE3" w:rsidRDefault="00000000">
            <w:pPr>
              <w:spacing w:before="40" w:after="40" w:line="276" w:lineRule="auto"/>
            </w:pPr>
            <w:r>
              <w:rPr>
                <w:rFonts w:eastAsia="Calibri" w:ascii="Times New Roman" w:hAnsi="Times New Roman"/>
                <w:sz w:val="20"/>
              </w:rPr>
              <w:t>0.15</w:t>
            </w:r>
          </w:p>
        </w:tc>
        <w:tc>
          <w:tcPr>
            <w:tcW w:w="1419" w:type="dxa"/>
            <w:shd w:val="clear" w:color="auto" w:fill="F2F2F2"/>
          </w:tcPr>
          <w:p w:rsidR="00983EE3" w:rsidRDefault="00000000">
            <w:pPr>
              <w:spacing w:before="40" w:after="40" w:line="276" w:lineRule="auto"/>
            </w:pPr>
            <w:r>
              <w:rPr>
                <w:rFonts w:eastAsia="Calibri" w:ascii="Times New Roman" w:hAnsi="Times New Roman"/>
                <w:sz w:val="20"/>
              </w:rPr>
              <w:t>0.8750</w:t>
            </w:r>
          </w:p>
        </w:tc>
        <w:tc>
          <w:tcPr>
            <w:tcW w:w="1419" w:type="dxa"/>
            <w:shd w:val="clear" w:color="auto" w:fill="F2F2F2"/>
          </w:tcPr>
          <w:p w:rsidR="00983EE3" w:rsidRDefault="00000000">
            <w:pPr>
              <w:spacing w:before="40" w:after="40" w:line="276" w:lineRule="auto"/>
            </w:pPr>
            <w:r>
              <w:rPr>
                <w:rFonts w:eastAsia="Calibri" w:ascii="Times New Roman" w:hAnsi="Times New Roman"/>
                <w:sz w:val="20"/>
              </w:rPr>
              <w:t>0.6788</w:t>
            </w:r>
          </w:p>
        </w:tc>
        <w:tc>
          <w:tcPr>
            <w:tcW w:w="1419" w:type="dxa"/>
            <w:shd w:val="clear" w:color="auto" w:fill="F2F2F2"/>
          </w:tcPr>
          <w:p w:rsidR="00983EE3" w:rsidRDefault="00000000">
            <w:pPr>
              <w:spacing w:before="40" w:after="40" w:line="276" w:lineRule="auto"/>
            </w:pPr>
            <w:r>
              <w:rPr>
                <w:rFonts w:eastAsia="Calibri" w:ascii="Times New Roman" w:hAnsi="Times New Roman"/>
                <w:sz w:val="20"/>
              </w:rPr>
              <w:t>0.8410</w:t>
            </w:r>
          </w:p>
        </w:tc>
        <w:tc>
          <w:tcPr>
            <w:tcW w:w="1419" w:type="dxa"/>
            <w:shd w:val="clear" w:color="auto" w:fill="F2F2F2"/>
          </w:tcPr>
          <w:p w:rsidR="00983EE3" w:rsidRDefault="00000000">
            <w:pPr>
              <w:spacing w:before="40" w:after="40" w:line="276" w:lineRule="auto"/>
            </w:pPr>
            <w:r>
              <w:rPr>
                <w:rFonts w:eastAsia="Calibri" w:ascii="Times New Roman" w:hAnsi="Times New Roman"/>
                <w:sz w:val="20"/>
              </w:rPr>
              <w:t>0.7513</w:t>
            </w:r>
          </w:p>
        </w:tc>
        <w:tc>
          <w:tcPr>
            <w:tcW w:w="1419" w:type="dxa"/>
            <w:shd w:val="clear" w:color="auto" w:fill="F2F2F2"/>
          </w:tcPr>
          <w:p w:rsidR="00983EE3" w:rsidRDefault="00000000">
            <w:pPr>
              <w:spacing w:before="40" w:after="40" w:line="276" w:lineRule="auto"/>
            </w:pPr>
            <w:r>
              <w:rPr>
                <w:rFonts w:eastAsia="Calibri" w:ascii="Times New Roman" w:hAnsi="Times New Roman"/>
                <w:sz w:val="20"/>
              </w:rPr>
              <w:t>Higher recall for catching more defaults, with more false alarms.</w:t>
            </w:r>
          </w:p>
        </w:tc>
      </w:tr>
    </w:tbl>
    <w:p w:rsidR="00A65756" w:rsidRDefault="00000000">
      <w:pPr>
        <w:spacing w:before="240"/>
        <w:keepNext w:val="true"/>
        <w:jc w:val="left"/>
      </w:pPr>
      <w:r>
        <w:rPr>
          <w:rFonts w:ascii="Times New Roman" w:hAnsi="Times New Roman"/>
          <w:b/>
          <w:sz w:val="24"/>
        </w:rPr>
        <w:t>Figure 15</w:t>
      </w:r>
    </w:p>
    <w:p w:rsidR="00A65756" w:rsidRDefault="00000000">
      <w:pPr>
        <w:spacing w:after="120"/>
        <w:jc w:val="left"/>
        <w:keepNext w:val="true"/>
      </w:pPr>
      <w:r>
        <w:rPr>
          <w:rFonts w:ascii="Times New Roman" w:hAnsi="Times New Roman"/>
          <w:i/>
          <w:sz w:val="24"/>
        </w:rPr>
        <w:t>Business Cost by Default Threshold</w:t>
      </w:r>
    </w:p>
    <w:p w:rsidR="00983EE3" w:rsidRDefault="00000000">
      <w:pPr>
        <w:spacing w:line="240" w:lineRule="auto"/>
        <w:ind w:left="720"/>
        <w:keepNext w:val="true"/>
        <w:keepLines w:val="true"/>
      </w:pPr>
      <w:r>
        <w:rPr>
          <w:rFonts w:ascii="Courier New" w:hAnsi="Courier New"/>
          <w:noProof/>
          <w:color w:val="000000"/>
          <w:sz w:val="20"/>
        </w:rPr>
        <w:drawing>
          <wp:inline distT="0" distB="0" distL="0" distR="0" wp14:anchorId="65F62E46" wp14:editId="305A1091">
            <wp:extent cx="5577840" cy="305393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_3_threshold_cost_curve.png"/>
                    <pic:cNvPicPr/>
                  </pic:nvPicPr>
                  <pic:blipFill>
                    <a:blip r:embed="rId14"/>
                    <a:stretch>
                      <a:fillRect/>
                    </a:stretch>
                  </pic:blipFill>
                  <pic:spPr>
                    <a:xfrm>
                      <a:off x="0" y="0"/>
                      <a:ext cx="5577840" cy="3053930"/>
                    </a:xfrm>
                    <a:prstGeom prst="rect">
                      <a:avLst/>
                    </a:prstGeom>
                  </pic:spPr>
                </pic:pic>
              </a:graphicData>
            </a:graphic>
          </wp:inline>
        </w:drawing>
      </w:r>
    </w:p>
    <w:p w:rsidR="00983EE3" w:rsidRDefault="00000000">
      <w:pPr>
        <w:ind w:firstLine="720"/>
      </w:pPr>
      <w:r>
        <w:rPr>
          <w:rFonts w:eastAsia="Calibri"/>
        </w:rPr>
        <w:t>The cost-focused cutoff is 0.15. It reduces missed defaults by increasing recall, but it also reduces precision and accuracy because more non-default loans are flagged. This result should not be described as the most accurate threshold; it is the threshold preferred by the stated business-cost assumption.</w:t>
      </w:r>
    </w:p>
    <w:p w:rsidR="00983EE3" w:rsidRDefault="00000000">
      <w:pPr>
        <w:pStyle w:val="Heading2"/>
        <w:spacing w:before="240" w:after="120"/>
        <w:jc w:val="left"/>
      </w:pPr>
      <w:r>
        <w:rPr>
          <w:rFonts w:ascii="Times New Roman" w:hAnsi="Times New Roman"/>
          <w:b/>
          <w:i w:val="0"/>
          <w:sz w:val="24"/>
        </w:rPr>
        <w:t>4.11 Regression Model Results</w:t>
      </w:r>
    </w:p>
    <w:p w:rsidR="00A65756" w:rsidRDefault="00000000">
      <w:pPr>
        <w:spacing w:before="240"/>
        <w:keepNext w:val="true"/>
        <w:jc w:val="left"/>
      </w:pPr>
      <w:r>
        <w:rPr>
          <w:rFonts w:ascii="Times New Roman" w:hAnsi="Times New Roman"/>
          <w:b/>
          <w:sz w:val="24"/>
        </w:rPr>
        <w:t>Table 12</w:t>
      </w:r>
    </w:p>
    <w:p w:rsidR="00A65756" w:rsidRDefault="00000000">
      <w:pPr>
        <w:spacing w:after="120"/>
        <w:jc w:val="left"/>
        <w:keepNext w:val="true"/>
      </w:pPr>
      <w:r>
        <w:rPr>
          <w:rFonts w:ascii="Times New Roman" w:hAnsi="Times New Roman"/>
          <w:i/>
          <w:sz w:val="24"/>
        </w:rPr>
        <w:t>Best Regression Model by Target</w:t>
      </w:r>
    </w:p>
    <w:tbl>
      <w:tblPr>
        <w:tblStyle w:val="TableGrid"/>
        <w:tblW w:w="9360" w:type="dxa"/>
        <w:jc w:val="center"/>
        <w:tblLook w:val="04A0" w:firstRow="1" w:lastRow="0" w:firstColumn="1" w:lastColumn="0" w:noHBand="0"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983"/>
        <w:gridCol w:w="1943"/>
        <w:gridCol w:w="1888"/>
        <w:gridCol w:w="1888"/>
        <w:gridCol w:w="1874"/>
      </w:tblGrid>
      <w:tr w:rsidR="00983EE3">
        <w:trPr>
          <w:jc w:val="center"/>
          <w:cantSplit w:val="true"/>
        </w:trPr>
        <w:tc>
          <w:tcPr>
            <w:tcW w:w="1987"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target</w:t>
            </w:r>
          </w:p>
        </w:tc>
        <w:tc>
          <w:tcPr>
            <w:tcW w:w="1987"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model</w:t>
            </w:r>
          </w:p>
        </w:tc>
        <w:tc>
          <w:tcPr>
            <w:tcW w:w="1987"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mae</w:t>
            </w:r>
          </w:p>
        </w:tc>
        <w:tc>
          <w:tcPr>
            <w:tcW w:w="1987"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rmse</w:t>
            </w:r>
          </w:p>
        </w:tc>
        <w:tc>
          <w:tcPr>
            <w:tcW w:w="1987"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r2</w:t>
            </w:r>
          </w:p>
        </w:tc>
      </w:tr>
      <w:tr w:rsidR="00983EE3">
        <w:trPr>
          <w:jc w:val="center"/>
          <w:cantSplit w:val="true"/>
        </w:trPr>
        <w:tc>
          <w:tcPr>
            <w:tcW w:w="1987" w:type="dxa"/>
            <w:shd w:val="clear" w:color="auto" w:fill="FFFFFF"/>
          </w:tcPr>
          <w:p w:rsidR="00983EE3" w:rsidRDefault="00000000">
            <w:pPr>
              <w:spacing w:before="40" w:after="40" w:line="276" w:lineRule="auto"/>
              <w:keepNext w:val="true"/>
            </w:pPr>
            <w:r>
              <w:rPr>
                <w:rFonts w:eastAsia="Calibri" w:ascii="Times New Roman" w:hAnsi="Times New Roman"/>
                <w:sz w:val="20"/>
              </w:rPr>
              <w:lastRenderedPageBreak/>
              <w:t>loan_amnt</w:t>
            </w:r>
          </w:p>
        </w:tc>
        <w:tc>
          <w:tcPr>
            <w:tcW w:w="1987" w:type="dxa"/>
            <w:shd w:val="clear" w:color="auto" w:fill="FFFFFF"/>
          </w:tcPr>
          <w:p w:rsidR="00983EE3" w:rsidRDefault="00000000">
            <w:pPr>
              <w:spacing w:before="40" w:after="40" w:line="276" w:lineRule="auto"/>
              <w:keepNext w:val="true"/>
            </w:pPr>
            <w:r>
              <w:rPr>
                <w:rFonts w:ascii="Times New Roman" w:hAnsi="Times New Roman"/>
                <w:sz w:val="20"/>
              </w:rPr>
              <w:t>Gradient Boosting (Friedman, 2001) Regressor</w:t>
            </w:r>
          </w:p>
        </w:tc>
        <w:tc>
          <w:tcPr>
            <w:tcW w:w="1987" w:type="dxa"/>
            <w:shd w:val="clear" w:color="auto" w:fill="FFFFFF"/>
          </w:tcPr>
          <w:p w:rsidR="00983EE3" w:rsidRDefault="00000000">
            <w:pPr>
              <w:spacing w:before="40" w:after="40" w:line="276" w:lineRule="auto"/>
              <w:keepNext w:val="true"/>
            </w:pPr>
            <w:r>
              <w:rPr>
                <w:rFonts w:eastAsia="Calibri" w:ascii="Times New Roman" w:hAnsi="Times New Roman"/>
                <w:sz w:val="20"/>
              </w:rPr>
              <w:t>3,869.71</w:t>
            </w:r>
          </w:p>
        </w:tc>
        <w:tc>
          <w:tcPr>
            <w:tcW w:w="1987" w:type="dxa"/>
            <w:shd w:val="clear" w:color="auto" w:fill="FFFFFF"/>
          </w:tcPr>
          <w:p w:rsidR="00983EE3" w:rsidRDefault="00000000">
            <w:pPr>
              <w:spacing w:before="40" w:after="40" w:line="276" w:lineRule="auto"/>
              <w:keepNext w:val="true"/>
            </w:pPr>
            <w:r>
              <w:rPr>
                <w:rFonts w:eastAsia="Calibri" w:ascii="Times New Roman" w:hAnsi="Times New Roman"/>
                <w:sz w:val="20"/>
              </w:rPr>
              <w:t>5,047.80</w:t>
            </w:r>
          </w:p>
        </w:tc>
        <w:tc>
          <w:tcPr>
            <w:tcW w:w="1987" w:type="dxa"/>
            <w:shd w:val="clear" w:color="auto" w:fill="FFFFFF"/>
          </w:tcPr>
          <w:p w:rsidR="00983EE3" w:rsidRDefault="00000000">
            <w:pPr>
              <w:spacing w:before="40" w:after="40" w:line="276" w:lineRule="auto"/>
              <w:keepNext w:val="true"/>
            </w:pPr>
            <w:r>
              <w:rPr>
                <w:rFonts w:eastAsia="Calibri" w:ascii="Times New Roman" w:hAnsi="Times New Roman"/>
                <w:sz w:val="20"/>
              </w:rPr>
              <w:t>0.1978</w:t>
            </w:r>
          </w:p>
        </w:tc>
      </w:tr>
      <w:tr w:rsidR="00983EE3">
        <w:trPr>
          <w:jc w:val="center"/>
          <w:cantSplit w:val="true"/>
        </w:trPr>
        <w:tc>
          <w:tcPr>
            <w:tcW w:w="1987" w:type="dxa"/>
            <w:shd w:val="clear" w:color="auto" w:fill="F2F2F2"/>
          </w:tcPr>
          <w:p w:rsidR="00983EE3" w:rsidRDefault="00000000">
            <w:pPr>
              <w:spacing w:before="40" w:after="40" w:line="276" w:lineRule="auto"/>
              <w:keepNext w:val="true"/>
            </w:pPr>
            <w:r>
              <w:rPr>
                <w:rFonts w:eastAsia="Calibri" w:ascii="Times New Roman" w:hAnsi="Times New Roman"/>
                <w:sz w:val="20"/>
              </w:rPr>
              <w:t>loan_percent_income</w:t>
            </w:r>
          </w:p>
        </w:tc>
        <w:tc>
          <w:tcPr>
            <w:tcW w:w="1987" w:type="dxa"/>
            <w:shd w:val="clear" w:color="auto" w:fill="F2F2F2"/>
          </w:tcPr>
          <w:p w:rsidR="00983EE3" w:rsidRDefault="00000000">
            <w:pPr>
              <w:spacing w:before="40" w:after="40" w:line="276" w:lineRule="auto"/>
              <w:keepNext w:val="true"/>
            </w:pPr>
            <w:r>
              <w:rPr>
                <w:rFonts w:ascii="Times New Roman" w:hAnsi="Times New Roman"/>
                <w:sz w:val="20"/>
              </w:rPr>
              <w:t>Gradient Boosting (Friedman, 2001) Regressor</w:t>
            </w:r>
          </w:p>
        </w:tc>
        <w:tc>
          <w:tcPr>
            <w:tcW w:w="1987" w:type="dxa"/>
            <w:shd w:val="clear" w:color="auto" w:fill="F2F2F2"/>
          </w:tcPr>
          <w:p w:rsidR="00983EE3" w:rsidRDefault="00000000">
            <w:pPr>
              <w:spacing w:before="40" w:after="40" w:line="276" w:lineRule="auto"/>
              <w:keepNext w:val="true"/>
            </w:pPr>
            <w:r>
              <w:rPr>
                <w:rFonts w:eastAsia="Calibri" w:ascii="Times New Roman" w:hAnsi="Times New Roman"/>
                <w:sz w:val="20"/>
              </w:rPr>
              <w:t>0.0655</w:t>
            </w:r>
          </w:p>
        </w:tc>
        <w:tc>
          <w:tcPr>
            <w:tcW w:w="1987" w:type="dxa"/>
            <w:shd w:val="clear" w:color="auto" w:fill="F2F2F2"/>
          </w:tcPr>
          <w:p w:rsidR="00983EE3" w:rsidRDefault="00000000">
            <w:pPr>
              <w:spacing w:before="40" w:after="40" w:line="276" w:lineRule="auto"/>
              <w:keepNext w:val="true"/>
            </w:pPr>
            <w:r>
              <w:rPr>
                <w:rFonts w:eastAsia="Calibri" w:ascii="Times New Roman" w:hAnsi="Times New Roman"/>
                <w:sz w:val="20"/>
              </w:rPr>
              <w:t>0.0821</w:t>
            </w:r>
          </w:p>
        </w:tc>
        <w:tc>
          <w:tcPr>
            <w:tcW w:w="1987" w:type="dxa"/>
            <w:shd w:val="clear" w:color="auto" w:fill="F2F2F2"/>
          </w:tcPr>
          <w:p w:rsidR="00983EE3" w:rsidRDefault="00000000">
            <w:pPr>
              <w:spacing w:before="40" w:after="40" w:line="276" w:lineRule="auto"/>
              <w:keepNext w:val="true"/>
            </w:pPr>
            <w:r>
              <w:rPr>
                <w:rFonts w:eastAsia="Calibri" w:ascii="Times New Roman" w:hAnsi="Times New Roman"/>
                <w:sz w:val="20"/>
              </w:rPr>
              <w:t>0.0917</w:t>
            </w:r>
          </w:p>
        </w:tc>
      </w:tr>
      <w:tr w:rsidR="00983EE3">
        <w:trPr>
          <w:jc w:val="center"/>
          <w:cantSplit w:val="true"/>
        </w:trPr>
        <w:tc>
          <w:tcPr>
            <w:tcW w:w="1987" w:type="dxa"/>
            <w:shd w:val="clear" w:color="auto" w:fill="FFFFFF"/>
          </w:tcPr>
          <w:p w:rsidR="00983EE3" w:rsidRDefault="00000000">
            <w:pPr>
              <w:spacing w:before="40" w:after="40" w:line="276" w:lineRule="auto"/>
            </w:pPr>
            <w:r>
              <w:rPr>
                <w:rFonts w:eastAsia="Calibri" w:ascii="Times New Roman" w:hAnsi="Times New Roman"/>
                <w:sz w:val="20"/>
              </w:rPr>
              <w:t>loan_int_rate</w:t>
            </w:r>
          </w:p>
        </w:tc>
        <w:tc>
          <w:tcPr>
            <w:tcW w:w="1987" w:type="dxa"/>
            <w:shd w:val="clear" w:color="auto" w:fill="FFFFFF"/>
          </w:tcPr>
          <w:p w:rsidR="00983EE3" w:rsidRDefault="00000000">
            <w:pPr>
              <w:spacing w:before="40" w:after="40" w:line="276" w:lineRule="auto"/>
            </w:pPr>
            <w:r>
              <w:rPr>
                <w:rFonts w:ascii="Times New Roman" w:hAnsi="Times New Roman"/>
                <w:sz w:val="20"/>
              </w:rPr>
              <w:t>CatBoost (Prokhorenkova et al., 2018) Regressor</w:t>
            </w:r>
          </w:p>
        </w:tc>
        <w:tc>
          <w:tcPr>
            <w:tcW w:w="1987" w:type="dxa"/>
            <w:shd w:val="clear" w:color="auto" w:fill="FFFFFF"/>
          </w:tcPr>
          <w:p w:rsidR="00983EE3" w:rsidRDefault="00000000">
            <w:pPr>
              <w:spacing w:before="40" w:after="40" w:line="276" w:lineRule="auto"/>
            </w:pPr>
            <w:r>
              <w:rPr>
                <w:rFonts w:eastAsia="Calibri" w:ascii="Times New Roman" w:hAnsi="Times New Roman"/>
                <w:sz w:val="20"/>
              </w:rPr>
              <w:t>2.0548</w:t>
            </w:r>
          </w:p>
        </w:tc>
        <w:tc>
          <w:tcPr>
            <w:tcW w:w="1987" w:type="dxa"/>
            <w:shd w:val="clear" w:color="auto" w:fill="FFFFFF"/>
          </w:tcPr>
          <w:p w:rsidR="00983EE3" w:rsidRDefault="00000000">
            <w:pPr>
              <w:spacing w:before="40" w:after="40" w:line="276" w:lineRule="auto"/>
            </w:pPr>
            <w:r>
              <w:rPr>
                <w:rFonts w:eastAsia="Calibri" w:ascii="Times New Roman" w:hAnsi="Times New Roman"/>
                <w:sz w:val="20"/>
              </w:rPr>
              <w:t>2.5304</w:t>
            </w:r>
          </w:p>
        </w:tc>
        <w:tc>
          <w:tcPr>
            <w:tcW w:w="1987" w:type="dxa"/>
            <w:shd w:val="clear" w:color="auto" w:fill="FFFFFF"/>
          </w:tcPr>
          <w:p w:rsidR="00983EE3" w:rsidRDefault="00000000">
            <w:pPr>
              <w:spacing w:before="40" w:after="40" w:line="276" w:lineRule="auto"/>
            </w:pPr>
            <w:r>
              <w:rPr>
                <w:rFonts w:eastAsia="Calibri" w:ascii="Times New Roman" w:hAnsi="Times New Roman"/>
                <w:sz w:val="20"/>
              </w:rPr>
              <w:t>0.2224</w:t>
            </w:r>
          </w:p>
        </w:tc>
      </w:tr>
    </w:tbl>
    <w:p w:rsidR="00983EE3" w:rsidRDefault="00000000">
      <w:pPr>
        <w:ind w:firstLine="720"/>
      </w:pPr>
      <w:r>
        <w:t>Gradient Boosting (Friedman, 2001) is selected for loan amount and loan percent of income, while CatBoost (Prokhorenkova et al., 2018) is selected for interest rate. The R-squared values are modest, especially for loan amount and loan percent of income, so the regression outputs should be used as conservative benchmarks rather than exact approvals. Interest-rate prediction performs somewhat better because interest rate is more directly connected to issued-loan risk information.</w:t>
      </w:r>
    </w:p>
    <w:p w:rsidR="00983EE3" w:rsidRDefault="00000000">
      <w:pPr>
        <w:pStyle w:val="Heading2"/>
        <w:spacing w:before="240" w:after="120"/>
        <w:jc w:val="left"/>
      </w:pPr>
      <w:r>
        <w:rPr>
          <w:rFonts w:ascii="Times New Roman" w:hAnsi="Times New Roman"/>
          <w:b/>
          <w:i w:val="0"/>
          <w:sz w:val="24"/>
        </w:rPr>
        <w:t>4.12 Applicant-level Inference</w:t>
      </w:r>
    </w:p>
    <w:p w:rsidR="00A65756" w:rsidRDefault="00000000">
      <w:pPr>
        <w:spacing w:before="240"/>
        <w:keepNext w:val="true"/>
        <w:jc w:val="left"/>
      </w:pPr>
      <w:r>
        <w:rPr>
          <w:rFonts w:ascii="Times New Roman" w:hAnsi="Times New Roman"/>
          <w:b/>
          <w:sz w:val="24"/>
        </w:rPr>
        <w:t>Table 13</w:t>
      </w:r>
    </w:p>
    <w:p w:rsidR="00A65756" w:rsidRDefault="00000000">
      <w:pPr>
        <w:spacing w:after="120"/>
        <w:jc w:val="left"/>
        <w:keepNext w:val="true"/>
      </w:pPr>
      <w:r>
        <w:rPr>
          <w:rFonts w:ascii="Times New Roman" w:hAnsi="Times New Roman"/>
          <w:i/>
          <w:sz w:val="24"/>
        </w:rPr>
        <w:t>Example Applicant Default Prediction</w:t>
      </w:r>
    </w:p>
    <w:tbl>
      <w:tblPr>
        <w:tblStyle w:val="TableGrid"/>
        <w:tblW w:w="9360" w:type="dxa"/>
        <w:jc w:val="center"/>
        <w:tblLook w:val="04A0" w:firstRow="1" w:lastRow="0" w:firstColumn="1" w:lastColumn="0" w:noHBand="0"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337"/>
        <w:gridCol w:w="1770"/>
        <w:gridCol w:w="1792"/>
        <w:gridCol w:w="1463"/>
        <w:gridCol w:w="1739"/>
        <w:gridCol w:w="1475"/>
      </w:tblGrid>
      <w:tr w:rsidR="00983EE3">
        <w:trPr>
          <w:jc w:val="center"/>
          <w:cantSplit w:val="true"/>
        </w:trPr>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model_source</w:t>
            </w:r>
          </w:p>
        </w:tc>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model</w:t>
            </w:r>
          </w:p>
        </w:tc>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default_probability</w:t>
            </w:r>
          </w:p>
        </w:tc>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predicted_class</w:t>
            </w:r>
          </w:p>
        </w:tc>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decision_threshold</w:t>
            </w:r>
          </w:p>
        </w:tc>
        <w:tc>
          <w:tcPr>
            <w:tcW w:w="1656"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predicted_label</w:t>
            </w:r>
          </w:p>
        </w:tc>
      </w:tr>
      <w:tr w:rsidR="00983EE3">
        <w:trPr>
          <w:jc w:val="center"/>
          <w:cantSplit w:val="true"/>
        </w:trPr>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Scikit-learn ML</w:t>
            </w:r>
          </w:p>
        </w:tc>
        <w:tc>
          <w:tcPr>
            <w:tcW w:w="1656" w:type="dxa"/>
            <w:shd w:val="clear" w:color="auto" w:fill="FFFFFF"/>
          </w:tcPr>
          <w:p w:rsidR="00983EE3" w:rsidRDefault="00000000">
            <w:pPr>
              <w:spacing w:before="40" w:after="40" w:line="276" w:lineRule="auto"/>
              <w:keepNext w:val="true"/>
            </w:pPr>
            <w:r>
              <w:rPr>
                <w:rFonts w:ascii="Times New Roman" w:hAnsi="Times New Roman"/>
                <w:sz w:val="20"/>
              </w:rPr>
              <w:t>CatBoost (Prokhorenkova et al., 2018)</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98.60%</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1</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0.5000</w:t>
            </w:r>
          </w:p>
        </w:tc>
        <w:tc>
          <w:tcPr>
            <w:tcW w:w="1656" w:type="dxa"/>
            <w:shd w:val="clear" w:color="auto" w:fill="FFFFFF"/>
          </w:tcPr>
          <w:p w:rsidR="00983EE3" w:rsidRDefault="00000000">
            <w:pPr>
              <w:spacing w:before="40" w:after="40" w:line="276" w:lineRule="auto"/>
              <w:keepNext w:val="true"/>
            </w:pPr>
            <w:r>
              <w:rPr>
                <w:rFonts w:eastAsia="Calibri" w:ascii="Times New Roman" w:hAnsi="Times New Roman"/>
                <w:sz w:val="20"/>
              </w:rPr>
              <w:t>Default</w:t>
            </w:r>
          </w:p>
        </w:tc>
      </w:tr>
      <w:tr w:rsidR="00983EE3">
        <w:trPr>
          <w:jc w:val="center"/>
          <w:cantSplit w:val="true"/>
        </w:trPr>
        <w:tc>
          <w:tcPr>
            <w:tcW w:w="1656" w:type="dxa"/>
            <w:shd w:val="clear" w:color="auto" w:fill="F2F2F2"/>
          </w:tcPr>
          <w:p w:rsidR="00983EE3" w:rsidRDefault="00000000">
            <w:pPr>
              <w:spacing w:before="40" w:after="40" w:line="276" w:lineRule="auto"/>
            </w:pPr>
            <w:r>
              <w:rPr>
                <w:rFonts w:ascii="Times New Roman" w:hAnsi="Times New Roman"/>
                <w:sz w:val="20"/>
              </w:rPr>
              <w:t>Bayesian Network (Heckerman, 1997)</w:t>
            </w:r>
          </w:p>
        </w:tc>
        <w:tc>
          <w:tcPr>
            <w:tcW w:w="1656" w:type="dxa"/>
            <w:shd w:val="clear" w:color="auto" w:fill="F2F2F2"/>
          </w:tcPr>
          <w:p w:rsidR="00983EE3" w:rsidRDefault="00000000">
            <w:pPr>
              <w:spacing w:before="40" w:after="40" w:line="276" w:lineRule="auto"/>
            </w:pPr>
            <w:r>
              <w:rPr>
                <w:rFonts w:eastAsia="Calibri" w:ascii="Times New Roman" w:hAnsi="Times New Roman"/>
                <w:sz w:val="20"/>
              </w:rPr>
              <w:t>pgmpy HillClimbSearch + VariableElimination</w:t>
            </w:r>
          </w:p>
        </w:tc>
        <w:tc>
          <w:tcPr>
            <w:tcW w:w="1656" w:type="dxa"/>
            <w:shd w:val="clear" w:color="auto" w:fill="F2F2F2"/>
          </w:tcPr>
          <w:p w:rsidR="00983EE3" w:rsidRDefault="00000000">
            <w:pPr>
              <w:spacing w:before="40" w:after="40" w:line="276" w:lineRule="auto"/>
            </w:pPr>
            <w:r>
              <w:rPr>
                <w:rFonts w:eastAsia="Calibri" w:ascii="Times New Roman" w:hAnsi="Times New Roman"/>
                <w:sz w:val="20"/>
              </w:rPr>
              <w:t>85.36%</w:t>
            </w:r>
          </w:p>
        </w:tc>
        <w:tc>
          <w:tcPr>
            <w:tcW w:w="1656" w:type="dxa"/>
            <w:shd w:val="clear" w:color="auto" w:fill="F2F2F2"/>
          </w:tcPr>
          <w:p w:rsidR="00983EE3" w:rsidRDefault="00000000">
            <w:pPr>
              <w:spacing w:before="40" w:after="40" w:line="276" w:lineRule="auto"/>
            </w:pPr>
            <w:r>
              <w:rPr>
                <w:rFonts w:eastAsia="Calibri" w:ascii="Times New Roman" w:hAnsi="Times New Roman"/>
                <w:sz w:val="20"/>
              </w:rPr>
              <w:t>1</w:t>
            </w:r>
          </w:p>
        </w:tc>
        <w:tc>
          <w:tcPr>
            <w:tcW w:w="1656" w:type="dxa"/>
            <w:shd w:val="clear" w:color="auto" w:fill="F2F2F2"/>
          </w:tcPr>
          <w:p w:rsidR="00983EE3" w:rsidRDefault="00000000">
            <w:pPr>
              <w:spacing w:before="40" w:after="40" w:line="276" w:lineRule="auto"/>
            </w:pPr>
            <w:r>
              <w:rPr>
                <w:rFonts w:eastAsia="Calibri" w:ascii="Times New Roman" w:hAnsi="Times New Roman"/>
                <w:sz w:val="20"/>
              </w:rPr>
              <w:t>0.5000</w:t>
            </w:r>
          </w:p>
        </w:tc>
        <w:tc>
          <w:tcPr>
            <w:tcW w:w="1656" w:type="dxa"/>
            <w:shd w:val="clear" w:color="auto" w:fill="F2F2F2"/>
          </w:tcPr>
          <w:p w:rsidR="00983EE3" w:rsidRDefault="00000000">
            <w:pPr>
              <w:spacing w:before="40" w:after="40" w:line="276" w:lineRule="auto"/>
            </w:pPr>
            <w:r>
              <w:rPr>
                <w:rFonts w:eastAsia="Calibri" w:ascii="Times New Roman" w:hAnsi="Times New Roman"/>
                <w:sz w:val="20"/>
              </w:rPr>
              <w:t>Default</w:t>
            </w:r>
          </w:p>
        </w:tc>
      </w:tr>
    </w:tbl>
    <w:p w:rsidR="00983EE3" w:rsidRDefault="00000000">
      <w:pPr>
        <w:ind w:firstLine="720"/>
        <w:keepNext w:val="true"/>
      </w:pPr>
      <w:r>
        <w:t>Table 13 compares the best saved Scikit-learn classification pipeline with the saved Bayesian Network (Heckerman, 1997) for the same applicant. The machine learning model provides the primary predictive estimate, while the Bayesian Network (Heckerman, 1997) provides a probability estimate from interpretable grouped evidence.</w:t>
      </w:r>
    </w:p>
    <w:p w:rsidR="00A65756" w:rsidRDefault="00000000">
      <w:pPr>
        <w:spacing w:before="240"/>
        <w:keepNext w:val="true"/>
        <w:jc w:val="left"/>
      </w:pPr>
      <w:r>
        <w:rPr>
          <w:rFonts w:ascii="Times New Roman" w:hAnsi="Times New Roman"/>
          <w:b/>
          <w:sz w:val="24"/>
        </w:rPr>
        <w:lastRenderedPageBreak/>
        <w:t>Table 14</w:t>
      </w:r>
    </w:p>
    <w:p w:rsidR="00A65756" w:rsidRDefault="00000000">
      <w:pPr>
        <w:spacing w:after="120"/>
        <w:jc w:val="left"/>
        <w:keepNext w:val="true"/>
      </w:pPr>
      <w:r>
        <w:rPr>
          <w:rFonts w:ascii="Times New Roman" w:hAnsi="Times New Roman"/>
          <w:i/>
          <w:sz w:val="24"/>
        </w:rPr>
        <w:t>Example Applicant Loan and Interest-rate Estimate</w:t>
      </w:r>
    </w:p>
    <w:tbl>
      <w:tblPr>
        <w:tblStyle w:val="TableGrid"/>
        <w:tblW w:w="9360" w:type="dxa"/>
        <w:jc w:val="center"/>
        <w:tblLook w:val="04A0" w:firstRow="1" w:lastRow="0" w:firstColumn="1" w:lastColumn="0" w:noHBand="0"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674"/>
        <w:gridCol w:w="2174"/>
        <w:gridCol w:w="1649"/>
        <w:gridCol w:w="1618"/>
        <w:gridCol w:w="2461"/>
      </w:tblGrid>
      <w:tr w:rsidR="00983EE3">
        <w:trPr>
          <w:jc w:val="center"/>
          <w:cantSplit w:val="true"/>
        </w:trPr>
        <w:tc>
          <w:tcPr>
            <w:tcW w:w="1987"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predicted_loan_amount</w:t>
            </w:r>
          </w:p>
        </w:tc>
        <w:tc>
          <w:tcPr>
            <w:tcW w:w="1987"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predicted_loan_percent_income</w:t>
            </w:r>
          </w:p>
        </w:tc>
        <w:tc>
          <w:tcPr>
            <w:tcW w:w="1987"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predicted_interest_rate</w:t>
            </w:r>
          </w:p>
        </w:tc>
        <w:tc>
          <w:tcPr>
            <w:tcW w:w="1987"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income_based_amount</w:t>
            </w:r>
          </w:p>
        </w:tc>
        <w:tc>
          <w:tcPr>
            <w:tcW w:w="1987" w:type="dxa"/>
            <w:shd w:val="clear" w:color="auto" w:fill="1F3864"/>
            <w:tcBorders>
              <w:bottom w:val="single" w:sz="4" w:space="0" w:color="000000"/>
            </w:tcBorders>
          </w:tcPr>
          <w:p w:rsidR="00983EE3" w:rsidRDefault="00000000">
            <w:pPr>
              <w:spacing w:before="40" w:after="40" w:line="276" w:lineRule="auto"/>
              <w:keepNext w:val="true"/>
            </w:pPr>
            <w:r>
              <w:rPr>
                <w:rFonts w:eastAsia="Calibri" w:ascii="Times New Roman" w:hAnsi="Times New Roman"/>
                <w:b/>
                <w:color w:val="FFFFFF"/>
                <w:sz w:val="20"/>
              </w:rPr>
              <w:t>conservative_recommended_amount</w:t>
            </w:r>
          </w:p>
        </w:tc>
      </w:tr>
      <w:tr w:rsidR="00983EE3">
        <w:trPr>
          <w:jc w:val="center"/>
          <w:cantSplit w:val="true"/>
        </w:trPr>
        <w:tc>
          <w:tcPr>
            <w:tcW w:w="1987" w:type="dxa"/>
            <w:shd w:val="clear" w:color="auto" w:fill="FFFFFF"/>
          </w:tcPr>
          <w:p w:rsidR="00983EE3" w:rsidRDefault="00000000">
            <w:pPr>
              <w:spacing w:before="40" w:after="40" w:line="276" w:lineRule="auto"/>
            </w:pPr>
            <w:r>
              <w:rPr>
                <w:rFonts w:eastAsia="Calibri" w:ascii="Times New Roman" w:hAnsi="Times New Roman"/>
                <w:sz w:val="20"/>
              </w:rPr>
              <w:t>8,943.68</w:t>
            </w:r>
          </w:p>
        </w:tc>
        <w:tc>
          <w:tcPr>
            <w:tcW w:w="1987" w:type="dxa"/>
            <w:shd w:val="clear" w:color="auto" w:fill="FFFFFF"/>
          </w:tcPr>
          <w:p w:rsidR="00983EE3" w:rsidRDefault="00000000">
            <w:pPr>
              <w:spacing w:before="40" w:after="40" w:line="276" w:lineRule="auto"/>
            </w:pPr>
            <w:r>
              <w:rPr>
                <w:rFonts w:eastAsia="Calibri" w:ascii="Times New Roman" w:hAnsi="Times New Roman"/>
                <w:sz w:val="20"/>
              </w:rPr>
              <w:t>0.1377</w:t>
            </w:r>
          </w:p>
        </w:tc>
        <w:tc>
          <w:tcPr>
            <w:tcW w:w="1987" w:type="dxa"/>
            <w:shd w:val="clear" w:color="auto" w:fill="FFFFFF"/>
          </w:tcPr>
          <w:p w:rsidR="00983EE3" w:rsidRDefault="00000000">
            <w:pPr>
              <w:spacing w:before="40" w:after="40" w:line="276" w:lineRule="auto"/>
            </w:pPr>
            <w:r>
              <w:rPr>
                <w:rFonts w:eastAsia="Calibri" w:ascii="Times New Roman" w:hAnsi="Times New Roman"/>
                <w:sz w:val="20"/>
              </w:rPr>
              <w:t>10.1349</w:t>
            </w:r>
          </w:p>
        </w:tc>
        <w:tc>
          <w:tcPr>
            <w:tcW w:w="1987" w:type="dxa"/>
            <w:shd w:val="clear" w:color="auto" w:fill="FFFFFF"/>
          </w:tcPr>
          <w:p w:rsidR="00983EE3" w:rsidRDefault="00000000">
            <w:pPr>
              <w:spacing w:before="40" w:after="40" w:line="276" w:lineRule="auto"/>
            </w:pPr>
            <w:r>
              <w:rPr>
                <w:rFonts w:eastAsia="Calibri" w:ascii="Times New Roman" w:hAnsi="Times New Roman"/>
                <w:sz w:val="20"/>
              </w:rPr>
              <w:t>8,952.72</w:t>
            </w:r>
          </w:p>
        </w:tc>
        <w:tc>
          <w:tcPr>
            <w:tcW w:w="1987" w:type="dxa"/>
            <w:shd w:val="clear" w:color="auto" w:fill="FFFFFF"/>
          </w:tcPr>
          <w:p w:rsidR="00983EE3" w:rsidRDefault="00000000">
            <w:pPr>
              <w:spacing w:before="40" w:after="40" w:line="276" w:lineRule="auto"/>
            </w:pPr>
            <w:r>
              <w:rPr>
                <w:rFonts w:eastAsia="Calibri" w:ascii="Times New Roman" w:hAnsi="Times New Roman"/>
                <w:sz w:val="20"/>
              </w:rPr>
              <w:t>8,943.68</w:t>
            </w:r>
          </w:p>
        </w:tc>
      </w:tr>
    </w:tbl>
    <w:p w:rsidR="00983EE3" w:rsidRDefault="00000000">
      <w:pPr>
        <w:ind w:firstLine="720"/>
        <w:keepNext w:val="true"/>
      </w:pPr>
      <w:r>
        <w:t>Table 14 reports the regression-based applicant estimate. The conservative recommended amount is the lower of the direct predicted amount and the income-based amount, which keeps the estimate cautious when the two model views differ.</w:t>
      </w:r>
    </w:p>
    <w:p w:rsidR="00A65756"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4.13 Classification</w:t>
      </w:r>
    </w:p>
    <w:p w:rsidR="00A65756" w:rsidRDefault="00000000">
      <w:pPr>
        <w:pStyle w:val="Heading3"/>
        <w:keepNext w:val="0"/>
        <w:keepLines w:val="0"/>
        <w:spacing w:before="240" w:after="120"/>
        <w:jc w:val="left"/>
      </w:pPr>
      <w:bookmarkStart w:id="9" w:name="_m6xqgo4yui0f" w:colFirst="0" w:colLast="0"/>
      <w:bookmarkEnd w:id="9"/>
      <w:r>
        <w:rPr>
          <w:rFonts w:ascii="Times New Roman" w:eastAsia="Calibri" w:hAnsi="Times New Roman" w:cs="Calibri"/>
          <w:b/>
          <w:i/>
          <w:color w:val="2E75B6"/>
          <w:sz w:val="24"/>
        </w:rPr>
        <w:t>4.13.1 ROC Curve and Precision-Recall Analysis</w:t>
      </w:r>
    </w:p>
    <w:p w:rsidR="00A65756" w:rsidRDefault="00000000">
      <w:pPr>
        <w:spacing w:before="240"/>
        <w:keepNext w:val="true"/>
        <w:jc w:val="left"/>
      </w:pPr>
      <w:r>
        <w:rPr>
          <w:rFonts w:ascii="Times New Roman" w:hAnsi="Times New Roman"/>
          <w:b/>
          <w:sz w:val="24"/>
        </w:rPr>
        <w:t>Figure 16</w:t>
      </w:r>
    </w:p>
    <w:p w:rsidR="00A65756" w:rsidRDefault="00000000">
      <w:pPr>
        <w:spacing w:after="120"/>
        <w:jc w:val="left"/>
        <w:keepNext w:val="true"/>
      </w:pPr>
      <w:r>
        <w:rPr>
          <w:rFonts w:ascii="Times New Roman" w:hAnsi="Times New Roman"/>
          <w:i/>
          <w:sz w:val="24"/>
        </w:rPr>
        <w:t>CatBoost Classifier ROC Curve and Precision-Recall Curve</w:t>
      </w:r>
    </w:p>
    <w:p w:rsidR="00A65756" w:rsidRDefault="00000000">
      <w:pPr>
        <w:spacing w:line="240" w:lineRule="auto"/>
        <w:ind w:left="720"/>
        <w:rPr>
          <w:rFonts w:ascii="Calibri" w:eastAsia="Calibri" w:hAnsi="Calibri" w:cs="Calibri"/>
          <w:color w:val="404040"/>
        </w:rPr>
        <w:keepNext w:val="true"/>
        <w:keepLines w:val="true"/>
      </w:pPr>
      <w:r>
        <w:rPr>
          <w:rFonts w:ascii="Courier New" w:eastAsia="Calibri" w:hAnsi="Courier New" w:cs="Calibri"/>
          <w:noProof/>
          <w:color w:val="000000"/>
          <w:sz w:val="20"/>
        </w:rPr>
        <w:lastRenderedPageBreak/>
        <w:drawing>
          <wp:inline distT="114300" distB="114300" distL="114300" distR="114300">
            <wp:extent cx="13182600" cy="46101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8" name="image7.png"/>
                    <pic:cNvPicPr preferRelativeResize="0"/>
                  </pic:nvPicPr>
                  <pic:blipFill>
                    <a:blip r:embed="rId15"/>
                    <a:srcRect/>
                    <a:stretch>
                      <a:fillRect/>
                    </a:stretch>
                  </pic:blipFill>
                  <pic:spPr>
                    <a:xfrm>
                      <a:off x="0" y="0"/>
                      <a:ext cx="13182600" cy="4610100"/>
                    </a:xfrm>
                    <a:prstGeom prst="rect">
                      <a:avLst/>
                    </a:prstGeom>
                    <a:ln/>
                  </pic:spPr>
                </pic:pic>
              </a:graphicData>
            </a:graphic>
          </wp:inline>
        </w:drawing>
      </w:r>
    </w:p>
    <w:p w:rsidR="00A65756" w:rsidRDefault="00000000">
      <w:pPr>
        <w:ind w:firstLine="720"/>
        <w:rPr>
          <w:rFonts w:ascii="Calibri" w:eastAsia="Calibri" w:hAnsi="Calibri" w:cs="Calibri"/>
          <w:color w:val="404040"/>
          <w:szCs w:val="24"/>
        </w:rPr>
      </w:pPr>
      <w:r>
        <w:rPr>
          <w:rFonts w:eastAsia="Calibri" w:cs="Calibri"/>
          <w:color w:val="404040"/>
          <w:szCs w:val="24"/>
        </w:rPr>
        <w:t xml:space="preserve">The model achieved a ROC-AUC of 0.9429, which is classified as excellent (&gt; 0.85). This means there is a 94.29% probability that, given a random defaulter and a random non-defaulter, the model will assign a higher risk score to the defaulter. The curve rises steeply toward the top-left corner – far above the diagonal random-classifier baseline – confirming strong discriminative ability across all threshold settings </w:t>
      </w:r>
    </w:p>
    <w:p w:rsidR="00A65756" w:rsidRDefault="00000000">
      <w:pPr>
        <w:ind w:firstLine="720"/>
        <w:rPr>
          <w:rFonts w:ascii="Calibri" w:eastAsia="Calibri" w:hAnsi="Calibri" w:cs="Calibri"/>
          <w:color w:val="404040"/>
          <w:szCs w:val="24"/>
        </w:rPr>
      </w:pPr>
      <w:r>
        <w:rPr>
          <w:rFonts w:eastAsia="Calibri" w:cs="Calibri"/>
          <w:color w:val="404040"/>
          <w:szCs w:val="24"/>
        </w:rPr>
        <w:t>The model achieved a PR-AUC of 0.9003. The curve stays at near-perfect Precision (≈1.0) for Recall values up to about 0.70, then gradually decreases. This means the model can detect up to 70% of defaults without making any false-positive predictions – an exceptional result for a credit risk use case where false positives (wrongly denying a good borrower) carry real business cost.</w:t>
      </w:r>
    </w:p>
    <w:p w:rsidR="00A65756" w:rsidRDefault="00000000">
      <w:pPr>
        <w:pStyle w:val="Heading3"/>
        <w:keepNext w:val="0"/>
        <w:keepLines w:val="0"/>
        <w:spacing w:before="240" w:after="120"/>
        <w:jc w:val="left"/>
        <w:rPr>
          <w:rFonts w:ascii="Calibri" w:eastAsia="Calibri" w:hAnsi="Calibri" w:cs="Calibri"/>
          <w:color w:val="2E75B6"/>
        </w:rPr>
      </w:pPr>
      <w:r>
        <w:rPr>
          <w:rFonts w:ascii="Times New Roman" w:eastAsia="Calibri" w:hAnsi="Times New Roman" w:cs="Calibri"/>
          <w:b/>
          <w:i/>
          <w:color w:val="2E75B6"/>
          <w:sz w:val="24"/>
        </w:rPr>
        <w:lastRenderedPageBreak/>
        <w:t>4.13.2 Calibration Analysis (Reliability Diagram)</w:t>
      </w:r>
    </w:p>
    <w:p w:rsidR="00A65756" w:rsidRDefault="00000000">
      <w:pPr>
        <w:ind w:firstLine="720"/>
        <w:rPr>
          <w:rFonts w:ascii="Calibri" w:eastAsia="Calibri" w:hAnsi="Calibri" w:cs="Calibri"/>
          <w:color w:val="27251E"/>
          <w:szCs w:val="24"/>
        </w:rPr>
      </w:pPr>
      <w:r>
        <w:t>The model achieved a Brier Score (Brier, 1950) of 0.0532, indicating excellent calibration. Its predictions are both directionally strong and numerically reliable.</w:t>
      </w:r>
    </w:p>
    <w:p w:rsidR="00A65756" w:rsidRDefault="00000000">
      <w:pPr>
        <w:ind w:firstLine="720"/>
        <w:rPr>
          <w:rFonts w:ascii="Calibri" w:eastAsia="Calibri" w:hAnsi="Calibri" w:cs="Calibri"/>
          <w:szCs w:val="24"/>
        </w:rPr>
      </w:pPr>
      <w:r>
        <w:rPr>
          <w:rFonts w:eastAsia="Calibri" w:cs="Calibri"/>
          <w:color w:val="27251E"/>
          <w:szCs w:val="24"/>
        </w:rPr>
        <w:t>The calibration plot shows predicted vs. actual default rates, with the ideal model following the diagonal line. The model is slightly under-confident at low probabilities, deviates most in the mid-range (common for tree-based models), and regains near-perfect calibration at higher probabilities, effectively identifying high-risk cases.</w:t>
      </w:r>
      <w:r>
        <w:rPr>
          <w:rFonts w:eastAsia="Calibri" w:cs="Calibri"/>
          <w:szCs w:val="24"/>
        </w:rPr>
        <w:t xml:space="preserve"> </w:t>
      </w:r>
    </w:p>
    <w:p w:rsidR="00A65756" w:rsidRDefault="00000000">
      <w:pPr>
        <w:spacing w:before="240"/>
        <w:keepNext w:val="true"/>
        <w:jc w:val="left"/>
      </w:pPr>
      <w:r>
        <w:rPr>
          <w:rFonts w:ascii="Times New Roman" w:hAnsi="Times New Roman"/>
          <w:b/>
          <w:sz w:val="24"/>
        </w:rPr>
        <w:t>Figure 17</w:t>
      </w:r>
    </w:p>
    <w:p w:rsidR="00A65756" w:rsidRDefault="00000000">
      <w:pPr>
        <w:spacing w:after="120"/>
        <w:jc w:val="left"/>
        <w:keepNext w:val="true"/>
      </w:pPr>
      <w:r>
        <w:rPr>
          <w:rFonts w:ascii="Times New Roman" w:hAnsi="Times New Roman"/>
          <w:i/>
          <w:sz w:val="24"/>
        </w:rPr>
        <w:t>CatBoost Classifier Probability Calibration Reliability Diagram</w:t>
      </w:r>
    </w:p>
    <w:p w:rsidR="00A65756" w:rsidRDefault="00000000">
      <w:pPr>
        <w:spacing w:line="240" w:lineRule="auto"/>
        <w:ind w:left="720"/>
        <w:rPr>
          <w:rFonts w:ascii="Calibri" w:eastAsia="Calibri" w:hAnsi="Calibri" w:cs="Calibri"/>
          <w:color w:val="404040"/>
        </w:rPr>
        <w:keepNext w:val="true"/>
        <w:keepLines w:val="true"/>
      </w:pPr>
      <w:r>
        <w:rPr>
          <w:rFonts w:ascii="Courier New" w:eastAsia="Calibri" w:hAnsi="Courier New" w:cs="Calibri"/>
          <w:noProof/>
          <w:color w:val="000000"/>
          <w:sz w:val="20"/>
        </w:rPr>
        <w:drawing>
          <wp:inline distT="114300" distB="114300" distL="114300" distR="114300">
            <wp:extent cx="13182600" cy="46101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9" name="image6.png"/>
                    <pic:cNvPicPr preferRelativeResize="0"/>
                  </pic:nvPicPr>
                  <pic:blipFill>
                    <a:blip r:embed="rId16"/>
                    <a:srcRect/>
                    <a:stretch>
                      <a:fillRect/>
                    </a:stretch>
                  </pic:blipFill>
                  <pic:spPr>
                    <a:xfrm>
                      <a:off x="0" y="0"/>
                      <a:ext cx="13182600" cy="4610100"/>
                    </a:xfrm>
                    <a:prstGeom prst="rect">
                      <a:avLst/>
                    </a:prstGeom>
                    <a:ln/>
                  </pic:spPr>
                </pic:pic>
              </a:graphicData>
            </a:graphic>
          </wp:inline>
        </w:drawing>
      </w:r>
    </w:p>
    <w:p w:rsidR="00A65756" w:rsidRDefault="00000000">
      <w:pPr>
        <w:spacing w:before="240"/>
        <w:keepNext w:val="true"/>
        <w:jc w:val="left"/>
      </w:pPr>
      <w:r>
        <w:rPr>
          <w:rFonts w:ascii="Times New Roman" w:hAnsi="Times New Roman"/>
          <w:b/>
          <w:sz w:val="24"/>
        </w:rPr>
        <w:lastRenderedPageBreak/>
        <w:t>Table 15</w:t>
      </w:r>
    </w:p>
    <w:p w:rsidR="00A65756" w:rsidRDefault="00000000">
      <w:pPr>
        <w:spacing w:after="120"/>
        <w:jc w:val="left"/>
        <w:keepNext w:val="true"/>
      </w:pPr>
      <w:r>
        <w:rPr>
          <w:rFonts w:ascii="Times New Roman" w:hAnsi="Times New Roman"/>
          <w:i/>
          <w:sz w:val="24"/>
        </w:rPr>
        <w:t>CatBoost Classifier Diagnostic Metrics Summary</w:t>
      </w:r>
    </w:p>
    <w:tbl>
      <w:tblPr>
        <w:tblStyle w:val="a0"/>
        <w:tblW w:w="9345" w:type="dxa"/>
        <w:jc w:val="center"/>
        <w:tblInd w:w="0" w:type="dxa"/>
        <w:tblLayout w:type="fixed"/>
        <w:tblLook w:val="0600" w:firstRow="0" w:lastRow="0" w:firstColumn="0" w:lastColumn="0" w:noHBand="1"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2730"/>
        <w:gridCol w:w="1890"/>
        <w:gridCol w:w="2340"/>
        <w:gridCol w:w="2385"/>
      </w:tblGrid>
      <w:tr w:rsidR="00A65756">
        <w:trPr>
          <w:trHeight w:val="405"/>
          <w:jc w:val="center"/>
          <w:cantSplit w:val="true"/>
        </w:trPr>
        <w:tc>
          <w:tcPr>
            <w:tcW w:w="273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Metric</w:t>
            </w:r>
          </w:p>
        </w:tc>
        <w:tc>
          <w:tcPr>
            <w:tcW w:w="189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Value</w:t>
            </w:r>
          </w:p>
        </w:tc>
        <w:tc>
          <w:tcPr>
            <w:tcW w:w="234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Threshold</w:t>
            </w:r>
          </w:p>
        </w:tc>
        <w:tc>
          <w:tcPr>
            <w:tcW w:w="238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Assessment</w:t>
            </w:r>
          </w:p>
        </w:tc>
      </w:tr>
      <w:tr w:rsidR="00A65756">
        <w:trPr>
          <w:trHeight w:val="405"/>
          <w:jc w:val="center"/>
          <w:cantSplit w:val="true"/>
        </w:trPr>
        <w:tc>
          <w:tcPr>
            <w:tcW w:w="2730" w:type="dxa"/>
            <w:tcBorders>
              <w:top w:val="nil"/>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ascii="Times New Roman" w:hAnsi="Times New Roman"/>
                <w:sz w:val="20"/>
              </w:rPr>
              <w:t>Brier Score (Brier, 1950)</w:t>
            </w:r>
          </w:p>
        </w:tc>
        <w:tc>
          <w:tcPr>
            <w:tcW w:w="1890" w:type="dxa"/>
            <w:tcBorders>
              <w:top w:val="nil"/>
              <w:left w:val="nil"/>
              <w:bottom w:val="single" w:sz="4" w:space="0" w:color="CCCCCC"/>
              <w:right w:val="single" w:sz="4"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0.0532</w:t>
            </w:r>
          </w:p>
        </w:tc>
        <w:tc>
          <w:tcPr>
            <w:tcW w:w="2340" w:type="dxa"/>
            <w:tcBorders>
              <w:top w:val="nil"/>
              <w:left w:val="nil"/>
              <w:bottom w:val="single" w:sz="4" w:space="0" w:color="CCCCCC"/>
              <w:right w:val="single" w:sz="4"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&lt; 0.15 = well-calibrated</w:t>
            </w:r>
          </w:p>
        </w:tc>
        <w:tc>
          <w:tcPr>
            <w:tcW w:w="2385" w:type="dxa"/>
            <w:tcBorders>
              <w:top w:val="nil"/>
              <w:left w:val="nil"/>
              <w:bottom w:val="single" w:sz="4" w:space="0" w:color="CCCCCC"/>
              <w:right w:val="single" w:sz="4"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Excellent</w:t>
            </w:r>
          </w:p>
        </w:tc>
      </w:tr>
      <w:tr w:rsidR="00A65756">
        <w:trPr>
          <w:trHeight w:val="405"/>
          <w:jc w:val="center"/>
          <w:cantSplit w:val="true"/>
        </w:trPr>
        <w:tc>
          <w:tcPr>
            <w:tcW w:w="2730" w:type="dxa"/>
            <w:tcBorders>
              <w:top w:val="nil"/>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Mean Calibration Error</w:t>
            </w:r>
          </w:p>
        </w:tc>
        <w:tc>
          <w:tcPr>
            <w:tcW w:w="189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8.00%</w:t>
            </w:r>
          </w:p>
        </w:tc>
        <w:tc>
          <w:tcPr>
            <w:tcW w:w="2340"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&lt; 10% = good</w:t>
            </w:r>
          </w:p>
        </w:tc>
        <w:tc>
          <w:tcPr>
            <w:tcW w:w="2385" w:type="dxa"/>
            <w:tcBorders>
              <w:top w:val="nil"/>
              <w:left w:val="nil"/>
              <w:bottom w:val="single" w:sz="4" w:space="0" w:color="CCCCCC"/>
              <w:right w:val="single" w:sz="4"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Good</w:t>
            </w:r>
          </w:p>
        </w:tc>
      </w:tr>
      <w:tr w:rsidR="00A65756">
        <w:trPr>
          <w:trHeight w:val="405"/>
          <w:jc w:val="center"/>
          <w:cantSplit w:val="true"/>
        </w:trPr>
        <w:tc>
          <w:tcPr>
            <w:tcW w:w="2730" w:type="dxa"/>
            <w:tcBorders>
              <w:top w:val="nil"/>
              <w:left w:val="single" w:sz="4" w:space="0" w:color="CCCCCC"/>
              <w:bottom w:val="single" w:sz="4" w:space="0" w:color="CCCCCC"/>
              <w:right w:val="single" w:sz="4"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Calibration Range</w:t>
            </w:r>
          </w:p>
        </w:tc>
        <w:tc>
          <w:tcPr>
            <w:tcW w:w="1890" w:type="dxa"/>
            <w:tcBorders>
              <w:top w:val="nil"/>
              <w:left w:val="nil"/>
              <w:bottom w:val="single" w:sz="4" w:space="0" w:color="CCCCCC"/>
              <w:right w:val="single" w:sz="4"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0.0–1.0</w:t>
            </w:r>
          </w:p>
        </w:tc>
        <w:tc>
          <w:tcPr>
            <w:tcW w:w="2340" w:type="dxa"/>
            <w:tcBorders>
              <w:top w:val="nil"/>
              <w:left w:val="nil"/>
              <w:bottom w:val="single" w:sz="4" w:space="0" w:color="CCCCCC"/>
              <w:right w:val="single" w:sz="4"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Full range covered</w:t>
            </w:r>
          </w:p>
        </w:tc>
        <w:tc>
          <w:tcPr>
            <w:tcW w:w="2385" w:type="dxa"/>
            <w:tcBorders>
              <w:top w:val="nil"/>
              <w:left w:val="nil"/>
              <w:bottom w:val="single" w:sz="4" w:space="0" w:color="CCCCCC"/>
              <w:right w:val="single" w:sz="4"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Complete</w:t>
            </w:r>
          </w:p>
        </w:tc>
      </w:tr>
    </w:tbl>
    <w:p w:rsidR="00A65756" w:rsidRDefault="00000000">
      <w:pPr>
        <w:pStyle w:val="Heading3"/>
        <w:keepNext w:val="0"/>
        <w:keepLines w:val="0"/>
        <w:spacing w:before="240" w:after="120"/>
        <w:jc w:val="left"/>
        <w:rPr>
          <w:rFonts w:ascii="Calibri" w:eastAsia="Calibri" w:hAnsi="Calibri" w:cs="Calibri"/>
          <w:color w:val="2E75B6"/>
        </w:rPr>
      </w:pPr>
      <w:r>
        <w:rPr>
          <w:rFonts w:ascii="Times New Roman" w:eastAsia="Calibri" w:hAnsi="Times New Roman" w:cs="Calibri"/>
          <w:b/>
          <w:i/>
          <w:color w:val="2E75B6"/>
          <w:sz w:val="24"/>
        </w:rPr>
        <w:t>4.13.3 Confusion Matrix (Multi-Threshold Evaluation)</w:t>
      </w:r>
    </w:p>
    <w:p w:rsidR="00A65756" w:rsidRDefault="00000000">
      <w:pPr>
        <w:ind w:firstLine="720"/>
        <w:rPr>
          <w:szCs w:val="24"/>
        </w:rPr>
      </w:pPr>
      <w:r>
        <w:rPr>
          <w:rFonts w:eastAsia="Calibri" w:cs="Calibri"/>
          <w:color w:val="404040"/>
          <w:szCs w:val="24"/>
        </w:rPr>
        <w:t xml:space="preserve">The classification threshold controls how predicted default probabilities are converted into binary decisions. Three thresholds were evaluated to balance </w:t>
      </w:r>
      <w:r>
        <w:rPr>
          <w:rFonts w:eastAsia="Calibri" w:cs="Calibri"/>
          <w:b/>
          <w:bCs/>
          <w:color w:val="404040"/>
          <w:szCs w:val="24"/>
        </w:rPr>
        <w:t>precision</w:t>
      </w:r>
      <w:r>
        <w:rPr>
          <w:rFonts w:eastAsia="Calibri" w:cs="Calibri"/>
          <w:color w:val="404040"/>
          <w:szCs w:val="24"/>
        </w:rPr>
        <w:t xml:space="preserve"> and </w:t>
      </w:r>
      <w:r>
        <w:rPr>
          <w:rFonts w:eastAsia="Calibri" w:cs="Calibri"/>
          <w:b/>
          <w:bCs/>
          <w:color w:val="404040"/>
          <w:szCs w:val="24"/>
        </w:rPr>
        <w:t>recall</w:t>
      </w:r>
      <w:r>
        <w:rPr>
          <w:rFonts w:eastAsia="Calibri" w:cs="Calibri"/>
          <w:color w:val="404040"/>
          <w:szCs w:val="24"/>
        </w:rPr>
        <w:t>:</w:t>
      </w:r>
    </w:p>
    <w:p w:rsidR="00A65756" w:rsidRDefault="00000000">
      <w:pPr>
        <w:spacing w:before="240"/>
        <w:keepNext w:val="true"/>
        <w:jc w:val="left"/>
      </w:pPr>
      <w:r>
        <w:rPr>
          <w:rFonts w:ascii="Times New Roman" w:hAnsi="Times New Roman"/>
          <w:b/>
          <w:sz w:val="24"/>
        </w:rPr>
        <w:t>Figure 18</w:t>
      </w:r>
    </w:p>
    <w:p w:rsidR="00A65756" w:rsidRDefault="00000000">
      <w:pPr>
        <w:spacing w:after="120"/>
        <w:jc w:val="left"/>
        <w:keepNext w:val="true"/>
      </w:pPr>
      <w:r>
        <w:rPr>
          <w:rFonts w:ascii="Times New Roman" w:hAnsi="Times New Roman"/>
          <w:i/>
          <w:sz w:val="24"/>
        </w:rPr>
        <w:t>CatBoost Classifier Confusion Matrix Heatmaps at 0.15 and 0.50 Thresholds</w:t>
      </w:r>
    </w:p>
    <w:p w:rsidR="00A65756" w:rsidRDefault="00000000">
      <w:pPr>
        <w:spacing w:line="240" w:lineRule="auto"/>
        <w:ind w:left="720"/>
        <w:rPr>
          <w:rFonts w:ascii="Calibri" w:eastAsia="Calibri" w:hAnsi="Calibri" w:cs="Calibri"/>
          <w:color w:val="404040"/>
        </w:rPr>
        <w:keepNext w:val="true"/>
        <w:keepLines w:val="true"/>
      </w:pPr>
      <w:r>
        <w:rPr>
          <w:rFonts w:ascii="Courier New" w:eastAsia="Calibri" w:hAnsi="Courier New" w:cs="Calibri"/>
          <w:noProof/>
          <w:color w:val="000000"/>
          <w:sz w:val="20"/>
        </w:rPr>
        <w:drawing>
          <wp:inline distT="114300" distB="114300" distL="114300" distR="114300">
            <wp:extent cx="5876925" cy="224086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7"/>
                    <a:srcRect/>
                    <a:stretch>
                      <a:fillRect/>
                    </a:stretch>
                  </pic:blipFill>
                  <pic:spPr>
                    <a:xfrm>
                      <a:off x="0" y="0"/>
                      <a:ext cx="5876925" cy="2240865"/>
                    </a:xfrm>
                    <a:prstGeom prst="rect">
                      <a:avLst/>
                    </a:prstGeom>
                    <a:ln/>
                  </pic:spPr>
                </pic:pic>
              </a:graphicData>
            </a:graphic>
          </wp:inline>
        </w:drawing>
      </w:r>
    </w:p>
    <w:p w:rsidR="00A65756" w:rsidRDefault="00000000">
      <w:pPr>
        <w:spacing w:before="240"/>
        <w:keepNext w:val="true"/>
        <w:jc w:val="left"/>
      </w:pPr>
      <w:r>
        <w:rPr>
          <w:rFonts w:ascii="Times New Roman" w:hAnsi="Times New Roman"/>
          <w:b/>
          <w:sz w:val="24"/>
        </w:rPr>
        <w:t>Table 16</w:t>
      </w:r>
    </w:p>
    <w:p w:rsidR="00A65756" w:rsidRDefault="00000000">
      <w:pPr>
        <w:spacing w:after="120"/>
        <w:jc w:val="left"/>
        <w:keepNext w:val="true"/>
      </w:pPr>
      <w:r>
        <w:rPr>
          <w:rFonts w:ascii="Times New Roman" w:hAnsi="Times New Roman"/>
          <w:i/>
          <w:sz w:val="24"/>
        </w:rPr>
        <w:t>Confusion Matrix and Metrics across Thresholds</w:t>
      </w:r>
    </w:p>
    <w:tbl>
      <w:tblPr>
        <w:tblStyle w:val="a0"/>
        <w:tblW w:w="9345" w:type="dxa"/>
        <w:jc w:val="center"/>
        <w:tblInd w:w="0" w:type="dxa"/>
        <w:tblLayout w:type="fixed"/>
        <w:tblLook w:val="0600" w:firstRow="0" w:lastRow="0" w:firstColumn="0" w:lastColumn="0" w:noHBand="1"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650"/>
        <w:gridCol w:w="840"/>
        <w:gridCol w:w="720"/>
        <w:gridCol w:w="720"/>
        <w:gridCol w:w="840"/>
        <w:gridCol w:w="1215"/>
        <w:gridCol w:w="1215"/>
        <w:gridCol w:w="1050"/>
        <w:gridCol w:w="1095"/>
      </w:tblGrid>
      <w:tr w:rsidR="00A65756">
        <w:trPr>
          <w:trHeight w:val="645"/>
          <w:jc w:val="center"/>
          <w:cantSplit w:val="true"/>
        </w:trPr>
        <w:tc>
          <w:tcPr>
            <w:tcW w:w="165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Threshold</w:t>
            </w:r>
          </w:p>
        </w:tc>
        <w:tc>
          <w:tcPr>
            <w:tcW w:w="84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TN</w:t>
            </w:r>
          </w:p>
        </w:tc>
        <w:tc>
          <w:tcPr>
            <w:tcW w:w="72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FP</w:t>
            </w:r>
          </w:p>
        </w:tc>
        <w:tc>
          <w:tcPr>
            <w:tcW w:w="72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FN</w:t>
            </w:r>
          </w:p>
        </w:tc>
        <w:tc>
          <w:tcPr>
            <w:tcW w:w="84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TP</w:t>
            </w:r>
          </w:p>
        </w:tc>
        <w:tc>
          <w:tcPr>
            <w:tcW w:w="121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Accuracy</w:t>
            </w:r>
          </w:p>
        </w:tc>
        <w:tc>
          <w:tcPr>
            <w:tcW w:w="121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Precision</w:t>
            </w:r>
          </w:p>
        </w:tc>
        <w:tc>
          <w:tcPr>
            <w:tcW w:w="105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Recall</w:t>
            </w:r>
          </w:p>
        </w:tc>
        <w:tc>
          <w:tcPr>
            <w:tcW w:w="109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F1-Score</w:t>
            </w:r>
          </w:p>
        </w:tc>
      </w:tr>
      <w:tr w:rsidR="00A65756">
        <w:trPr>
          <w:trHeight w:val="645"/>
          <w:jc w:val="center"/>
          <w:cantSplit w:val="true"/>
        </w:trPr>
        <w:tc>
          <w:tcPr>
            <w:tcW w:w="1650" w:type="dxa"/>
            <w:tcBorders>
              <w:top w:val="nil"/>
              <w:left w:val="single" w:sz="8" w:space="0" w:color="CCCCCC"/>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lastRenderedPageBreak/>
              <w:t>0.24 (Aggressive)</w:t>
            </w:r>
          </w:p>
        </w:tc>
        <w:tc>
          <w:tcPr>
            <w:tcW w:w="84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4,430</w:t>
            </w:r>
          </w:p>
        </w:tc>
        <w:tc>
          <w:tcPr>
            <w:tcW w:w="72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157</w:t>
            </w:r>
          </w:p>
        </w:tc>
        <w:tc>
          <w:tcPr>
            <w:tcW w:w="72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286</w:t>
            </w:r>
          </w:p>
        </w:tc>
        <w:tc>
          <w:tcPr>
            <w:tcW w:w="84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1,041</w:t>
            </w:r>
          </w:p>
        </w:tc>
        <w:tc>
          <w:tcPr>
            <w:tcW w:w="121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92.51%</w:t>
            </w:r>
          </w:p>
        </w:tc>
        <w:tc>
          <w:tcPr>
            <w:tcW w:w="121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86.89%</w:t>
            </w:r>
          </w:p>
        </w:tc>
        <w:tc>
          <w:tcPr>
            <w:tcW w:w="105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78.45%</w:t>
            </w:r>
          </w:p>
        </w:tc>
        <w:tc>
          <w:tcPr>
            <w:tcW w:w="109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0.8246</w:t>
            </w:r>
          </w:p>
        </w:tc>
      </w:tr>
      <w:tr w:rsidR="00A65756">
        <w:trPr>
          <w:trHeight w:val="645"/>
          <w:jc w:val="center"/>
          <w:cantSplit w:val="true"/>
        </w:trPr>
        <w:tc>
          <w:tcPr>
            <w:tcW w:w="16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0.50 (Balanced)</w:t>
            </w:r>
          </w:p>
        </w:tc>
        <w:tc>
          <w:tcPr>
            <w:tcW w:w="84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4,578</w:t>
            </w:r>
          </w:p>
        </w:tc>
        <w:tc>
          <w:tcPr>
            <w:tcW w:w="72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9</w:t>
            </w:r>
          </w:p>
        </w:tc>
        <w:tc>
          <w:tcPr>
            <w:tcW w:w="72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359</w:t>
            </w:r>
          </w:p>
        </w:tc>
        <w:tc>
          <w:tcPr>
            <w:tcW w:w="84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968</w:t>
            </w:r>
          </w:p>
        </w:tc>
        <w:tc>
          <w:tcPr>
            <w:tcW w:w="121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93.78%</w:t>
            </w:r>
          </w:p>
        </w:tc>
        <w:tc>
          <w:tcPr>
            <w:tcW w:w="121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99.08%</w:t>
            </w:r>
          </w:p>
        </w:tc>
        <w:tc>
          <w:tcPr>
            <w:tcW w:w="105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72.95%</w:t>
            </w:r>
          </w:p>
        </w:tc>
        <w:tc>
          <w:tcPr>
            <w:tcW w:w="109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0.8403</w:t>
            </w:r>
          </w:p>
        </w:tc>
      </w:tr>
      <w:tr w:rsidR="00A65756">
        <w:trPr>
          <w:trHeight w:val="645"/>
          <w:jc w:val="center"/>
          <w:cantSplit w:val="true"/>
        </w:trPr>
        <w:tc>
          <w:tcPr>
            <w:tcW w:w="1650" w:type="dxa"/>
            <w:tcBorders>
              <w:top w:val="nil"/>
              <w:left w:val="single" w:sz="8" w:space="0" w:color="CCCCCC"/>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0.75 (Conservative)</w:t>
            </w:r>
          </w:p>
        </w:tc>
        <w:tc>
          <w:tcPr>
            <w:tcW w:w="84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4,586</w:t>
            </w:r>
          </w:p>
        </w:tc>
        <w:tc>
          <w:tcPr>
            <w:tcW w:w="72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1</w:t>
            </w:r>
          </w:p>
        </w:tc>
        <w:tc>
          <w:tcPr>
            <w:tcW w:w="72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394</w:t>
            </w:r>
          </w:p>
        </w:tc>
        <w:tc>
          <w:tcPr>
            <w:tcW w:w="84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933</w:t>
            </w:r>
          </w:p>
        </w:tc>
        <w:tc>
          <w:tcPr>
            <w:tcW w:w="121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93.32%</w:t>
            </w:r>
          </w:p>
        </w:tc>
        <w:tc>
          <w:tcPr>
            <w:tcW w:w="121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99.89%</w:t>
            </w:r>
          </w:p>
        </w:tc>
        <w:tc>
          <w:tcPr>
            <w:tcW w:w="105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70.31%</w:t>
            </w:r>
          </w:p>
        </w:tc>
        <w:tc>
          <w:tcPr>
            <w:tcW w:w="109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0.8253</w:t>
            </w:r>
          </w:p>
        </w:tc>
      </w:tr>
    </w:tbl>
    <w:p w:rsidR="00A65756" w:rsidRDefault="00000000">
      <w:pPr>
        <w:ind w:firstLine="720"/>
        <w:rPr>
          <w:rFonts w:ascii="Calibri" w:eastAsia="Calibri" w:hAnsi="Calibri" w:cs="Calibri"/>
          <w:color w:val="404040"/>
          <w:szCs w:val="24"/>
        </w:rPr>
      </w:pPr>
      <w:r>
        <w:rPr>
          <w:rFonts w:eastAsia="Calibri" w:cs="Calibri"/>
          <w:color w:val="404040"/>
          <w:szCs w:val="24"/>
        </w:rPr>
        <w:t xml:space="preserve">Interpretation: </w:t>
      </w:r>
    </w:p>
    <w:p w:rsidR="00A65756" w:rsidRDefault="00000000">
      <w:pPr>
        <w:numPr>
          <w:ilvl w:val="0"/>
          <w:numId w:val="17"/>
        </w:numPr>
        <w:ind w:left="0" w:firstLine="720"/>
        <w:rPr>
          <w:rFonts w:ascii="Calibri" w:eastAsia="Calibri" w:hAnsi="Calibri" w:cs="Calibri"/>
          <w:color w:val="404040"/>
          <w:szCs w:val="24"/>
        </w:rPr>
      </w:pPr>
      <w:r>
        <w:rPr>
          <w:rFonts w:eastAsia="Calibri" w:cs="Calibri"/>
          <w:b/>
          <w:bCs/>
          <w:color w:val="404040"/>
          <w:szCs w:val="24"/>
        </w:rPr>
        <w:t>0.24 (Aggressive):</w:t>
      </w:r>
      <w:r>
        <w:rPr>
          <w:rFonts w:eastAsia="Calibri" w:cs="Calibri"/>
          <w:color w:val="404040"/>
          <w:szCs w:val="24"/>
        </w:rPr>
        <w:t xml:space="preserve"> Achieved the highest recall (</w:t>
      </w:r>
      <w:r>
        <w:rPr>
          <w:rFonts w:eastAsia="Calibri" w:cs="Calibri"/>
          <w:b/>
          <w:bCs/>
          <w:color w:val="404040"/>
          <w:szCs w:val="24"/>
        </w:rPr>
        <w:t>78.45%</w:t>
      </w:r>
      <w:r>
        <w:rPr>
          <w:rFonts w:eastAsia="Calibri" w:cs="Calibri"/>
          <w:color w:val="404040"/>
          <w:szCs w:val="24"/>
        </w:rPr>
        <w:t>), identifying more defaulters but generating more false positives (</w:t>
      </w:r>
      <w:r>
        <w:rPr>
          <w:rFonts w:eastAsia="Calibri" w:cs="Calibri"/>
          <w:b/>
          <w:bCs/>
          <w:color w:val="404040"/>
          <w:szCs w:val="24"/>
        </w:rPr>
        <w:t>157</w:t>
      </w:r>
      <w:r>
        <w:rPr>
          <w:rFonts w:eastAsia="Calibri" w:cs="Calibri"/>
          <w:color w:val="404040"/>
          <w:szCs w:val="24"/>
        </w:rPr>
        <w:t>). Suitable for risk-averse lending strategies.</w:t>
      </w:r>
    </w:p>
    <w:p w:rsidR="00A65756" w:rsidRDefault="00000000">
      <w:pPr>
        <w:numPr>
          <w:ilvl w:val="0"/>
          <w:numId w:val="17"/>
        </w:numPr>
        <w:ind w:left="0" w:firstLine="720"/>
        <w:rPr>
          <w:rFonts w:ascii="Calibri" w:eastAsia="Calibri" w:hAnsi="Calibri" w:cs="Calibri"/>
          <w:color w:val="404040"/>
          <w:szCs w:val="24"/>
        </w:rPr>
      </w:pPr>
      <w:r>
        <w:rPr>
          <w:rFonts w:eastAsia="Calibri" w:cs="Calibri"/>
          <w:b/>
          <w:bCs/>
          <w:color w:val="404040"/>
          <w:szCs w:val="24"/>
        </w:rPr>
        <w:t>0.50 (Balanced):</w:t>
      </w:r>
      <w:r>
        <w:rPr>
          <w:rFonts w:eastAsia="Calibri" w:cs="Calibri"/>
          <w:color w:val="404040"/>
          <w:szCs w:val="24"/>
        </w:rPr>
        <w:t xml:space="preserve"> Delivered the best overall performance with the highest </w:t>
      </w:r>
      <w:r>
        <w:rPr>
          <w:rFonts w:eastAsia="Calibri" w:cs="Calibri"/>
          <w:b/>
          <w:bCs/>
          <w:color w:val="404040"/>
          <w:szCs w:val="24"/>
        </w:rPr>
        <w:t>F1-score (0.8403)</w:t>
      </w:r>
      <w:r>
        <w:rPr>
          <w:rFonts w:eastAsia="Calibri" w:cs="Calibri"/>
          <w:color w:val="404040"/>
          <w:szCs w:val="24"/>
        </w:rPr>
        <w:t xml:space="preserve"> and </w:t>
      </w:r>
      <w:r>
        <w:rPr>
          <w:rFonts w:eastAsia="Calibri" w:cs="Calibri"/>
          <w:b/>
          <w:bCs/>
          <w:color w:val="404040"/>
          <w:szCs w:val="24"/>
        </w:rPr>
        <w:t>accuracy (93.78%)</w:t>
      </w:r>
      <w:r>
        <w:rPr>
          <w:rFonts w:eastAsia="Calibri" w:cs="Calibri"/>
          <w:color w:val="404040"/>
          <w:szCs w:val="24"/>
        </w:rPr>
        <w:t>, while keeping false positives low (</w:t>
      </w:r>
      <w:r>
        <w:rPr>
          <w:rFonts w:eastAsia="Calibri" w:cs="Calibri"/>
          <w:b/>
          <w:bCs/>
          <w:color w:val="404040"/>
          <w:szCs w:val="24"/>
        </w:rPr>
        <w:t>9</w:t>
      </w:r>
      <w:r>
        <w:rPr>
          <w:rFonts w:eastAsia="Calibri" w:cs="Calibri"/>
          <w:color w:val="404040"/>
          <w:szCs w:val="24"/>
        </w:rPr>
        <w:t>) and maintaining strong recall (</w:t>
      </w:r>
      <w:r>
        <w:rPr>
          <w:rFonts w:eastAsia="Calibri" w:cs="Calibri"/>
          <w:b/>
          <w:bCs/>
          <w:color w:val="404040"/>
          <w:szCs w:val="24"/>
        </w:rPr>
        <w:t>72.95%</w:t>
      </w:r>
      <w:r>
        <w:rPr>
          <w:rFonts w:eastAsia="Calibri" w:cs="Calibri"/>
          <w:color w:val="404040"/>
          <w:szCs w:val="24"/>
        </w:rPr>
        <w:t>). This represents the optimal threshold for most credit risk applications.</w:t>
      </w:r>
    </w:p>
    <w:p w:rsidR="00A65756" w:rsidRDefault="00000000">
      <w:pPr>
        <w:numPr>
          <w:ilvl w:val="0"/>
          <w:numId w:val="17"/>
        </w:numPr>
        <w:ind w:left="0" w:firstLine="720"/>
        <w:rPr>
          <w:rFonts w:ascii="Calibri" w:eastAsia="Calibri" w:hAnsi="Calibri" w:cs="Calibri"/>
          <w:color w:val="404040"/>
          <w:szCs w:val="24"/>
        </w:rPr>
      </w:pPr>
      <w:r>
        <w:rPr>
          <w:rFonts w:eastAsia="Calibri" w:cs="Calibri"/>
          <w:b/>
          <w:bCs/>
          <w:color w:val="404040"/>
          <w:szCs w:val="24"/>
        </w:rPr>
        <w:t>0.75 (Conservative):</w:t>
      </w:r>
      <w:r>
        <w:rPr>
          <w:rFonts w:eastAsia="Calibri" w:cs="Calibri"/>
          <w:color w:val="404040"/>
          <w:szCs w:val="24"/>
        </w:rPr>
        <w:t xml:space="preserve"> Produced near-perfect precision (</w:t>
      </w:r>
      <w:r>
        <w:rPr>
          <w:rFonts w:eastAsia="Calibri" w:cs="Calibri"/>
          <w:b/>
          <w:bCs/>
          <w:color w:val="404040"/>
          <w:szCs w:val="24"/>
        </w:rPr>
        <w:t>99.89%</w:t>
      </w:r>
      <w:r>
        <w:rPr>
          <w:rFonts w:eastAsia="Calibri" w:cs="Calibri"/>
          <w:color w:val="404040"/>
          <w:szCs w:val="24"/>
        </w:rPr>
        <w:t xml:space="preserve">) with only </w:t>
      </w:r>
      <w:r>
        <w:rPr>
          <w:rFonts w:eastAsia="Calibri" w:cs="Calibri"/>
          <w:b/>
          <w:bCs/>
          <w:color w:val="404040"/>
          <w:szCs w:val="24"/>
        </w:rPr>
        <w:t>1 false positive</w:t>
      </w:r>
      <w:r>
        <w:rPr>
          <w:rFonts w:eastAsia="Calibri" w:cs="Calibri"/>
          <w:color w:val="404040"/>
          <w:szCs w:val="24"/>
        </w:rPr>
        <w:t xml:space="preserve">, but reduced recall to </w:t>
      </w:r>
      <w:r>
        <w:rPr>
          <w:rFonts w:eastAsia="Calibri" w:cs="Calibri"/>
          <w:b/>
          <w:bCs/>
          <w:color w:val="404040"/>
          <w:szCs w:val="24"/>
        </w:rPr>
        <w:t>70.31%</w:t>
      </w:r>
      <w:r>
        <w:rPr>
          <w:rFonts w:eastAsia="Calibri" w:cs="Calibri"/>
          <w:color w:val="404040"/>
          <w:szCs w:val="24"/>
        </w:rPr>
        <w:t>, resulting in more missed defaults. Appropriate when false positives are extremely costly.</w:t>
      </w:r>
    </w:p>
    <w:p w:rsidR="00A65756" w:rsidRDefault="00000000">
      <w:pPr>
        <w:ind w:firstLine="720"/>
        <w:rPr>
          <w:rFonts w:ascii="Calibri" w:eastAsia="Calibri" w:hAnsi="Calibri" w:cs="Calibri"/>
          <w:color w:val="404040"/>
          <w:szCs w:val="24"/>
        </w:rPr>
      </w:pPr>
      <w:r>
        <w:rPr>
          <w:rFonts w:eastAsia="Calibri" w:cs="Calibri"/>
          <w:color w:val="404040"/>
          <w:szCs w:val="24"/>
        </w:rPr>
        <w:t xml:space="preserve">Overall, the </w:t>
      </w:r>
      <w:r>
        <w:rPr>
          <w:rFonts w:eastAsia="Calibri" w:cs="Calibri"/>
          <w:b/>
          <w:bCs/>
          <w:color w:val="404040"/>
          <w:szCs w:val="24"/>
        </w:rPr>
        <w:t>0.50 threshold</w:t>
      </w:r>
      <w:r>
        <w:rPr>
          <w:rFonts w:eastAsia="Calibri" w:cs="Calibri"/>
          <w:color w:val="404040"/>
          <w:szCs w:val="24"/>
        </w:rPr>
        <w:t xml:space="preserve"> provides the most effective balance between identifying defaulters and minimizing incorrect rejections of creditworthy borrowers.</w:t>
      </w:r>
    </w:p>
    <w:p w:rsidR="00A65756" w:rsidRDefault="00000000">
      <w:pPr>
        <w:pStyle w:val="Heading3"/>
        <w:keepNext w:val="0"/>
        <w:keepLines w:val="0"/>
        <w:spacing w:before="240" w:after="120"/>
        <w:jc w:val="left"/>
      </w:pPr>
      <w:bookmarkStart w:id="10" w:name="_qtqr5n2bbftg" w:colFirst="0" w:colLast="0"/>
      <w:bookmarkEnd w:id="10"/>
      <w:r>
        <w:rPr>
          <w:rFonts w:ascii="Times New Roman" w:eastAsia="Calibri" w:hAnsi="Times New Roman" w:cs="Calibri"/>
          <w:b/>
          <w:i/>
          <w:color w:val="2E75B6"/>
          <w:sz w:val="24"/>
        </w:rPr>
        <w:t>4.13.4 Error Analysis by Segments</w:t>
      </w:r>
    </w:p>
    <w:p w:rsidR="00A65756" w:rsidRDefault="00000000">
      <w:pPr>
        <w:ind w:firstLine="720"/>
        <w:rPr>
          <w:rFonts w:ascii="Calibri" w:eastAsia="Calibri" w:hAnsi="Calibri" w:cs="Calibri"/>
        </w:rPr>
      </w:pPr>
      <w:r>
        <w:rPr>
          <w:rFonts w:eastAsia="Calibri" w:cs="Calibri"/>
        </w:rPr>
        <w:t xml:space="preserve">Model performance was evaluated across loan grades (A–G) to determine whether predictive accuracy varied by borrower risk level. Overall accuracy remained consistently high across all grades, ranging from </w:t>
      </w:r>
      <w:r>
        <w:rPr>
          <w:rFonts w:eastAsia="Calibri" w:cs="Calibri"/>
          <w:b/>
          <w:bCs/>
        </w:rPr>
        <w:t>89.70% to 100.00%</w:t>
      </w:r>
      <w:r>
        <w:rPr>
          <w:rFonts w:eastAsia="Calibri" w:cs="Calibri"/>
        </w:rPr>
        <w:t xml:space="preserve">, with an average accuracy of </w:t>
      </w:r>
      <w:r>
        <w:rPr>
          <w:rFonts w:eastAsia="Calibri" w:cs="Calibri"/>
          <w:b/>
          <w:bCs/>
        </w:rPr>
        <w:t>94.43%</w:t>
      </w:r>
      <w:r>
        <w:rPr>
          <w:rFonts w:eastAsia="Calibri" w:cs="Calibri"/>
        </w:rPr>
        <w:t>.</w:t>
      </w:r>
    </w:p>
    <w:p w:rsidR="00A65756" w:rsidRDefault="00000000">
      <w:pPr>
        <w:spacing w:before="240"/>
        <w:keepNext w:val="true"/>
        <w:jc w:val="left"/>
      </w:pPr>
      <w:r>
        <w:rPr>
          <w:rFonts w:ascii="Times New Roman" w:hAnsi="Times New Roman"/>
          <w:b/>
          <w:sz w:val="24"/>
        </w:rPr>
        <w:t>Figure 19</w:t>
      </w:r>
    </w:p>
    <w:p w:rsidR="00A65756" w:rsidRDefault="00000000" w:rsidP="00EB5DF6">
      <w:pPr>
        <w:spacing w:after="120"/>
        <w:jc w:val="left"/>
        <w:keepNext w:val="true"/>
        <w:keepLines w:val="true"/>
      </w:pPr>
      <w:r>
        <w:rPr>
          <w:rFonts w:ascii="Times New Roman" w:hAnsi="Times New Roman"/>
          <w:i/>
          <w:sz w:val="24"/>
        </w:rPr>
        <w:lastRenderedPageBreak/>
        <w:t>Classification Accuracy and Error Analysis by Loan Grade</w:t>
      </w:r>
      <w:bookmarkStart w:id="11" w:name="_5o81gp8agmx8" w:colFirst="0" w:colLast="0"/>
      <w:bookmarkEnd w:id="11"/>
      <w:r>
        <w:rPr>
          <w:rFonts w:ascii="Times New Roman" w:eastAsia="Calibri" w:hAnsi="Times New Roman" w:cs="Calibri"/>
          <w:i/>
          <w:noProof/>
          <w:color w:val="000000"/>
          <w:sz w:val="24"/>
        </w:rPr>
        <w:drawing>
          <wp:inline distT="114300" distB="114300" distL="114300" distR="114300">
            <wp:extent cx="6586538" cy="230338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11" name="image2.png"/>
                    <pic:cNvPicPr preferRelativeResize="0"/>
                  </pic:nvPicPr>
                  <pic:blipFill>
                    <a:blip r:embed="rId18"/>
                    <a:srcRect/>
                    <a:stretch>
                      <a:fillRect/>
                    </a:stretch>
                  </pic:blipFill>
                  <pic:spPr>
                    <a:xfrm>
                      <a:off x="0" y="0"/>
                      <a:ext cx="6586538" cy="2303385"/>
                    </a:xfrm>
                    <a:prstGeom prst="rect">
                      <a:avLst/>
                    </a:prstGeom>
                    <a:ln/>
                  </pic:spPr>
                </pic:pic>
              </a:graphicData>
            </a:graphic>
          </wp:inline>
        </w:drawing>
      </w:r>
    </w:p>
    <w:p w:rsidR="00A65756" w:rsidRDefault="00000000">
      <w:pPr>
        <w:ind w:firstLine="720"/>
        <w:rPr>
          <w:rFonts w:ascii="Calibri" w:eastAsia="Calibri" w:hAnsi="Calibri" w:cs="Calibri"/>
          <w:szCs w:val="24"/>
        </w:rPr>
      </w:pPr>
      <w:r>
        <w:rPr>
          <w:rFonts w:eastAsia="Calibri" w:cs="Calibri"/>
          <w:szCs w:val="24"/>
        </w:rPr>
        <w:t>Key observations include:</w:t>
      </w:r>
    </w:p>
    <w:p w:rsidR="00A65756" w:rsidRDefault="00000000">
      <w:pPr>
        <w:numPr>
          <w:ilvl w:val="0"/>
          <w:numId w:val="18"/>
        </w:numPr>
        <w:ind w:left="0" w:firstLine="720"/>
        <w:rPr>
          <w:szCs w:val="24"/>
        </w:rPr>
      </w:pPr>
      <w:r>
        <w:rPr>
          <w:rFonts w:eastAsia="Calibri" w:cs="Calibri"/>
          <w:b/>
          <w:bCs/>
          <w:szCs w:val="24"/>
        </w:rPr>
        <w:t>Grade A</w:t>
      </w:r>
      <w:r>
        <w:rPr>
          <w:rFonts w:eastAsia="Calibri" w:cs="Calibri"/>
          <w:szCs w:val="24"/>
        </w:rPr>
        <w:t xml:space="preserve"> achieved strong performance (</w:t>
      </w:r>
      <w:r>
        <w:rPr>
          <w:rFonts w:eastAsia="Calibri" w:cs="Calibri"/>
          <w:b/>
          <w:bCs/>
          <w:szCs w:val="24"/>
        </w:rPr>
        <w:t>96.41% accuracy</w:t>
      </w:r>
      <w:r>
        <w:rPr>
          <w:rFonts w:eastAsia="Calibri" w:cs="Calibri"/>
          <w:szCs w:val="24"/>
        </w:rPr>
        <w:t>) due to its low default rate (</w:t>
      </w:r>
      <w:r>
        <w:rPr>
          <w:rFonts w:eastAsia="Calibri" w:cs="Calibri"/>
          <w:b/>
          <w:bCs/>
          <w:szCs w:val="24"/>
        </w:rPr>
        <w:t>10.20%</w:t>
      </w:r>
      <w:r>
        <w:rPr>
          <w:rFonts w:eastAsia="Calibri" w:cs="Calibri"/>
          <w:szCs w:val="24"/>
        </w:rPr>
        <w:t>) and clear separation between default and non-default borrowers.</w:t>
      </w:r>
    </w:p>
    <w:p w:rsidR="00A65756" w:rsidRDefault="00000000">
      <w:pPr>
        <w:numPr>
          <w:ilvl w:val="0"/>
          <w:numId w:val="18"/>
        </w:numPr>
        <w:ind w:left="0" w:firstLine="720"/>
        <w:rPr>
          <w:szCs w:val="24"/>
        </w:rPr>
      </w:pPr>
      <w:r>
        <w:rPr>
          <w:rFonts w:eastAsia="Calibri" w:cs="Calibri"/>
          <w:b/>
          <w:bCs/>
          <w:szCs w:val="24"/>
        </w:rPr>
        <w:t>Grade C</w:t>
      </w:r>
      <w:r>
        <w:rPr>
          <w:rFonts w:eastAsia="Calibri" w:cs="Calibri"/>
          <w:szCs w:val="24"/>
        </w:rPr>
        <w:t xml:space="preserve"> was the most challenging segment (</w:t>
      </w:r>
      <w:r>
        <w:rPr>
          <w:rFonts w:eastAsia="Calibri" w:cs="Calibri"/>
          <w:b/>
          <w:bCs/>
          <w:szCs w:val="24"/>
        </w:rPr>
        <w:t>89.70% accuracy</w:t>
      </w:r>
      <w:r>
        <w:rPr>
          <w:rFonts w:eastAsia="Calibri" w:cs="Calibri"/>
          <w:szCs w:val="24"/>
        </w:rPr>
        <w:t>), as its moderate default rate (</w:t>
      </w:r>
      <w:r>
        <w:rPr>
          <w:rFonts w:eastAsia="Calibri" w:cs="Calibri"/>
          <w:b/>
          <w:bCs/>
          <w:szCs w:val="24"/>
        </w:rPr>
        <w:t>20.86%</w:t>
      </w:r>
      <w:r>
        <w:rPr>
          <w:rFonts w:eastAsia="Calibri" w:cs="Calibri"/>
          <w:szCs w:val="24"/>
        </w:rPr>
        <w:t>) created greater overlap between classes.</w:t>
      </w:r>
    </w:p>
    <w:p w:rsidR="00A65756" w:rsidRDefault="00000000">
      <w:pPr>
        <w:numPr>
          <w:ilvl w:val="0"/>
          <w:numId w:val="18"/>
        </w:numPr>
        <w:ind w:left="0" w:firstLine="720"/>
        <w:rPr>
          <w:szCs w:val="24"/>
        </w:rPr>
      </w:pPr>
      <w:r>
        <w:rPr>
          <w:rFonts w:eastAsia="Calibri" w:cs="Calibri"/>
          <w:b/>
          <w:bCs/>
          <w:szCs w:val="24"/>
        </w:rPr>
        <w:t>Grades E–G</w:t>
      </w:r>
      <w:r>
        <w:rPr>
          <w:rFonts w:eastAsia="Calibri" w:cs="Calibri"/>
          <w:szCs w:val="24"/>
        </w:rPr>
        <w:t xml:space="preserve"> showed very high accuracy (</w:t>
      </w:r>
      <w:r>
        <w:rPr>
          <w:rFonts w:eastAsia="Calibri" w:cs="Calibri"/>
          <w:b/>
          <w:bCs/>
          <w:szCs w:val="24"/>
        </w:rPr>
        <w:t>91.67%–100.00%</w:t>
      </w:r>
      <w:r>
        <w:rPr>
          <w:rFonts w:eastAsia="Calibri" w:cs="Calibri"/>
          <w:szCs w:val="24"/>
        </w:rPr>
        <w:t>) because defaults dominate these segments, making classification more straightforward.</w:t>
      </w:r>
    </w:p>
    <w:p w:rsidR="00A65756" w:rsidRDefault="00000000">
      <w:pPr>
        <w:numPr>
          <w:ilvl w:val="0"/>
          <w:numId w:val="18"/>
        </w:numPr>
        <w:ind w:left="0" w:firstLine="720"/>
        <w:rPr>
          <w:szCs w:val="24"/>
        </w:rPr>
      </w:pPr>
      <w:r>
        <w:rPr>
          <w:rFonts w:eastAsia="Calibri" w:cs="Calibri"/>
          <w:szCs w:val="24"/>
        </w:rPr>
        <w:t xml:space="preserve">Although </w:t>
      </w:r>
      <w:r>
        <w:rPr>
          <w:rFonts w:eastAsia="Calibri" w:cs="Calibri"/>
          <w:b/>
          <w:bCs/>
          <w:szCs w:val="24"/>
        </w:rPr>
        <w:t>Grade G</w:t>
      </w:r>
      <w:r>
        <w:rPr>
          <w:rFonts w:eastAsia="Calibri" w:cs="Calibri"/>
          <w:szCs w:val="24"/>
        </w:rPr>
        <w:t xml:space="preserve"> achieved </w:t>
      </w:r>
      <w:r>
        <w:rPr>
          <w:rFonts w:eastAsia="Calibri" w:cs="Calibri"/>
          <w:b/>
          <w:bCs/>
          <w:szCs w:val="24"/>
        </w:rPr>
        <w:t>100% accuracy</w:t>
      </w:r>
      <w:r>
        <w:rPr>
          <w:rFonts w:eastAsia="Calibri" w:cs="Calibri"/>
          <w:szCs w:val="24"/>
        </w:rPr>
        <w:t xml:space="preserve">, the result is based on only </w:t>
      </w:r>
      <w:r>
        <w:rPr>
          <w:rFonts w:eastAsia="Calibri" w:cs="Calibri"/>
          <w:b/>
          <w:bCs/>
          <w:szCs w:val="24"/>
        </w:rPr>
        <w:t>12 samples</w:t>
      </w:r>
      <w:r>
        <w:rPr>
          <w:rFonts w:eastAsia="Calibri" w:cs="Calibri"/>
          <w:szCs w:val="24"/>
        </w:rPr>
        <w:t xml:space="preserve"> and should be interpreted cautiously.</w:t>
      </w:r>
    </w:p>
    <w:p w:rsidR="00A65756" w:rsidRDefault="00000000">
      <w:pPr>
        <w:ind w:firstLine="720"/>
        <w:rPr>
          <w:rFonts w:ascii="Calibri" w:eastAsia="Calibri" w:hAnsi="Calibri" w:cs="Calibri"/>
          <w:szCs w:val="24"/>
        </w:rPr>
      </w:pPr>
      <w:r>
        <w:rPr>
          <w:rFonts w:eastAsia="Calibri" w:cs="Calibri"/>
          <w:szCs w:val="24"/>
        </w:rPr>
        <w:t xml:space="preserve">The grade distribution was highly imbalanced, with </w:t>
      </w:r>
      <w:r>
        <w:rPr>
          <w:rFonts w:eastAsia="Calibri" w:cs="Calibri"/>
          <w:b/>
          <w:bCs/>
          <w:szCs w:val="24"/>
        </w:rPr>
        <w:t>Grades A and B accounting for most test cases</w:t>
      </w:r>
      <w:r>
        <w:rPr>
          <w:rFonts w:eastAsia="Calibri" w:cs="Calibri"/>
          <w:szCs w:val="24"/>
        </w:rPr>
        <w:t xml:space="preserve">, while </w:t>
      </w:r>
      <w:r>
        <w:rPr>
          <w:rFonts w:eastAsia="Calibri" w:cs="Calibri"/>
          <w:b/>
          <w:bCs/>
          <w:szCs w:val="24"/>
        </w:rPr>
        <w:t>Grades F and G contained very few observations.</w:t>
      </w:r>
      <w:r>
        <w:rPr>
          <w:rFonts w:eastAsia="Calibri" w:cs="Calibri"/>
          <w:szCs w:val="24"/>
        </w:rPr>
        <w:t xml:space="preserve"> Consequently, performance estimates for the highest-risk grades are less reliable due to limited sample sizes.</w:t>
      </w:r>
    </w:p>
    <w:p w:rsidR="006D11D0" w:rsidRDefault="00000000" w:rsidP="006D11D0">
      <w:pPr>
        <w:ind w:firstLine="720"/>
        <w:rPr>
          <w:rFonts w:eastAsia="Calibri" w:cs="Calibri"/>
          <w:szCs w:val="24"/>
        </w:rPr>
      </w:pPr>
      <w:r>
        <w:rPr>
          <w:rFonts w:eastAsia="Calibri" w:cs="Calibri"/>
          <w:szCs w:val="24"/>
        </w:rPr>
        <w:t xml:space="preserve">Overall, the model demonstrated robust and stable performance across all risk segments, maintaining accuracy above </w:t>
      </w:r>
      <w:r>
        <w:rPr>
          <w:rFonts w:eastAsia="Calibri" w:cs="Calibri"/>
          <w:b/>
          <w:bCs/>
          <w:szCs w:val="24"/>
        </w:rPr>
        <w:t>89%</w:t>
      </w:r>
      <w:r>
        <w:rPr>
          <w:rFonts w:eastAsia="Calibri" w:cs="Calibri"/>
          <w:szCs w:val="24"/>
        </w:rPr>
        <w:t xml:space="preserve"> for every loan grade.</w:t>
      </w:r>
    </w:p>
    <w:p w:rsidR="006D11D0" w:rsidRPr="006D11D0" w:rsidRDefault="006D11D0" w:rsidP="006D11D0">
      <w:pPr>
        <w:rPr>
          <w:rFonts w:eastAsia="Calibri" w:cs="Calibri"/>
          <w:szCs w:val="24"/>
        </w:rPr>
      </w:pPr>
    </w:p>
    <w:p w:rsidR="00A65756" w:rsidRDefault="00000000">
      <w:pPr>
        <w:pStyle w:val="Heading3"/>
        <w:keepNext w:val="0"/>
        <w:keepLines w:val="0"/>
        <w:spacing w:before="240" w:after="120"/>
        <w:jc w:val="left"/>
        <w:rPr>
          <w:rFonts w:ascii="Calibri" w:eastAsia="Calibri" w:hAnsi="Calibri" w:cs="Calibri"/>
          <w:color w:val="2E75B6"/>
        </w:rPr>
      </w:pPr>
      <w:r>
        <w:rPr>
          <w:rFonts w:ascii="Times New Roman" w:eastAsia="Calibri" w:hAnsi="Times New Roman" w:cs="Calibri"/>
          <w:b/>
          <w:i/>
          <w:color w:val="2E75B6"/>
          <w:sz w:val="24"/>
        </w:rPr>
        <w:t>4.13.5 Feature Importance – SHAP Analysis (Classification)</w:t>
      </w:r>
    </w:p>
    <w:p w:rsidR="00A65756" w:rsidRDefault="00000000">
      <w:pPr>
        <w:spacing w:before="240"/>
        <w:keepNext w:val="true"/>
        <w:jc w:val="left"/>
      </w:pPr>
      <w:r>
        <w:rPr>
          <w:rFonts w:ascii="Times New Roman" w:hAnsi="Times New Roman"/>
          <w:b/>
          <w:sz w:val="24"/>
        </w:rPr>
        <w:t>Figure 20</w:t>
      </w:r>
    </w:p>
    <w:p w:rsidR="00A65756" w:rsidRDefault="00000000">
      <w:pPr>
        <w:spacing w:after="120"/>
        <w:jc w:val="left"/>
        <w:keepNext w:val="true"/>
      </w:pPr>
      <w:r>
        <w:rPr>
          <w:rFonts w:ascii="Times New Roman" w:hAnsi="Times New Roman"/>
          <w:i/>
          <w:sz w:val="24"/>
        </w:rPr>
        <w:t>SHAP Bee Swarm Summary Plot for CatBoost Classifier</w:t>
      </w:r>
    </w:p>
    <w:p w:rsidR="00A65756" w:rsidRDefault="00000000">
      <w:pPr>
        <w:spacing w:line="240" w:lineRule="auto"/>
        <w:ind w:left="720"/>
        <w:keepNext w:val="true"/>
        <w:keepLines w:val="true"/>
      </w:pPr>
      <w:r>
        <w:rPr>
          <w:rFonts w:ascii="Courier New" w:hAnsi="Courier New"/>
          <w:noProof/>
          <w:color w:val="000000"/>
          <w:sz w:val="20"/>
        </w:rPr>
        <w:drawing>
          <wp:inline distT="114300" distB="114300" distL="114300" distR="114300">
            <wp:extent cx="3447181" cy="323965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19"/>
                    <a:srcRect/>
                    <a:stretch>
                      <a:fillRect/>
                    </a:stretch>
                  </pic:blipFill>
                  <pic:spPr>
                    <a:xfrm>
                      <a:off x="0" y="0"/>
                      <a:ext cx="3447181" cy="3239658"/>
                    </a:xfrm>
                    <a:prstGeom prst="rect">
                      <a:avLst/>
                    </a:prstGeom>
                    <a:ln/>
                  </pic:spPr>
                </pic:pic>
              </a:graphicData>
            </a:graphic>
          </wp:inline>
        </w:drawing>
      </w:r>
    </w:p>
    <w:p w:rsidR="00A65756" w:rsidRDefault="00000000">
      <w:pPr>
        <w:spacing w:before="240"/>
        <w:keepNext w:val="true"/>
        <w:jc w:val="left"/>
      </w:pPr>
      <w:r>
        <w:rPr>
          <w:rFonts w:ascii="Times New Roman" w:hAnsi="Times New Roman"/>
          <w:b/>
          <w:sz w:val="24"/>
        </w:rPr>
        <w:t>Table 17</w:t>
      </w:r>
    </w:p>
    <w:p w:rsidR="00A65756" w:rsidRDefault="00000000">
      <w:pPr>
        <w:spacing w:after="120"/>
        <w:jc w:val="left"/>
        <w:keepNext w:val="true"/>
      </w:pPr>
      <w:r>
        <w:rPr>
          <w:rFonts w:ascii="Times New Roman" w:hAnsi="Times New Roman"/>
          <w:i/>
          <w:sz w:val="24"/>
        </w:rPr>
        <w:t>SHAP Classification Feature Impact Rankings</w:t>
      </w:r>
    </w:p>
    <w:tbl>
      <w:tblPr>
        <w:tblStyle w:val="a0"/>
        <w:tblW w:w="9330" w:type="dxa"/>
        <w:jc w:val="center"/>
        <w:tblInd w:w="0" w:type="dxa"/>
        <w:tblLayout w:type="fixed"/>
        <w:tblLook w:val="0600" w:firstRow="0" w:lastRow="0" w:firstColumn="0" w:lastColumn="0" w:noHBand="1"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750"/>
        <w:gridCol w:w="3435"/>
        <w:gridCol w:w="2175"/>
        <w:gridCol w:w="2970"/>
      </w:tblGrid>
      <w:tr w:rsidR="00A65756">
        <w:trPr>
          <w:trHeight w:val="405"/>
          <w:jc w:val="center"/>
          <w:cantSplit w:val="true"/>
          <w:tblHeader w:val="true"/>
        </w:trPr>
        <w:tc>
          <w:tcPr>
            <w:tcW w:w="75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Rank</w:t>
            </w:r>
          </w:p>
        </w:tc>
        <w:tc>
          <w:tcPr>
            <w:tcW w:w="343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Feature</w:t>
            </w:r>
          </w:p>
        </w:tc>
        <w:tc>
          <w:tcPr>
            <w:tcW w:w="217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Direction of Effect</w:t>
            </w:r>
          </w:p>
        </w:tc>
        <w:tc>
          <w:tcPr>
            <w:tcW w:w="297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Business Interpretation</w:t>
            </w:r>
          </w:p>
        </w:tc>
      </w:tr>
      <w:tr w:rsidR="00A65756">
        <w:trPr>
          <w:trHeight w:val="870"/>
          <w:jc w:val="center"/>
          <w:cantSplit w:val="true"/>
        </w:trPr>
        <w:tc>
          <w:tcPr>
            <w:tcW w:w="750" w:type="dxa"/>
            <w:tcBorders>
              <w:top w:val="nil"/>
              <w:left w:val="single" w:sz="8" w:space="0" w:color="CCCCCC"/>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w:t>
            </w:r>
          </w:p>
        </w:tc>
        <w:tc>
          <w:tcPr>
            <w:tcW w:w="343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income_to_loan_ratio</w:t>
            </w:r>
          </w:p>
        </w:tc>
        <w:tc>
          <w:tcPr>
            <w:tcW w:w="217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High ratio → lowers default risk</w:t>
            </w:r>
          </w:p>
        </w:tc>
        <w:tc>
          <w:tcPr>
            <w:tcW w:w="297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Borrowers who earn much more than they borrow are lower risk</w:t>
            </w:r>
          </w:p>
        </w:tc>
      </w:tr>
      <w:tr w:rsidR="00A65756">
        <w:trPr>
          <w:trHeight w:val="870"/>
          <w:jc w:val="center"/>
          <w:cantSplit w:val="true"/>
        </w:trPr>
        <w:tc>
          <w:tcPr>
            <w:tcW w:w="7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2</w:t>
            </w:r>
          </w:p>
        </w:tc>
        <w:tc>
          <w:tcPr>
            <w:tcW w:w="343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person_home_ownership_RENT</w:t>
            </w:r>
          </w:p>
        </w:tc>
        <w:tc>
          <w:tcPr>
            <w:tcW w:w="217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Renting → increases default risk</w:t>
            </w:r>
          </w:p>
        </w:tc>
        <w:tc>
          <w:tcPr>
            <w:tcW w:w="297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Renters have less asset stability and face higher default probability</w:t>
            </w:r>
          </w:p>
        </w:tc>
      </w:tr>
      <w:tr w:rsidR="00A65756">
        <w:trPr>
          <w:trHeight w:val="870"/>
          <w:jc w:val="center"/>
          <w:cantSplit w:val="true"/>
        </w:trPr>
        <w:tc>
          <w:tcPr>
            <w:tcW w:w="750" w:type="dxa"/>
            <w:tcBorders>
              <w:top w:val="nil"/>
              <w:left w:val="single" w:sz="8" w:space="0" w:color="CCCCCC"/>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3</w:t>
            </w:r>
          </w:p>
        </w:tc>
        <w:tc>
          <w:tcPr>
            <w:tcW w:w="343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loan_percent_income</w:t>
            </w:r>
          </w:p>
        </w:tc>
        <w:tc>
          <w:tcPr>
            <w:tcW w:w="217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High burden → increases risk</w:t>
            </w:r>
          </w:p>
        </w:tc>
        <w:tc>
          <w:tcPr>
            <w:tcW w:w="297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Loans consuming a large share of income are harder to repay</w:t>
            </w:r>
          </w:p>
        </w:tc>
      </w:tr>
      <w:tr w:rsidR="00A65756">
        <w:trPr>
          <w:trHeight w:val="870"/>
          <w:jc w:val="center"/>
          <w:cantSplit w:val="true"/>
        </w:trPr>
        <w:tc>
          <w:tcPr>
            <w:tcW w:w="7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lastRenderedPageBreak/>
              <w:t>4</w:t>
            </w:r>
          </w:p>
        </w:tc>
        <w:tc>
          <w:tcPr>
            <w:tcW w:w="343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person_home_ownership_OWN</w:t>
            </w:r>
          </w:p>
        </w:tc>
        <w:tc>
          <w:tcPr>
            <w:tcW w:w="217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Owning → lowers default risk</w:t>
            </w:r>
          </w:p>
        </w:tc>
        <w:tc>
          <w:tcPr>
            <w:tcW w:w="297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Homeowners have demonstrated financial stability</w:t>
            </w:r>
          </w:p>
        </w:tc>
      </w:tr>
      <w:tr w:rsidR="00A65756">
        <w:trPr>
          <w:trHeight w:val="645"/>
          <w:jc w:val="center"/>
          <w:cantSplit w:val="true"/>
        </w:trPr>
        <w:tc>
          <w:tcPr>
            <w:tcW w:w="750" w:type="dxa"/>
            <w:tcBorders>
              <w:top w:val="nil"/>
              <w:left w:val="single" w:sz="8" w:space="0" w:color="CCCCCC"/>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5</w:t>
            </w:r>
          </w:p>
        </w:tc>
        <w:tc>
          <w:tcPr>
            <w:tcW w:w="343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loan_grade_numeric</w:t>
            </w:r>
          </w:p>
        </w:tc>
        <w:tc>
          <w:tcPr>
            <w:tcW w:w="217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Higher grade → increases risk</w:t>
            </w:r>
          </w:p>
        </w:tc>
        <w:tc>
          <w:tcPr>
            <w:tcW w:w="297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Lower credit grades (D–G) correlate strongly with default</w:t>
            </w:r>
          </w:p>
        </w:tc>
      </w:tr>
      <w:tr w:rsidR="00A65756">
        <w:trPr>
          <w:trHeight w:val="645"/>
          <w:jc w:val="center"/>
          <w:cantSplit w:val="true"/>
        </w:trPr>
        <w:tc>
          <w:tcPr>
            <w:tcW w:w="7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6</w:t>
            </w:r>
          </w:p>
        </w:tc>
        <w:tc>
          <w:tcPr>
            <w:tcW w:w="343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log_person_income</w:t>
            </w:r>
          </w:p>
        </w:tc>
        <w:tc>
          <w:tcPr>
            <w:tcW w:w="217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Higher income → lowers risk</w:t>
            </w:r>
          </w:p>
        </w:tc>
        <w:tc>
          <w:tcPr>
            <w:tcW w:w="297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Higher earners are generally better positioned to repay</w:t>
            </w:r>
          </w:p>
        </w:tc>
      </w:tr>
      <w:tr w:rsidR="00A65756">
        <w:trPr>
          <w:trHeight w:val="645"/>
          <w:jc w:val="center"/>
          <w:cantSplit w:val="true"/>
        </w:trPr>
        <w:tc>
          <w:tcPr>
            <w:tcW w:w="750" w:type="dxa"/>
            <w:tcBorders>
              <w:top w:val="nil"/>
              <w:left w:val="single" w:sz="8" w:space="0" w:color="CCCCCC"/>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7</w:t>
            </w:r>
          </w:p>
        </w:tc>
        <w:tc>
          <w:tcPr>
            <w:tcW w:w="343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loan_grade</w:t>
            </w:r>
          </w:p>
        </w:tc>
        <w:tc>
          <w:tcPr>
            <w:tcW w:w="217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Lower grade → increases risk</w:t>
            </w:r>
          </w:p>
        </w:tc>
        <w:tc>
          <w:tcPr>
            <w:tcW w:w="297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Corroborates loan_grade_numeric finding</w:t>
            </w:r>
          </w:p>
        </w:tc>
      </w:tr>
      <w:tr w:rsidR="00A65756">
        <w:trPr>
          <w:trHeight w:val="870"/>
          <w:jc w:val="center"/>
          <w:cantSplit w:val="true"/>
        </w:trPr>
        <w:tc>
          <w:tcPr>
            <w:tcW w:w="7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8</w:t>
            </w:r>
          </w:p>
        </w:tc>
        <w:tc>
          <w:tcPr>
            <w:tcW w:w="343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loan_intent_VENTURE</w:t>
            </w:r>
          </w:p>
        </w:tc>
        <w:tc>
          <w:tcPr>
            <w:tcW w:w="217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Venture loans → increases risk</w:t>
            </w:r>
          </w:p>
        </w:tc>
        <w:tc>
          <w:tcPr>
            <w:tcW w:w="297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Business/venture loans carry higher risk than personal loans</w:t>
            </w:r>
          </w:p>
        </w:tc>
      </w:tr>
      <w:tr w:rsidR="00A65756">
        <w:trPr>
          <w:trHeight w:val="645"/>
          <w:jc w:val="center"/>
          <w:cantSplit w:val="true"/>
        </w:trPr>
        <w:tc>
          <w:tcPr>
            <w:tcW w:w="750" w:type="dxa"/>
            <w:tcBorders>
              <w:top w:val="nil"/>
              <w:left w:val="single" w:sz="8" w:space="0" w:color="CCCCCC"/>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9</w:t>
            </w:r>
          </w:p>
        </w:tc>
        <w:tc>
          <w:tcPr>
            <w:tcW w:w="343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person_income</w:t>
            </w:r>
          </w:p>
        </w:tc>
        <w:tc>
          <w:tcPr>
            <w:tcW w:w="2175"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Higher income → lowers risk</w:t>
            </w:r>
          </w:p>
        </w:tc>
        <w:tc>
          <w:tcPr>
            <w:tcW w:w="2970" w:type="dxa"/>
            <w:tcBorders>
              <w:top w:val="nil"/>
              <w:left w:val="nil"/>
              <w:bottom w:val="single" w:sz="8" w:space="0" w:color="CCCCCC"/>
              <w:right w:val="single" w:sz="8"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Consistent with log_person_income effect</w:t>
            </w:r>
          </w:p>
        </w:tc>
      </w:tr>
      <w:tr w:rsidR="00A65756">
        <w:trPr>
          <w:trHeight w:val="870"/>
          <w:jc w:val="center"/>
          <w:cantSplit w:val="true"/>
        </w:trPr>
        <w:tc>
          <w:tcPr>
            <w:tcW w:w="750" w:type="dxa"/>
            <w:tcBorders>
              <w:top w:val="nil"/>
              <w:left w:val="single" w:sz="8" w:space="0" w:color="CCCCCC"/>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10</w:t>
            </w:r>
          </w:p>
        </w:tc>
        <w:tc>
          <w:tcPr>
            <w:tcW w:w="343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loan_intent_HOMEIMPROVEMENT</w:t>
            </w:r>
          </w:p>
        </w:tc>
        <w:tc>
          <w:tcPr>
            <w:tcW w:w="2175"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eastAsia="Arial Unicode MS" w:cs="Arial Unicode MS" w:ascii="Times New Roman" w:hAnsi="Times New Roman"/>
                <w:color w:val="222222"/>
                <w:sz w:val="20"/>
                <w:szCs w:val="20"/>
              </w:rPr>
              <w:t>Home improvement → increases risk</w:t>
            </w:r>
          </w:p>
        </w:tc>
        <w:tc>
          <w:tcPr>
            <w:tcW w:w="2970" w:type="dxa"/>
            <w:tcBorders>
              <w:top w:val="nil"/>
              <w:left w:val="nil"/>
              <w:bottom w:val="single" w:sz="8" w:space="0" w:color="CCCCCC"/>
              <w:right w:val="single" w:sz="8"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Borrowers improving homes may be stretching financial capacity</w:t>
            </w:r>
          </w:p>
        </w:tc>
      </w:tr>
    </w:tbl>
    <w:p w:rsidR="00A65756" w:rsidRDefault="00000000">
      <w:pPr>
        <w:ind w:firstLine="720"/>
        <w:rPr>
          <w:rFonts w:ascii="Calibri" w:eastAsia="Calibri" w:hAnsi="Calibri" w:cs="Calibri"/>
          <w:szCs w:val="24"/>
        </w:rPr>
      </w:pPr>
      <w:r>
        <w:t>The SHAP analysis confirms that the most powerful predictors of default are economic leverage metrics (income-to-loan ratio, loan burden) and credit risk indicators (loan grade, prior default history). Home ownership status acts as a significant proxy for financial stability. Notably, the model relies on engineered features (income_to_loan_ratio, log_person_income) almost as heavily as raw features – validating the modeling stage feature engineering effort .</w:t>
      </w:r>
    </w:p>
    <w:p w:rsidR="00A65756"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4.14 Regression Model Diagnostics</w:t>
      </w:r>
    </w:p>
    <w:p w:rsidR="00A65756" w:rsidRDefault="00000000">
      <w:pPr>
        <w:pStyle w:val="Heading3"/>
        <w:keepNext w:val="0"/>
        <w:keepLines w:val="0"/>
        <w:spacing w:before="240" w:after="120"/>
        <w:jc w:val="left"/>
      </w:pPr>
      <w:bookmarkStart w:id="12" w:name="_5mo5uty8of1w" w:colFirst="0" w:colLast="0"/>
      <w:bookmarkEnd w:id="12"/>
      <w:r>
        <w:rPr>
          <w:rFonts w:ascii="Times New Roman" w:eastAsia="Calibri" w:hAnsi="Times New Roman" w:cs="Calibri"/>
          <w:b/>
          <w:i/>
          <w:color w:val="2E75B6"/>
          <w:sz w:val="24"/>
        </w:rPr>
        <w:t>4.14.1 Residual Analysis – Interest Rate Model</w:t>
      </w:r>
    </w:p>
    <w:p w:rsidR="00A65756" w:rsidRDefault="00000000">
      <w:pPr>
        <w:ind w:firstLine="720"/>
        <w:rPr>
          <w:rFonts w:ascii="Calibri" w:eastAsia="Calibri" w:hAnsi="Calibri" w:cs="Calibri"/>
          <w:szCs w:val="24"/>
        </w:rPr>
      </w:pPr>
      <w:r>
        <w:rPr>
          <w:rFonts w:eastAsia="Calibri" w:cs="Calibri"/>
          <w:szCs w:val="24"/>
        </w:rPr>
        <w:t>Residual analysis evaluates whether prediction errors are random or indicate systematic issues in the regression model. The 4-panel diagnostic plot shows that the model is generally unbiased, with residuals centered around zero and no significant over- or under-prediction.</w:t>
      </w:r>
    </w:p>
    <w:p w:rsidR="00A65756" w:rsidRDefault="00000000">
      <w:pPr>
        <w:spacing w:before="240"/>
        <w:keepNext w:val="true"/>
        <w:jc w:val="left"/>
      </w:pPr>
      <w:r>
        <w:rPr>
          <w:rFonts w:ascii="Times New Roman" w:hAnsi="Times New Roman"/>
          <w:b/>
          <w:sz w:val="24"/>
        </w:rPr>
        <w:lastRenderedPageBreak/>
        <w:t>Figure 21</w:t>
      </w:r>
    </w:p>
    <w:p w:rsidR="00A65756" w:rsidRDefault="00000000">
      <w:pPr>
        <w:spacing w:after="120"/>
        <w:jc w:val="left"/>
        <w:keepNext w:val="true"/>
      </w:pPr>
      <w:r>
        <w:rPr>
          <w:rFonts w:ascii="Times New Roman" w:hAnsi="Times New Roman"/>
          <w:i/>
          <w:sz w:val="24"/>
        </w:rPr>
        <w:t>Residual Diagnostic Plots for Interest Rate Model</w:t>
      </w:r>
    </w:p>
    <w:p w:rsidR="00A65756" w:rsidRDefault="00000000">
      <w:pPr>
        <w:spacing w:line="240" w:lineRule="auto"/>
        <w:ind w:left="720"/>
        <w:rPr>
          <w:rFonts w:ascii="Calibri" w:eastAsia="Calibri" w:hAnsi="Calibri" w:cs="Calibri"/>
        </w:rPr>
        <w:keepNext w:val="true"/>
        <w:keepLines w:val="true"/>
      </w:pPr>
      <w:r>
        <w:rPr>
          <w:rFonts w:ascii="Courier New" w:eastAsia="Calibri" w:hAnsi="Courier New" w:cs="Calibri"/>
          <w:noProof/>
          <w:color w:val="000000"/>
          <w:sz w:val="20"/>
        </w:rPr>
        <w:drawing>
          <wp:inline distT="114300" distB="114300" distL="114300" distR="114300">
            <wp:extent cx="5414963" cy="3898773"/>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13" name="image9.png"/>
                    <pic:cNvPicPr preferRelativeResize="0"/>
                  </pic:nvPicPr>
                  <pic:blipFill>
                    <a:blip r:embed="rId20"/>
                    <a:srcRect/>
                    <a:stretch>
                      <a:fillRect/>
                    </a:stretch>
                  </pic:blipFill>
                  <pic:spPr>
                    <a:xfrm>
                      <a:off x="0" y="0"/>
                      <a:ext cx="5414963" cy="3898773"/>
                    </a:xfrm>
                    <a:prstGeom prst="rect">
                      <a:avLst/>
                    </a:prstGeom>
                    <a:ln/>
                  </pic:spPr>
                </pic:pic>
              </a:graphicData>
            </a:graphic>
          </wp:inline>
        </w:drawing>
      </w:r>
    </w:p>
    <w:p w:rsidR="00A65756" w:rsidRDefault="00000000">
      <w:pPr>
        <w:ind w:firstLine="720"/>
        <w:rPr>
          <w:rFonts w:ascii="Calibri" w:eastAsia="Calibri" w:hAnsi="Calibri" w:cs="Calibri"/>
          <w:szCs w:val="24"/>
        </w:rPr>
      </w:pPr>
      <w:r>
        <w:rPr>
          <w:rFonts w:eastAsia="Calibri" w:cs="Calibri"/>
          <w:szCs w:val="24"/>
        </w:rPr>
        <w:t>Key findings include:</w:t>
      </w:r>
    </w:p>
    <w:p w:rsidR="00A65756" w:rsidRDefault="00000000">
      <w:pPr>
        <w:numPr>
          <w:ilvl w:val="0"/>
          <w:numId w:val="19"/>
        </w:numPr>
        <w:ind w:left="0" w:firstLine="720"/>
        <w:rPr>
          <w:rFonts w:ascii="Calibri" w:eastAsia="Calibri" w:hAnsi="Calibri" w:cs="Calibri"/>
          <w:szCs w:val="24"/>
        </w:rPr>
      </w:pPr>
      <w:r>
        <w:rPr>
          <w:rFonts w:eastAsia="Calibri" w:cs="Calibri"/>
          <w:b/>
          <w:bCs/>
          <w:szCs w:val="24"/>
        </w:rPr>
        <w:t>Residuals vs. Fitted Values:</w:t>
      </w:r>
      <w:r>
        <w:rPr>
          <w:rFonts w:eastAsia="Calibri" w:cs="Calibri"/>
          <w:szCs w:val="24"/>
        </w:rPr>
        <w:t xml:space="preserve"> Residuals are randomly distributed, indicating no major non-linearity. A wider spread for higher interest rates (Grades D–F) suggests mild heteroscedasticity.</w:t>
      </w:r>
    </w:p>
    <w:p w:rsidR="00A65756" w:rsidRDefault="00000000">
      <w:pPr>
        <w:numPr>
          <w:ilvl w:val="0"/>
          <w:numId w:val="19"/>
        </w:numPr>
        <w:ind w:left="0" w:firstLine="720"/>
        <w:rPr>
          <w:rFonts w:ascii="Calibri" w:eastAsia="Calibri" w:hAnsi="Calibri" w:cs="Calibri"/>
          <w:szCs w:val="24"/>
        </w:rPr>
      </w:pPr>
      <w:r>
        <w:rPr>
          <w:rFonts w:eastAsia="Calibri" w:cs="Calibri"/>
          <w:b/>
          <w:bCs/>
          <w:szCs w:val="24"/>
        </w:rPr>
        <w:t>Q-Q Plot:</w:t>
      </w:r>
      <w:r>
        <w:rPr>
          <w:rFonts w:eastAsia="Calibri" w:cs="Calibri"/>
          <w:szCs w:val="24"/>
        </w:rPr>
        <w:t xml:space="preserve"> Residuals are approximately normally distributed, although heavier tails indicate occasional large prediction errors.</w:t>
      </w:r>
    </w:p>
    <w:p w:rsidR="00A65756" w:rsidRDefault="00000000">
      <w:pPr>
        <w:numPr>
          <w:ilvl w:val="0"/>
          <w:numId w:val="19"/>
        </w:numPr>
        <w:ind w:left="0" w:firstLine="720"/>
        <w:rPr>
          <w:rFonts w:ascii="Calibri" w:eastAsia="Calibri" w:hAnsi="Calibri" w:cs="Calibri"/>
          <w:szCs w:val="24"/>
        </w:rPr>
      </w:pPr>
      <w:r>
        <w:rPr>
          <w:rFonts w:eastAsia="Calibri" w:cs="Calibri"/>
          <w:b/>
          <w:bCs/>
          <w:szCs w:val="24"/>
        </w:rPr>
        <w:t>Residual Distribution:</w:t>
      </w:r>
      <w:r>
        <w:rPr>
          <w:rFonts w:eastAsia="Calibri" w:cs="Calibri"/>
          <w:szCs w:val="24"/>
        </w:rPr>
        <w:t xml:space="preserve"> The histogram is nearly symmetric and centered at zero (mean = -0.0003), confirming the absence of systematic bias.</w:t>
      </w:r>
    </w:p>
    <w:p w:rsidR="00A65756" w:rsidRDefault="00000000">
      <w:pPr>
        <w:numPr>
          <w:ilvl w:val="0"/>
          <w:numId w:val="19"/>
        </w:numPr>
        <w:ind w:left="0" w:firstLine="720"/>
        <w:rPr>
          <w:rFonts w:ascii="Calibri" w:eastAsia="Calibri" w:hAnsi="Calibri" w:cs="Calibri"/>
          <w:szCs w:val="24"/>
        </w:rPr>
      </w:pPr>
      <w:r>
        <w:rPr>
          <w:rFonts w:eastAsia="Calibri" w:cs="Calibri"/>
          <w:b/>
          <w:bCs/>
          <w:szCs w:val="24"/>
        </w:rPr>
        <w:t>Scale-Location Plot:</w:t>
      </w:r>
      <w:r>
        <w:rPr>
          <w:rFonts w:eastAsia="Calibri" w:cs="Calibri"/>
          <w:szCs w:val="24"/>
        </w:rPr>
        <w:t xml:space="preserve"> Residual variance increases slightly at higher predicted rates, indicating mild non-constant variance.</w:t>
      </w:r>
    </w:p>
    <w:p w:rsidR="00A65756" w:rsidRDefault="00000000">
      <w:pPr>
        <w:spacing w:before="240"/>
        <w:keepNext w:val="true"/>
        <w:jc w:val="left"/>
      </w:pPr>
      <w:r>
        <w:rPr>
          <w:rFonts w:ascii="Times New Roman" w:hAnsi="Times New Roman"/>
          <w:b/>
          <w:sz w:val="24"/>
        </w:rPr>
        <w:lastRenderedPageBreak/>
        <w:t>Table 18</w:t>
      </w:r>
    </w:p>
    <w:p w:rsidR="00A65756" w:rsidRDefault="00000000">
      <w:pPr>
        <w:spacing w:after="120"/>
        <w:jc w:val="left"/>
        <w:keepNext w:val="true"/>
      </w:pPr>
      <w:r>
        <w:rPr>
          <w:rFonts w:ascii="Times New Roman" w:hAnsi="Times New Roman"/>
          <w:i/>
          <w:sz w:val="24"/>
        </w:rPr>
        <w:t>Interest Rate Model Diagnostic Metrics</w:t>
      </w:r>
    </w:p>
    <w:tbl>
      <w:tblPr>
        <w:tblStyle w:val="a0"/>
        <w:tblW w:w="9360" w:type="dxa"/>
        <w:jc w:val="center"/>
        <w:tblInd w:w="0" w:type="dxa"/>
        <w:tblLayout w:type="fixed"/>
        <w:tblLook w:val="0600" w:firstRow="0" w:lastRow="0" w:firstColumn="0" w:lastColumn="0" w:noHBand="1"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961"/>
        <w:gridCol w:w="2088"/>
        <w:gridCol w:w="2699"/>
        <w:gridCol w:w="2610"/>
      </w:tblGrid>
      <w:tr w:rsidR="00A65756">
        <w:trPr>
          <w:trHeight w:val="405"/>
          <w:jc w:val="center"/>
          <w:cantSplit w:val="true"/>
          <w:tblHeader w:val="true"/>
        </w:trPr>
        <w:tc>
          <w:tcPr>
            <w:tcW w:w="1961"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Metric</w:t>
            </w:r>
          </w:p>
        </w:tc>
        <w:tc>
          <w:tcPr>
            <w:tcW w:w="2088"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Value</w:t>
            </w:r>
          </w:p>
        </w:tc>
        <w:tc>
          <w:tcPr>
            <w:tcW w:w="2699"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Benchmark</w:t>
            </w:r>
          </w:p>
        </w:tc>
        <w:tc>
          <w:tcPr>
            <w:tcW w:w="261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Assessment</w:t>
            </w:r>
          </w:p>
        </w:tc>
      </w:tr>
      <w:tr w:rsidR="00A65756">
        <w:trPr>
          <w:trHeight w:val="645"/>
          <w:jc w:val="center"/>
          <w:cantSplit w:val="true"/>
        </w:trPr>
        <w:tc>
          <w:tcPr>
            <w:tcW w:w="1961"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R² Score</w:t>
            </w:r>
          </w:p>
        </w:tc>
        <w:tc>
          <w:tcPr>
            <w:tcW w:w="208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0.2223</w:t>
            </w:r>
          </w:p>
        </w:tc>
        <w:tc>
          <w:tcPr>
            <w:tcW w:w="2699"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Higher = better</w:t>
            </w:r>
          </w:p>
        </w:tc>
        <w:tc>
          <w:tcPr>
            <w:tcW w:w="261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Explains 22.23% of variance – moderate</w:t>
            </w:r>
          </w:p>
        </w:tc>
      </w:tr>
      <w:tr w:rsidR="00A65756">
        <w:trPr>
          <w:trHeight w:val="645"/>
          <w:jc w:val="center"/>
          <w:cantSplit w:val="true"/>
        </w:trPr>
        <w:tc>
          <w:tcPr>
            <w:tcW w:w="196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MAE</w:t>
            </w:r>
          </w:p>
        </w:tc>
        <w:tc>
          <w:tcPr>
            <w:tcW w:w="208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2.0557%</w:t>
            </w:r>
          </w:p>
        </w:tc>
        <w:tc>
          <w:tcPr>
            <w:tcW w:w="2699"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Lower = better</w:t>
            </w:r>
          </w:p>
        </w:tc>
        <w:tc>
          <w:tcPr>
            <w:tcW w:w="261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Average error of ~2.06 percentage points</w:t>
            </w:r>
          </w:p>
        </w:tc>
      </w:tr>
      <w:tr w:rsidR="00A65756">
        <w:trPr>
          <w:trHeight w:val="645"/>
          <w:jc w:val="center"/>
          <w:cantSplit w:val="true"/>
        </w:trPr>
        <w:tc>
          <w:tcPr>
            <w:tcW w:w="1961"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RMSE</w:t>
            </w:r>
          </w:p>
        </w:tc>
        <w:tc>
          <w:tcPr>
            <w:tcW w:w="208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2.5305%</w:t>
            </w:r>
          </w:p>
        </w:tc>
        <w:tc>
          <w:tcPr>
            <w:tcW w:w="2699"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Lower = better</w:t>
            </w:r>
          </w:p>
        </w:tc>
        <w:tc>
          <w:tcPr>
            <w:tcW w:w="261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Penalizes large errors more than MAE</w:t>
            </w:r>
          </w:p>
        </w:tc>
      </w:tr>
      <w:tr w:rsidR="00A65756">
        <w:trPr>
          <w:trHeight w:val="645"/>
          <w:jc w:val="center"/>
          <w:cantSplit w:val="true"/>
        </w:trPr>
        <w:tc>
          <w:tcPr>
            <w:tcW w:w="196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MAPE</w:t>
            </w:r>
          </w:p>
        </w:tc>
        <w:tc>
          <w:tcPr>
            <w:tcW w:w="208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22.51%</w:t>
            </w:r>
          </w:p>
        </w:tc>
        <w:tc>
          <w:tcPr>
            <w:tcW w:w="2699"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Lower = better</w:t>
            </w:r>
          </w:p>
        </w:tc>
        <w:tc>
          <w:tcPr>
            <w:tcW w:w="261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Average relative error of 22.51%</w:t>
            </w:r>
          </w:p>
        </w:tc>
      </w:tr>
      <w:tr w:rsidR="00A65756">
        <w:trPr>
          <w:trHeight w:val="645"/>
          <w:jc w:val="center"/>
          <w:cantSplit w:val="true"/>
        </w:trPr>
        <w:tc>
          <w:tcPr>
            <w:tcW w:w="1961"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Residual Mean</w:t>
            </w:r>
          </w:p>
        </w:tc>
        <w:tc>
          <w:tcPr>
            <w:tcW w:w="208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-0.0003</w:t>
            </w:r>
          </w:p>
        </w:tc>
        <w:tc>
          <w:tcPr>
            <w:tcW w:w="2699"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Should be ~0</w:t>
            </w:r>
          </w:p>
        </w:tc>
        <w:tc>
          <w:tcPr>
            <w:tcW w:w="261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Excellent – no systematic bias</w:t>
            </w:r>
          </w:p>
        </w:tc>
      </w:tr>
      <w:tr w:rsidR="00A65756">
        <w:trPr>
          <w:trHeight w:val="405"/>
          <w:jc w:val="center"/>
          <w:cantSplit w:val="true"/>
        </w:trPr>
        <w:tc>
          <w:tcPr>
            <w:tcW w:w="1961"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Residual Std</w:t>
            </w:r>
          </w:p>
        </w:tc>
        <w:tc>
          <w:tcPr>
            <w:tcW w:w="208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2.5308%</w:t>
            </w:r>
          </w:p>
        </w:tc>
        <w:tc>
          <w:tcPr>
            <w:tcW w:w="2699"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Lower = better</w:t>
            </w:r>
          </w:p>
        </w:tc>
        <w:tc>
          <w:tcPr>
            <w:tcW w:w="261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Consistent with RMSE</w:t>
            </w:r>
          </w:p>
        </w:tc>
      </w:tr>
      <w:tr w:rsidR="00A65756">
        <w:trPr>
          <w:trHeight w:val="645"/>
          <w:jc w:val="center"/>
          <w:cantSplit w:val="true"/>
        </w:trPr>
        <w:tc>
          <w:tcPr>
            <w:tcW w:w="1961"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pPr>
            <w:r>
              <w:rPr>
                <w:rFonts w:eastAsia="Calibri" w:cs="Calibri" w:ascii="Times New Roman" w:hAnsi="Times New Roman"/>
                <w:color w:val="222222"/>
                <w:sz w:val="20"/>
                <w:szCs w:val="20"/>
              </w:rPr>
              <w:t>Mean Rate</w:t>
            </w:r>
          </w:p>
        </w:tc>
        <w:tc>
          <w:tcPr>
            <w:tcW w:w="208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pPr>
            <w:r>
              <w:rPr>
                <w:rFonts w:eastAsia="Calibri" w:cs="Calibri" w:ascii="Times New Roman" w:hAnsi="Times New Roman"/>
                <w:color w:val="222222"/>
                <w:sz w:val="20"/>
                <w:szCs w:val="20"/>
              </w:rPr>
              <w:t>10.42%</w:t>
            </w:r>
          </w:p>
        </w:tc>
        <w:tc>
          <w:tcPr>
            <w:tcW w:w="2699"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pPr>
            <w:r>
              <w:rPr>
                <w:rFonts w:eastAsia="Calibri" w:cs="Calibri" w:ascii="Times New Roman" w:hAnsi="Times New Roman"/>
                <w:color w:val="222222"/>
                <w:sz w:val="20"/>
                <w:szCs w:val="20"/>
              </w:rPr>
              <w:t>Context</w:t>
            </w:r>
          </w:p>
        </w:tc>
        <w:tc>
          <w:tcPr>
            <w:tcW w:w="261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pPr>
            <w:r>
              <w:rPr>
                <w:rFonts w:eastAsia="Calibri" w:cs="Calibri" w:ascii="Times New Roman" w:hAnsi="Times New Roman"/>
                <w:color w:val="222222"/>
                <w:sz w:val="20"/>
                <w:szCs w:val="20"/>
              </w:rPr>
              <w:t>Average actual interest rate</w:t>
            </w:r>
          </w:p>
        </w:tc>
      </w:tr>
    </w:tbl>
    <w:p w:rsidR="00A65756" w:rsidRDefault="00000000">
      <w:pPr>
        <w:ind w:firstLine="720"/>
        <w:rPr>
          <w:rFonts w:ascii="Calibri" w:eastAsia="Calibri" w:hAnsi="Calibri" w:cs="Calibri"/>
          <w:szCs w:val="24"/>
        </w:rPr>
      </w:pPr>
      <w:r>
        <w:rPr>
          <w:rFonts w:eastAsia="Calibri" w:cs="Calibri"/>
          <w:szCs w:val="24"/>
        </w:rPr>
        <w:t xml:space="preserve">Overall, the model explains </w:t>
      </w:r>
      <w:r>
        <w:rPr>
          <w:rFonts w:eastAsia="Calibri" w:cs="Calibri"/>
          <w:b/>
          <w:bCs/>
          <w:szCs w:val="24"/>
        </w:rPr>
        <w:t>22.23% of interest rate variation (R² = 0.222)</w:t>
      </w:r>
      <w:r>
        <w:rPr>
          <w:rFonts w:eastAsia="Calibri" w:cs="Calibri"/>
          <w:szCs w:val="24"/>
        </w:rPr>
        <w:t xml:space="preserve"> with an </w:t>
      </w:r>
      <w:r>
        <w:rPr>
          <w:rFonts w:eastAsia="Calibri" w:cs="Calibri"/>
          <w:b/>
          <w:bCs/>
          <w:szCs w:val="24"/>
        </w:rPr>
        <w:t>RMSE of 2.53%</w:t>
      </w:r>
      <w:r>
        <w:rPr>
          <w:rFonts w:eastAsia="Calibri" w:cs="Calibri"/>
          <w:szCs w:val="24"/>
        </w:rPr>
        <w:t xml:space="preserve"> and </w:t>
      </w:r>
      <w:r>
        <w:rPr>
          <w:rFonts w:eastAsia="Calibri" w:cs="Calibri"/>
          <w:b/>
          <w:bCs/>
          <w:szCs w:val="24"/>
        </w:rPr>
        <w:t>MAE of 2.06%</w:t>
      </w:r>
      <w:r>
        <w:rPr>
          <w:rFonts w:eastAsia="Calibri" w:cs="Calibri"/>
          <w:szCs w:val="24"/>
        </w:rPr>
        <w:t>. While predictive accuracy is moderate, the residual diagnostics suggest that the model satisfies most regression assumptions and produces unbiased interest rate estimates.</w:t>
      </w:r>
    </w:p>
    <w:p w:rsidR="00A65756" w:rsidRDefault="00000000">
      <w:pPr>
        <w:pStyle w:val="Heading3"/>
        <w:keepNext w:val="0"/>
        <w:keepLines w:val="0"/>
        <w:spacing w:before="240" w:after="120"/>
        <w:jc w:val="left"/>
        <w:rPr>
          <w:rFonts w:ascii="Calibri" w:eastAsia="Calibri" w:hAnsi="Calibri" w:cs="Calibri"/>
          <w:color w:val="2E75B6"/>
        </w:rPr>
      </w:pPr>
      <w:bookmarkStart w:id="13" w:name="_w9ey9yjnuf4v" w:colFirst="0" w:colLast="0"/>
      <w:bookmarkEnd w:id="13"/>
      <w:r>
        <w:rPr>
          <w:rFonts w:ascii="Times New Roman" w:eastAsia="Calibri" w:hAnsi="Times New Roman" w:cs="Calibri"/>
          <w:b/>
          <w:i/>
          <w:color w:val="2E75B6"/>
          <w:sz w:val="24"/>
        </w:rPr>
        <w:t>4.14.2 Predicted vs. Actual Analysis – All Regression Targets</w:t>
      </w:r>
    </w:p>
    <w:p w:rsidR="00A65756" w:rsidRDefault="00000000">
      <w:pPr>
        <w:spacing w:before="240"/>
        <w:keepNext w:val="true"/>
        <w:jc w:val="left"/>
      </w:pPr>
      <w:r>
        <w:rPr>
          <w:rFonts w:ascii="Times New Roman" w:hAnsi="Times New Roman"/>
          <w:b/>
          <w:sz w:val="24"/>
        </w:rPr>
        <w:t>Figure 22</w:t>
      </w:r>
    </w:p>
    <w:p w:rsidR="00A65756" w:rsidRDefault="00000000">
      <w:pPr>
        <w:spacing w:after="120"/>
        <w:jc w:val="left"/>
        <w:keepNext w:val="true"/>
      </w:pPr>
      <w:r>
        <w:rPr>
          <w:rFonts w:ascii="Times New Roman" w:hAnsi="Times New Roman"/>
          <w:i/>
          <w:sz w:val="24"/>
        </w:rPr>
        <w:t>Predicted versus Actual Values for All Regression Targets</w:t>
      </w:r>
    </w:p>
    <w:p w:rsidR="00A65756" w:rsidRDefault="00000000">
      <w:pPr>
        <w:spacing w:line="240" w:lineRule="auto"/>
        <w:ind w:left="720"/>
        <w:keepNext w:val="true"/>
        <w:keepLines w:val="true"/>
      </w:pPr>
      <w:r>
        <w:rPr>
          <w:rFonts w:ascii="Courier New" w:hAnsi="Courier New"/>
          <w:noProof/>
          <w:color w:val="000000"/>
          <w:sz w:val="20"/>
        </w:rPr>
        <w:lastRenderedPageBreak/>
        <w:drawing>
          <wp:inline distT="114300" distB="114300" distL="114300" distR="114300">
            <wp:extent cx="6401466" cy="1955295"/>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14" name="image8.png"/>
                    <pic:cNvPicPr preferRelativeResize="0"/>
                  </pic:nvPicPr>
                  <pic:blipFill>
                    <a:blip r:embed="rId21"/>
                    <a:srcRect/>
                    <a:stretch>
                      <a:fillRect/>
                    </a:stretch>
                  </pic:blipFill>
                  <pic:spPr>
                    <a:xfrm>
                      <a:off x="0" y="0"/>
                      <a:ext cx="6401466" cy="1955295"/>
                    </a:xfrm>
                    <a:prstGeom prst="rect">
                      <a:avLst/>
                    </a:prstGeom>
                    <a:ln/>
                  </pic:spPr>
                </pic:pic>
              </a:graphicData>
            </a:graphic>
          </wp:inline>
        </w:drawing>
      </w:r>
    </w:p>
    <w:p w:rsidR="00A65756" w:rsidRDefault="00000000">
      <w:pPr>
        <w:spacing w:before="240"/>
        <w:keepNext w:val="true"/>
        <w:jc w:val="left"/>
      </w:pPr>
      <w:r>
        <w:rPr>
          <w:rFonts w:ascii="Times New Roman" w:hAnsi="Times New Roman"/>
          <w:b/>
          <w:sz w:val="24"/>
        </w:rPr>
        <w:t>Table 19</w:t>
      </w:r>
    </w:p>
    <w:p w:rsidR="00A65756" w:rsidRDefault="00000000">
      <w:pPr>
        <w:spacing w:after="120"/>
        <w:jc w:val="left"/>
        <w:keepNext w:val="true"/>
      </w:pPr>
      <w:r>
        <w:rPr>
          <w:rFonts w:ascii="Times New Roman" w:hAnsi="Times New Roman"/>
          <w:i/>
          <w:sz w:val="24"/>
        </w:rPr>
        <w:t>Performance Comparison across Regression Targets</w:t>
      </w:r>
    </w:p>
    <w:tbl>
      <w:tblPr>
        <w:tblStyle w:val="a0"/>
        <w:tblW w:w="9360" w:type="dxa"/>
        <w:jc w:val="center"/>
        <w:tblInd w:w="0" w:type="dxa"/>
        <w:tblLayout w:type="fixed"/>
        <w:tblLook w:val="0600" w:firstRow="0" w:lastRow="0" w:firstColumn="0" w:lastColumn="0" w:noHBand="1"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885"/>
        <w:gridCol w:w="1131"/>
        <w:gridCol w:w="1373"/>
        <w:gridCol w:w="1373"/>
        <w:gridCol w:w="1117"/>
        <w:gridCol w:w="2478"/>
      </w:tblGrid>
      <w:tr w:rsidR="00A65756">
        <w:trPr>
          <w:trHeight w:val="405"/>
          <w:jc w:val="center"/>
          <w:cantSplit w:val="true"/>
        </w:trPr>
        <w:tc>
          <w:tcPr>
            <w:tcW w:w="188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Target</w:t>
            </w:r>
          </w:p>
        </w:tc>
        <w:tc>
          <w:tcPr>
            <w:tcW w:w="1131"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R²</w:t>
            </w:r>
          </w:p>
        </w:tc>
        <w:tc>
          <w:tcPr>
            <w:tcW w:w="1373"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MAE</w:t>
            </w:r>
          </w:p>
        </w:tc>
        <w:tc>
          <w:tcPr>
            <w:tcW w:w="1373"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RMSE</w:t>
            </w:r>
          </w:p>
        </w:tc>
        <w:tc>
          <w:tcPr>
            <w:tcW w:w="1117"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MAPE</w:t>
            </w:r>
          </w:p>
        </w:tc>
        <w:tc>
          <w:tcPr>
            <w:tcW w:w="2478"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Assessment</w:t>
            </w:r>
          </w:p>
        </w:tc>
      </w:tr>
      <w:tr w:rsidR="00A65756">
        <w:trPr>
          <w:trHeight w:val="645"/>
          <w:jc w:val="center"/>
          <w:cantSplit w:val="true"/>
        </w:trPr>
        <w:tc>
          <w:tcPr>
            <w:tcW w:w="1885"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Loan Amount</w:t>
            </w:r>
          </w:p>
        </w:tc>
        <w:tc>
          <w:tcPr>
            <w:tcW w:w="1131"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0.1978</w:t>
            </w:r>
          </w:p>
        </w:tc>
        <w:tc>
          <w:tcPr>
            <w:tcW w:w="1373"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$3,869</w:t>
            </w:r>
          </w:p>
        </w:tc>
        <w:tc>
          <w:tcPr>
            <w:tcW w:w="1373"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$5,048</w:t>
            </w:r>
          </w:p>
        </w:tc>
        <w:tc>
          <w:tcPr>
            <w:tcW w:w="1117"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73.7%</w:t>
            </w:r>
          </w:p>
        </w:tc>
        <w:tc>
          <w:tcPr>
            <w:tcW w:w="247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Moderate – use with caution</w:t>
            </w:r>
          </w:p>
        </w:tc>
      </w:tr>
      <w:tr w:rsidR="00A65756">
        <w:trPr>
          <w:trHeight w:val="645"/>
          <w:jc w:val="center"/>
          <w:cantSplit w:val="true"/>
        </w:trPr>
        <w:tc>
          <w:tcPr>
            <w:tcW w:w="188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Loan % Income</w:t>
            </w:r>
          </w:p>
        </w:tc>
        <w:tc>
          <w:tcPr>
            <w:tcW w:w="113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0.0918</w:t>
            </w:r>
          </w:p>
        </w:tc>
        <w:tc>
          <w:tcPr>
            <w:tcW w:w="1373"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0.065</w:t>
            </w:r>
          </w:p>
        </w:tc>
        <w:tc>
          <w:tcPr>
            <w:tcW w:w="1373"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0.082</w:t>
            </w:r>
          </w:p>
        </w:tc>
        <w:tc>
          <w:tcPr>
            <w:tcW w:w="111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73.9%</w:t>
            </w:r>
          </w:p>
        </w:tc>
        <w:tc>
          <w:tcPr>
            <w:tcW w:w="247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Moderate – limited power</w:t>
            </w:r>
          </w:p>
        </w:tc>
      </w:tr>
      <w:tr w:rsidR="00A65756">
        <w:trPr>
          <w:trHeight w:val="645"/>
          <w:jc w:val="center"/>
          <w:cantSplit w:val="true"/>
        </w:trPr>
        <w:tc>
          <w:tcPr>
            <w:tcW w:w="1885"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Interest Rate</w:t>
            </w:r>
          </w:p>
        </w:tc>
        <w:tc>
          <w:tcPr>
            <w:tcW w:w="1131"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0.2223</w:t>
            </w:r>
          </w:p>
        </w:tc>
        <w:tc>
          <w:tcPr>
            <w:tcW w:w="1373"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2.056 p.p.</w:t>
            </w:r>
          </w:p>
        </w:tc>
        <w:tc>
          <w:tcPr>
            <w:tcW w:w="1373"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2.531 p.p.</w:t>
            </w:r>
          </w:p>
        </w:tc>
        <w:tc>
          <w:tcPr>
            <w:tcW w:w="1117"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22.5%</w:t>
            </w:r>
          </w:p>
        </w:tc>
        <w:tc>
          <w:tcPr>
            <w:tcW w:w="247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Moderate – best of three</w:t>
            </w:r>
          </w:p>
        </w:tc>
      </w:tr>
    </w:tbl>
    <w:p w:rsidR="00A65756" w:rsidRDefault="00000000">
      <w:pPr>
        <w:ind w:firstLine="720"/>
        <w:rPr>
          <w:rFonts w:ascii="Calibri" w:eastAsia="Calibri" w:hAnsi="Calibri" w:cs="Calibri"/>
          <w:szCs w:val="24"/>
        </w:rPr>
      </w:pPr>
      <w:r>
        <w:rPr>
          <w:rFonts w:eastAsia="Calibri" w:cs="Calibri"/>
          <w:b/>
          <w:bCs/>
          <w:szCs w:val="24"/>
        </w:rPr>
        <w:t>Loan Amount (R² = 0.198, MAPE = 73.7%)</w:t>
      </w:r>
      <w:r>
        <w:rPr>
          <w:rFonts w:eastAsia="Calibri" w:cs="Calibri"/>
          <w:b/>
          <w:bCs/>
          <w:szCs w:val="24"/>
        </w:rPr>
        <w:br/>
      </w:r>
      <w:r>
        <w:rPr>
          <w:rFonts w:eastAsia="Calibri" w:cs="Calibri"/>
          <w:szCs w:val="24"/>
        </w:rPr>
        <w:t xml:space="preserve"> The model captures the general trend but lacks precision, with predictions clustering around average loan values and systematically underestimating large loans. The high MAPE indicates limited suitability for precise loan amount estimation.</w:t>
      </w:r>
    </w:p>
    <w:p w:rsidR="00A65756" w:rsidRDefault="00000000">
      <w:pPr>
        <w:ind w:firstLine="720"/>
        <w:rPr>
          <w:rFonts w:ascii="Calibri" w:eastAsia="Calibri" w:hAnsi="Calibri" w:cs="Calibri"/>
          <w:szCs w:val="24"/>
        </w:rPr>
      </w:pPr>
      <w:r>
        <w:rPr>
          <w:rFonts w:eastAsia="Calibri" w:cs="Calibri"/>
          <w:b/>
          <w:bCs/>
          <w:szCs w:val="24"/>
        </w:rPr>
        <w:t>Loan % Income (R² = 0.092, MAPE = 73.9%)</w:t>
      </w:r>
      <w:r>
        <w:rPr>
          <w:rFonts w:eastAsia="Calibri" w:cs="Calibri"/>
          <w:b/>
          <w:bCs/>
          <w:szCs w:val="24"/>
        </w:rPr>
        <w:br/>
      </w:r>
      <w:r>
        <w:rPr>
          <w:rFonts w:eastAsia="Calibri" w:cs="Calibri"/>
          <w:szCs w:val="24"/>
        </w:rPr>
        <w:t xml:space="preserve"> This is the weakest regression model, explaining less than 10% of the variance. Predictions are concentrated within a narrow range and frequently underestimate high loan-to-income ratios, resulting in poor predictive power.</w:t>
      </w:r>
    </w:p>
    <w:p w:rsidR="00A65756" w:rsidRDefault="00000000">
      <w:pPr>
        <w:ind w:firstLine="720"/>
        <w:rPr>
          <w:rFonts w:ascii="Calibri" w:eastAsia="Calibri" w:hAnsi="Calibri" w:cs="Calibri"/>
          <w:szCs w:val="24"/>
        </w:rPr>
      </w:pPr>
      <w:r>
        <w:rPr>
          <w:rFonts w:eastAsia="Calibri" w:cs="Calibri"/>
          <w:b/>
          <w:bCs/>
          <w:szCs w:val="24"/>
        </w:rPr>
        <w:t>Interest Rate (R² = 0.222, MAPE = 22.5%)</w:t>
      </w:r>
      <w:r>
        <w:rPr>
          <w:rFonts w:eastAsia="Calibri" w:cs="Calibri"/>
          <w:b/>
          <w:bCs/>
          <w:szCs w:val="24"/>
        </w:rPr>
        <w:br/>
      </w:r>
      <w:r>
        <w:rPr>
          <w:rFonts w:eastAsia="Calibri" w:cs="Calibri"/>
          <w:szCs w:val="24"/>
        </w:rPr>
        <w:t xml:space="preserve"> The interest rate model performs best, showing the strongest alignment between predicted and </w:t>
      </w:r>
      <w:r>
        <w:rPr>
          <w:rFonts w:eastAsia="Calibri" w:cs="Calibri"/>
          <w:szCs w:val="24"/>
        </w:rPr>
        <w:lastRenderedPageBreak/>
        <w:t>actual values. It effectively captures grade-based interest rate patterns, though prediction errors increase for higher-risk loans due to greater variability and fewer training samples.</w:t>
      </w:r>
    </w:p>
    <w:p w:rsidR="00A65756" w:rsidRDefault="00000000">
      <w:pPr>
        <w:ind w:firstLine="720"/>
        <w:rPr>
          <w:rFonts w:ascii="Calibri" w:eastAsia="Calibri" w:hAnsi="Calibri" w:cs="Calibri"/>
          <w:szCs w:val="24"/>
        </w:rPr>
      </w:pPr>
      <w:r>
        <w:rPr>
          <w:rFonts w:eastAsia="Calibri" w:cs="Calibri"/>
          <w:szCs w:val="24"/>
        </w:rPr>
        <w:t xml:space="preserve">Overall, all three models exhibit </w:t>
      </w:r>
      <w:r>
        <w:rPr>
          <w:rFonts w:eastAsia="Calibri" w:cs="Calibri"/>
          <w:b/>
          <w:bCs/>
          <w:szCs w:val="24"/>
        </w:rPr>
        <w:t>moderate predictive performance</w:t>
      </w:r>
      <w:r>
        <w:rPr>
          <w:rFonts w:eastAsia="Calibri" w:cs="Calibri"/>
          <w:szCs w:val="24"/>
        </w:rPr>
        <w:t xml:space="preserve">, with the </w:t>
      </w:r>
      <w:r>
        <w:rPr>
          <w:rFonts w:eastAsia="Calibri" w:cs="Calibri"/>
          <w:b/>
          <w:bCs/>
          <w:szCs w:val="24"/>
        </w:rPr>
        <w:t>interest rate model providing the most reliable estimates</w:t>
      </w:r>
      <w:r>
        <w:rPr>
          <w:rFonts w:eastAsia="Calibri" w:cs="Calibri"/>
          <w:szCs w:val="24"/>
        </w:rPr>
        <w:t xml:space="preserve">, while </w:t>
      </w:r>
      <w:r>
        <w:rPr>
          <w:rFonts w:eastAsia="Calibri" w:cs="Calibri"/>
          <w:b/>
          <w:bCs/>
          <w:szCs w:val="24"/>
        </w:rPr>
        <w:t>loan amount</w:t>
      </w:r>
      <w:r>
        <w:rPr>
          <w:rFonts w:eastAsia="Calibri" w:cs="Calibri"/>
          <w:szCs w:val="24"/>
        </w:rPr>
        <w:t xml:space="preserve"> and </w:t>
      </w:r>
      <w:r>
        <w:rPr>
          <w:rFonts w:eastAsia="Calibri" w:cs="Calibri"/>
          <w:b/>
          <w:bCs/>
          <w:szCs w:val="24"/>
        </w:rPr>
        <w:t>loan-to-income ratio</w:t>
      </w:r>
      <w:r>
        <w:rPr>
          <w:rFonts w:eastAsia="Calibri" w:cs="Calibri"/>
          <w:szCs w:val="24"/>
        </w:rPr>
        <w:t xml:space="preserve"> predictions should be interpreted cautiously.</w:t>
      </w:r>
    </w:p>
    <w:p w:rsidR="00A65756" w:rsidRDefault="00000000">
      <w:pPr>
        <w:pStyle w:val="Heading3"/>
        <w:keepNext w:val="0"/>
        <w:keepLines w:val="0"/>
        <w:spacing w:before="240" w:after="120"/>
        <w:jc w:val="left"/>
        <w:rPr>
          <w:rFonts w:ascii="Calibri" w:eastAsia="Calibri" w:hAnsi="Calibri" w:cs="Calibri"/>
          <w:color w:val="2E75B6"/>
        </w:rPr>
      </w:pPr>
      <w:r>
        <w:rPr>
          <w:rFonts w:ascii="Times New Roman" w:eastAsia="Calibri" w:hAnsi="Times New Roman" w:cs="Calibri"/>
          <w:b/>
          <w:i/>
          <w:color w:val="2E75B6"/>
          <w:sz w:val="24"/>
        </w:rPr>
        <w:t>4.14.3 Interest Rate Prediction Performance by Loan Grade</w:t>
      </w:r>
    </w:p>
    <w:p w:rsidR="00A65756" w:rsidRDefault="00000000">
      <w:pPr>
        <w:spacing w:before="240"/>
        <w:keepNext w:val="true"/>
        <w:jc w:val="left"/>
      </w:pPr>
      <w:r>
        <w:rPr>
          <w:rFonts w:ascii="Times New Roman" w:hAnsi="Times New Roman"/>
          <w:b/>
          <w:sz w:val="24"/>
        </w:rPr>
        <w:t>Figure 23</w:t>
      </w:r>
    </w:p>
    <w:p w:rsidR="00A65756" w:rsidRDefault="00000000">
      <w:pPr>
        <w:spacing w:after="120"/>
        <w:jc w:val="left"/>
        <w:keepNext w:val="true"/>
      </w:pPr>
      <w:r>
        <w:rPr>
          <w:rFonts w:ascii="Times New Roman" w:hAnsi="Times New Roman"/>
          <w:i/>
          <w:sz w:val="24"/>
        </w:rPr>
        <w:t>Interest Rate Residual Distribution across Loan Grades</w:t>
      </w:r>
    </w:p>
    <w:p w:rsidR="00A65756" w:rsidRDefault="00000000">
      <w:pPr>
        <w:spacing w:line="240" w:lineRule="auto"/>
        <w:ind w:left="720"/>
        <w:keepNext w:val="true"/>
        <w:keepLines w:val="true"/>
      </w:pPr>
      <w:r>
        <w:rPr>
          <w:rFonts w:ascii="Courier New" w:hAnsi="Courier New"/>
          <w:noProof/>
          <w:color w:val="000000"/>
          <w:sz w:val="20"/>
        </w:rPr>
        <w:drawing>
          <wp:inline distT="114300" distB="114300" distL="114300" distR="114300">
            <wp:extent cx="6134414" cy="2137487"/>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22"/>
                    <a:srcRect/>
                    <a:stretch>
                      <a:fillRect/>
                    </a:stretch>
                  </pic:blipFill>
                  <pic:spPr>
                    <a:xfrm>
                      <a:off x="0" y="0"/>
                      <a:ext cx="6134414" cy="2137487"/>
                    </a:xfrm>
                    <a:prstGeom prst="rect">
                      <a:avLst/>
                    </a:prstGeom>
                    <a:ln/>
                  </pic:spPr>
                </pic:pic>
              </a:graphicData>
            </a:graphic>
          </wp:inline>
        </w:drawing>
      </w:r>
    </w:p>
    <w:p w:rsidR="00A65756" w:rsidRDefault="00000000">
      <w:pPr>
        <w:ind w:firstLine="720"/>
      </w:pPr>
      <w:r>
        <w:rPr>
          <w:rFonts w:eastAsia="Calibri" w:cs="Calibri"/>
          <w:szCs w:val="24"/>
        </w:rPr>
        <w:t>This analysis evaluates how accurately the model predicts interest rates across different borrower risk grades.</w:t>
      </w:r>
    </w:p>
    <w:p w:rsidR="00A65756" w:rsidRDefault="00000000">
      <w:pPr>
        <w:spacing w:before="240"/>
        <w:keepNext w:val="true"/>
        <w:jc w:val="left"/>
      </w:pPr>
      <w:r>
        <w:rPr>
          <w:rFonts w:ascii="Times New Roman" w:hAnsi="Times New Roman"/>
          <w:b/>
          <w:sz w:val="24"/>
        </w:rPr>
        <w:t>Table 20</w:t>
      </w:r>
    </w:p>
    <w:p w:rsidR="00A65756" w:rsidRDefault="00000000">
      <w:pPr>
        <w:spacing w:after="120"/>
        <w:jc w:val="left"/>
        <w:keepNext w:val="true"/>
      </w:pPr>
      <w:r>
        <w:rPr>
          <w:rFonts w:ascii="Times New Roman" w:hAnsi="Times New Roman"/>
          <w:i/>
          <w:sz w:val="24"/>
        </w:rPr>
        <w:t>Interest Rate MAE and Sample Count by Loan Grade</w:t>
      </w:r>
    </w:p>
    <w:tbl>
      <w:tblPr>
        <w:tblStyle w:val="a0"/>
        <w:tblW w:w="9360" w:type="dxa"/>
        <w:jc w:val="center"/>
        <w:tblInd w:w="0" w:type="dxa"/>
        <w:tblLayout w:type="fixed"/>
        <w:tblLook w:val="0600" w:firstRow="0" w:lastRow="0" w:firstColumn="0" w:lastColumn="0" w:noHBand="1"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545"/>
        <w:gridCol w:w="1575"/>
        <w:gridCol w:w="1530"/>
        <w:gridCol w:w="1530"/>
        <w:gridCol w:w="1575"/>
        <w:gridCol w:w="1605"/>
      </w:tblGrid>
      <w:tr w:rsidR="00A65756">
        <w:trPr>
          <w:trHeight w:val="645"/>
          <w:jc w:val="center"/>
          <w:cantSplit w:val="true"/>
          <w:tblHeader w:val="true"/>
        </w:trPr>
        <w:tc>
          <w:tcPr>
            <w:tcW w:w="154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Loan Grade</w:t>
            </w:r>
          </w:p>
        </w:tc>
        <w:tc>
          <w:tcPr>
            <w:tcW w:w="157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Mean Rate</w:t>
            </w:r>
          </w:p>
        </w:tc>
        <w:tc>
          <w:tcPr>
            <w:tcW w:w="153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MAE (p.p.)</w:t>
            </w:r>
          </w:p>
        </w:tc>
        <w:tc>
          <w:tcPr>
            <w:tcW w:w="153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Std Error</w:t>
            </w:r>
          </w:p>
        </w:tc>
        <w:tc>
          <w:tcPr>
            <w:tcW w:w="157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Sample Count</w:t>
            </w:r>
          </w:p>
        </w:tc>
        <w:tc>
          <w:tcPr>
            <w:tcW w:w="160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Relative Error</w:t>
            </w:r>
          </w:p>
        </w:tc>
      </w:tr>
      <w:tr w:rsidR="00A65756">
        <w:trPr>
          <w:trHeight w:val="405"/>
          <w:jc w:val="center"/>
          <w:cantSplit w:val="true"/>
        </w:trPr>
        <w:tc>
          <w:tcPr>
            <w:tcW w:w="1545"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A</w:t>
            </w:r>
          </w:p>
        </w:tc>
        <w:tc>
          <w:tcPr>
            <w:tcW w:w="157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7.63%</w:t>
            </w:r>
          </w:p>
        </w:tc>
        <w:tc>
          <w:tcPr>
            <w:tcW w:w="153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2.457</w:t>
            </w:r>
          </w:p>
        </w:tc>
        <w:tc>
          <w:tcPr>
            <w:tcW w:w="153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1.141</w:t>
            </w:r>
          </w:p>
        </w:tc>
        <w:tc>
          <w:tcPr>
            <w:tcW w:w="157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1,809</w:t>
            </w:r>
          </w:p>
        </w:tc>
        <w:tc>
          <w:tcPr>
            <w:tcW w:w="160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32.2%</w:t>
            </w:r>
          </w:p>
        </w:tc>
      </w:tr>
      <w:tr w:rsidR="00A65756">
        <w:trPr>
          <w:trHeight w:val="405"/>
          <w:jc w:val="center"/>
          <w:cantSplit w:val="true"/>
        </w:trPr>
        <w:tc>
          <w:tcPr>
            <w:tcW w:w="154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B</w:t>
            </w:r>
          </w:p>
        </w:tc>
        <w:tc>
          <w:tcPr>
            <w:tcW w:w="157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10.98%</w:t>
            </w:r>
          </w:p>
        </w:tc>
        <w:tc>
          <w:tcPr>
            <w:tcW w:w="153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1.166</w:t>
            </w:r>
          </w:p>
        </w:tc>
        <w:tc>
          <w:tcPr>
            <w:tcW w:w="153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0.783</w:t>
            </w:r>
          </w:p>
        </w:tc>
        <w:tc>
          <w:tcPr>
            <w:tcW w:w="157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1,570</w:t>
            </w:r>
          </w:p>
        </w:tc>
        <w:tc>
          <w:tcPr>
            <w:tcW w:w="160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10.6%</w:t>
            </w:r>
          </w:p>
        </w:tc>
      </w:tr>
      <w:tr w:rsidR="00A65756">
        <w:trPr>
          <w:trHeight w:val="405"/>
          <w:jc w:val="center"/>
          <w:cantSplit w:val="true"/>
        </w:trPr>
        <w:tc>
          <w:tcPr>
            <w:tcW w:w="1545"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lastRenderedPageBreak/>
              <w:t>C</w:t>
            </w:r>
          </w:p>
        </w:tc>
        <w:tc>
          <w:tcPr>
            <w:tcW w:w="157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13.26%</w:t>
            </w:r>
          </w:p>
        </w:tc>
        <w:tc>
          <w:tcPr>
            <w:tcW w:w="153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2.128</w:t>
            </w:r>
          </w:p>
        </w:tc>
        <w:tc>
          <w:tcPr>
            <w:tcW w:w="153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1.533</w:t>
            </w:r>
          </w:p>
        </w:tc>
        <w:tc>
          <w:tcPr>
            <w:tcW w:w="157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872</w:t>
            </w:r>
          </w:p>
        </w:tc>
        <w:tc>
          <w:tcPr>
            <w:tcW w:w="160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16.1%</w:t>
            </w:r>
          </w:p>
        </w:tc>
      </w:tr>
      <w:tr w:rsidR="00A65756">
        <w:trPr>
          <w:trHeight w:val="405"/>
          <w:jc w:val="center"/>
          <w:cantSplit w:val="true"/>
        </w:trPr>
        <w:tc>
          <w:tcPr>
            <w:tcW w:w="154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D</w:t>
            </w:r>
          </w:p>
        </w:tc>
        <w:tc>
          <w:tcPr>
            <w:tcW w:w="157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14.99%</w:t>
            </w:r>
          </w:p>
        </w:tc>
        <w:tc>
          <w:tcPr>
            <w:tcW w:w="153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3.401</w:t>
            </w:r>
          </w:p>
        </w:tc>
        <w:tc>
          <w:tcPr>
            <w:tcW w:w="153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2.223</w:t>
            </w:r>
          </w:p>
        </w:tc>
        <w:tc>
          <w:tcPr>
            <w:tcW w:w="157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262</w:t>
            </w:r>
          </w:p>
        </w:tc>
        <w:tc>
          <w:tcPr>
            <w:tcW w:w="160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22.7%</w:t>
            </w:r>
          </w:p>
        </w:tc>
      </w:tr>
      <w:tr w:rsidR="00A65756">
        <w:trPr>
          <w:trHeight w:val="405"/>
          <w:jc w:val="center"/>
          <w:cantSplit w:val="true"/>
        </w:trPr>
        <w:tc>
          <w:tcPr>
            <w:tcW w:w="1545"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E</w:t>
            </w:r>
          </w:p>
        </w:tc>
        <w:tc>
          <w:tcPr>
            <w:tcW w:w="157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16.62%</w:t>
            </w:r>
          </w:p>
        </w:tc>
        <w:tc>
          <w:tcPr>
            <w:tcW w:w="153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5.440</w:t>
            </w:r>
          </w:p>
        </w:tc>
        <w:tc>
          <w:tcPr>
            <w:tcW w:w="153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2.448</w:t>
            </w:r>
          </w:p>
        </w:tc>
        <w:tc>
          <w:tcPr>
            <w:tcW w:w="157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58</w:t>
            </w:r>
          </w:p>
        </w:tc>
        <w:tc>
          <w:tcPr>
            <w:tcW w:w="160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32.7%</w:t>
            </w:r>
          </w:p>
        </w:tc>
      </w:tr>
      <w:tr w:rsidR="00A65756">
        <w:trPr>
          <w:trHeight w:val="405"/>
          <w:jc w:val="center"/>
          <w:cantSplit w:val="true"/>
        </w:trPr>
        <w:tc>
          <w:tcPr>
            <w:tcW w:w="154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F</w:t>
            </w:r>
          </w:p>
        </w:tc>
        <w:tc>
          <w:tcPr>
            <w:tcW w:w="157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17.99%</w:t>
            </w:r>
          </w:p>
        </w:tc>
        <w:tc>
          <w:tcPr>
            <w:tcW w:w="153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5.708</w:t>
            </w:r>
          </w:p>
        </w:tc>
        <w:tc>
          <w:tcPr>
            <w:tcW w:w="153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2.670</w:t>
            </w:r>
          </w:p>
        </w:tc>
        <w:tc>
          <w:tcPr>
            <w:tcW w:w="157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16</w:t>
            </w:r>
          </w:p>
        </w:tc>
        <w:tc>
          <w:tcPr>
            <w:tcW w:w="160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31.7%</w:t>
            </w:r>
          </w:p>
        </w:tc>
      </w:tr>
    </w:tbl>
    <w:p w:rsidR="00A65756" w:rsidRDefault="00000000">
      <w:pPr>
        <w:ind w:firstLine="720"/>
        <w:rPr>
          <w:rFonts w:ascii="Calibri" w:eastAsia="Calibri" w:hAnsi="Calibri" w:cs="Calibri"/>
          <w:szCs w:val="24"/>
        </w:rPr>
      </w:pPr>
      <w:r>
        <w:rPr>
          <w:rFonts w:eastAsia="Calibri" w:cs="Calibri"/>
          <w:szCs w:val="24"/>
        </w:rPr>
        <w:t>Key findings:</w:t>
      </w:r>
    </w:p>
    <w:p w:rsidR="00A65756" w:rsidRDefault="00000000">
      <w:pPr>
        <w:numPr>
          <w:ilvl w:val="0"/>
          <w:numId w:val="20"/>
        </w:numPr>
        <w:ind w:left="0" w:firstLine="720"/>
        <w:rPr>
          <w:szCs w:val="24"/>
        </w:rPr>
      </w:pPr>
      <w:r>
        <w:rPr>
          <w:rFonts w:eastAsia="Calibri" w:cs="Calibri"/>
          <w:b/>
          <w:bCs/>
          <w:szCs w:val="24"/>
        </w:rPr>
        <w:t>Grade B</w:t>
      </w:r>
      <w:r>
        <w:rPr>
          <w:rFonts w:eastAsia="Calibri" w:cs="Calibri"/>
          <w:szCs w:val="24"/>
        </w:rPr>
        <w:t xml:space="preserve"> achieved the best performance (</w:t>
      </w:r>
      <w:r>
        <w:rPr>
          <w:rFonts w:eastAsia="Calibri" w:cs="Calibri"/>
          <w:b/>
          <w:bCs/>
          <w:szCs w:val="24"/>
        </w:rPr>
        <w:t>MAE = 1.17 percentage points</w:t>
      </w:r>
      <w:r>
        <w:rPr>
          <w:rFonts w:eastAsia="Calibri" w:cs="Calibri"/>
          <w:szCs w:val="24"/>
        </w:rPr>
        <w:t>), benefiting from a large sample size and consistent rate patterns.</w:t>
      </w:r>
    </w:p>
    <w:p w:rsidR="00A65756" w:rsidRDefault="00000000">
      <w:pPr>
        <w:numPr>
          <w:ilvl w:val="0"/>
          <w:numId w:val="20"/>
        </w:numPr>
        <w:ind w:left="0" w:firstLine="720"/>
        <w:rPr>
          <w:szCs w:val="24"/>
        </w:rPr>
      </w:pPr>
      <w:r>
        <w:rPr>
          <w:rFonts w:eastAsia="Calibri" w:cs="Calibri"/>
          <w:b/>
          <w:bCs/>
          <w:szCs w:val="24"/>
        </w:rPr>
        <w:t>Grade A</w:t>
      </w:r>
      <w:r>
        <w:rPr>
          <w:rFonts w:eastAsia="Calibri" w:cs="Calibri"/>
          <w:szCs w:val="24"/>
        </w:rPr>
        <w:t xml:space="preserve"> showed higher error (</w:t>
      </w:r>
      <w:r>
        <w:rPr>
          <w:rFonts w:eastAsia="Calibri" w:cs="Calibri"/>
          <w:b/>
          <w:bCs/>
          <w:szCs w:val="24"/>
        </w:rPr>
        <w:t>MAE = 2.46 p.p.</w:t>
      </w:r>
      <w:r>
        <w:rPr>
          <w:rFonts w:eastAsia="Calibri" w:cs="Calibri"/>
          <w:szCs w:val="24"/>
        </w:rPr>
        <w:t>) due to greater variation in interest rates within the grade.</w:t>
      </w:r>
    </w:p>
    <w:p w:rsidR="00A65756" w:rsidRDefault="00000000">
      <w:pPr>
        <w:numPr>
          <w:ilvl w:val="0"/>
          <w:numId w:val="20"/>
        </w:numPr>
        <w:ind w:left="0" w:firstLine="720"/>
        <w:rPr>
          <w:szCs w:val="24"/>
        </w:rPr>
      </w:pPr>
      <w:r>
        <w:rPr>
          <w:rFonts w:eastAsia="Calibri" w:cs="Calibri"/>
          <w:b/>
          <w:bCs/>
          <w:szCs w:val="24"/>
        </w:rPr>
        <w:t>Grades E and F</w:t>
      </w:r>
      <w:r>
        <w:rPr>
          <w:rFonts w:eastAsia="Calibri" w:cs="Calibri"/>
          <w:szCs w:val="24"/>
        </w:rPr>
        <w:t xml:space="preserve"> had the largest errors (</w:t>
      </w:r>
      <w:r>
        <w:rPr>
          <w:rFonts w:eastAsia="Calibri" w:cs="Calibri"/>
          <w:b/>
          <w:bCs/>
          <w:szCs w:val="24"/>
        </w:rPr>
        <w:t>MAE = 5.44–5.71 p.p.</w:t>
      </w:r>
      <w:r>
        <w:rPr>
          <w:rFonts w:eastAsia="Calibri" w:cs="Calibri"/>
          <w:szCs w:val="24"/>
        </w:rPr>
        <w:t>), largely because of limited training data and greater rate variability.</w:t>
      </w:r>
    </w:p>
    <w:p w:rsidR="00A65756" w:rsidRDefault="00000000">
      <w:pPr>
        <w:numPr>
          <w:ilvl w:val="0"/>
          <w:numId w:val="20"/>
        </w:numPr>
        <w:ind w:left="0" w:firstLine="720"/>
        <w:rPr>
          <w:rFonts w:ascii="Calibri" w:eastAsia="Calibri" w:hAnsi="Calibri" w:cs="Calibri"/>
          <w:szCs w:val="24"/>
        </w:rPr>
      </w:pPr>
      <w:r>
        <w:rPr>
          <w:rFonts w:eastAsia="Calibri" w:cs="Calibri"/>
          <w:szCs w:val="24"/>
        </w:rPr>
        <w:t>Prediction error generally increases with borrower risk, indicating that higher-risk grades are more difficult to model accurately.</w:t>
      </w:r>
    </w:p>
    <w:p w:rsidR="00A65756" w:rsidRDefault="00000000">
      <w:pPr>
        <w:ind w:firstLine="720"/>
        <w:rPr>
          <w:rFonts w:ascii="Calibri" w:eastAsia="Calibri" w:hAnsi="Calibri" w:cs="Calibri"/>
          <w:szCs w:val="24"/>
        </w:rPr>
      </w:pPr>
      <w:r>
        <w:rPr>
          <w:rFonts w:eastAsia="Calibri" w:cs="Calibri"/>
          <w:szCs w:val="24"/>
        </w:rPr>
        <w:t xml:space="preserve">Overall, the model achieved an </w:t>
      </w:r>
      <w:r>
        <w:rPr>
          <w:rFonts w:eastAsia="Calibri" w:cs="Calibri"/>
          <w:b/>
          <w:bCs/>
          <w:szCs w:val="24"/>
        </w:rPr>
        <w:t>average MAE of 3.38 percentage points</w:t>
      </w:r>
      <w:r>
        <w:rPr>
          <w:rFonts w:eastAsia="Calibri" w:cs="Calibri"/>
          <w:szCs w:val="24"/>
        </w:rPr>
        <w:t xml:space="preserve">, with performance strongest for </w:t>
      </w:r>
      <w:r>
        <w:rPr>
          <w:rFonts w:eastAsia="Calibri" w:cs="Calibri"/>
          <w:b/>
          <w:bCs/>
          <w:szCs w:val="24"/>
        </w:rPr>
        <w:t>Grade B</w:t>
      </w:r>
      <w:r>
        <w:rPr>
          <w:rFonts w:eastAsia="Calibri" w:cs="Calibri"/>
          <w:szCs w:val="24"/>
        </w:rPr>
        <w:t xml:space="preserve"> and weakest for </w:t>
      </w:r>
      <w:r>
        <w:rPr>
          <w:rFonts w:eastAsia="Calibri" w:cs="Calibri"/>
          <w:b/>
          <w:bCs/>
          <w:szCs w:val="24"/>
        </w:rPr>
        <w:t>Grade F</w:t>
      </w:r>
      <w:r>
        <w:rPr>
          <w:rFonts w:eastAsia="Calibri" w:cs="Calibri"/>
          <w:szCs w:val="24"/>
        </w:rPr>
        <w:t>. This suggests the model is most reliable for low- to medium-risk borrowers and less precise for high-risk segments.</w:t>
      </w:r>
    </w:p>
    <w:p w:rsidR="00A65756" w:rsidRDefault="00000000">
      <w:pPr>
        <w:pStyle w:val="Heading3"/>
        <w:keepNext w:val="0"/>
        <w:keepLines w:val="0"/>
        <w:spacing w:before="240" w:after="120"/>
        <w:jc w:val="left"/>
      </w:pPr>
      <w:r>
        <w:rPr>
          <w:rFonts w:ascii="Times New Roman" w:eastAsia="Calibri" w:hAnsi="Times New Roman" w:cs="Calibri"/>
          <w:b/>
          <w:i/>
          <w:color w:val="2E75B6"/>
          <w:sz w:val="24"/>
        </w:rPr>
        <w:t>4.14.4 Feature Importance – SHAP Analysis (Interest Rate Model)</w:t>
      </w:r>
    </w:p>
    <w:p w:rsidR="00A65756" w:rsidRDefault="00000000">
      <w:pPr>
        <w:spacing w:before="240"/>
        <w:keepNext w:val="true"/>
        <w:jc w:val="left"/>
      </w:pPr>
      <w:r>
        <w:rPr>
          <w:rFonts w:ascii="Times New Roman" w:hAnsi="Times New Roman"/>
          <w:b/>
          <w:sz w:val="24"/>
        </w:rPr>
        <w:t>Figure 24</w:t>
      </w:r>
    </w:p>
    <w:p w:rsidR="00A65756" w:rsidRDefault="00000000">
      <w:pPr>
        <w:spacing w:after="120"/>
        <w:jc w:val="left"/>
        <w:keepNext w:val="true"/>
      </w:pPr>
      <w:r>
        <w:rPr>
          <w:rFonts w:ascii="Times New Roman" w:hAnsi="Times New Roman"/>
          <w:i/>
          <w:sz w:val="24"/>
        </w:rPr>
        <w:t>SHAP Bee Swarm Summary Plot for Interest Rate Model</w:t>
      </w:r>
    </w:p>
    <w:p w:rsidR="00A65756" w:rsidRDefault="00000000">
      <w:pPr>
        <w:spacing w:line="240" w:lineRule="auto"/>
        <w:ind w:left="720"/>
        <w:keepNext w:val="true"/>
        <w:keepLines w:val="true"/>
      </w:pPr>
      <w:r>
        <w:rPr>
          <w:rFonts w:ascii="Courier New" w:hAnsi="Courier New"/>
          <w:noProof/>
          <w:color w:val="000000"/>
          <w:sz w:val="20"/>
        </w:rPr>
        <w:lastRenderedPageBreak/>
        <w:drawing>
          <wp:inline distT="114300" distB="114300" distL="114300" distR="114300">
            <wp:extent cx="3900488" cy="3664986"/>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16" name="image5.png"/>
                    <pic:cNvPicPr preferRelativeResize="0"/>
                  </pic:nvPicPr>
                  <pic:blipFill>
                    <a:blip r:embed="rId23"/>
                    <a:srcRect/>
                    <a:stretch>
                      <a:fillRect/>
                    </a:stretch>
                  </pic:blipFill>
                  <pic:spPr>
                    <a:xfrm>
                      <a:off x="0" y="0"/>
                      <a:ext cx="3900488" cy="3664986"/>
                    </a:xfrm>
                    <a:prstGeom prst="rect">
                      <a:avLst/>
                    </a:prstGeom>
                    <a:ln/>
                  </pic:spPr>
                </pic:pic>
              </a:graphicData>
            </a:graphic>
          </wp:inline>
        </w:drawing>
      </w:r>
    </w:p>
    <w:p w:rsidR="00A65756" w:rsidRDefault="00000000">
      <w:pPr>
        <w:spacing w:before="240"/>
        <w:keepNext w:val="true"/>
        <w:jc w:val="left"/>
      </w:pPr>
      <w:r>
        <w:rPr>
          <w:rFonts w:ascii="Times New Roman" w:hAnsi="Times New Roman"/>
          <w:b/>
          <w:sz w:val="24"/>
        </w:rPr>
        <w:t>Table 21</w:t>
      </w:r>
    </w:p>
    <w:p w:rsidR="00A65756" w:rsidRDefault="00000000">
      <w:pPr>
        <w:spacing w:after="120"/>
        <w:jc w:val="left"/>
        <w:keepNext w:val="true"/>
      </w:pPr>
      <w:r>
        <w:rPr>
          <w:rFonts w:ascii="Times New Roman" w:hAnsi="Times New Roman"/>
          <w:i/>
          <w:sz w:val="24"/>
        </w:rPr>
        <w:t>SHAP Interest Rate Feature Impact Rankings</w:t>
      </w:r>
    </w:p>
    <w:tbl>
      <w:tblPr>
        <w:tblStyle w:val="a0"/>
        <w:tblW w:w="9360" w:type="dxa"/>
        <w:jc w:val="center"/>
        <w:tblInd w:w="0" w:type="dxa"/>
        <w:tblLayout w:type="fixed"/>
        <w:tblLook w:val="0600" w:firstRow="0" w:lastRow="0" w:firstColumn="0" w:lastColumn="0" w:noHBand="1"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652"/>
        <w:gridCol w:w="3341"/>
        <w:gridCol w:w="1877"/>
        <w:gridCol w:w="3488"/>
      </w:tblGrid>
      <w:tr w:rsidR="00A65756">
        <w:trPr>
          <w:trHeight w:val="405"/>
          <w:jc w:val="center"/>
          <w:cantSplit w:val="true"/>
          <w:tblHeader w:val="true"/>
        </w:trPr>
        <w:tc>
          <w:tcPr>
            <w:tcW w:w="652"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Rank</w:t>
            </w:r>
          </w:p>
        </w:tc>
        <w:tc>
          <w:tcPr>
            <w:tcW w:w="3341"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Feature</w:t>
            </w:r>
          </w:p>
        </w:tc>
        <w:tc>
          <w:tcPr>
            <w:tcW w:w="1877"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Effect Direction</w:t>
            </w:r>
          </w:p>
        </w:tc>
        <w:tc>
          <w:tcPr>
            <w:tcW w:w="3488"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b/>
                <w:bCs/>
                <w:color w:val="FFFFFF"/>
                <w:sz w:val="20"/>
                <w:szCs w:val="20"/>
              </w:rPr>
              <w:keepNext w:val="true"/>
            </w:pPr>
            <w:r>
              <w:rPr>
                <w:rFonts w:ascii="Times New Roman" w:hAnsi="Times New Roman"/>
                <w:b/>
                <w:bCs/>
                <w:color w:val="FFFFFF"/>
                <w:sz w:val="20"/>
                <w:szCs w:val="20"/>
              </w:rPr>
              <w:t>Business Interpretation</w:t>
            </w:r>
          </w:p>
        </w:tc>
      </w:tr>
      <w:tr w:rsidR="00A65756">
        <w:trPr>
          <w:trHeight w:val="1125"/>
          <w:jc w:val="center"/>
          <w:cantSplit w:val="true"/>
        </w:trPr>
        <w:tc>
          <w:tcPr>
            <w:tcW w:w="652"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1</w:t>
            </w:r>
          </w:p>
        </w:tc>
        <w:tc>
          <w:tcPr>
            <w:tcW w:w="3341"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default_on_file_binary</w:t>
            </w:r>
          </w:p>
        </w:tc>
        <w:tc>
          <w:tcPr>
            <w:tcW w:w="1877"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Prior default → higher rate</w:t>
            </w:r>
          </w:p>
        </w:tc>
        <w:tc>
          <w:tcPr>
            <w:tcW w:w="348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Strongest signal: borrowers with any prior default are assigned significantly higher rates</w:t>
            </w:r>
          </w:p>
        </w:tc>
      </w:tr>
      <w:tr w:rsidR="00A65756">
        <w:trPr>
          <w:trHeight w:val="1125"/>
          <w:jc w:val="center"/>
          <w:cantSplit w:val="true"/>
        </w:trPr>
        <w:tc>
          <w:tcPr>
            <w:tcW w:w="652"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2</w:t>
            </w:r>
          </w:p>
        </w:tc>
        <w:tc>
          <w:tcPr>
            <w:tcW w:w="334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cb_person_default_on_file</w:t>
            </w:r>
          </w:p>
        </w:tc>
        <w:tc>
          <w:tcPr>
            <w:tcW w:w="187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Prior default → higher rate</w:t>
            </w:r>
          </w:p>
        </w:tc>
        <w:tc>
          <w:tcPr>
            <w:tcW w:w="348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Credit bureau confirmation of prior default – nearly identical effect to binary version</w:t>
            </w:r>
          </w:p>
        </w:tc>
      </w:tr>
      <w:tr w:rsidR="00A65756">
        <w:trPr>
          <w:trHeight w:val="1125"/>
          <w:jc w:val="center"/>
          <w:cantSplit w:val="true"/>
        </w:trPr>
        <w:tc>
          <w:tcPr>
            <w:tcW w:w="652"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3</w:t>
            </w:r>
          </w:p>
        </w:tc>
        <w:tc>
          <w:tcPr>
            <w:tcW w:w="3341"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person_home_ownership_MORTGAGE</w:t>
            </w:r>
          </w:p>
        </w:tc>
        <w:tc>
          <w:tcPr>
            <w:tcW w:w="1877"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Mortgage → lower rate</w:t>
            </w:r>
          </w:p>
        </w:tc>
        <w:tc>
          <w:tcPr>
            <w:tcW w:w="348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Mortgage holders demonstrate creditworthiness; lenders offer lower rates</w:t>
            </w:r>
          </w:p>
        </w:tc>
      </w:tr>
      <w:tr w:rsidR="00A65756">
        <w:trPr>
          <w:trHeight w:val="885"/>
          <w:jc w:val="center"/>
          <w:cantSplit w:val="true"/>
        </w:trPr>
        <w:tc>
          <w:tcPr>
            <w:tcW w:w="652"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4</w:t>
            </w:r>
          </w:p>
        </w:tc>
        <w:tc>
          <w:tcPr>
            <w:tcW w:w="334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person_home_ownership_RENT</w:t>
            </w:r>
          </w:p>
        </w:tc>
        <w:tc>
          <w:tcPr>
            <w:tcW w:w="187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Renting → higher rate</w:t>
            </w:r>
          </w:p>
        </w:tc>
        <w:tc>
          <w:tcPr>
            <w:tcW w:w="348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Renters perceived as higher risk; pay premium interest rates</w:t>
            </w:r>
          </w:p>
        </w:tc>
      </w:tr>
      <w:tr w:rsidR="00A65756">
        <w:trPr>
          <w:trHeight w:val="1125"/>
          <w:jc w:val="center"/>
          <w:cantSplit w:val="true"/>
        </w:trPr>
        <w:tc>
          <w:tcPr>
            <w:tcW w:w="652"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lastRenderedPageBreak/>
              <w:t>5</w:t>
            </w:r>
          </w:p>
        </w:tc>
        <w:tc>
          <w:tcPr>
            <w:tcW w:w="3341"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loan_intent_MEDICAL</w:t>
            </w:r>
          </w:p>
        </w:tc>
        <w:tc>
          <w:tcPr>
            <w:tcW w:w="1877"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Medical → lower rate</w:t>
            </w:r>
          </w:p>
        </w:tc>
        <w:tc>
          <w:tcPr>
            <w:tcW w:w="348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Medical loans may be viewed as unavoidable necessity; some lenders offer lower rates</w:t>
            </w:r>
          </w:p>
        </w:tc>
      </w:tr>
      <w:tr w:rsidR="00A65756">
        <w:trPr>
          <w:trHeight w:val="885"/>
          <w:jc w:val="center"/>
          <w:cantSplit w:val="true"/>
        </w:trPr>
        <w:tc>
          <w:tcPr>
            <w:tcW w:w="652"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6</w:t>
            </w:r>
          </w:p>
        </w:tc>
        <w:tc>
          <w:tcPr>
            <w:tcW w:w="334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loan_intent_DEBTCONSOLIDATION</w:t>
            </w:r>
          </w:p>
        </w:tc>
        <w:tc>
          <w:tcPr>
            <w:tcW w:w="187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Debt consolidation → higher</w:t>
            </w:r>
          </w:p>
        </w:tc>
        <w:tc>
          <w:tcPr>
            <w:tcW w:w="348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Consolidating debt signals existing financial stress; higher rates applied</w:t>
            </w:r>
          </w:p>
        </w:tc>
      </w:tr>
      <w:tr w:rsidR="00A65756">
        <w:trPr>
          <w:trHeight w:val="885"/>
          <w:jc w:val="center"/>
          <w:cantSplit w:val="true"/>
        </w:trPr>
        <w:tc>
          <w:tcPr>
            <w:tcW w:w="652"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7</w:t>
            </w:r>
          </w:p>
        </w:tc>
        <w:tc>
          <w:tcPr>
            <w:tcW w:w="3341"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employment_to_age_ratio</w:t>
            </w:r>
          </w:p>
        </w:tc>
        <w:tc>
          <w:tcPr>
            <w:tcW w:w="1877"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Higher ratio → moderate effect</w:t>
            </w:r>
          </w:p>
        </w:tc>
        <w:tc>
          <w:tcPr>
            <w:tcW w:w="348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Employment stability relative to age signals career trajectory</w:t>
            </w:r>
          </w:p>
        </w:tc>
      </w:tr>
      <w:tr w:rsidR="00A65756">
        <w:trPr>
          <w:trHeight w:val="885"/>
          <w:jc w:val="center"/>
          <w:cantSplit w:val="true"/>
        </w:trPr>
        <w:tc>
          <w:tcPr>
            <w:tcW w:w="652"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8</w:t>
            </w:r>
          </w:p>
        </w:tc>
        <w:tc>
          <w:tcPr>
            <w:tcW w:w="334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loan_intent_EDUCATION</w:t>
            </w:r>
          </w:p>
        </w:tc>
        <w:tc>
          <w:tcPr>
            <w:tcW w:w="187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Education → lower rate</w:t>
            </w:r>
          </w:p>
        </w:tc>
        <w:tc>
          <w:tcPr>
            <w:tcW w:w="348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Education loans often have government backing or preferential rates</w:t>
            </w:r>
          </w:p>
        </w:tc>
      </w:tr>
      <w:tr w:rsidR="00A65756">
        <w:trPr>
          <w:trHeight w:val="885"/>
          <w:jc w:val="center"/>
          <w:cantSplit w:val="true"/>
        </w:trPr>
        <w:tc>
          <w:tcPr>
            <w:tcW w:w="652"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9</w:t>
            </w:r>
          </w:p>
        </w:tc>
        <w:tc>
          <w:tcPr>
            <w:tcW w:w="3341"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log_person_income</w:t>
            </w:r>
          </w:p>
        </w:tc>
        <w:tc>
          <w:tcPr>
            <w:tcW w:w="1877"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eastAsia="Arial Unicode MS" w:cs="Arial Unicode MS" w:ascii="Times New Roman" w:hAnsi="Times New Roman"/>
                <w:color w:val="222222"/>
                <w:sz w:val="20"/>
                <w:szCs w:val="20"/>
              </w:rPr>
              <w:t>Higher income → lower rate</w:t>
            </w:r>
          </w:p>
        </w:tc>
        <w:tc>
          <w:tcPr>
            <w:tcW w:w="3488"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color w:val="222222"/>
                <w:sz w:val="20"/>
                <w:szCs w:val="20"/>
              </w:rPr>
              <w:keepNext w:val="true"/>
            </w:pPr>
            <w:r>
              <w:rPr>
                <w:rFonts w:ascii="Times New Roman" w:hAnsi="Times New Roman"/>
                <w:color w:val="222222"/>
                <w:sz w:val="20"/>
                <w:szCs w:val="20"/>
              </w:rPr>
              <w:t>Higher earners qualify for lower interest rates due to lower default risk</w:t>
            </w:r>
          </w:p>
        </w:tc>
      </w:tr>
      <w:tr w:rsidR="00A65756">
        <w:trPr>
          <w:trHeight w:val="885"/>
          <w:jc w:val="center"/>
          <w:cantSplit w:val="true"/>
        </w:trPr>
        <w:tc>
          <w:tcPr>
            <w:tcW w:w="652"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10</w:t>
            </w:r>
          </w:p>
        </w:tc>
        <w:tc>
          <w:tcPr>
            <w:tcW w:w="334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credit_history_to_age_ratio</w:t>
            </w:r>
          </w:p>
        </w:tc>
        <w:tc>
          <w:tcPr>
            <w:tcW w:w="187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eastAsia="Arial Unicode MS" w:cs="Arial Unicode MS" w:ascii="Times New Roman" w:hAnsi="Times New Roman"/>
                <w:color w:val="222222"/>
                <w:sz w:val="20"/>
                <w:szCs w:val="20"/>
              </w:rPr>
              <w:t>Longer history → lower rate</w:t>
            </w:r>
          </w:p>
        </w:tc>
        <w:tc>
          <w:tcPr>
            <w:tcW w:w="3488"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color w:val="222222"/>
                <w:sz w:val="20"/>
                <w:szCs w:val="20"/>
              </w:rPr>
            </w:pPr>
            <w:r>
              <w:rPr>
                <w:rFonts w:ascii="Times New Roman" w:hAnsi="Times New Roman"/>
                <w:color w:val="222222"/>
                <w:sz w:val="20"/>
                <w:szCs w:val="20"/>
              </w:rPr>
              <w:t>Longer credit history relative to age signals financial maturity</w:t>
            </w:r>
          </w:p>
        </w:tc>
      </w:tr>
    </w:tbl>
    <w:p w:rsidR="00A65756" w:rsidRDefault="00000000">
      <w:pPr>
        <w:ind w:firstLine="720"/>
        <w:rPr>
          <w:rFonts w:ascii="Calibri" w:eastAsia="Calibri" w:hAnsi="Calibri" w:cs="Calibri"/>
          <w:szCs w:val="24"/>
        </w:rPr>
      </w:pPr>
      <w:r>
        <w:rPr>
          <w:rFonts w:eastAsia="Calibri" w:cs="Calibri"/>
          <w:szCs w:val="24"/>
        </w:rPr>
        <w:t>The SHAP plot reveals two distinct groups of important features: (1) prior default history features (default_on_file_binary, cb_person_default_on_file) with large, asymmetric SHAP distributions concentrated on the right side – indicating they push rates significantly higher when present but have limited effect when absent; and (2) housing and income features with more symmetric distributions, acting as moderating factors across the full borrower spectrum.</w:t>
      </w:r>
    </w:p>
    <w:p w:rsidR="00A65756" w:rsidRDefault="00000000">
      <w:pPr>
        <w:pStyle w:val="Heading1"/>
        <w:pageBreakBefore/>
        <w:spacing w:before="240" w:after="120"/>
        <w:jc w:val="center"/>
      </w:pPr>
      <w:r>
        <w:rPr>
          <w:rFonts w:ascii="Times New Roman" w:hAnsi="Times New Roman"/>
          <w:b/>
          <w:sz w:val="24"/>
        </w:rPr>
        <w:t>5. Conclusion</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5.1 Summary of Findings</w:t>
      </w:r>
    </w:p>
    <w:p w:rsidR="00FE1DA8" w:rsidRDefault="00000000">
      <w:pPr>
        <w:ind w:firstLine="720"/>
        <w:rPr>
          <w:rFonts w:ascii="Calibri" w:eastAsia="Calibri" w:hAnsi="Calibri" w:cs="Calibri"/>
        </w:rPr>
      </w:pPr>
      <w:r>
        <w:t>This initial section has established a clean, well-characterised foundation for the credit risk modelling effort. The key findings are:</w:t>
      </w:r>
    </w:p>
    <w:p w:rsidR="00FE1DA8" w:rsidRDefault="00000000">
      <w:pPr>
        <w:numPr>
          <w:ilvl w:val="0"/>
          <w:numId w:val="21"/>
        </w:numPr>
        <w:ind w:left="0" w:firstLine="720"/>
        <w:rPr>
          <w:rFonts w:ascii="Calibri" w:eastAsia="Calibri" w:hAnsi="Calibri" w:cs="Calibri"/>
        </w:rPr>
      </w:pPr>
      <w:r>
        <w:t xml:space="preserve">Data quality issues were limited but meaningful: two columns required median imputation (Little &amp; Rubin, 2019) (895 and 3,116 missing values), 1,494 age outliers and 1,484 </w:t>
      </w:r>
      <w:r>
        <w:lastRenderedPageBreak/>
        <w:t>income outliers were removed, 156 duplicates were identified, and 1 physically impossible employment record was corrected. The total dataset reduction was 9.25% (32,581 → 29,567 rows).</w:t>
      </w:r>
    </w:p>
    <w:p w:rsidR="00FE1DA8" w:rsidRDefault="00000000">
      <w:pPr>
        <w:numPr>
          <w:ilvl w:val="0"/>
          <w:numId w:val="21"/>
        </w:numPr>
        <w:ind w:left="0" w:firstLine="720"/>
        <w:rPr>
          <w:rFonts w:ascii="Calibri" w:eastAsia="Calibri" w:hAnsi="Calibri" w:cs="Calibri"/>
        </w:rPr>
      </w:pPr>
      <w:r>
        <w:t>Income is right-skewed (skewness = 0.74). The log-transformation reduces skewness to −0.44, making the variable suitable for OLS regression. The Shapiro-Wilk test (Shapiro &amp; Wilk, 1965) formally rejects normality for both raw and log-transformed income, but the CLT guarantees that parametric inference on sample means is valid for our sample size.</w:t>
      </w:r>
    </w:p>
    <w:p w:rsidR="00FE1DA8" w:rsidRDefault="00000000">
      <w:pPr>
        <w:numPr>
          <w:ilvl w:val="0"/>
          <w:numId w:val="21"/>
        </w:numPr>
        <w:ind w:left="0" w:firstLine="720"/>
        <w:rPr>
          <w:rFonts w:ascii="Calibri" w:eastAsia="Calibri" w:hAnsi="Calibri" w:cs="Calibri"/>
        </w:rPr>
      </w:pPr>
      <w:r>
        <w:t>The class imbalance of 77.56% non-default vs. 22.44% default is meaningful but not extreme. It will require class-weighted training or SMOTE resampling in classification stages.</w:t>
      </w:r>
    </w:p>
    <w:p w:rsidR="00FE1DA8" w:rsidRDefault="00000000">
      <w:pPr>
        <w:numPr>
          <w:ilvl w:val="0"/>
          <w:numId w:val="21"/>
        </w:numPr>
        <w:ind w:left="0" w:firstLine="720"/>
        <w:rPr>
          <w:rFonts w:ascii="Calibri" w:eastAsia="Calibri" w:hAnsi="Calibri" w:cs="Calibri"/>
        </w:rPr>
      </w:pPr>
      <w:r>
        <w:t>Two multicollinearity risks have been identified: person_age – cb_person_cred_hist_length (r = 0.836) and person_income – log_person_income (r = 0.953). Both will be formally assessed via VIF in the diagnostics section.</w:t>
      </w:r>
    </w:p>
    <w:p w:rsidR="00FE1DA8" w:rsidRDefault="00000000">
      <w:pPr>
        <w:numPr>
          <w:ilvl w:val="0"/>
          <w:numId w:val="21"/>
        </w:numPr>
        <w:ind w:left="0" w:firstLine="720"/>
        <w:rPr>
          <w:rFonts w:ascii="Calibri" w:eastAsia="Calibri" w:hAnsi="Calibri" w:cs="Calibri"/>
        </w:rPr>
      </w:pPr>
      <w:r>
        <w:rPr>
          <w:rFonts w:eastAsia="Calibri" w:cs="Calibri"/>
          <w:color w:val="404040"/>
          <w:szCs w:val="21"/>
        </w:rPr>
        <w:t>The three most important predictors of loan_status identified at the correlation level are: loan_percent_income (r = 0.38), loan_int_rate (r = 0.32), and log_person_income (r = −0.30).</w:t>
      </w:r>
    </w:p>
    <w:p w:rsidR="00FE1DA8"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5.2 Limitations</w:t>
      </w:r>
    </w:p>
    <w:p w:rsidR="00FE1DA8" w:rsidRDefault="00000000">
      <w:pPr>
        <w:ind w:firstLine="720"/>
        <w:rPr>
          <w:rFonts w:ascii="Calibri" w:eastAsia="Calibri" w:hAnsi="Calibri" w:cs="Calibri"/>
        </w:rPr>
      </w:pPr>
      <w:r>
        <w:t xml:space="preserve">Several limitations of this section deserve acknowledgement. First, the dataset is observational – all recorded defaults reflect historical lending decisions that may themselves reflect historical biases in lending practice. Second, the IQR-based outlier filter necessarily removes some legitimate observations (e.g., very high-income borrowers or older borrowers) along with data entry errors. Third, the Pearson correlation analysis captures only linear </w:t>
      </w:r>
      <w:r>
        <w:lastRenderedPageBreak/>
        <w:t>relationships; non-linear dependencies between features and the default target may exist and will only be revealed by the models fitted in subsequent modeling sections.</w:t>
      </w:r>
    </w:p>
    <w:p w:rsidR="00983EE3" w:rsidRDefault="00000000">
      <w:pPr>
        <w:pStyle w:val="Heading2"/>
        <w:spacing w:before="240" w:after="120"/>
        <w:jc w:val="left"/>
      </w:pPr>
      <w:r>
        <w:rPr>
          <w:rFonts w:ascii="Times New Roman" w:hAnsi="Times New Roman"/>
          <w:b/>
          <w:i w:val="0"/>
          <w:sz w:val="24"/>
        </w:rPr>
        <w:t>5.3 Model Performance Summary</w:t>
      </w:r>
    </w:p>
    <w:p w:rsidR="00983EE3" w:rsidRDefault="00000000">
      <w:pPr>
        <w:pStyle w:val="ListBullet"/>
        <w:ind w:left="720" w:firstLine="720"/>
      </w:pPr>
      <w:r>
        <w:rPr>
          <w:rFonts w:eastAsia="Calibri"/>
        </w:rPr>
        <w:t>Feature engineering transformed raw borrower and loan variables into risk-oriented modeling inputs.</w:t>
      </w:r>
    </w:p>
    <w:p w:rsidR="00983EE3" w:rsidRDefault="00000000">
      <w:pPr>
        <w:pStyle w:val="ListBullet"/>
        <w:ind w:left="720" w:firstLine="720"/>
      </w:pPr>
      <w:r>
        <w:rPr>
          <w:rFonts w:eastAsia="Calibri"/>
        </w:rPr>
        <w:t>The VIF diagnostic identified avoidable feature dependencies; duplicate model inputs were removed from feature lists, not from the dataset.</w:t>
      </w:r>
    </w:p>
    <w:p w:rsidR="00983EE3" w:rsidRDefault="00000000">
      <w:pPr>
        <w:pStyle w:val="ListBullet"/>
        <w:ind w:left="720" w:firstLine="720"/>
      </w:pPr>
      <w:r>
        <w:rPr>
          <w:rFonts w:eastAsia="Calibri"/>
        </w:rPr>
        <w:t>CatBoost produced the strongest default classification result at the standard 0.50 cutoff.</w:t>
      </w:r>
    </w:p>
    <w:p w:rsidR="00983EE3" w:rsidRDefault="00000000">
      <w:pPr>
        <w:pStyle w:val="ListBullet"/>
        <w:ind w:left="720" w:firstLine="720"/>
      </w:pPr>
      <w:r>
        <w:rPr>
          <w:rFonts w:eastAsia="Calibri"/>
        </w:rPr>
        <w:t>A 0.15 threshold is useful only for the stated business-cost rule because it improves recall while increasing false alarms.</w:t>
      </w:r>
    </w:p>
    <w:p w:rsidR="00983EE3" w:rsidRDefault="00000000">
      <w:pPr>
        <w:pStyle w:val="ListBullet"/>
        <w:ind w:left="720" w:firstLine="720"/>
      </w:pPr>
      <w:r>
        <w:rPr>
          <w:rFonts w:eastAsia="Calibri"/>
        </w:rPr>
        <w:t>Gradient Boosting produced the best saved loan amount and loan burden regressors; CatBoost produced the best saved interest-rate regressor.</w:t>
      </w:r>
    </w:p>
    <w:p w:rsidR="00983EE3" w:rsidRDefault="00000000">
      <w:pPr>
        <w:pStyle w:val="ListBullet"/>
        <w:ind w:left="720" w:firstLine="720"/>
      </w:pPr>
      <w:r>
        <w:rPr>
          <w:rFonts w:eastAsia="Calibri"/>
        </w:rPr>
        <w:t>Saved pipelines support repeatable applicant inference because preprocessing and prediction are stored together.</w:t>
      </w:r>
    </w:p>
    <w:p w:rsidR="00983EE3" w:rsidRDefault="00000000">
      <w:pPr>
        <w:pStyle w:val="Heading2"/>
        <w:spacing w:before="240" w:after="120"/>
        <w:jc w:val="left"/>
      </w:pPr>
      <w:r>
        <w:rPr>
          <w:rFonts w:ascii="Times New Roman" w:hAnsi="Times New Roman"/>
          <w:b/>
          <w:i w:val="0"/>
          <w:sz w:val="24"/>
        </w:rPr>
        <w:t>5.4 Methodological Limitations</w:t>
      </w:r>
    </w:p>
    <w:p w:rsidR="00983EE3" w:rsidRDefault="00000000">
      <w:pPr>
        <w:ind w:firstLine="720"/>
      </w:pPr>
      <w:r>
        <w:t>The dataset is observational, so the models learn historical patterns rather than controlled experimental effects. The Bayesian Network (Heckerman, 1997) is useful for white-box probability reasoning, but its graph should be interpreted as a learned dependency structure. Regression estimates are benchmarks for review, not guaranteed approval amounts. Threshold choice also depends on business cost assumptions; if those assumptions change, the preferred threshold may change.</w:t>
      </w:r>
    </w:p>
    <w:p w:rsidR="00983EE3" w:rsidRDefault="00000000">
      <w:pPr>
        <w:pStyle w:val="Heading2"/>
        <w:spacing w:before="240" w:after="120"/>
        <w:jc w:val="left"/>
      </w:pPr>
      <w:r>
        <w:rPr>
          <w:rFonts w:ascii="Times New Roman" w:hAnsi="Times New Roman"/>
          <w:b/>
          <w:i w:val="0"/>
          <w:sz w:val="24"/>
        </w:rPr>
        <w:lastRenderedPageBreak/>
        <w:t>5.5 Final Interpretation</w:t>
      </w:r>
    </w:p>
    <w:p w:rsidR="00983EE3" w:rsidRDefault="00000000">
      <w:pPr>
        <w:ind w:firstLine="720"/>
      </w:pPr>
      <w:r>
        <w:rPr>
          <w:rFonts w:eastAsia="Calibri"/>
        </w:rPr>
        <w:t>The completed workflow moves from engineered data to multicollinearity review, then into preprocessing and predictive modeling. This order makes the analysis easier to defend: the inputs are prepared first, dependent features are reviewed next, and the models are then compared using clear metrics. The final result is a professional model-selection workflow that combines predictive performance, statistical reasoning, interpretable probability structure, and reusable applicant-level inference.</w:t>
      </w:r>
    </w:p>
    <w:p w:rsidR="00A65756" w:rsidRDefault="00000000">
      <w:pPr>
        <w:pStyle w:val="Heading2"/>
        <w:keepNext w:val="0"/>
        <w:keepLines w:val="0"/>
        <w:spacing w:before="240" w:after="120"/>
        <w:jc w:val="left"/>
        <w:rPr>
          <w:rFonts w:ascii="Calibri" w:eastAsia="Calibri" w:hAnsi="Calibri" w:cs="Calibri"/>
          <w:color w:val="2E75B6"/>
        </w:rPr>
      </w:pPr>
      <w:r>
        <w:rPr>
          <w:rFonts w:ascii="Times New Roman" w:eastAsia="Calibri" w:hAnsi="Times New Roman" w:cs="Calibri"/>
          <w:b/>
          <w:i w:val="0"/>
          <w:color w:val="2E75B6"/>
          <w:sz w:val="24"/>
        </w:rPr>
        <w:t>5.6 Classification Model – CatBoost Classifier</w:t>
      </w:r>
    </w:p>
    <w:p w:rsidR="00A65756" w:rsidRDefault="00000000">
      <w:pPr>
        <w:ind w:firstLine="720"/>
        <w:rPr>
          <w:rFonts w:ascii="Calibri" w:eastAsia="Calibri" w:hAnsi="Calibri" w:cs="Calibri"/>
        </w:rPr>
      </w:pPr>
      <w:r>
        <w:t>The CatBoost (Prokhorenkova et al., 2018) default prediction model demonstrates excellent performance across every diagnostic dimension evaluated:</w:t>
      </w:r>
    </w:p>
    <w:p w:rsidR="00A65756" w:rsidRDefault="00000000">
      <w:pPr>
        <w:spacing w:before="240"/>
        <w:keepNext w:val="true"/>
        <w:jc w:val="left"/>
      </w:pPr>
      <w:r>
        <w:rPr>
          <w:rFonts w:ascii="Times New Roman" w:hAnsi="Times New Roman"/>
          <w:b/>
          <w:sz w:val="24"/>
        </w:rPr>
        <w:t>Table 22</w:t>
      </w:r>
    </w:p>
    <w:p w:rsidR="00A65756" w:rsidRDefault="00000000">
      <w:pPr>
        <w:spacing w:after="120"/>
        <w:jc w:val="left"/>
        <w:keepNext w:val="true"/>
      </w:pPr>
      <w:r>
        <w:rPr>
          <w:rFonts w:ascii="Times New Roman" w:hAnsi="Times New Roman"/>
          <w:i/>
          <w:sz w:val="24"/>
        </w:rPr>
        <w:t>CatBoost Classifier Final Evaluation Summary</w:t>
      </w:r>
    </w:p>
    <w:tbl>
      <w:tblPr>
        <w:tblStyle w:val="a0"/>
        <w:tblW w:w="9360" w:type="dxa"/>
        <w:jc w:val="center"/>
        <w:tblInd w:w="0" w:type="dxa"/>
        <w:tblLayout w:type="fixed"/>
        <w:tblLook w:val="0600" w:firstRow="0" w:lastRow="0" w:firstColumn="0" w:lastColumn="0" w:noHBand="1"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2025"/>
        <w:gridCol w:w="2775"/>
        <w:gridCol w:w="1350"/>
        <w:gridCol w:w="1590"/>
        <w:gridCol w:w="1620"/>
      </w:tblGrid>
      <w:tr w:rsidR="00A65756">
        <w:trPr>
          <w:trHeight w:val="405"/>
          <w:jc w:val="center"/>
          <w:cantSplit w:val="true"/>
          <w:tblHeader w:val="true"/>
        </w:trPr>
        <w:tc>
          <w:tcPr>
            <w:tcW w:w="202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Diagnostic</w:t>
            </w:r>
          </w:p>
        </w:tc>
        <w:tc>
          <w:tcPr>
            <w:tcW w:w="2775"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Metric</w:t>
            </w:r>
          </w:p>
        </w:tc>
        <w:tc>
          <w:tcPr>
            <w:tcW w:w="135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Value</w:t>
            </w:r>
          </w:p>
        </w:tc>
        <w:tc>
          <w:tcPr>
            <w:tcW w:w="159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Threshold</w:t>
            </w:r>
          </w:p>
        </w:tc>
        <w:tc>
          <w:tcPr>
            <w:tcW w:w="162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Assessment</w:t>
            </w:r>
          </w:p>
        </w:tc>
      </w:tr>
      <w:tr w:rsidR="00A65756">
        <w:trPr>
          <w:trHeight w:val="405"/>
          <w:jc w:val="center"/>
          <w:cantSplit w:val="true"/>
        </w:trPr>
        <w:tc>
          <w:tcPr>
            <w:tcW w:w="2025"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Discrimination</w:t>
            </w:r>
          </w:p>
        </w:tc>
        <w:tc>
          <w:tcPr>
            <w:tcW w:w="277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ROC-AUC</w:t>
            </w:r>
          </w:p>
        </w:tc>
        <w:tc>
          <w:tcPr>
            <w:tcW w:w="135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0.9429</w:t>
            </w:r>
          </w:p>
        </w:tc>
        <w:tc>
          <w:tcPr>
            <w:tcW w:w="159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&gt; 0.85</w:t>
            </w:r>
          </w:p>
        </w:tc>
        <w:tc>
          <w:tcPr>
            <w:tcW w:w="162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Excellent</w:t>
            </w:r>
          </w:p>
        </w:tc>
      </w:tr>
      <w:tr w:rsidR="00A65756">
        <w:trPr>
          <w:trHeight w:val="405"/>
          <w:jc w:val="center"/>
          <w:cantSplit w:val="true"/>
        </w:trPr>
        <w:tc>
          <w:tcPr>
            <w:tcW w:w="202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Imbalance Perf.</w:t>
            </w:r>
          </w:p>
        </w:tc>
        <w:tc>
          <w:tcPr>
            <w:tcW w:w="277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PR-AUC</w:t>
            </w:r>
          </w:p>
        </w:tc>
        <w:tc>
          <w:tcPr>
            <w:tcW w:w="135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0.9003</w:t>
            </w:r>
          </w:p>
        </w:tc>
        <w:tc>
          <w:tcPr>
            <w:tcW w:w="159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&gt; 0.70</w:t>
            </w:r>
          </w:p>
        </w:tc>
        <w:tc>
          <w:tcPr>
            <w:tcW w:w="162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Strong</w:t>
            </w:r>
          </w:p>
        </w:tc>
      </w:tr>
      <w:tr w:rsidR="00A65756">
        <w:trPr>
          <w:trHeight w:val="405"/>
          <w:jc w:val="center"/>
          <w:cantSplit w:val="true"/>
        </w:trPr>
        <w:tc>
          <w:tcPr>
            <w:tcW w:w="2025"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Calibration</w:t>
            </w:r>
          </w:p>
        </w:tc>
        <w:tc>
          <w:tcPr>
            <w:tcW w:w="277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ascii="Times New Roman" w:hAnsi="Times New Roman"/>
                <w:sz w:val="20"/>
              </w:rPr>
              <w:t>Brier Score (Brier, 1950)</w:t>
            </w:r>
          </w:p>
        </w:tc>
        <w:tc>
          <w:tcPr>
            <w:tcW w:w="135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0.0532</w:t>
            </w:r>
          </w:p>
        </w:tc>
        <w:tc>
          <w:tcPr>
            <w:tcW w:w="159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&lt; 0.15</w:t>
            </w:r>
          </w:p>
        </w:tc>
        <w:tc>
          <w:tcPr>
            <w:tcW w:w="162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Excellent</w:t>
            </w:r>
          </w:p>
        </w:tc>
      </w:tr>
      <w:tr w:rsidR="00A65756">
        <w:trPr>
          <w:trHeight w:val="405"/>
          <w:jc w:val="center"/>
          <w:cantSplit w:val="true"/>
        </w:trPr>
        <w:tc>
          <w:tcPr>
            <w:tcW w:w="202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Calibration</w:t>
            </w:r>
          </w:p>
        </w:tc>
        <w:tc>
          <w:tcPr>
            <w:tcW w:w="277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Mean Calibration Error</w:t>
            </w:r>
          </w:p>
        </w:tc>
        <w:tc>
          <w:tcPr>
            <w:tcW w:w="135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8.00%</w:t>
            </w:r>
          </w:p>
        </w:tc>
        <w:tc>
          <w:tcPr>
            <w:tcW w:w="159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&lt; 10%</w:t>
            </w:r>
          </w:p>
        </w:tc>
        <w:tc>
          <w:tcPr>
            <w:tcW w:w="162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Good</w:t>
            </w:r>
          </w:p>
        </w:tc>
      </w:tr>
      <w:tr w:rsidR="00A65756">
        <w:trPr>
          <w:trHeight w:val="405"/>
          <w:jc w:val="center"/>
          <w:cantSplit w:val="true"/>
        </w:trPr>
        <w:tc>
          <w:tcPr>
            <w:tcW w:w="2025"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Accuracy</w:t>
            </w:r>
          </w:p>
        </w:tc>
        <w:tc>
          <w:tcPr>
            <w:tcW w:w="277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Test Accuracy (t=0.50)</w:t>
            </w:r>
          </w:p>
        </w:tc>
        <w:tc>
          <w:tcPr>
            <w:tcW w:w="135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93.78%</w:t>
            </w:r>
          </w:p>
        </w:tc>
        <w:tc>
          <w:tcPr>
            <w:tcW w:w="159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&gt; 90%</w:t>
            </w:r>
          </w:p>
        </w:tc>
        <w:tc>
          <w:tcPr>
            <w:tcW w:w="162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Good</w:t>
            </w:r>
          </w:p>
        </w:tc>
      </w:tr>
      <w:tr w:rsidR="00A65756">
        <w:trPr>
          <w:trHeight w:val="405"/>
          <w:jc w:val="center"/>
          <w:cantSplit w:val="true"/>
        </w:trPr>
        <w:tc>
          <w:tcPr>
            <w:tcW w:w="202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Precision</w:t>
            </w:r>
          </w:p>
        </w:tc>
        <w:tc>
          <w:tcPr>
            <w:tcW w:w="277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Precision (t=0.50)</w:t>
            </w:r>
          </w:p>
        </w:tc>
        <w:tc>
          <w:tcPr>
            <w:tcW w:w="135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99.08%</w:t>
            </w:r>
          </w:p>
        </w:tc>
        <w:tc>
          <w:tcPr>
            <w:tcW w:w="159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&gt; 95%</w:t>
            </w:r>
          </w:p>
        </w:tc>
        <w:tc>
          <w:tcPr>
            <w:tcW w:w="162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Excellent</w:t>
            </w:r>
          </w:p>
        </w:tc>
      </w:tr>
      <w:tr w:rsidR="00A65756">
        <w:trPr>
          <w:trHeight w:val="405"/>
          <w:jc w:val="center"/>
          <w:cantSplit w:val="true"/>
        </w:trPr>
        <w:tc>
          <w:tcPr>
            <w:tcW w:w="2025"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Recall</w:t>
            </w:r>
          </w:p>
        </w:tc>
        <w:tc>
          <w:tcPr>
            <w:tcW w:w="2775"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Recall (t=0.50)</w:t>
            </w:r>
          </w:p>
        </w:tc>
        <w:tc>
          <w:tcPr>
            <w:tcW w:w="135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72.95%</w:t>
            </w:r>
          </w:p>
        </w:tc>
        <w:tc>
          <w:tcPr>
            <w:tcW w:w="159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&gt; 70%</w:t>
            </w:r>
          </w:p>
        </w:tc>
        <w:tc>
          <w:tcPr>
            <w:tcW w:w="162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keepNext w:val="true"/>
            </w:pPr>
            <w:r>
              <w:rPr>
                <w:rFonts w:eastAsia="Calibri" w:cs="Calibri" w:ascii="Times New Roman" w:hAnsi="Times New Roman"/>
                <w:color w:val="222222"/>
                <w:sz w:val="20"/>
                <w:szCs w:val="20"/>
              </w:rPr>
              <w:t>Good</w:t>
            </w:r>
          </w:p>
        </w:tc>
      </w:tr>
      <w:tr w:rsidR="00A65756">
        <w:trPr>
          <w:trHeight w:val="645"/>
          <w:jc w:val="center"/>
          <w:cantSplit w:val="true"/>
        </w:trPr>
        <w:tc>
          <w:tcPr>
            <w:tcW w:w="2025"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pPr>
            <w:r>
              <w:rPr>
                <w:rFonts w:eastAsia="Calibri" w:cs="Calibri" w:ascii="Times New Roman" w:hAnsi="Times New Roman"/>
                <w:color w:val="222222"/>
                <w:sz w:val="20"/>
                <w:szCs w:val="20"/>
              </w:rPr>
              <w:t>Segment Perf.</w:t>
            </w:r>
          </w:p>
        </w:tc>
        <w:tc>
          <w:tcPr>
            <w:tcW w:w="2775"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pPr>
            <w:r>
              <w:rPr>
                <w:rFonts w:eastAsia="Calibri" w:cs="Calibri" w:ascii="Times New Roman" w:hAnsi="Times New Roman"/>
                <w:color w:val="222222"/>
                <w:sz w:val="20"/>
                <w:szCs w:val="20"/>
              </w:rPr>
              <w:t>Min Grade Accuracy</w:t>
            </w:r>
          </w:p>
        </w:tc>
        <w:tc>
          <w:tcPr>
            <w:tcW w:w="135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pPr>
            <w:r>
              <w:rPr>
                <w:rFonts w:eastAsia="Calibri" w:cs="Calibri" w:ascii="Times New Roman" w:hAnsi="Times New Roman"/>
                <w:color w:val="222222"/>
                <w:sz w:val="20"/>
                <w:szCs w:val="20"/>
              </w:rPr>
              <w:t>89.70%</w:t>
            </w:r>
          </w:p>
        </w:tc>
        <w:tc>
          <w:tcPr>
            <w:tcW w:w="159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pPr>
            <w:r>
              <w:rPr>
                <w:rFonts w:eastAsia="Calibri" w:cs="Calibri" w:ascii="Times New Roman" w:hAnsi="Times New Roman"/>
                <w:color w:val="222222"/>
                <w:sz w:val="20"/>
                <w:szCs w:val="20"/>
              </w:rPr>
              <w:t>&gt; 85%</w:t>
            </w:r>
          </w:p>
        </w:tc>
        <w:tc>
          <w:tcPr>
            <w:tcW w:w="162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rPr>
                <w:rFonts w:ascii="Calibri" w:eastAsia="Calibri" w:hAnsi="Calibri" w:cs="Calibri"/>
                <w:color w:val="222222"/>
                <w:sz w:val="20"/>
                <w:szCs w:val="20"/>
              </w:rPr>
            </w:pPr>
            <w:r>
              <w:rPr>
                <w:rFonts w:eastAsia="Calibri" w:cs="Calibri" w:ascii="Times New Roman" w:hAnsi="Times New Roman"/>
                <w:color w:val="222222"/>
                <w:sz w:val="20"/>
                <w:szCs w:val="20"/>
              </w:rPr>
              <w:t>Good (Grade C)</w:t>
            </w:r>
          </w:p>
        </w:tc>
      </w:tr>
    </w:tbl>
    <w:p w:rsidR="00A65756" w:rsidRDefault="00000000">
      <w:pPr>
        <w:ind w:firstLine="720"/>
        <w:rPr>
          <w:rFonts w:ascii="Calibri" w:eastAsia="Calibri" w:hAnsi="Calibri" w:cs="Calibri"/>
          <w:szCs w:val="24"/>
        </w:rPr>
      </w:pPr>
      <w:r>
        <w:rPr>
          <w:rFonts w:eastAsia="Calibri" w:cs="Calibri"/>
          <w:szCs w:val="24"/>
        </w:rPr>
        <w:lastRenderedPageBreak/>
        <w:t>The model is production-ready. Key strengths include: (a) near-perfect Precision at threshold 0.50 (99.08%), meaning virtually no creditworthy borrowers are incorrectly denied; (b) strong recall (72.95%) catching nearly 3 in 4 actual defaults; (c) excellent calibration enabling use of raw probabilities for risk-based pricing; and (d) consistent performance across all 7 loan grade segments.</w:t>
      </w:r>
    </w:p>
    <w:p w:rsidR="00A65756" w:rsidRDefault="00000000">
      <w:pPr>
        <w:ind w:firstLine="720"/>
        <w:rPr>
          <w:rFonts w:ascii="Calibri" w:eastAsia="Calibri" w:hAnsi="Calibri" w:cs="Calibri"/>
          <w:szCs w:val="24"/>
        </w:rPr>
      </w:pPr>
      <w:r>
        <w:rPr>
          <w:rFonts w:eastAsia="Calibri" w:cs="Calibri"/>
          <w:szCs w:val="24"/>
        </w:rPr>
        <w:t xml:space="preserve">• Primary top features: income_to_loan_ratio, loan_percent_income, loan_grade </w:t>
      </w:r>
    </w:p>
    <w:p w:rsidR="00A65756" w:rsidRDefault="00000000">
      <w:pPr>
        <w:ind w:firstLine="720"/>
        <w:rPr>
          <w:rFonts w:ascii="Calibri" w:eastAsia="Calibri" w:hAnsi="Calibri" w:cs="Calibri"/>
          <w:szCs w:val="24"/>
        </w:rPr>
      </w:pPr>
      <w:r>
        <w:rPr>
          <w:rFonts w:eastAsia="Calibri" w:cs="Calibri"/>
          <w:szCs w:val="24"/>
        </w:rPr>
        <w:t>(confirmed by SHAP)</w:t>
      </w:r>
    </w:p>
    <w:p w:rsidR="00A65756" w:rsidRDefault="00000000">
      <w:pPr>
        <w:ind w:firstLine="720"/>
        <w:rPr>
          <w:rFonts w:ascii="Calibri" w:eastAsia="Calibri" w:hAnsi="Calibri" w:cs="Calibri"/>
          <w:szCs w:val="24"/>
        </w:rPr>
      </w:pPr>
      <w:r>
        <w:rPr>
          <w:rFonts w:eastAsia="Calibri" w:cs="Calibri"/>
          <w:szCs w:val="24"/>
        </w:rPr>
        <w:t>• Recommended deployment threshold: 0.50 (best F1 = 0.8403)</w:t>
      </w:r>
    </w:p>
    <w:p w:rsidR="00A65756" w:rsidRDefault="00000000">
      <w:pPr>
        <w:ind w:firstLine="720"/>
        <w:rPr>
          <w:rFonts w:ascii="Calibri" w:eastAsia="Calibri" w:hAnsi="Calibri" w:cs="Calibri"/>
          <w:szCs w:val="24"/>
        </w:rPr>
      </w:pPr>
      <w:r>
        <w:rPr>
          <w:rFonts w:eastAsia="Calibri" w:cs="Calibri"/>
          <w:szCs w:val="24"/>
        </w:rPr>
        <w:t>• Monitoring requirement: Track calibration drift and grade-level accuracy quarterly</w:t>
      </w:r>
    </w:p>
    <w:p w:rsidR="00A65756" w:rsidRDefault="00000000">
      <w:pPr>
        <w:pStyle w:val="Heading2"/>
        <w:keepNext w:val="0"/>
        <w:keepLines w:val="0"/>
        <w:spacing w:before="240" w:after="120"/>
        <w:jc w:val="left"/>
        <w:rPr>
          <w:rFonts w:ascii="Calibri" w:eastAsia="Calibri" w:hAnsi="Calibri" w:cs="Calibri"/>
          <w:color w:val="2E75B6"/>
          <w:sz w:val="34"/>
          <w:szCs w:val="34"/>
        </w:rPr>
      </w:pPr>
      <w:r>
        <w:rPr>
          <w:rFonts w:ascii="Times New Roman" w:eastAsia="Calibri" w:hAnsi="Times New Roman" w:cs="Calibri"/>
          <w:b/>
          <w:i w:val="0"/>
          <w:color w:val="2E75B6"/>
          <w:sz w:val="24"/>
        </w:rPr>
        <w:t>5.7 Regression Models – Performance Summary</w:t>
      </w:r>
    </w:p>
    <w:p w:rsidR="00A65756" w:rsidRDefault="00000000">
      <w:pPr>
        <w:spacing w:before="240"/>
        <w:keepNext w:val="true"/>
        <w:jc w:val="left"/>
      </w:pPr>
      <w:r>
        <w:rPr>
          <w:rFonts w:ascii="Times New Roman" w:hAnsi="Times New Roman"/>
          <w:b/>
          <w:sz w:val="24"/>
        </w:rPr>
        <w:t>Table 23</w:t>
      </w:r>
    </w:p>
    <w:p w:rsidR="00A65756" w:rsidRDefault="00000000">
      <w:pPr>
        <w:spacing w:after="120"/>
        <w:jc w:val="left"/>
        <w:keepNext w:val="true"/>
      </w:pPr>
      <w:r>
        <w:rPr>
          <w:rFonts w:ascii="Times New Roman" w:hAnsi="Times New Roman"/>
          <w:i/>
          <w:sz w:val="24"/>
        </w:rPr>
        <w:t>Lending Benchmark Regressors Performance Summary</w:t>
      </w:r>
    </w:p>
    <w:tbl>
      <w:tblPr>
        <w:tblStyle w:val="a0"/>
        <w:tblW w:w="9360" w:type="dxa"/>
        <w:jc w:val="center"/>
        <w:tblInd w:w="0" w:type="dxa"/>
        <w:tblLayout w:type="fixed"/>
        <w:tblLook w:val="0600" w:firstRow="0" w:lastRow="0" w:firstColumn="0" w:lastColumn="0" w:noHBand="1" w:noVBand="1"/>
        <w:tblBorders>
          <w:top w:val="single" w:sz="4" w:space="0" w:color="000000"/>
          <w:left w:val="none" w:sz="0" w:space="0" w:color="auto"/>
          <w:bottom w:val="single" w:sz="4" w:space="0" w:color="000000"/>
          <w:right w:val="none" w:sz="0" w:space="0" w:color="auto"/>
          <w:insideH w:val="none" w:sz="0" w:space="0" w:color="auto"/>
          <w:insideV w:val="none" w:sz="0" w:space="0" w:color="auto"/>
        </w:tblBorders>
      </w:tblPr>
      <w:tblGrid>
        <w:gridCol w:w="1117"/>
        <w:gridCol w:w="762"/>
        <w:gridCol w:w="953"/>
        <w:gridCol w:w="817"/>
        <w:gridCol w:w="1280"/>
        <w:gridCol w:w="1416"/>
        <w:gridCol w:w="3011"/>
      </w:tblGrid>
      <w:tr w:rsidR="00A65756">
        <w:trPr>
          <w:trHeight w:val="645"/>
          <w:jc w:val="center"/>
          <w:cantSplit w:val="true"/>
        </w:trPr>
        <w:tc>
          <w:tcPr>
            <w:tcW w:w="1117"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Model</w:t>
            </w:r>
          </w:p>
        </w:tc>
        <w:tc>
          <w:tcPr>
            <w:tcW w:w="762"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R²</w:t>
            </w:r>
          </w:p>
        </w:tc>
        <w:tc>
          <w:tcPr>
            <w:tcW w:w="953"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MAE</w:t>
            </w:r>
          </w:p>
        </w:tc>
        <w:tc>
          <w:tcPr>
            <w:tcW w:w="817"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MAPE</w:t>
            </w:r>
          </w:p>
        </w:tc>
        <w:tc>
          <w:tcPr>
            <w:tcW w:w="1280"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Residual Bias</w:t>
            </w:r>
          </w:p>
        </w:tc>
        <w:tc>
          <w:tcPr>
            <w:tcW w:w="1416"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Assessment</w:t>
            </w:r>
          </w:p>
        </w:tc>
        <w:tc>
          <w:tcPr>
            <w:tcW w:w="3011" w:type="dxa"/>
            <w:shd w:val="clear" w:color="auto" w:fill="2E4E7E"/>
            <w:tcMar>
              <w:top w:w="80" w:type="dxa"/>
              <w:left w:w="120" w:type="dxa"/>
              <w:bottom w:w="80" w:type="dxa"/>
              <w:right w:w="120" w:type="dxa"/>
            </w:tcMar>
            <w:tcBorders>
              <w:bottom w:val="single" w:sz="4" w:space="0" w:color="000000"/>
            </w:tcBorders>
          </w:tcPr>
          <w:p w:rsidR="00A65756" w:rsidRDefault="00000000">
            <w:pPr>
              <w:spacing w:before="40" w:after="40" w:line="276" w:lineRule="auto"/>
              <w:jc w:val="both"/>
              <w:rPr>
                <w:rFonts w:ascii="Calibri" w:eastAsia="Calibri" w:hAnsi="Calibri" w:cs="Calibri"/>
                <w:b/>
                <w:bCs/>
                <w:color w:val="FFFFFF"/>
                <w:sz w:val="20"/>
                <w:szCs w:val="20"/>
              </w:rPr>
              <w:keepNext w:val="true"/>
            </w:pPr>
            <w:r>
              <w:rPr>
                <w:rFonts w:eastAsia="Calibri" w:cs="Calibri" w:ascii="Times New Roman" w:hAnsi="Times New Roman"/>
                <w:b/>
                <w:bCs/>
                <w:color w:val="FFFFFF"/>
                <w:sz w:val="20"/>
                <w:szCs w:val="20"/>
              </w:rPr>
              <w:t>Deployment Recommendation</w:t>
            </w:r>
          </w:p>
        </w:tc>
      </w:tr>
      <w:tr w:rsidR="00A65756">
        <w:trPr>
          <w:trHeight w:val="1125"/>
          <w:jc w:val="center"/>
          <w:cantSplit w:val="true"/>
        </w:trPr>
        <w:tc>
          <w:tcPr>
            <w:tcW w:w="1117"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Loan Amount</w:t>
            </w:r>
          </w:p>
        </w:tc>
        <w:tc>
          <w:tcPr>
            <w:tcW w:w="762"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0.198</w:t>
            </w:r>
          </w:p>
        </w:tc>
        <w:tc>
          <w:tcPr>
            <w:tcW w:w="953"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$3,869</w:t>
            </w:r>
          </w:p>
        </w:tc>
        <w:tc>
          <w:tcPr>
            <w:tcW w:w="817"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73.7%</w:t>
            </w:r>
          </w:p>
        </w:tc>
        <w:tc>
          <w:tcPr>
            <w:tcW w:w="128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~0 (unbiased)</w:t>
            </w:r>
          </w:p>
        </w:tc>
        <w:tc>
          <w:tcPr>
            <w:tcW w:w="1416"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Moderate</w:t>
            </w:r>
          </w:p>
        </w:tc>
        <w:tc>
          <w:tcPr>
            <w:tcW w:w="3011"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Use as approximate estimate only; ±$5K confidence interval recommended</w:t>
            </w:r>
          </w:p>
        </w:tc>
      </w:tr>
      <w:tr w:rsidR="00A65756">
        <w:trPr>
          <w:trHeight w:val="885"/>
          <w:jc w:val="center"/>
          <w:cantSplit w:val="true"/>
        </w:trPr>
        <w:tc>
          <w:tcPr>
            <w:tcW w:w="1117"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Loan Percentage Income</w:t>
            </w:r>
          </w:p>
        </w:tc>
        <w:tc>
          <w:tcPr>
            <w:tcW w:w="762"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0.092</w:t>
            </w:r>
          </w:p>
        </w:tc>
        <w:tc>
          <w:tcPr>
            <w:tcW w:w="953"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0.065</w:t>
            </w:r>
          </w:p>
        </w:tc>
        <w:tc>
          <w:tcPr>
            <w:tcW w:w="817"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73.9%</w:t>
            </w:r>
          </w:p>
        </w:tc>
        <w:tc>
          <w:tcPr>
            <w:tcW w:w="1280"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~0 (unbiased)</w:t>
            </w:r>
          </w:p>
        </w:tc>
        <w:tc>
          <w:tcPr>
            <w:tcW w:w="1416"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Weak</w:t>
            </w:r>
          </w:p>
        </w:tc>
        <w:tc>
          <w:tcPr>
            <w:tcW w:w="3011"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keepNext w:val="true"/>
            </w:pPr>
            <w:r>
              <w:rPr>
                <w:rFonts w:eastAsia="Calibri" w:cs="Calibri" w:ascii="Times New Roman" w:hAnsi="Times New Roman"/>
                <w:color w:val="222222"/>
                <w:sz w:val="20"/>
                <w:szCs w:val="20"/>
              </w:rPr>
              <w:t>Exploratory use only; not recommended for operational decisions</w:t>
            </w:r>
          </w:p>
        </w:tc>
      </w:tr>
      <w:tr w:rsidR="00A65756">
        <w:trPr>
          <w:trHeight w:val="1125"/>
          <w:jc w:val="center"/>
          <w:cantSplit w:val="true"/>
        </w:trPr>
        <w:tc>
          <w:tcPr>
            <w:tcW w:w="1117" w:type="dxa"/>
            <w:tcBorders>
              <w:top w:val="nil"/>
              <w:left w:val="single" w:sz="5" w:space="0" w:color="CCCCCC"/>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Interest Rate</w:t>
            </w:r>
          </w:p>
        </w:tc>
        <w:tc>
          <w:tcPr>
            <w:tcW w:w="762"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0.222</w:t>
            </w:r>
          </w:p>
        </w:tc>
        <w:tc>
          <w:tcPr>
            <w:tcW w:w="953"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2.06 p.p.</w:t>
            </w:r>
          </w:p>
        </w:tc>
        <w:tc>
          <w:tcPr>
            <w:tcW w:w="817"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22.5%</w:t>
            </w:r>
          </w:p>
        </w:tc>
        <w:tc>
          <w:tcPr>
            <w:tcW w:w="1280"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~0 (unbiased)</w:t>
            </w:r>
          </w:p>
        </w:tc>
        <w:tc>
          <w:tcPr>
            <w:tcW w:w="1416"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Moderate (best)</w:t>
            </w:r>
          </w:p>
        </w:tc>
        <w:tc>
          <w:tcPr>
            <w:tcW w:w="3011" w:type="dxa"/>
            <w:tcBorders>
              <w:top w:val="nil"/>
              <w:left w:val="nil"/>
              <w:bottom w:val="single" w:sz="5" w:space="0" w:color="CCCCCC"/>
              <w:right w:val="single" w:sz="5" w:space="0" w:color="CCCCCC"/>
            </w:tcBorders>
            <w:shd w:val="clear" w:color="auto" w:fill="EEF3FB"/>
            <w:tcMar>
              <w:top w:w="80" w:type="dxa"/>
              <w:left w:w="120" w:type="dxa"/>
              <w:bottom w:w="80" w:type="dxa"/>
              <w:right w:w="120" w:type="dxa"/>
            </w:tcMar>
          </w:tcPr>
          <w:p w:rsidR="00A65756" w:rsidRDefault="00000000">
            <w:pPr>
              <w:spacing w:before="40" w:after="40" w:line="276" w:lineRule="auto"/>
              <w:jc w:val="both"/>
              <w:rPr>
                <w:rFonts w:ascii="Calibri" w:eastAsia="Calibri" w:hAnsi="Calibri" w:cs="Calibri"/>
                <w:color w:val="222222"/>
                <w:sz w:val="20"/>
                <w:szCs w:val="20"/>
              </w:rPr>
            </w:pPr>
            <w:r>
              <w:rPr>
                <w:rFonts w:eastAsia="Calibri" w:cs="Calibri" w:ascii="Times New Roman" w:hAnsi="Times New Roman"/>
                <w:color w:val="222222"/>
                <w:sz w:val="20"/>
                <w:szCs w:val="20"/>
              </w:rPr>
              <w:t>Suitable for rate banding; pair with Grade-based adjustments</w:t>
            </w:r>
          </w:p>
        </w:tc>
      </w:tr>
    </w:tbl>
    <w:p w:rsidR="00A65756" w:rsidRDefault="00000000">
      <w:pPr>
        <w:ind w:firstLine="720"/>
        <w:rPr>
          <w:rFonts w:ascii="Calibri" w:eastAsia="Calibri" w:hAnsi="Calibri" w:cs="Calibri"/>
          <w:szCs w:val="24"/>
        </w:rPr>
      </w:pPr>
      <w:r>
        <w:rPr>
          <w:rFonts w:eastAsia="Calibri" w:cs="Calibri"/>
          <w:szCs w:val="24"/>
        </w:rPr>
        <w:t xml:space="preserve">All three regression models are unbiased (residual mean ≈ 0) and residual diagnostics satisfy basic assumptions. However, R² values between 0.09 and 0.22 indicate that the available </w:t>
      </w:r>
      <w:r>
        <w:rPr>
          <w:rFonts w:eastAsia="Calibri" w:cs="Calibri"/>
          <w:szCs w:val="24"/>
        </w:rPr>
        <w:lastRenderedPageBreak/>
        <w:t>features explain only a limited portion of the variance in loan amounts and loan-to-income ratios. These quantities are heavily influenced by lender policies, borrower negotiation, and market conditions not captured in the dataset.</w:t>
      </w:r>
    </w:p>
    <w:p w:rsidR="00A65756" w:rsidRDefault="00000000">
      <w:pPr>
        <w:ind w:firstLine="720"/>
        <w:rPr>
          <w:rFonts w:ascii="Calibri" w:eastAsia="Calibri" w:hAnsi="Calibri" w:cs="Calibri"/>
          <w:szCs w:val="24"/>
        </w:rPr>
      </w:pPr>
      <w:r>
        <w:rPr>
          <w:rFonts w:eastAsia="Calibri" w:cs="Calibri"/>
          <w:szCs w:val="24"/>
        </w:rPr>
        <w:t>Recommended improvements for regression models:</w:t>
      </w:r>
    </w:p>
    <w:p w:rsidR="00A65756" w:rsidRDefault="00000000">
      <w:pPr>
        <w:ind w:left="720" w:hanging="720"/>
        <w:rPr>
          <w:rFonts w:ascii="Calibri" w:eastAsia="Calibri" w:hAnsi="Calibri" w:cs="Calibri"/>
          <w:szCs w:val="24"/>
        </w:rPr>
      </w:pPr>
      <w:r>
        <w:rPr>
          <w:rFonts w:eastAsia="Calibri" w:cs="Calibri"/>
          <w:szCs w:val="24"/>
        </w:rPr>
        <w:t>• Feature engineering: Add credit score bins, employment industry, geographic region, and loan purpose subcategories</w:t>
      </w:r>
    </w:p>
    <w:p w:rsidR="00A65756" w:rsidRDefault="00000000">
      <w:pPr>
        <w:ind w:left="720" w:hanging="720"/>
        <w:rPr>
          <w:rFonts w:ascii="Calibri" w:eastAsia="Calibri" w:hAnsi="Calibri" w:cs="Calibri"/>
          <w:szCs w:val="24"/>
        </w:rPr>
      </w:pPr>
      <w:r>
        <w:rPr>
          <w:rFonts w:eastAsia="Calibri" w:cs="Calibri"/>
          <w:szCs w:val="24"/>
        </w:rPr>
        <w:t>•  Modeling: Explore quantile regression for prediction intervals, or hierarchical models stratified by loan grade</w:t>
      </w:r>
    </w:p>
    <w:p w:rsidR="00A65756" w:rsidRDefault="00000000">
      <w:pPr>
        <w:ind w:left="720" w:hanging="720"/>
        <w:rPr>
          <w:rFonts w:ascii="Calibri" w:eastAsia="Calibri" w:hAnsi="Calibri" w:cs="Calibri"/>
          <w:szCs w:val="24"/>
        </w:rPr>
      </w:pPr>
      <w:r>
        <w:rPr>
          <w:rFonts w:eastAsia="Calibri" w:cs="Calibri"/>
          <w:szCs w:val="24"/>
        </w:rPr>
        <w:t>• Data: Collect lender-side features (loan offer vs. acceptance) and macroeconomic indicators (prevailing rate environment)</w:t>
      </w:r>
    </w:p>
    <w:p w:rsidR="00A65756" w:rsidRDefault="00000000">
      <w:pPr>
        <w:pStyle w:val="Heading1"/>
        <w:pageBreakBefore/>
        <w:spacing w:before="240" w:after="120"/>
        <w:jc w:val="center"/>
      </w:pPr>
      <w:r>
        <w:rPr>
          <w:rFonts w:ascii="Times New Roman" w:hAnsi="Times New Roman"/>
          <w:b/>
          <w:sz w:val="24"/>
        </w:rPr>
        <w:t>References</w:t>
      </w:r>
    </w:p>
    <w:p w:rsidR="00A65756" w:rsidRDefault="00000000">
      <w:pPr>
        <w:ind w:left="720" w:hanging="720"/>
      </w:pPr>
      <w:r>
        <w:t xml:space="preserve">Altman, E. I. (1968). Financial ratios, discriminant analysis and the prediction of corporate bankruptcy. </w:t>
      </w:r>
      <w:r>
        <w:rPr>
          <w:i/>
        </w:rPr>
        <w:t>The Journal of Finance</w:t>
      </w:r>
      <w:r>
        <w:t>, 23(4), 589-609. https://doi.org/10.1111/j.1540-6261.1968.tb00843.x</w:t>
      </w:r>
    </w:p>
    <w:p w:rsidR="00A65756" w:rsidRDefault="00000000">
      <w:pPr>
        <w:ind w:left="720" w:hanging="720"/>
      </w:pPr>
      <w:r>
        <w:t xml:space="preserve">Baesens, B., Van Gestel, T., Viaene, S., Stepanova, M., Suykens, J., &amp; Vanthienen, J. (2003). Benchmarking state-of-the-art classification algorithms for credit scoring. </w:t>
      </w:r>
      <w:r>
        <w:rPr>
          <w:i/>
        </w:rPr>
        <w:t>Journal of the Operational Research Society</w:t>
      </w:r>
      <w:r>
        <w:t>, 54(6), 627-635. https://doi.org/10.1057/palgrave.jors.2601545</w:t>
      </w:r>
    </w:p>
    <w:p w:rsidR="00A65756" w:rsidRDefault="00000000">
      <w:pPr>
        <w:ind w:left="720" w:hanging="720"/>
      </w:pPr>
      <w:r>
        <w:t xml:space="preserve">Breiman, L. (2001). Random forests. </w:t>
      </w:r>
      <w:r>
        <w:rPr>
          <w:i/>
        </w:rPr>
        <w:t>Machine Learning</w:t>
      </w:r>
      <w:r>
        <w:t>, 45(1), 5-32. https://doi.org/10.1023/A:1010933404324</w:t>
      </w:r>
    </w:p>
    <w:p w:rsidR="00A65756" w:rsidRDefault="00000000">
      <w:pPr>
        <w:ind w:left="720" w:hanging="720"/>
      </w:pPr>
      <w:r>
        <w:t xml:space="preserve">Brier, G. W. (1950). Verification of forecasts expressed in terms of probability. </w:t>
      </w:r>
      <w:r>
        <w:rPr>
          <w:i/>
        </w:rPr>
        <w:t>Monthly Weather Review</w:t>
      </w:r>
      <w:r>
        <w:t>, 78(1), 1-3. https://doi.org/10.1175/1520-0493(1950)078&lt;0001:VOFEIT&gt;2.0.CO;2</w:t>
      </w:r>
    </w:p>
    <w:p w:rsidR="00A65756" w:rsidRDefault="00000000">
      <w:pPr>
        <w:ind w:left="720" w:hanging="720"/>
      </w:pPr>
      <w:r>
        <w:lastRenderedPageBreak/>
        <w:t>Friedman, J. H. (2001). Greedy function approximation: A Gradient Boosting (Friedman, 2001) machine. Annals of Statistics, 29(5), 1189-1232. https://doi.org/10.1214/aos/1013203451</w:t>
      </w:r>
    </w:p>
    <w:p w:rsidR="00A65756" w:rsidRDefault="00000000">
      <w:pPr>
        <w:ind w:left="720" w:hanging="720"/>
      </w:pPr>
      <w:r>
        <w:t>Heckerman, D. (1997). Bayesian Network (Heckerman, 1997)s for data mining. Data Mining and Knowledge Discovery, 1(1), 79-119. https://doi.org/10.1023/A:1009730103647</w:t>
      </w:r>
    </w:p>
    <w:p w:rsidR="00A65756" w:rsidRDefault="00000000">
      <w:pPr>
        <w:ind w:left="720" w:hanging="720"/>
      </w:pPr>
      <w:r>
        <w:t xml:space="preserve">Kutner, M. H., Nachtsheim, C. J., &amp; Neter, J. (2004). </w:t>
      </w:r>
      <w:r>
        <w:rPr>
          <w:i/>
        </w:rPr>
        <w:t>Applied linear regression models</w:t>
      </w:r>
      <w:r>
        <w:t xml:space="preserve"> (4th ed.). McGraw-Hill.</w:t>
      </w:r>
    </w:p>
    <w:p w:rsidR="00A65756" w:rsidRDefault="00000000">
      <w:pPr>
        <w:ind w:left="720" w:hanging="720"/>
      </w:pPr>
      <w:r>
        <w:t xml:space="preserve">Little, R. J., &amp; Rubin, D. B. (2019). </w:t>
      </w:r>
      <w:r>
        <w:rPr>
          <w:i/>
        </w:rPr>
        <w:t>Statistical analysis with missing data</w:t>
      </w:r>
      <w:r>
        <w:t xml:space="preserve"> (3rd ed.). Wiley. https://doi.org/10.1002/9781119482260</w:t>
      </w:r>
    </w:p>
    <w:p w:rsidR="00A65756" w:rsidRDefault="00000000">
      <w:pPr>
        <w:ind w:left="720" w:hanging="720"/>
      </w:pPr>
      <w:r>
        <w:t xml:space="preserve">Lundberg, S. M., &amp; Lee, S.-I. (2017). A unified approach to interpreting model predictions. </w:t>
      </w:r>
      <w:r>
        <w:rPr>
          <w:i/>
        </w:rPr>
        <w:t>Advances in Neural Information Processing Systems</w:t>
      </w:r>
      <w:r>
        <w:t>, 30, 4765-4774.</w:t>
      </w:r>
    </w:p>
    <w:p w:rsidR="00A65756" w:rsidRDefault="00000000">
      <w:pPr>
        <w:ind w:left="720" w:hanging="720"/>
      </w:pPr>
      <w:r>
        <w:t xml:space="preserve">Platt, J. (1999). Probabilistic outputs for support vector machines and comparisons to regularized likelihood methods. </w:t>
      </w:r>
      <w:r>
        <w:rPr>
          <w:i/>
        </w:rPr>
        <w:t>Advances in Large Margin Classifiers</w:t>
      </w:r>
      <w:r>
        <w:t>, 10(3), 61-74.</w:t>
      </w:r>
    </w:p>
    <w:p w:rsidR="00A65756" w:rsidRDefault="00000000">
      <w:pPr>
        <w:ind w:left="720" w:hanging="720"/>
      </w:pPr>
      <w:r>
        <w:t>Prokhorenkova, L., Gusev, G., Vorobev, A., Dorogush, A. V., &amp; Gulin, A. (2018). CatBoost (Prokhorenkova et al., 2018): unbiased boosting with categorical features. Advances in Neural Information Processing Systems, 31, 6638-6648.</w:t>
      </w:r>
    </w:p>
    <w:p w:rsidR="00A65756" w:rsidRDefault="00000000">
      <w:pPr>
        <w:ind w:left="720" w:hanging="720"/>
      </w:pPr>
      <w:r>
        <w:t xml:space="preserve">Shapiro, S. S., &amp; Wilk, M. B. (1965). An analysis of variance test for normality (complete samples). </w:t>
      </w:r>
      <w:r>
        <w:rPr>
          <w:i/>
        </w:rPr>
        <w:t>Biometrika</w:t>
      </w:r>
      <w:r>
        <w:t>, 52(3/4), 591-611. https://doi.org/10.1093/biomet/52.3-4.591</w:t>
      </w:r>
    </w:p>
    <w:p w:rsidR="00A65756" w:rsidRDefault="00000000">
      <w:pPr>
        <w:ind w:left="720" w:hanging="720"/>
      </w:pPr>
      <w:r>
        <w:t xml:space="preserve">Sun, Y., &amp; Harris, M. (2024). The impact of data quality on healthcare AI models. </w:t>
      </w:r>
      <w:r>
        <w:rPr>
          <w:i/>
        </w:rPr>
        <w:t>Journal of Applied Machine Learning</w:t>
      </w:r>
      <w:r>
        <w:t>, 12(3), 45-60.</w:t>
      </w:r>
    </w:p>
    <w:p w:rsidR="00A65756" w:rsidRDefault="00000000">
      <w:pPr>
        <w:ind w:left="720" w:hanging="720"/>
      </w:pPr>
      <w:r>
        <w:t xml:space="preserve">Tukey, J. W. (1977). </w:t>
      </w:r>
      <w:r>
        <w:rPr>
          <w:i/>
        </w:rPr>
        <w:t>Exploratory data analysis</w:t>
      </w:r>
      <w:r>
        <w:t>. Addison-Wesley.</w:t>
      </w:r>
    </w:p>
    <w:sectPr w:rsidR="00A65756" w:rsidSect="00034616">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8438C" w:rsidRDefault="0088438C">
      <w:pPr>
        <w:spacing w:line="240" w:lineRule="auto"/>
      </w:pPr>
      <w:r>
        <w:separator/>
      </w:r>
    </w:p>
  </w:endnote>
  <w:endnote w:type="continuationSeparator" w:id="0">
    <w:p w:rsidR="0088438C" w:rsidRDefault="008843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5829" w:rsidRDefault="00DF58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5829" w:rsidRDefault="00DF5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5829" w:rsidRDefault="00DF5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8438C" w:rsidRDefault="0088438C">
      <w:pPr>
        <w:spacing w:line="240" w:lineRule="auto"/>
      </w:pPr>
      <w:r>
        <w:separator/>
      </w:r>
    </w:p>
  </w:footnote>
  <w:footnote w:type="continuationSeparator" w:id="0">
    <w:p w:rsidR="0088438C" w:rsidRDefault="008843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5829" w:rsidRDefault="00DF58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5756" w:rsidRDefault="00000000">
    <w:pPr>
      <w:pStyle w:val="Header"/>
      <w:jc w:val="right"/>
    </w:pPr>
    <w:r>
      <w:fldChar w:fldCharType="begin"/>
    </w:r>
    <w:r>
      <w:instrText>PAGE</w:instrText>
    </w:r>
    <w:r>
      <w:fldChar w:fldCharType="separate"/>
    </w:r>
    <w:r w:rsidR="00DF5829">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5829" w:rsidRDefault="00DF5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F6266"/>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15:restartNumberingAfterBreak="0">
    <w:nsid w:val="029F4295"/>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15:restartNumberingAfterBreak="0">
    <w:nsid w:val="044101E8"/>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15:restartNumberingAfterBreak="0">
    <w:nsid w:val="04A49AF7"/>
    <w:multiLevelType w:val="multilevel"/>
    <w:tmpl w:val="0194C1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15:restartNumberingAfterBreak="0">
    <w:nsid w:val="069827D9"/>
    <w:multiLevelType w:val="multilevel"/>
    <w:tmpl w:val="BE101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B46D8D"/>
    <w:multiLevelType w:val="multilevel"/>
    <w:tmpl w:val="ED684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F743A8"/>
    <w:multiLevelType w:val="multilevel"/>
    <w:tmpl w:val="AE78A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977DFF"/>
    <w:multiLevelType w:val="multilevel"/>
    <w:tmpl w:val="C12C6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F567CC"/>
    <w:multiLevelType w:val="multilevel"/>
    <w:tmpl w:val="94DC4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A866B9"/>
    <w:multiLevelType w:val="multilevel"/>
    <w:tmpl w:val="3C02A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542ED5"/>
    <w:multiLevelType w:val="multilevel"/>
    <w:tmpl w:val="96605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B41147"/>
    <w:multiLevelType w:val="multilevel"/>
    <w:tmpl w:val="171E3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8675472"/>
    <w:multiLevelType w:val="multilevel"/>
    <w:tmpl w:val="E0BE9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210521">
    <w:abstractNumId w:val="8"/>
  </w:num>
  <w:num w:numId="2" w16cid:durableId="1899510831">
    <w:abstractNumId w:val="6"/>
  </w:num>
  <w:num w:numId="3" w16cid:durableId="939340310">
    <w:abstractNumId w:val="5"/>
  </w:num>
  <w:num w:numId="4" w16cid:durableId="793249620">
    <w:abstractNumId w:val="4"/>
  </w:num>
  <w:num w:numId="5" w16cid:durableId="425227920">
    <w:abstractNumId w:val="7"/>
  </w:num>
  <w:num w:numId="6" w16cid:durableId="1837257284">
    <w:abstractNumId w:val="3"/>
  </w:num>
  <w:num w:numId="7" w16cid:durableId="1093819635">
    <w:abstractNumId w:val="2"/>
  </w:num>
  <w:num w:numId="8" w16cid:durableId="1861429521">
    <w:abstractNumId w:val="1"/>
  </w:num>
  <w:num w:numId="9" w16cid:durableId="849759141">
    <w:abstractNumId w:val="9"/>
  </w:num>
  <w:num w:numId="10" w16cid:durableId="849759141">
    <w:abstractNumId w:val="11"/>
  </w:num>
  <w:num w:numId="11" w16cid:durableId="41636169">
    <w:abstractNumId w:val="13"/>
  </w:num>
  <w:num w:numId="12" w16cid:durableId="1858498008">
    <w:abstractNumId w:val="16"/>
  </w:num>
  <w:num w:numId="13" w16cid:durableId="2120295776">
    <w:abstractNumId w:val="19"/>
  </w:num>
  <w:num w:numId="14" w16cid:durableId="1711805833">
    <w:abstractNumId w:val="17"/>
  </w:num>
  <w:num w:numId="15" w16cid:durableId="1568954540">
    <w:abstractNumId w:val="14"/>
  </w:num>
  <w:num w:numId="16" w16cid:durableId="849759141">
    <w:abstractNumId w:val="12"/>
  </w:num>
  <w:num w:numId="17" w16cid:durableId="834104956">
    <w:abstractNumId w:val="20"/>
  </w:num>
  <w:num w:numId="18" w16cid:durableId="27922205">
    <w:abstractNumId w:val="18"/>
  </w:num>
  <w:num w:numId="19" w16cid:durableId="828130702">
    <w:abstractNumId w:val="15"/>
  </w:num>
  <w:num w:numId="20" w16cid:durableId="2115129209">
    <w:abstractNumId w:val="21"/>
  </w:num>
  <w:num w:numId="21" w16cid:durableId="849759141">
    <w:abstractNumId w:val="10"/>
  </w:num>
  <w:num w:numId="22" w16cid:durableId="186590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5B5"/>
    <w:rsid w:val="0029639D"/>
    <w:rsid w:val="00326F90"/>
    <w:rsid w:val="00362596"/>
    <w:rsid w:val="003A46D6"/>
    <w:rsid w:val="004118CF"/>
    <w:rsid w:val="004337A0"/>
    <w:rsid w:val="004558CF"/>
    <w:rsid w:val="00676D7D"/>
    <w:rsid w:val="006D11D0"/>
    <w:rsid w:val="00720438"/>
    <w:rsid w:val="007447A9"/>
    <w:rsid w:val="0088438C"/>
    <w:rsid w:val="00A65756"/>
    <w:rsid w:val="00AA1D8D"/>
    <w:rsid w:val="00B47730"/>
    <w:rsid w:val="00CB0664"/>
    <w:rsid w:val="00DF5829"/>
    <w:rsid w:val="00EB5DF6"/>
    <w:rsid w:val="00F23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24D63F"/>
  <w14:defaultImageDpi w14:val="300"/>
  <w15:docId w15:val="{F2115A1F-4EF1-4685-A353-A1A53D81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ascii="Times New Roman" w:hAnsi="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Times New Roman" w:hAnsi="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ascii="Times New Roman" w:hAnsi="Times New Roman"/>
      <w:b/>
      <w:bCs/>
      <w:i/>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tblPr>
      <w:tblStyleRowBandSize w:val="1"/>
      <w:tblStyleColBandSize w:val="1"/>
      <w:tblCellMar>
        <w:top w:w="0" w:type="dxa"/>
        <w:left w:w="115" w:type="dxa"/>
        <w:bottom w:w="0" w:type="dxa"/>
        <w:right w:w="115" w:type="dxa"/>
      </w:tblCellMar>
    </w:tblPr>
  </w:style>
  <w:style w:type="table" w:customStyle="1" w:styleId="a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65</Pages>
  <Words>11912</Words>
  <Characters>67899</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 L N Sai Krishna Akula</cp:lastModifiedBy>
  <cp:revision>13</cp:revision>
  <dcterms:created xsi:type="dcterms:W3CDTF">2013-12-23T23:15:00Z</dcterms:created>
  <dcterms:modified xsi:type="dcterms:W3CDTF">2026-06-15T19:17:00Z</dcterms:modified>
  <cp:category/>
</cp:coreProperties>
</file>