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A5433" w:rsidRDefault="005A5433" w:rsidP="005A5433">
      <w:pPr>
        <w:jc w:val="center"/>
      </w:pPr>
      <w:r>
        <w:rPr>
          <w:rFonts w:eastAsia="Calibri"/>
          <w:b/>
          <w:color w:val="1F3864"/>
          <w:sz w:val="48"/>
        </w:rPr>
        <w:t>Predictive Modeling for Credit Risk</w:t>
      </w:r>
    </w:p>
    <w:p w:rsidR="00FE1DA8" w:rsidRDefault="00000000">
      <w:pPr>
        <w:spacing w:after="120" w:line="240" w:lineRule="auto"/>
        <w:jc w:val="center"/>
        <w:rPr>
          <w:rFonts w:ascii="Calibri" w:eastAsia="Calibri" w:hAnsi="Calibri" w:cs="Calibri"/>
        </w:rPr>
      </w:pPr>
      <w:r>
        <w:rPr>
          <w:rFonts w:ascii="Calibri" w:eastAsia="Calibri" w:hAnsi="Calibri" w:cs="Calibri"/>
          <w:i/>
          <w:iCs/>
          <w:color w:val="2E75B6"/>
          <w:sz w:val="26"/>
          <w:szCs w:val="26"/>
        </w:rPr>
        <w:t>Evaluating Borrower Default Probability and Interest Rate Determinants in Consumer Lending</w:t>
      </w:r>
    </w:p>
    <w:p w:rsidR="00FE1DA8" w:rsidRDefault="00FE1DA8">
      <w:pPr>
        <w:pBdr>
          <w:bottom w:val="single" w:sz="8" w:space="0" w:color="1F3864"/>
        </w:pBdr>
        <w:spacing w:before="60" w:after="480" w:line="240" w:lineRule="auto"/>
        <w:jc w:val="center"/>
        <w:rPr>
          <w:rFonts w:ascii="Calibri" w:eastAsia="Calibri" w:hAnsi="Calibri" w:cs="Calibri"/>
        </w:rPr>
      </w:pPr>
    </w:p>
    <w:p w:rsidR="00FE1DA8" w:rsidRDefault="00000000">
      <w:pPr>
        <w:spacing w:before="480" w:after="80" w:line="240" w:lineRule="auto"/>
        <w:jc w:val="center"/>
        <w:rPr>
          <w:rFonts w:ascii="Calibri" w:eastAsia="Calibri" w:hAnsi="Calibri" w:cs="Calibri"/>
        </w:rPr>
      </w:pPr>
      <w:r>
        <w:rPr>
          <w:rFonts w:ascii="Calibri" w:eastAsia="Calibri" w:hAnsi="Calibri" w:cs="Calibri"/>
          <w:b/>
          <w:bCs/>
          <w:color w:val="1F3864"/>
          <w:sz w:val="30"/>
          <w:szCs w:val="30"/>
        </w:rPr>
        <w:t>Phase 1 Report: Data Preparation &amp; Exploratory Data Analysis</w:t>
      </w:r>
    </w:p>
    <w:p w:rsidR="00FE1DA8" w:rsidRDefault="00000000">
      <w:pPr>
        <w:spacing w:before="240" w:after="80" w:line="240" w:lineRule="auto"/>
        <w:jc w:val="center"/>
        <w:rPr>
          <w:rFonts w:ascii="Calibri" w:eastAsia="Calibri" w:hAnsi="Calibri" w:cs="Calibri"/>
        </w:rPr>
      </w:pPr>
      <w:proofErr w:type="spellStart"/>
      <w:r>
        <w:rPr>
          <w:rFonts w:ascii="Calibri" w:eastAsia="Calibri" w:hAnsi="Calibri" w:cs="Calibri"/>
          <w:b/>
          <w:bCs/>
          <w:color w:val="404040"/>
          <w:sz w:val="24"/>
          <w:szCs w:val="24"/>
        </w:rPr>
        <w:t>Diaesh</w:t>
      </w:r>
      <w:proofErr w:type="spellEnd"/>
      <w:r>
        <w:rPr>
          <w:rFonts w:ascii="Calibri" w:eastAsia="Calibri" w:hAnsi="Calibri" w:cs="Calibri"/>
          <w:b/>
          <w:bCs/>
          <w:color w:val="404040"/>
          <w:sz w:val="24"/>
          <w:szCs w:val="24"/>
        </w:rPr>
        <w:t xml:space="preserve"> Antony</w:t>
      </w:r>
    </w:p>
    <w:p w:rsidR="00FE1DA8" w:rsidRDefault="00000000">
      <w:pPr>
        <w:spacing w:before="40" w:after="40" w:line="240" w:lineRule="auto"/>
        <w:jc w:val="center"/>
        <w:rPr>
          <w:rFonts w:ascii="Calibri" w:eastAsia="Calibri" w:hAnsi="Calibri" w:cs="Calibri"/>
        </w:rPr>
      </w:pPr>
      <w:r>
        <w:rPr>
          <w:rFonts w:ascii="Calibri" w:eastAsia="Calibri" w:hAnsi="Calibri" w:cs="Calibri"/>
          <w:color w:val="404040"/>
          <w:sz w:val="21"/>
          <w:szCs w:val="21"/>
        </w:rPr>
        <w:t xml:space="preserve">AAI 500 — Applied Statistics &amp; </w:t>
      </w:r>
      <w:proofErr w:type="gramStart"/>
      <w:r>
        <w:rPr>
          <w:rFonts w:ascii="Calibri" w:eastAsia="Calibri" w:hAnsi="Calibri" w:cs="Calibri"/>
          <w:color w:val="404040"/>
          <w:sz w:val="21"/>
          <w:szCs w:val="21"/>
        </w:rPr>
        <w:t>AI  |</w:t>
      </w:r>
      <w:proofErr w:type="gramEnd"/>
      <w:r>
        <w:rPr>
          <w:rFonts w:ascii="Calibri" w:eastAsia="Calibri" w:hAnsi="Calibri" w:cs="Calibri"/>
          <w:color w:val="404040"/>
          <w:sz w:val="21"/>
          <w:szCs w:val="21"/>
        </w:rPr>
        <w:t xml:space="preserve">  University of San Diego</w:t>
      </w:r>
    </w:p>
    <w:p w:rsidR="00FE1DA8" w:rsidRDefault="00000000">
      <w:pPr>
        <w:spacing w:before="40" w:after="40" w:line="240" w:lineRule="auto"/>
        <w:jc w:val="center"/>
        <w:rPr>
          <w:rFonts w:ascii="Calibri" w:eastAsia="Calibri" w:hAnsi="Calibri" w:cs="Calibri"/>
        </w:rPr>
      </w:pPr>
      <w:r>
        <w:rPr>
          <w:rFonts w:ascii="Calibri" w:eastAsia="Calibri" w:hAnsi="Calibri" w:cs="Calibri"/>
          <w:color w:val="404040"/>
          <w:sz w:val="21"/>
          <w:szCs w:val="21"/>
        </w:rPr>
        <w:t>June 2026</w:t>
      </w:r>
    </w:p>
    <w:p w:rsidR="00FE1DA8" w:rsidRDefault="00000000">
      <w:pPr>
        <w:spacing w:before="40" w:after="40" w:line="240" w:lineRule="auto"/>
        <w:jc w:val="center"/>
        <w:rPr>
          <w:rFonts w:ascii="Calibri" w:eastAsia="Calibri" w:hAnsi="Calibri" w:cs="Calibri"/>
        </w:rPr>
      </w:pPr>
      <w:r>
        <w:rPr>
          <w:rFonts w:ascii="Calibri" w:eastAsia="Calibri" w:hAnsi="Calibri" w:cs="Calibri"/>
          <w:color w:val="404040"/>
          <w:sz w:val="21"/>
          <w:szCs w:val="21"/>
        </w:rPr>
        <w:t xml:space="preserve">GitHub: </w:t>
      </w:r>
      <w:r>
        <w:rPr>
          <w:rFonts w:ascii="Calibri" w:eastAsia="Calibri" w:hAnsi="Calibri" w:cs="Calibri"/>
          <w:color w:val="2E75B6"/>
          <w:sz w:val="21"/>
          <w:szCs w:val="21"/>
        </w:rPr>
        <w:t>github.com/diaeshantony-usd/applied-statistics-and-ai-team-</w:t>
      </w:r>
      <w:proofErr w:type="gramStart"/>
      <w:r>
        <w:rPr>
          <w:rFonts w:ascii="Calibri" w:eastAsia="Calibri" w:hAnsi="Calibri" w:cs="Calibri"/>
          <w:color w:val="2E75B6"/>
          <w:sz w:val="21"/>
          <w:szCs w:val="21"/>
        </w:rPr>
        <w:t>project</w:t>
      </w:r>
      <w:proofErr w:type="gramEnd"/>
    </w:p>
    <w:p w:rsidR="00FE1DA8" w:rsidRDefault="00FE1DA8">
      <w:pPr>
        <w:pageBreakBefore/>
        <w:spacing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Abstract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Consumer lending institutions must accurately estimate borrower default risk to price interest rates appropriately. Mispricing in either direction — charging too little (Type I Error) or too much (Type II Error) — carries significant financial and competitive consequences. This report documents the first phase of an end-to-end credit risk analysis conducted on the Credit Risk Modeling Dataset from Kaggle, comprising 32,581 loan records across 12 features. We detail a rigorous data preparation pipeline that includes median imputation for two columns with missing values (</w:t>
      </w:r>
      <w:proofErr w:type="spellStart"/>
      <w:r>
        <w:rPr>
          <w:rFonts w:ascii="Calibri" w:eastAsia="Calibri" w:hAnsi="Calibri" w:cs="Calibri"/>
          <w:color w:val="404040"/>
        </w:rPr>
        <w:t>person_emp_length</w:t>
      </w:r>
      <w:proofErr w:type="spellEnd"/>
      <w:r>
        <w:rPr>
          <w:rFonts w:ascii="Calibri" w:eastAsia="Calibri" w:hAnsi="Calibri" w:cs="Calibri"/>
          <w:color w:val="404040"/>
        </w:rPr>
        <w:t xml:space="preserve">: 2.75% missing; </w:t>
      </w:r>
      <w:proofErr w:type="spellStart"/>
      <w:r>
        <w:rPr>
          <w:rFonts w:ascii="Calibri" w:eastAsia="Calibri" w:hAnsi="Calibri" w:cs="Calibri"/>
          <w:color w:val="404040"/>
        </w:rPr>
        <w:t>loan_int_rate</w:t>
      </w:r>
      <w:proofErr w:type="spellEnd"/>
      <w:r>
        <w:rPr>
          <w:rFonts w:ascii="Calibri" w:eastAsia="Calibri" w:hAnsi="Calibri" w:cs="Calibri"/>
          <w:color w:val="404040"/>
        </w:rPr>
        <w:t xml:space="preserve">: 9.56% missing), Interquartile Range (IQR) outlier filtering for </w:t>
      </w:r>
      <w:proofErr w:type="spellStart"/>
      <w:r>
        <w:rPr>
          <w:rFonts w:ascii="Calibri" w:eastAsia="Calibri" w:hAnsi="Calibri" w:cs="Calibri"/>
          <w:color w:val="404040"/>
        </w:rPr>
        <w:t>person_age</w:t>
      </w:r>
      <w:proofErr w:type="spellEnd"/>
      <w:r>
        <w:rPr>
          <w:rFonts w:ascii="Calibri" w:eastAsia="Calibri" w:hAnsi="Calibri" w:cs="Calibri"/>
          <w:color w:val="404040"/>
        </w:rPr>
        <w:t xml:space="preserve"> and </w:t>
      </w:r>
      <w:proofErr w:type="spellStart"/>
      <w:r>
        <w:rPr>
          <w:rFonts w:ascii="Calibri" w:eastAsia="Calibri" w:hAnsi="Calibri" w:cs="Calibri"/>
          <w:color w:val="404040"/>
        </w:rPr>
        <w:t>person_income</w:t>
      </w:r>
      <w:proofErr w:type="spellEnd"/>
      <w:r>
        <w:rPr>
          <w:rFonts w:ascii="Calibri" w:eastAsia="Calibri" w:hAnsi="Calibri" w:cs="Calibri"/>
          <w:color w:val="404040"/>
        </w:rPr>
        <w:t>, and three additional sanity checks — duplicate removal (156 rows), an employment-age consistency filter (1 row removed), and a domain constraint capping age at 100 years. The cleaned dataset retains 29,567 records (a 9.25% reduction). Exploratory Data Analysis reveals that borrower income is strongly right-skewed (skewness = 0.74), motivating a log-transformation that reduces skewness to −0.44 and will improve downstream regression model performance. Shapiro-Wilk tests confirm that neither raw nor log-transformed income follows a normal distribution (both p &lt; 0.001), but Central Limit Theorem simulations demonstrate that the sampling distribution of the mean converges to normality by n = 30, validating parametric inference on aggregate data. Pearson correlation analysis identifies nine feature pairs with |r| &gt; 0.30, most notably a strong age–credit history collinearity (r = 0.836) and income–log-income redundancy (r = 0.953), both of which will require Variance Inflation Factor (VIF) screening in subsequent regression phases. The cleaned, well-</w:t>
      </w:r>
      <w:proofErr w:type="spellStart"/>
      <w:r>
        <w:rPr>
          <w:rFonts w:ascii="Calibri" w:eastAsia="Calibri" w:hAnsi="Calibri" w:cs="Calibri"/>
          <w:color w:val="404040"/>
        </w:rPr>
        <w:t>characterised</w:t>
      </w:r>
      <w:proofErr w:type="spellEnd"/>
      <w:r>
        <w:rPr>
          <w:rFonts w:ascii="Calibri" w:eastAsia="Calibri" w:hAnsi="Calibri" w:cs="Calibri"/>
          <w:color w:val="404040"/>
        </w:rPr>
        <w:t xml:space="preserve"> dataset produced here forms the foundation for the team's feature engineering, model selection, and model analysis deliverables.</w:t>
      </w: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1.  Introduction</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1.1  Business</w:t>
      </w:r>
      <w:proofErr w:type="gramEnd"/>
      <w:r>
        <w:rPr>
          <w:rFonts w:ascii="Calibri" w:eastAsia="Calibri" w:hAnsi="Calibri" w:cs="Calibri"/>
          <w:b/>
          <w:bCs/>
          <w:color w:val="2E75B6"/>
          <w:sz w:val="26"/>
          <w:szCs w:val="26"/>
        </w:rPr>
        <w:t xml:space="preserve"> Context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When a bank or online lender decides to approve a loan, two questions must be answered simultaneously: Is this borrower likely to repay the debt? And what interest rate adequately reflects that risk without being so high that creditworthy borrowers walk away? Getting either question wrong is costly.</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These errors map directly onto the classical statistical framework of hypothesis testing:</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Type I Error (Under-pricing risk): The lender sets an interest rate that is too low for the borrower's true risk. The borrower subsequently defaults, and the lender loses both principal and the interest income it should have earned.</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Type II Error (Over-pricing risk): The lender sets a rate that is too high relative to the actual risk. The creditworthy borrower chooses a competitor offering a fairer rate, representing a lost business </w:t>
      </w:r>
      <w:proofErr w:type="gramStart"/>
      <w:r>
        <w:rPr>
          <w:rFonts w:ascii="Calibri" w:eastAsia="Calibri" w:hAnsi="Calibri" w:cs="Calibri"/>
          <w:color w:val="404040"/>
          <w:sz w:val="21"/>
          <w:szCs w:val="21"/>
        </w:rPr>
        <w:t>opportunity</w:t>
      </w:r>
      <w:proofErr w:type="gramEnd"/>
      <w:r>
        <w:rPr>
          <w:rFonts w:ascii="Calibri" w:eastAsia="Calibri" w:hAnsi="Calibri" w:cs="Calibri"/>
          <w:color w:val="404040"/>
          <w:sz w:val="21"/>
          <w:szCs w:val="21"/>
        </w:rPr>
        <w:t xml:space="preserve"> and worsening adverse selection in the lender's portfolio.</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This framing — borrowed directly from hypothesis testing — positions credit risk modelling as a decision problem where statistical precision directly translates to financial outcomes.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1.2  Research</w:t>
      </w:r>
      <w:proofErr w:type="gramEnd"/>
      <w:r>
        <w:rPr>
          <w:rFonts w:ascii="Calibri" w:eastAsia="Calibri" w:hAnsi="Calibri" w:cs="Calibri"/>
          <w:b/>
          <w:bCs/>
          <w:color w:val="2E75B6"/>
          <w:sz w:val="26"/>
          <w:szCs w:val="26"/>
        </w:rPr>
        <w:t xml:space="preserve"> Questions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Two central questions guide the full project:</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lastRenderedPageBreak/>
        <w:t>Which borrower characteristics (age, income, employment length, loan grade) are the strongest determinants of the interest rate charged on a loan?</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What is the marginal effect of borrower income on the probability of loan default, after controlling for loan amount and loan grade?</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1.3  Scope</w:t>
      </w:r>
      <w:proofErr w:type="gramEnd"/>
      <w:r>
        <w:rPr>
          <w:rFonts w:ascii="Calibri" w:eastAsia="Calibri" w:hAnsi="Calibri" w:cs="Calibri"/>
          <w:b/>
          <w:bCs/>
          <w:color w:val="2E75B6"/>
          <w:sz w:val="26"/>
          <w:szCs w:val="26"/>
        </w:rPr>
        <w:t xml:space="preserve"> of This Report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This Phase 1 report addresses the statistical groundwork that makes downstream modelling possible: loading and auditing the raw data, repairing quality issues, and building a thorough understanding of each variable's distribution and its relationship to the target outcomes. No predictive models are fitted here; that work belongs to Phases 2 and 3. The goal of this phase is to produce a dataset that is clean, well-understood, and whose properties are fully documented so that modelling decisions in subsequent phases are statistically justified rather than arbitrary.</w:t>
      </w: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2.  Related Work</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2.1  Credit</w:t>
      </w:r>
      <w:proofErr w:type="gramEnd"/>
      <w:r>
        <w:rPr>
          <w:rFonts w:ascii="Calibri" w:eastAsia="Calibri" w:hAnsi="Calibri" w:cs="Calibri"/>
          <w:b/>
          <w:bCs/>
          <w:color w:val="2E75B6"/>
          <w:sz w:val="26"/>
          <w:szCs w:val="26"/>
        </w:rPr>
        <w:t xml:space="preserve"> Risk Modelling in the Literature</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Credit risk assessment has been a central problem in both academic finance and applied machine learning for decades. The foundational framework distinguishes between three pillars of borrower risk: ability to pay (captured by income, employment length, and debt burden), historical </w:t>
      </w:r>
      <w:proofErr w:type="spellStart"/>
      <w:r>
        <w:rPr>
          <w:rFonts w:ascii="Calibri" w:eastAsia="Calibri" w:hAnsi="Calibri" w:cs="Calibri"/>
          <w:color w:val="404040"/>
        </w:rPr>
        <w:t>behaviour</w:t>
      </w:r>
      <w:proofErr w:type="spellEnd"/>
      <w:r>
        <w:rPr>
          <w:rFonts w:ascii="Calibri" w:eastAsia="Calibri" w:hAnsi="Calibri" w:cs="Calibri"/>
          <w:color w:val="404040"/>
        </w:rPr>
        <w:t xml:space="preserve"> (prior defaults and credit history length), and loan structure (principal amount, grade, and purpose). These three pillars map directly onto the features available in the Kaggle Credit Risk dataset used in this project.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Classical approaches, including logistic regression and discriminant analysis, remain widely used in regulatory settings precisely because they are interpretable and auditable — properties that financial regulators such as the Consumer Financial Protection Bureau (CFPB) require of any model used in lending decisions. More recent literature has shown that ensemble methods (Random Forests, Gradient Boosting, </w:t>
      </w:r>
      <w:proofErr w:type="spellStart"/>
      <w:r>
        <w:rPr>
          <w:rFonts w:ascii="Calibri" w:eastAsia="Calibri" w:hAnsi="Calibri" w:cs="Calibri"/>
          <w:color w:val="404040"/>
        </w:rPr>
        <w:t>CatBoost</w:t>
      </w:r>
      <w:proofErr w:type="spellEnd"/>
      <w:r>
        <w:rPr>
          <w:rFonts w:ascii="Calibri" w:eastAsia="Calibri" w:hAnsi="Calibri" w:cs="Calibri"/>
          <w:color w:val="404040"/>
        </w:rPr>
        <w:t>) substantially outperform logistic regression on AUC-ROC when applied to large, imbalanced credit datasets. However, the consensus in the literature is that raw model accuracy is necessary but not sufficient; the key diagnostic challenge is managing class imbalance (typically 20-30% default rates in consumer lending data) and multicollinearity among predictors.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2.2  Data</w:t>
      </w:r>
      <w:proofErr w:type="gramEnd"/>
      <w:r>
        <w:rPr>
          <w:rFonts w:ascii="Calibri" w:eastAsia="Calibri" w:hAnsi="Calibri" w:cs="Calibri"/>
          <w:b/>
          <w:bCs/>
          <w:color w:val="2E75B6"/>
          <w:sz w:val="26"/>
          <w:szCs w:val="26"/>
        </w:rPr>
        <w:t xml:space="preserve"> Quality and Preprocessing in Financial AI</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A recurring theme in applied credit risk research is that preprocessing decisions have an outsized influence on final model performance — a principle sometimes described as 'garbage in, garbage out'. Sun and Harris (2024) document this concern specifically in the context of healthcare AI, noting that biased or inaccurate training datasets produce models that systematically perpetuate those biases. The same principle applies to credit risk: if the training data contains data entry errors (e.g., a </w:t>
      </w:r>
      <w:proofErr w:type="spellStart"/>
      <w:r>
        <w:rPr>
          <w:rFonts w:ascii="Calibri" w:eastAsia="Calibri" w:hAnsi="Calibri" w:cs="Calibri"/>
          <w:color w:val="404040"/>
        </w:rPr>
        <w:t>person_age</w:t>
      </w:r>
      <w:proofErr w:type="spellEnd"/>
      <w:r>
        <w:rPr>
          <w:rFonts w:ascii="Calibri" w:eastAsia="Calibri" w:hAnsi="Calibri" w:cs="Calibri"/>
          <w:color w:val="404040"/>
        </w:rPr>
        <w:t xml:space="preserve"> of 144 years), implausible values (e.g., employment length greater than age), or missing values imputed by naive mean substitution, the resulting model learns from distorted signals.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Median imputation for right-skewed financial variables is well-established in the literature as preferable to mean imputation because the median is a resistant statistic, unaffected by extreme values. The Interquartile Range (IQR) outlier detection method — attributable to Tukey (1977) — remains the standard non-parametric approach for identifying extreme values in continuous financial variables.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lastRenderedPageBreak/>
        <w:t>2.3  Exploratory</w:t>
      </w:r>
      <w:proofErr w:type="gramEnd"/>
      <w:r>
        <w:rPr>
          <w:rFonts w:ascii="Calibri" w:eastAsia="Calibri" w:hAnsi="Calibri" w:cs="Calibri"/>
          <w:b/>
          <w:bCs/>
          <w:color w:val="2E75B6"/>
          <w:sz w:val="26"/>
          <w:szCs w:val="26"/>
        </w:rPr>
        <w:t xml:space="preserve"> Analysis and Distributional Properties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Financial variables such as income are almost universally </w:t>
      </w:r>
      <w:proofErr w:type="gramStart"/>
      <w:r>
        <w:rPr>
          <w:rFonts w:ascii="Calibri" w:eastAsia="Calibri" w:hAnsi="Calibri" w:cs="Calibri"/>
          <w:color w:val="404040"/>
        </w:rPr>
        <w:t>right-skewed</w:t>
      </w:r>
      <w:proofErr w:type="gramEnd"/>
      <w:r>
        <w:rPr>
          <w:rFonts w:ascii="Calibri" w:eastAsia="Calibri" w:hAnsi="Calibri" w:cs="Calibri"/>
          <w:color w:val="404040"/>
        </w:rPr>
        <w:t xml:space="preserve"> in consumer lending datasets, a reflection of the highly unequal distribution of income in most economies. The log-transformation y = log(x+1) is a well-established tool for compressing the right tail and is widely applied prior to OLS regression, where homoscedasticity and approximate normality of residuals are assumed. The Central Limit Theorem (CLT) provides the formal justification for using parametric tests (t-tests, F-tests) on skewed data: even when individual observations are non-normal, the sampling distribution of the mean converges to normality as sample size increases, validating inference on aggregate measures.</w:t>
      </w: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3.  Method</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3.1  Dataset</w:t>
      </w:r>
      <w:proofErr w:type="gramEnd"/>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The Credit Risk Modeling Dataset was sourced from Kaggle (https://www.kaggle.com/datasets/laotse/credit-risk-dataset) and is stored in the project repository under data/raw/credit_risk_dataset.csv. The raw dataset contains 32,581 rows and 12 columns covering borrower demographics, loan characteristics, and credit bureau information. The target variables for the full project are </w:t>
      </w:r>
      <w:proofErr w:type="spellStart"/>
      <w:r>
        <w:rPr>
          <w:rFonts w:ascii="Calibri" w:eastAsia="Calibri" w:hAnsi="Calibri" w:cs="Calibri"/>
          <w:color w:val="404040"/>
        </w:rPr>
        <w:t>loan_status</w:t>
      </w:r>
      <w:proofErr w:type="spellEnd"/>
      <w:r>
        <w:rPr>
          <w:rFonts w:ascii="Calibri" w:eastAsia="Calibri" w:hAnsi="Calibri" w:cs="Calibri"/>
          <w:color w:val="404040"/>
        </w:rPr>
        <w:t xml:space="preserve"> (binary: 1 = default, 0 = non-default) and </w:t>
      </w:r>
      <w:proofErr w:type="spellStart"/>
      <w:r>
        <w:rPr>
          <w:rFonts w:ascii="Calibri" w:eastAsia="Calibri" w:hAnsi="Calibri" w:cs="Calibri"/>
          <w:color w:val="404040"/>
        </w:rPr>
        <w:t>loan_int_rate</w:t>
      </w:r>
      <w:proofErr w:type="spellEnd"/>
      <w:r>
        <w:rPr>
          <w:rFonts w:ascii="Calibri" w:eastAsia="Calibri" w:hAnsi="Calibri" w:cs="Calibri"/>
          <w:color w:val="404040"/>
        </w:rPr>
        <w:t xml:space="preserve"> (continuous interest rate).</w:t>
      </w:r>
    </w:p>
    <w:p w:rsidR="00FE1DA8" w:rsidRDefault="00000000">
      <w:pPr>
        <w:spacing w:before="80" w:after="80" w:line="240" w:lineRule="auto"/>
        <w:rPr>
          <w:rFonts w:ascii="Calibri" w:eastAsia="Calibri" w:hAnsi="Calibri" w:cs="Calibri"/>
        </w:rPr>
      </w:pPr>
      <w:r>
        <w:rPr>
          <w:rFonts w:ascii="Calibri" w:eastAsia="Calibri" w:hAnsi="Calibri" w:cs="Calibri"/>
          <w:color w:val="404040"/>
        </w:rPr>
        <w:t>Table 1 below describes all 12 columns.</w:t>
      </w:r>
    </w:p>
    <w:p w:rsidR="00FE1DA8" w:rsidRDefault="00FE1DA8">
      <w:pPr>
        <w:spacing w:before="120" w:after="80" w:line="240" w:lineRule="auto"/>
        <w:rPr>
          <w:rFonts w:ascii="Calibri" w:eastAsia="Calibri" w:hAnsi="Calibri" w:cs="Calibri"/>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500"/>
        <w:gridCol w:w="5760"/>
      </w:tblGrid>
      <w:tr w:rsidR="00FE1DA8">
        <w:tc>
          <w:tcPr>
            <w:tcW w:w="21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Feature</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Type</w:t>
            </w:r>
          </w:p>
        </w:tc>
        <w:tc>
          <w:tcPr>
            <w:tcW w:w="5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Description</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person_age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Integer</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Borrower age in years</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Integer</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Annual income in USD</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person_home_ownership</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Categorical</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RENT, OWN, MORTGAGE, OTHER</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person_emp_length</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Float</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Employment length in years (2.75% missing)</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loan_intent</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Categorical</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Purpose: EDUCATION, MEDICAL, PERSONAL, etc.</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loan_grade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Categorical (Ordinal)</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Credit grade A–G (A = lowest risk)</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loan_amnt</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Integer</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Loan principal amount in USD</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loan_int_rate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Float</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Interest rate in % (9.56% missing)</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loan_status</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Binary</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 = defaulted, 0 = did not default (target)</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loan_percent_income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Float</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Loan amount as proportion of annual income</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cb_person_default_on_file</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Binary (Y/N)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Prior default on credit bureau record</w:t>
            </w:r>
          </w:p>
        </w:tc>
      </w:tr>
      <w:tr w:rsidR="00FE1DA8">
        <w:tc>
          <w:tcPr>
            <w:tcW w:w="21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cb_person_cred_hist_length</w:t>
            </w:r>
            <w:proofErr w:type="spellEnd"/>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Integer</w:t>
            </w:r>
          </w:p>
        </w:tc>
        <w:tc>
          <w:tcPr>
            <w:tcW w:w="57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Length of credit history in years</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t xml:space="preserve">Table 1. </w:t>
      </w:r>
      <w:r>
        <w:rPr>
          <w:rFonts w:ascii="Calibri" w:eastAsia="Calibri" w:hAnsi="Calibri" w:cs="Calibri"/>
          <w:color w:val="404040"/>
          <w:sz w:val="19"/>
          <w:szCs w:val="19"/>
        </w:rPr>
        <w:t>Description of all 12 features in the raw Credit Risk dataset.</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lastRenderedPageBreak/>
        <w:t>3.2  Missing</w:t>
      </w:r>
      <w:proofErr w:type="gramEnd"/>
      <w:r>
        <w:rPr>
          <w:rFonts w:ascii="Calibri" w:eastAsia="Calibri" w:hAnsi="Calibri" w:cs="Calibri"/>
          <w:b/>
          <w:bCs/>
          <w:color w:val="2E75B6"/>
          <w:sz w:val="26"/>
          <w:szCs w:val="26"/>
        </w:rPr>
        <w:t xml:space="preserve"> Value Imputation</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Two columns contained missing values. We selected median imputation rather than mean imputation for both because financial variables in this dataset are right-skewed; the mean is inflated by high-earning outliers and would overestimate the typical missing value.</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 median is formally defined as the middle value of a sorted sample:</w:t>
      </w:r>
    </w:p>
    <w:p w:rsidR="00FE1DA8" w:rsidRDefault="00000000">
      <w:pPr>
        <w:spacing w:before="120" w:after="120" w:line="240" w:lineRule="auto"/>
        <w:jc w:val="center"/>
        <w:rPr>
          <w:rFonts w:ascii="Calibri" w:eastAsia="Calibri" w:hAnsi="Calibri" w:cs="Calibri"/>
        </w:rPr>
      </w:pPr>
      <w:proofErr w:type="gramStart"/>
      <w:r>
        <w:rPr>
          <w:rFonts w:ascii="Calibri" w:eastAsia="Calibri" w:hAnsi="Calibri" w:cs="Calibri"/>
          <w:b/>
          <w:bCs/>
          <w:color w:val="1F3864"/>
        </w:rPr>
        <w:t>x̃  =</w:t>
      </w:r>
      <w:proofErr w:type="gramEnd"/>
      <w:r>
        <w:rPr>
          <w:rFonts w:ascii="Calibri" w:eastAsia="Calibri" w:hAnsi="Calibri" w:cs="Calibri"/>
          <w:b/>
          <w:bCs/>
          <w:color w:val="1F3864"/>
        </w:rPr>
        <w:t xml:space="preserve">  x₍ₙ₊₁₎/₂  (n odd)    or    [xₙ/₂ + xₙ/₂₊₁] / 2  (n even)</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Because the median is rank-based rather than magnitude-based, it is insensitive to extreme values — a property called statistical resistance. Imputed values were:</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person_emp_length</w:t>
      </w:r>
      <w:proofErr w:type="spellEnd"/>
      <w:r>
        <w:rPr>
          <w:rFonts w:ascii="Calibri" w:eastAsia="Calibri" w:hAnsi="Calibri" w:cs="Calibri"/>
          <w:color w:val="404040"/>
          <w:sz w:val="21"/>
          <w:szCs w:val="21"/>
        </w:rPr>
        <w:t>: median = 4.0000 years (895 missing values, 2.75%)</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loan_int_rate</w:t>
      </w:r>
      <w:proofErr w:type="spellEnd"/>
      <w:r>
        <w:rPr>
          <w:rFonts w:ascii="Calibri" w:eastAsia="Calibri" w:hAnsi="Calibri" w:cs="Calibri"/>
          <w:color w:val="404040"/>
          <w:sz w:val="21"/>
          <w:szCs w:val="21"/>
        </w:rPr>
        <w:t>: median = 10.9900% (3,116 missing values, 9.56%)</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After imputation, zero missing values remained across all columns.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3.3  Outlier</w:t>
      </w:r>
      <w:proofErr w:type="gramEnd"/>
      <w:r>
        <w:rPr>
          <w:rFonts w:ascii="Calibri" w:eastAsia="Calibri" w:hAnsi="Calibri" w:cs="Calibri"/>
          <w:b/>
          <w:bCs/>
          <w:color w:val="2E75B6"/>
          <w:sz w:val="26"/>
          <w:szCs w:val="26"/>
        </w:rPr>
        <w:t xml:space="preserve"> Detection and Filtering</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Outliers were identified using the IQR method with Tukey fences applied to </w:t>
      </w:r>
      <w:proofErr w:type="spellStart"/>
      <w:r>
        <w:rPr>
          <w:rFonts w:ascii="Calibri" w:eastAsia="Calibri" w:hAnsi="Calibri" w:cs="Calibri"/>
          <w:color w:val="404040"/>
        </w:rPr>
        <w:t>person_age</w:t>
      </w:r>
      <w:proofErr w:type="spellEnd"/>
      <w:r>
        <w:rPr>
          <w:rFonts w:ascii="Calibri" w:eastAsia="Calibri" w:hAnsi="Calibri" w:cs="Calibri"/>
          <w:color w:val="404040"/>
        </w:rPr>
        <w:t xml:space="preserve"> and </w:t>
      </w:r>
      <w:proofErr w:type="spellStart"/>
      <w:r>
        <w:rPr>
          <w:rFonts w:ascii="Calibri" w:eastAsia="Calibri" w:hAnsi="Calibri" w:cs="Calibri"/>
          <w:color w:val="404040"/>
        </w:rPr>
        <w:t>person_income</w:t>
      </w:r>
      <w:proofErr w:type="spellEnd"/>
      <w:r>
        <w:rPr>
          <w:rFonts w:ascii="Calibri" w:eastAsia="Calibri" w:hAnsi="Calibri" w:cs="Calibri"/>
          <w:color w:val="404040"/>
        </w:rPr>
        <w:t>:</w:t>
      </w:r>
    </w:p>
    <w:p w:rsidR="00FE1DA8" w:rsidRDefault="00000000">
      <w:pPr>
        <w:spacing w:before="120" w:after="60" w:line="240" w:lineRule="auto"/>
        <w:jc w:val="center"/>
        <w:rPr>
          <w:rFonts w:ascii="Calibri" w:eastAsia="Calibri" w:hAnsi="Calibri" w:cs="Calibri"/>
        </w:rPr>
      </w:pPr>
      <w:r>
        <w:rPr>
          <w:rFonts w:ascii="Calibri" w:eastAsia="Calibri" w:hAnsi="Calibri" w:cs="Calibri"/>
          <w:b/>
          <w:bCs/>
          <w:color w:val="1F3864"/>
        </w:rPr>
        <w:t xml:space="preserve">Lower </w:t>
      </w:r>
      <w:proofErr w:type="gramStart"/>
      <w:r>
        <w:rPr>
          <w:rFonts w:ascii="Calibri" w:eastAsia="Calibri" w:hAnsi="Calibri" w:cs="Calibri"/>
          <w:b/>
          <w:bCs/>
          <w:color w:val="1F3864"/>
        </w:rPr>
        <w:t>Bound  =</w:t>
      </w:r>
      <w:proofErr w:type="gramEnd"/>
      <w:r>
        <w:rPr>
          <w:rFonts w:ascii="Calibri" w:eastAsia="Calibri" w:hAnsi="Calibri" w:cs="Calibri"/>
          <w:b/>
          <w:bCs/>
          <w:color w:val="1F3864"/>
        </w:rPr>
        <w:t xml:space="preserve">  Q₁ − 1.5 × IQR</w:t>
      </w:r>
    </w:p>
    <w:p w:rsidR="00FE1DA8" w:rsidRDefault="00000000">
      <w:pPr>
        <w:spacing w:before="60" w:after="120" w:line="240" w:lineRule="auto"/>
        <w:jc w:val="center"/>
        <w:rPr>
          <w:rFonts w:ascii="Calibri" w:eastAsia="Calibri" w:hAnsi="Calibri" w:cs="Calibri"/>
        </w:rPr>
      </w:pPr>
      <w:r>
        <w:rPr>
          <w:rFonts w:ascii="Calibri" w:eastAsia="Calibri" w:hAnsi="Calibri" w:cs="Calibri"/>
          <w:b/>
          <w:bCs/>
          <w:color w:val="1F3864"/>
        </w:rPr>
        <w:t xml:space="preserve">Upper </w:t>
      </w:r>
      <w:proofErr w:type="gramStart"/>
      <w:r>
        <w:rPr>
          <w:rFonts w:ascii="Calibri" w:eastAsia="Calibri" w:hAnsi="Calibri" w:cs="Calibri"/>
          <w:b/>
          <w:bCs/>
          <w:color w:val="1F3864"/>
        </w:rPr>
        <w:t>Bound  =</w:t>
      </w:r>
      <w:proofErr w:type="gramEnd"/>
      <w:r>
        <w:rPr>
          <w:rFonts w:ascii="Calibri" w:eastAsia="Calibri" w:hAnsi="Calibri" w:cs="Calibri"/>
          <w:b/>
          <w:bCs/>
          <w:color w:val="1F3864"/>
        </w:rPr>
        <w:t xml:space="preserve">  Q₃ + 1.5 × IQR</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Table 2 </w:t>
      </w:r>
      <w:proofErr w:type="spellStart"/>
      <w:r>
        <w:rPr>
          <w:rFonts w:ascii="Calibri" w:eastAsia="Calibri" w:hAnsi="Calibri" w:cs="Calibri"/>
          <w:color w:val="404040"/>
        </w:rPr>
        <w:t>summarises</w:t>
      </w:r>
      <w:proofErr w:type="spellEnd"/>
      <w:r>
        <w:rPr>
          <w:rFonts w:ascii="Calibri" w:eastAsia="Calibri" w:hAnsi="Calibri" w:cs="Calibri"/>
          <w:color w:val="404040"/>
        </w:rPr>
        <w:t xml:space="preserve"> the computed bounds and outlier counts.</w:t>
      </w:r>
    </w:p>
    <w:p w:rsidR="00FE1DA8" w:rsidRDefault="00FE1DA8">
      <w:pPr>
        <w:spacing w:before="80" w:after="80" w:line="240" w:lineRule="auto"/>
        <w:rPr>
          <w:rFonts w:ascii="Calibri" w:eastAsia="Calibri" w:hAnsi="Calibri" w:cs="Calibri"/>
        </w:rPr>
      </w:pPr>
    </w:p>
    <w:tbl>
      <w:tblPr>
        <w:tblStyle w:val="a0"/>
        <w:tblW w:w="78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80"/>
        <w:gridCol w:w="900"/>
        <w:gridCol w:w="900"/>
        <w:gridCol w:w="900"/>
        <w:gridCol w:w="1200"/>
        <w:gridCol w:w="1200"/>
        <w:gridCol w:w="1080"/>
      </w:tblGrid>
      <w:tr w:rsidR="00FE1DA8">
        <w:tc>
          <w:tcPr>
            <w:tcW w:w="16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Feature</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Q1</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Q3</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IQR</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Lower Bound</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Upper Bound</w:t>
            </w:r>
          </w:p>
        </w:tc>
        <w:tc>
          <w:tcPr>
            <w:tcW w:w="10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Outliers (n)</w:t>
            </w:r>
          </w:p>
        </w:tc>
      </w:tr>
      <w:tr w:rsidR="00FE1DA8">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person_age</w:t>
            </w:r>
            <w:proofErr w:type="spellEnd"/>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23.00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30.00</w:t>
            </w:r>
          </w:p>
        </w:tc>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7.00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12.50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40.50</w:t>
            </w:r>
          </w:p>
        </w:tc>
        <w:tc>
          <w:tcPr>
            <w:tcW w:w="10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1,494</w:t>
            </w:r>
          </w:p>
        </w:tc>
      </w:tr>
      <w:tr w:rsidR="00FE1DA8">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$38,500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$79,200</w:t>
            </w:r>
          </w:p>
        </w:tc>
        <w:tc>
          <w:tcPr>
            <w:tcW w:w="9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$40,700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−$22,550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$140,250</w:t>
            </w:r>
          </w:p>
        </w:tc>
        <w:tc>
          <w:tcPr>
            <w:tcW w:w="10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1,484</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t xml:space="preserve">Table 2. </w:t>
      </w:r>
      <w:r>
        <w:rPr>
          <w:rFonts w:ascii="Calibri" w:eastAsia="Calibri" w:hAnsi="Calibri" w:cs="Calibri"/>
          <w:color w:val="404040"/>
          <w:sz w:val="19"/>
          <w:szCs w:val="19"/>
        </w:rPr>
        <w:t xml:space="preserve">IQR outlier detection results for </w:t>
      </w:r>
      <w:proofErr w:type="spellStart"/>
      <w:r>
        <w:rPr>
          <w:rFonts w:ascii="Calibri" w:eastAsia="Calibri" w:hAnsi="Calibri" w:cs="Calibri"/>
          <w:color w:val="404040"/>
          <w:sz w:val="19"/>
          <w:szCs w:val="19"/>
        </w:rPr>
        <w:t>person_age</w:t>
      </w:r>
      <w:proofErr w:type="spellEnd"/>
      <w:r>
        <w:rPr>
          <w:rFonts w:ascii="Calibri" w:eastAsia="Calibri" w:hAnsi="Calibri" w:cs="Calibri"/>
          <w:color w:val="404040"/>
          <w:sz w:val="19"/>
          <w:szCs w:val="19"/>
        </w:rPr>
        <w:t xml:space="preserve"> and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An additional domain constraint of </w:t>
      </w:r>
      <w:proofErr w:type="spellStart"/>
      <w:r>
        <w:rPr>
          <w:rFonts w:ascii="Calibri" w:eastAsia="Calibri" w:hAnsi="Calibri" w:cs="Calibri"/>
          <w:color w:val="404040"/>
        </w:rPr>
        <w:t>person_age</w:t>
      </w:r>
      <w:proofErr w:type="spellEnd"/>
      <w:r>
        <w:rPr>
          <w:rFonts w:ascii="Calibri" w:eastAsia="Calibri" w:hAnsi="Calibri" w:cs="Calibri"/>
          <w:color w:val="404040"/>
        </w:rPr>
        <w:t xml:space="preserve"> ≤ 100 years was enforced, as ages above 100 almost certainly represent data entry errors (the raw data included a maximum age of 144 years). Three further sanity checks were applied after the IQR filter:</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Duplicate rows: 156 exact duplicates identified and removed.</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Employment–age consistency: 1 row removed where </w:t>
      </w:r>
      <w:proofErr w:type="spellStart"/>
      <w:r>
        <w:rPr>
          <w:rFonts w:ascii="Calibri" w:eastAsia="Calibri" w:hAnsi="Calibri" w:cs="Calibri"/>
          <w:color w:val="404040"/>
          <w:sz w:val="21"/>
          <w:szCs w:val="21"/>
        </w:rPr>
        <w:t>person_emp_length</w:t>
      </w:r>
      <w:proofErr w:type="spellEnd"/>
      <w:r>
        <w:rPr>
          <w:rFonts w:ascii="Calibri" w:eastAsia="Calibri" w:hAnsi="Calibri" w:cs="Calibri"/>
          <w:color w:val="404040"/>
          <w:sz w:val="21"/>
          <w:szCs w:val="21"/>
        </w:rPr>
        <w:t xml:space="preserve"> &gt; </w:t>
      </w:r>
      <w:proofErr w:type="spellStart"/>
      <w:r>
        <w:rPr>
          <w:rFonts w:ascii="Calibri" w:eastAsia="Calibri" w:hAnsi="Calibri" w:cs="Calibri"/>
          <w:color w:val="404040"/>
          <w:sz w:val="21"/>
          <w:szCs w:val="21"/>
        </w:rPr>
        <w:t>person_age</w:t>
      </w:r>
      <w:proofErr w:type="spellEnd"/>
      <w:r>
        <w:rPr>
          <w:rFonts w:ascii="Calibri" w:eastAsia="Calibri" w:hAnsi="Calibri" w:cs="Calibri"/>
          <w:color w:val="404040"/>
          <w:sz w:val="21"/>
          <w:szCs w:val="21"/>
        </w:rPr>
        <w:t xml:space="preserve"> (logically impossible).</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Domain constraint: </w:t>
      </w:r>
      <w:proofErr w:type="spellStart"/>
      <w:r>
        <w:rPr>
          <w:rFonts w:ascii="Calibri" w:eastAsia="Calibri" w:hAnsi="Calibri" w:cs="Calibri"/>
          <w:color w:val="404040"/>
          <w:sz w:val="21"/>
          <w:szCs w:val="21"/>
        </w:rPr>
        <w:t>person_age</w:t>
      </w:r>
      <w:proofErr w:type="spellEnd"/>
      <w:r>
        <w:rPr>
          <w:rFonts w:ascii="Calibri" w:eastAsia="Calibri" w:hAnsi="Calibri" w:cs="Calibri"/>
          <w:color w:val="404040"/>
          <w:sz w:val="21"/>
          <w:szCs w:val="21"/>
        </w:rPr>
        <w:t xml:space="preserve"> ≤ 100 applied in conjunction with IQR bounds.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 net effect was a reduction from 32,581 to 29,567 rows — a loss of 3,014 rows (9.25%). The cleaned dataset was exported to data/processed/credit_risk_cleaned.csv for use by all subsequent phases.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3.4  Log</w:t>
      </w:r>
      <w:proofErr w:type="gramEnd"/>
      <w:r>
        <w:rPr>
          <w:rFonts w:ascii="Calibri" w:eastAsia="Calibri" w:hAnsi="Calibri" w:cs="Calibri"/>
          <w:b/>
          <w:bCs/>
          <w:color w:val="2E75B6"/>
          <w:sz w:val="26"/>
          <w:szCs w:val="26"/>
        </w:rPr>
        <w:t>-Transformation of Income</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Personal income in this dataset follows a right-skewed distribution (skewness = 0.74). Many statistical models used in subsequent phases — including Ordinary Least Squares (OLS) regression — assume approximate normality and homoscedasticity of residuals. A right-skewed predictor violates these assumptions and distorts model coefficients.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lastRenderedPageBreak/>
        <w:t xml:space="preserve">We apply the log-transformation y = </w:t>
      </w:r>
      <w:proofErr w:type="gramStart"/>
      <w:r>
        <w:rPr>
          <w:rFonts w:ascii="Calibri" w:eastAsia="Calibri" w:hAnsi="Calibri" w:cs="Calibri"/>
          <w:color w:val="404040"/>
        </w:rPr>
        <w:t>log(</w:t>
      </w:r>
      <w:proofErr w:type="gramEnd"/>
      <w:r>
        <w:rPr>
          <w:rFonts w:ascii="Calibri" w:eastAsia="Calibri" w:hAnsi="Calibri" w:cs="Calibri"/>
          <w:color w:val="404040"/>
        </w:rPr>
        <w:t xml:space="preserve">x + 1), where the +1 offset ensures the transformation is defined even for zero-income observations. After transformation, skewness drops from 0.7419 to −0.4378, confirming that the long right tail has been effectively compressed. The log-transformed variable, </w:t>
      </w:r>
      <w:proofErr w:type="spellStart"/>
      <w:r>
        <w:rPr>
          <w:rFonts w:ascii="Calibri" w:eastAsia="Calibri" w:hAnsi="Calibri" w:cs="Calibri"/>
          <w:color w:val="404040"/>
        </w:rPr>
        <w:t>log_person_income</w:t>
      </w:r>
      <w:proofErr w:type="spellEnd"/>
      <w:r>
        <w:rPr>
          <w:rFonts w:ascii="Calibri" w:eastAsia="Calibri" w:hAnsi="Calibri" w:cs="Calibri"/>
          <w:color w:val="404040"/>
        </w:rPr>
        <w:t>, is added to the cleaned dataset for use in regression modelling.</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3.5  Normality</w:t>
      </w:r>
      <w:proofErr w:type="gramEnd"/>
      <w:r>
        <w:rPr>
          <w:rFonts w:ascii="Calibri" w:eastAsia="Calibri" w:hAnsi="Calibri" w:cs="Calibri"/>
          <w:b/>
          <w:bCs/>
          <w:color w:val="2E75B6"/>
          <w:sz w:val="26"/>
          <w:szCs w:val="26"/>
        </w:rPr>
        <w:t xml:space="preserve"> Testing: Shapiro-Wilk Test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To formally assess whether the data follow a normal distribution, we apply the Shapiro-Wilk test to a random sample of 5,000 rows drawn from the cleaned dataset. The hypotheses are:</w:t>
      </w:r>
    </w:p>
    <w:p w:rsidR="00FE1DA8" w:rsidRDefault="00000000">
      <w:pPr>
        <w:spacing w:before="80" w:after="80" w:line="240" w:lineRule="auto"/>
        <w:jc w:val="both"/>
        <w:rPr>
          <w:rFonts w:ascii="Calibri" w:eastAsia="Calibri" w:hAnsi="Calibri" w:cs="Calibri"/>
        </w:rPr>
      </w:pPr>
      <w:r>
        <w:rPr>
          <w:rFonts w:ascii="Calibri" w:eastAsia="Calibri" w:hAnsi="Calibri" w:cs="Calibri"/>
          <w:b/>
          <w:bCs/>
          <w:color w:val="1F3864"/>
        </w:rPr>
        <w:t xml:space="preserve">H₀: </w:t>
      </w:r>
      <w:r>
        <w:rPr>
          <w:rFonts w:ascii="Calibri" w:eastAsia="Calibri" w:hAnsi="Calibri" w:cs="Calibri"/>
          <w:color w:val="404040"/>
        </w:rPr>
        <w:t>The data are drawn from a normal distribution.</w:t>
      </w:r>
    </w:p>
    <w:p w:rsidR="00FE1DA8" w:rsidRDefault="00000000">
      <w:pPr>
        <w:spacing w:before="80" w:after="80" w:line="240" w:lineRule="auto"/>
        <w:jc w:val="both"/>
        <w:rPr>
          <w:rFonts w:ascii="Calibri" w:eastAsia="Calibri" w:hAnsi="Calibri" w:cs="Calibri"/>
        </w:rPr>
      </w:pPr>
      <w:r>
        <w:rPr>
          <w:rFonts w:ascii="Calibri" w:eastAsia="Calibri" w:hAnsi="Calibri" w:cs="Calibri"/>
          <w:b/>
          <w:bCs/>
          <w:color w:val="1F3864"/>
        </w:rPr>
        <w:t xml:space="preserve">H₁: </w:t>
      </w:r>
      <w:r>
        <w:rPr>
          <w:rFonts w:ascii="Calibri" w:eastAsia="Calibri" w:hAnsi="Calibri" w:cs="Calibri"/>
          <w:color w:val="404040"/>
        </w:rPr>
        <w:t>The data are not normally distributed.</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 test statistic W measures the correlation between the observed order statistics and those expected under normality. W close to 1.0 indicates normality; we reject H₀ at α = 0.05 when p &lt; 0.05.</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3.6  Central</w:t>
      </w:r>
      <w:proofErr w:type="gramEnd"/>
      <w:r>
        <w:rPr>
          <w:rFonts w:ascii="Calibri" w:eastAsia="Calibri" w:hAnsi="Calibri" w:cs="Calibri"/>
          <w:b/>
          <w:bCs/>
          <w:color w:val="2E75B6"/>
          <w:sz w:val="26"/>
          <w:szCs w:val="26"/>
        </w:rPr>
        <w:t xml:space="preserve"> Limit Theorem Simulation</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Even though individual income observations are not normally distributed, the CLT guarantees convergence of the sampling distribution of the mean:</w:t>
      </w:r>
    </w:p>
    <w:p w:rsidR="00FE1DA8" w:rsidRDefault="00000000">
      <w:pPr>
        <w:spacing w:before="120" w:after="120" w:line="240" w:lineRule="auto"/>
        <w:jc w:val="center"/>
        <w:rPr>
          <w:rFonts w:ascii="Calibri" w:eastAsia="Calibri" w:hAnsi="Calibri" w:cs="Calibri"/>
        </w:rPr>
      </w:pPr>
      <w:proofErr w:type="gramStart"/>
      <w:r>
        <w:rPr>
          <w:rFonts w:ascii="Calibri" w:eastAsia="Calibri" w:hAnsi="Calibri" w:cs="Calibri"/>
          <w:b/>
          <w:bCs/>
          <w:color w:val="1F3864"/>
          <w:sz w:val="24"/>
          <w:szCs w:val="24"/>
        </w:rPr>
        <w:t>X̄ₙ  →</w:t>
      </w:r>
      <w:proofErr w:type="gramEnd"/>
      <w:r>
        <w:rPr>
          <w:rFonts w:ascii="Calibri" w:eastAsia="Calibri" w:hAnsi="Calibri" w:cs="Calibri"/>
          <w:b/>
          <w:bCs/>
          <w:color w:val="1F3864"/>
          <w:sz w:val="24"/>
          <w:szCs w:val="24"/>
        </w:rPr>
        <w:t xml:space="preserve">  N(μ,  σ²/n)  as n → ∞</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To demonstrate this empirically, we draw 5,000 bootstrap samples at each of n = 5, 30, and 200 from the cleaned income population, compute the mean of each sample, and plot the resulting sampling distributions.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3.7  Pearson</w:t>
      </w:r>
      <w:proofErr w:type="gramEnd"/>
      <w:r>
        <w:rPr>
          <w:rFonts w:ascii="Calibri" w:eastAsia="Calibri" w:hAnsi="Calibri" w:cs="Calibri"/>
          <w:b/>
          <w:bCs/>
          <w:color w:val="2E75B6"/>
          <w:sz w:val="26"/>
          <w:szCs w:val="26"/>
        </w:rPr>
        <w:t xml:space="preserve"> Correlation Analysis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To understand linear relationships between features and identify potential multicollinearity problems for downstream regression, we compute the full 9 × 9 Pearson correlation matrix across all numeric columns. Pairs with |r| &gt; 0.30 are flagged as potentially significant, and pairs with |r| &gt; 0.80 are flagged as multicollinearity candidates requiring VIF analysis in Phase 3.</w:t>
      </w: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4.  Results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4.1  Raw</w:t>
      </w:r>
      <w:proofErr w:type="gramEnd"/>
      <w:r>
        <w:rPr>
          <w:rFonts w:ascii="Calibri" w:eastAsia="Calibri" w:hAnsi="Calibri" w:cs="Calibri"/>
          <w:b/>
          <w:bCs/>
          <w:color w:val="2E75B6"/>
          <w:sz w:val="26"/>
          <w:szCs w:val="26"/>
        </w:rPr>
        <w:t xml:space="preserve"> Data Profile</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 raw dataset contains 32,581 rows and 12 columns. A summary of key descriptive statistics is shown in Table 3.</w:t>
      </w:r>
    </w:p>
    <w:p w:rsidR="00FE1DA8" w:rsidRDefault="00FE1DA8">
      <w:pPr>
        <w:spacing w:before="80" w:after="80" w:line="240" w:lineRule="auto"/>
        <w:rPr>
          <w:rFonts w:ascii="Calibri" w:eastAsia="Calibri" w:hAnsi="Calibri" w:cs="Calibri"/>
        </w:rPr>
      </w:pPr>
    </w:p>
    <w:tbl>
      <w:tblPr>
        <w:tblStyle w:val="a1"/>
        <w:tblW w:w="8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320"/>
        <w:gridCol w:w="1320"/>
        <w:gridCol w:w="1200"/>
        <w:gridCol w:w="1200"/>
        <w:gridCol w:w="1320"/>
      </w:tblGrid>
      <w:tr w:rsidR="00FE1DA8">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Feature</w:t>
            </w:r>
          </w:p>
        </w:tc>
        <w:tc>
          <w:tcPr>
            <w:tcW w:w="1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Mean</w:t>
            </w:r>
          </w:p>
        </w:tc>
        <w:tc>
          <w:tcPr>
            <w:tcW w:w="1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Std Dev</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Min</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Median</w:t>
            </w:r>
          </w:p>
        </w:tc>
        <w:tc>
          <w:tcPr>
            <w:tcW w:w="13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Max</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person_age</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27.73</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6.35</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20.00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26.00</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144.00</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$66,075</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$61,983</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$4,000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$55,000</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$6,000,000</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person_emp_length</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 xml:space="preserve">4.79 </w:t>
            </w:r>
            <w:proofErr w:type="spellStart"/>
            <w:r>
              <w:rPr>
                <w:rFonts w:ascii="Calibri" w:eastAsia="Calibri" w:hAnsi="Calibri" w:cs="Calibri"/>
                <w:color w:val="404040"/>
                <w:sz w:val="19"/>
                <w:szCs w:val="19"/>
              </w:rPr>
              <w:t>yrs</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4.14</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4.00</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123.00</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loan_amnt</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$9,589</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$6,322</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$500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$8,000</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$35,000</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loan_int_rate</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11.01%</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3.24</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5.42%</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10.99%</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23.22%</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lastRenderedPageBreak/>
              <w:t>loan_status</w:t>
            </w:r>
            <w:proofErr w:type="spellEnd"/>
            <w:r>
              <w:rPr>
                <w:rFonts w:ascii="Calibri" w:eastAsia="Calibri" w:hAnsi="Calibri" w:cs="Calibri"/>
                <w:color w:val="404040"/>
                <w:sz w:val="19"/>
                <w:szCs w:val="19"/>
              </w:rPr>
              <w:t xml:space="preserve"> (default rate)</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0.22</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0.41</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w:t>
            </w:r>
          </w:p>
        </w:tc>
        <w:tc>
          <w:tcPr>
            <w:tcW w:w="13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loan_percent_income</w:t>
            </w:r>
            <w:proofErr w:type="spellEnd"/>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0.17</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0.11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0.00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0.15</w:t>
            </w:r>
          </w:p>
        </w:tc>
        <w:tc>
          <w:tcPr>
            <w:tcW w:w="13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0.83</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t xml:space="preserve">Table 3. </w:t>
      </w:r>
      <w:r>
        <w:rPr>
          <w:rFonts w:ascii="Calibri" w:eastAsia="Calibri" w:hAnsi="Calibri" w:cs="Calibri"/>
          <w:color w:val="404040"/>
          <w:sz w:val="19"/>
          <w:szCs w:val="19"/>
        </w:rPr>
        <w:t>Descriptive statistics for the raw Credit Risk dataset (n = 32,581). Note the unrealistic maximum age (144 years) and maximum income ($6M) — both flagged for outlier removal.</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4.2  Missing</w:t>
      </w:r>
      <w:proofErr w:type="gramEnd"/>
      <w:r>
        <w:rPr>
          <w:rFonts w:ascii="Calibri" w:eastAsia="Calibri" w:hAnsi="Calibri" w:cs="Calibri"/>
          <w:b/>
          <w:bCs/>
          <w:color w:val="2E75B6"/>
          <w:sz w:val="26"/>
          <w:szCs w:val="26"/>
        </w:rPr>
        <w:t xml:space="preserve"> Value Audit</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Two of the 12 columns contained missing values:</w:t>
      </w:r>
    </w:p>
    <w:p w:rsidR="00FE1DA8" w:rsidRDefault="00FE1DA8">
      <w:pPr>
        <w:spacing w:before="80" w:after="80" w:line="240" w:lineRule="auto"/>
        <w:rPr>
          <w:rFonts w:ascii="Calibri" w:eastAsia="Calibri" w:hAnsi="Calibri" w:cs="Calibri"/>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60"/>
        <w:gridCol w:w="1560"/>
        <w:gridCol w:w="3840"/>
      </w:tblGrid>
      <w:tr w:rsidR="00FE1DA8">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Column</w:t>
            </w:r>
          </w:p>
        </w:tc>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Missing (n)</w:t>
            </w:r>
          </w:p>
        </w:tc>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Missing (%)</w:t>
            </w:r>
          </w:p>
        </w:tc>
        <w:tc>
          <w:tcPr>
            <w:tcW w:w="38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Imputed With</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person_emp_length</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895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2.75%</w:t>
            </w:r>
          </w:p>
        </w:tc>
        <w:tc>
          <w:tcPr>
            <w:tcW w:w="38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Median = 4.00 years</w:t>
            </w:r>
          </w:p>
        </w:tc>
      </w:tr>
      <w:tr w:rsidR="00FE1DA8">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loan_int_rate</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3,116</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9.56%</w:t>
            </w:r>
          </w:p>
        </w:tc>
        <w:tc>
          <w:tcPr>
            <w:tcW w:w="384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Median = 10.99%</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t xml:space="preserve">Table 4. </w:t>
      </w:r>
      <w:r>
        <w:rPr>
          <w:rFonts w:ascii="Calibri" w:eastAsia="Calibri" w:hAnsi="Calibri" w:cs="Calibri"/>
          <w:color w:val="404040"/>
          <w:sz w:val="19"/>
          <w:szCs w:val="19"/>
        </w:rPr>
        <w:t>Missing value audit results and imputation strategy. All other 10 columns had zero missing values.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After applying median imputation, zero missing values remained in the dataset.</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4.3  Outlier</w:t>
      </w:r>
      <w:proofErr w:type="gramEnd"/>
      <w:r>
        <w:rPr>
          <w:rFonts w:ascii="Calibri" w:eastAsia="Calibri" w:hAnsi="Calibri" w:cs="Calibri"/>
          <w:b/>
          <w:bCs/>
          <w:color w:val="2E75B6"/>
          <w:sz w:val="26"/>
          <w:szCs w:val="26"/>
        </w:rPr>
        <w:t xml:space="preserve"> Filtering Results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After applying IQR filters, the domain age constraint (≤ 100), duplicate removal, and the employment–age sanity check, the dataset was reduced from 32,581 to 29,567 records — a net removal of 3,014 rows (9.25%). The final cleaned dataset has 29,567 rows and 12 columns (plus </w:t>
      </w:r>
      <w:proofErr w:type="spellStart"/>
      <w:r>
        <w:rPr>
          <w:rFonts w:ascii="Calibri" w:eastAsia="Calibri" w:hAnsi="Calibri" w:cs="Calibri"/>
          <w:color w:val="404040"/>
        </w:rPr>
        <w:t>log_person_income</w:t>
      </w:r>
      <w:proofErr w:type="spellEnd"/>
      <w:r>
        <w:rPr>
          <w:rFonts w:ascii="Calibri" w:eastAsia="Calibri" w:hAnsi="Calibri" w:cs="Calibri"/>
          <w:color w:val="404040"/>
        </w:rPr>
        <w:t xml:space="preserve"> added during EDA), split 77.56% non-default and 22.44% default.</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4.4  Income</w:t>
      </w:r>
      <w:proofErr w:type="gramEnd"/>
      <w:r>
        <w:rPr>
          <w:rFonts w:ascii="Calibri" w:eastAsia="Calibri" w:hAnsi="Calibri" w:cs="Calibri"/>
          <w:b/>
          <w:bCs/>
          <w:color w:val="2E75B6"/>
          <w:sz w:val="26"/>
          <w:szCs w:val="26"/>
        </w:rPr>
        <w:t xml:space="preserve"> Distribution and Log-Transformation</w:t>
      </w:r>
    </w:p>
    <w:p w:rsidR="00FE1DA8" w:rsidRDefault="00000000">
      <w:pPr>
        <w:pBdr>
          <w:top w:val="single" w:sz="4" w:space="0" w:color="2E75B6"/>
          <w:left w:val="single" w:sz="4" w:space="0" w:color="2E75B6"/>
          <w:bottom w:val="single" w:sz="4" w:space="0" w:color="2E75B6"/>
          <w:right w:val="single" w:sz="4" w:space="0" w:color="2E75B6"/>
        </w:pBdr>
        <w:spacing w:before="160" w:after="40" w:line="240" w:lineRule="auto"/>
        <w:jc w:val="center"/>
        <w:rPr>
          <w:rFonts w:ascii="Calibri" w:eastAsia="Calibri" w:hAnsi="Calibri" w:cs="Calibri"/>
        </w:rPr>
      </w:pPr>
      <w:r>
        <w:rPr>
          <w:rFonts w:ascii="Calibri" w:eastAsia="Calibri" w:hAnsi="Calibri" w:cs="Calibri"/>
          <w:noProof/>
        </w:rPr>
        <w:drawing>
          <wp:inline distT="114300" distB="114300" distL="114300" distR="114300">
            <wp:extent cx="6572190" cy="2481337"/>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6572190" cy="2481337"/>
                    </a:xfrm>
                    <a:prstGeom prst="rect">
                      <a:avLst/>
                    </a:prstGeom>
                    <a:ln/>
                  </pic:spPr>
                </pic:pic>
              </a:graphicData>
            </a:graphic>
          </wp:inline>
        </w:drawing>
      </w:r>
    </w:p>
    <w:p w:rsidR="00FE1DA8" w:rsidRDefault="00000000">
      <w:pPr>
        <w:spacing w:before="20" w:after="160" w:line="240" w:lineRule="auto"/>
        <w:jc w:val="center"/>
        <w:rPr>
          <w:rFonts w:ascii="Calibri" w:eastAsia="Calibri" w:hAnsi="Calibri" w:cs="Calibri"/>
        </w:rPr>
      </w:pPr>
      <w:r>
        <w:rPr>
          <w:rFonts w:ascii="Calibri" w:eastAsia="Calibri" w:hAnsi="Calibri" w:cs="Calibri"/>
          <w:b/>
          <w:bCs/>
          <w:color w:val="2E75B6"/>
          <w:sz w:val="19"/>
          <w:szCs w:val="19"/>
        </w:rPr>
        <w:t xml:space="preserve">Figure 1. </w:t>
      </w:r>
      <w:r>
        <w:rPr>
          <w:rFonts w:ascii="Calibri" w:eastAsia="Calibri" w:hAnsi="Calibri" w:cs="Calibri"/>
          <w:color w:val="404040"/>
          <w:sz w:val="19"/>
          <w:szCs w:val="19"/>
        </w:rPr>
        <w:t xml:space="preserve">Side-by-side histograms of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 xml:space="preserve"> (left, </w:t>
      </w:r>
      <w:proofErr w:type="spellStart"/>
      <w:r>
        <w:rPr>
          <w:rFonts w:ascii="Calibri" w:eastAsia="Calibri" w:hAnsi="Calibri" w:cs="Calibri"/>
          <w:color w:val="404040"/>
          <w:sz w:val="19"/>
          <w:szCs w:val="19"/>
        </w:rPr>
        <w:t>steelblue</w:t>
      </w:r>
      <w:proofErr w:type="spellEnd"/>
      <w:r>
        <w:rPr>
          <w:rFonts w:ascii="Calibri" w:eastAsia="Calibri" w:hAnsi="Calibri" w:cs="Calibri"/>
          <w:color w:val="404040"/>
          <w:sz w:val="19"/>
          <w:szCs w:val="19"/>
        </w:rPr>
        <w:t xml:space="preserve">) and </w:t>
      </w:r>
      <w:proofErr w:type="spellStart"/>
      <w:r>
        <w:rPr>
          <w:rFonts w:ascii="Calibri" w:eastAsia="Calibri" w:hAnsi="Calibri" w:cs="Calibri"/>
          <w:color w:val="404040"/>
          <w:sz w:val="19"/>
          <w:szCs w:val="19"/>
        </w:rPr>
        <w:t>log_person_income</w:t>
      </w:r>
      <w:proofErr w:type="spellEnd"/>
      <w:r>
        <w:rPr>
          <w:rFonts w:ascii="Calibri" w:eastAsia="Calibri" w:hAnsi="Calibri" w:cs="Calibri"/>
          <w:color w:val="404040"/>
          <w:sz w:val="19"/>
          <w:szCs w:val="19"/>
        </w:rPr>
        <w:t xml:space="preserve"> (right, </w:t>
      </w:r>
      <w:proofErr w:type="spellStart"/>
      <w:r>
        <w:rPr>
          <w:rFonts w:ascii="Calibri" w:eastAsia="Calibri" w:hAnsi="Calibri" w:cs="Calibri"/>
          <w:color w:val="404040"/>
          <w:sz w:val="19"/>
          <w:szCs w:val="19"/>
        </w:rPr>
        <w:t>seagreen</w:t>
      </w:r>
      <w:proofErr w:type="spellEnd"/>
      <w:r>
        <w:rPr>
          <w:rFonts w:ascii="Calibri" w:eastAsia="Calibri" w:hAnsi="Calibri" w:cs="Calibri"/>
          <w:color w:val="404040"/>
          <w:sz w:val="19"/>
          <w:szCs w:val="19"/>
        </w:rPr>
        <w:t xml:space="preserve">). The raw income distribution is </w:t>
      </w:r>
      <w:proofErr w:type="gramStart"/>
      <w:r>
        <w:rPr>
          <w:rFonts w:ascii="Calibri" w:eastAsia="Calibri" w:hAnsi="Calibri" w:cs="Calibri"/>
          <w:color w:val="404040"/>
          <w:sz w:val="19"/>
          <w:szCs w:val="19"/>
        </w:rPr>
        <w:t>right-skewed</w:t>
      </w:r>
      <w:proofErr w:type="gramEnd"/>
      <w:r>
        <w:rPr>
          <w:rFonts w:ascii="Calibri" w:eastAsia="Calibri" w:hAnsi="Calibri" w:cs="Calibri"/>
          <w:color w:val="404040"/>
          <w:sz w:val="19"/>
          <w:szCs w:val="19"/>
        </w:rPr>
        <w:t xml:space="preserve"> (skewness = 0.7419). After applying log(x+1), skewness drops to −0.4378, confirming the long right tail has been effectively compressed. The log-transformed variable will be used as the income predictor in OLS regression.</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The log-transformation successfully compresses the right tail. The raw income distribution peaks around $40,000–$60,000 and has a long tail extending beyond $140,000. After transformation, the distribution is </w:t>
      </w:r>
      <w:r>
        <w:rPr>
          <w:rFonts w:ascii="Calibri" w:eastAsia="Calibri" w:hAnsi="Calibri" w:cs="Calibri"/>
          <w:color w:val="404040"/>
        </w:rPr>
        <w:lastRenderedPageBreak/>
        <w:t>approximately symmetric and unimodal — properties that will reduce heteroscedasticity in OLS regression residuals.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4.5  Univariate</w:t>
      </w:r>
      <w:proofErr w:type="gramEnd"/>
      <w:r>
        <w:rPr>
          <w:rFonts w:ascii="Calibri" w:eastAsia="Calibri" w:hAnsi="Calibri" w:cs="Calibri"/>
          <w:b/>
          <w:bCs/>
          <w:color w:val="2E75B6"/>
          <w:sz w:val="26"/>
          <w:szCs w:val="26"/>
        </w:rPr>
        <w:t xml:space="preserve"> Distributions</w:t>
      </w:r>
    </w:p>
    <w:p w:rsidR="00FE1DA8" w:rsidRDefault="00000000">
      <w:pPr>
        <w:pBdr>
          <w:top w:val="single" w:sz="4" w:space="0" w:color="2E75B6"/>
          <w:left w:val="single" w:sz="4" w:space="0" w:color="2E75B6"/>
          <w:bottom w:val="single" w:sz="4" w:space="0" w:color="2E75B6"/>
          <w:right w:val="single" w:sz="4" w:space="0" w:color="2E75B6"/>
        </w:pBdr>
        <w:spacing w:before="160" w:after="40" w:line="240" w:lineRule="auto"/>
        <w:jc w:val="center"/>
        <w:rPr>
          <w:rFonts w:ascii="Calibri" w:eastAsia="Calibri" w:hAnsi="Calibri" w:cs="Calibri"/>
        </w:rPr>
      </w:pPr>
      <w:r>
        <w:rPr>
          <w:rFonts w:ascii="Calibri" w:eastAsia="Calibri" w:hAnsi="Calibri" w:cs="Calibri"/>
          <w:noProof/>
        </w:rPr>
        <w:drawing>
          <wp:inline distT="114300" distB="114300" distL="114300" distR="114300">
            <wp:extent cx="6421746" cy="4140336"/>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421746" cy="4140336"/>
                    </a:xfrm>
                    <a:prstGeom prst="rect">
                      <a:avLst/>
                    </a:prstGeom>
                    <a:ln/>
                  </pic:spPr>
                </pic:pic>
              </a:graphicData>
            </a:graphic>
          </wp:inline>
        </w:drawing>
      </w:r>
    </w:p>
    <w:p w:rsidR="00FE1DA8" w:rsidRDefault="00000000">
      <w:pPr>
        <w:spacing w:before="20" w:after="160" w:line="240" w:lineRule="auto"/>
        <w:jc w:val="center"/>
        <w:rPr>
          <w:rFonts w:ascii="Calibri" w:eastAsia="Calibri" w:hAnsi="Calibri" w:cs="Calibri"/>
        </w:rPr>
      </w:pPr>
      <w:r>
        <w:rPr>
          <w:rFonts w:ascii="Calibri" w:eastAsia="Calibri" w:hAnsi="Calibri" w:cs="Calibri"/>
          <w:b/>
          <w:bCs/>
          <w:color w:val="2E75B6"/>
          <w:sz w:val="19"/>
          <w:szCs w:val="19"/>
        </w:rPr>
        <w:t xml:space="preserve">Figure 2. </w:t>
      </w:r>
      <w:r>
        <w:rPr>
          <w:rFonts w:ascii="Calibri" w:eastAsia="Calibri" w:hAnsi="Calibri" w:cs="Calibri"/>
          <w:color w:val="404040"/>
          <w:sz w:val="19"/>
          <w:szCs w:val="19"/>
        </w:rPr>
        <w:t xml:space="preserve">Multi-panel univariate distributions. Top-left: Distribution of </w:t>
      </w:r>
      <w:proofErr w:type="spellStart"/>
      <w:r>
        <w:rPr>
          <w:rFonts w:ascii="Calibri" w:eastAsia="Calibri" w:hAnsi="Calibri" w:cs="Calibri"/>
          <w:color w:val="404040"/>
          <w:sz w:val="19"/>
          <w:szCs w:val="19"/>
        </w:rPr>
        <w:t>person_age</w:t>
      </w:r>
      <w:proofErr w:type="spellEnd"/>
      <w:r>
        <w:rPr>
          <w:rFonts w:ascii="Calibri" w:eastAsia="Calibri" w:hAnsi="Calibri" w:cs="Calibri"/>
          <w:color w:val="404040"/>
          <w:sz w:val="19"/>
          <w:szCs w:val="19"/>
        </w:rPr>
        <w:t xml:space="preserve"> (coral histogram, Mean = 26.73 years, SD = 4.51). Top-right: Distribution of </w:t>
      </w:r>
      <w:proofErr w:type="spellStart"/>
      <w:r>
        <w:rPr>
          <w:rFonts w:ascii="Calibri" w:eastAsia="Calibri" w:hAnsi="Calibri" w:cs="Calibri"/>
          <w:color w:val="404040"/>
          <w:sz w:val="19"/>
          <w:szCs w:val="19"/>
        </w:rPr>
        <w:t>loan_amnt</w:t>
      </w:r>
      <w:proofErr w:type="spellEnd"/>
      <w:r>
        <w:rPr>
          <w:rFonts w:ascii="Calibri" w:eastAsia="Calibri" w:hAnsi="Calibri" w:cs="Calibri"/>
          <w:color w:val="404040"/>
          <w:sz w:val="19"/>
          <w:szCs w:val="19"/>
        </w:rPr>
        <w:t xml:space="preserve"> (goldenrod histogram, Mean = $9,278.75, SD = $6,024.91). Bottom (spanning full width): Loan status class balance bar chart showing 22,931 non-default borrowers (77.56%, </w:t>
      </w:r>
      <w:proofErr w:type="spellStart"/>
      <w:r>
        <w:rPr>
          <w:rFonts w:ascii="Calibri" w:eastAsia="Calibri" w:hAnsi="Calibri" w:cs="Calibri"/>
          <w:color w:val="404040"/>
          <w:sz w:val="19"/>
          <w:szCs w:val="19"/>
        </w:rPr>
        <w:t>forestgreen</w:t>
      </w:r>
      <w:proofErr w:type="spellEnd"/>
      <w:r>
        <w:rPr>
          <w:rFonts w:ascii="Calibri" w:eastAsia="Calibri" w:hAnsi="Calibri" w:cs="Calibri"/>
          <w:color w:val="404040"/>
          <w:sz w:val="19"/>
          <w:szCs w:val="19"/>
        </w:rPr>
        <w:t>) and 6,636 defaulters (22.44%, crimson). The class imbalance of approximately 3.5:1 will be addressed in the modelling phase.</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 xml:space="preserve">The age distribution after outlier removal is appropriately concentrated between 20 and 40 years, with no unrealistic extremes. Loan amounts are </w:t>
      </w:r>
      <w:proofErr w:type="gramStart"/>
      <w:r>
        <w:rPr>
          <w:rFonts w:ascii="Calibri" w:eastAsia="Calibri" w:hAnsi="Calibri" w:cs="Calibri"/>
          <w:color w:val="404040"/>
        </w:rPr>
        <w:t>right-skewed</w:t>
      </w:r>
      <w:proofErr w:type="gramEnd"/>
      <w:r>
        <w:rPr>
          <w:rFonts w:ascii="Calibri" w:eastAsia="Calibri" w:hAnsi="Calibri" w:cs="Calibri"/>
          <w:color w:val="404040"/>
        </w:rPr>
        <w:t xml:space="preserve"> with most loans below $15,000. The loan status distribution confirms a meaningful class imbalance — 77.56% non-default versus 22.44% default — which will require class-weighted training or resampling techniques in subsequent modelling phases.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4.6  Normality</w:t>
      </w:r>
      <w:proofErr w:type="gramEnd"/>
      <w:r>
        <w:rPr>
          <w:rFonts w:ascii="Calibri" w:eastAsia="Calibri" w:hAnsi="Calibri" w:cs="Calibri"/>
          <w:b/>
          <w:bCs/>
          <w:color w:val="2E75B6"/>
          <w:sz w:val="26"/>
          <w:szCs w:val="26"/>
        </w:rPr>
        <w:t xml:space="preserve"> Testing</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Table 5 presents the Shapiro-Wilk test results on a sample of 5,000 rows:</w:t>
      </w:r>
    </w:p>
    <w:p w:rsidR="00FE1DA8" w:rsidRDefault="00FE1DA8">
      <w:pPr>
        <w:spacing w:before="80" w:after="80" w:line="240" w:lineRule="auto"/>
        <w:rPr>
          <w:rFonts w:ascii="Calibri" w:eastAsia="Calibri" w:hAnsi="Calibri" w:cs="Calibri"/>
        </w:rPr>
      </w:pPr>
    </w:p>
    <w:tbl>
      <w:tblPr>
        <w:tblStyle w:val="a3"/>
        <w:tblW w:w="8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560"/>
        <w:gridCol w:w="1800"/>
        <w:gridCol w:w="2700"/>
      </w:tblGrid>
      <w:tr w:rsidR="00FE1DA8">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Variable</w:t>
            </w:r>
          </w:p>
        </w:tc>
        <w:tc>
          <w:tcPr>
            <w:tcW w:w="1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W Statistic</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p-value</w:t>
            </w:r>
          </w:p>
        </w:tc>
        <w:tc>
          <w:tcPr>
            <w:tcW w:w="27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Normal at α=0.05?</w:t>
            </w:r>
          </w:p>
        </w:tc>
      </w:tr>
      <w:tr w:rsidR="00FE1DA8">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0.9534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&lt; 0.000001</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No — Reject H₀</w:t>
            </w:r>
          </w:p>
        </w:tc>
      </w:tr>
      <w:tr w:rsidR="00FE1DA8">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log_person_income</w:t>
            </w:r>
            <w:proofErr w:type="spellEnd"/>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0.9856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&lt; 0.000001</w:t>
            </w:r>
          </w:p>
        </w:tc>
        <w:tc>
          <w:tcPr>
            <w:tcW w:w="27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No — Reject H₀</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lastRenderedPageBreak/>
        <w:t xml:space="preserve">Table 5. </w:t>
      </w:r>
      <w:r>
        <w:rPr>
          <w:rFonts w:ascii="Calibri" w:eastAsia="Calibri" w:hAnsi="Calibri" w:cs="Calibri"/>
          <w:color w:val="404040"/>
          <w:sz w:val="19"/>
          <w:szCs w:val="19"/>
        </w:rPr>
        <w:t xml:space="preserve">Shapiro-Wilk normality test results (n = 5,000 random sample). Both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 xml:space="preserve"> and </w:t>
      </w:r>
      <w:proofErr w:type="spellStart"/>
      <w:r>
        <w:rPr>
          <w:rFonts w:ascii="Calibri" w:eastAsia="Calibri" w:hAnsi="Calibri" w:cs="Calibri"/>
          <w:color w:val="404040"/>
          <w:sz w:val="19"/>
          <w:szCs w:val="19"/>
        </w:rPr>
        <w:t>log_person_income</w:t>
      </w:r>
      <w:proofErr w:type="spellEnd"/>
      <w:r>
        <w:rPr>
          <w:rFonts w:ascii="Calibri" w:eastAsia="Calibri" w:hAnsi="Calibri" w:cs="Calibri"/>
          <w:color w:val="404040"/>
          <w:sz w:val="19"/>
          <w:szCs w:val="19"/>
        </w:rPr>
        <w:t xml:space="preserve"> statistically reject normality at α = 0.05. This is expected at large sample sizes where the test is sensitive to even trivial departures from normality.</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Both variables reject normality. This is not surprising: at n = 5,000, the Shapiro-Wilk test has extremely high statistical power and will detect even trivially small departures from a theoretical normal distribution. The practical implication is that we should not assume normality of individual observations; instead, we rely on the Central Limit Theorem to justify parametric inference on sample means.</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4.7  Central</w:t>
      </w:r>
      <w:proofErr w:type="gramEnd"/>
      <w:r>
        <w:rPr>
          <w:rFonts w:ascii="Calibri" w:eastAsia="Calibri" w:hAnsi="Calibri" w:cs="Calibri"/>
          <w:b/>
          <w:bCs/>
          <w:color w:val="2E75B6"/>
          <w:sz w:val="26"/>
          <w:szCs w:val="26"/>
        </w:rPr>
        <w:t xml:space="preserve"> Limit Theorem Simulation</w:t>
      </w:r>
    </w:p>
    <w:p w:rsidR="00FE1DA8" w:rsidRDefault="00000000">
      <w:pPr>
        <w:pBdr>
          <w:top w:val="single" w:sz="4" w:space="0" w:color="2E75B6"/>
          <w:left w:val="single" w:sz="4" w:space="0" w:color="2E75B6"/>
          <w:bottom w:val="single" w:sz="4" w:space="0" w:color="2E75B6"/>
          <w:right w:val="single" w:sz="4" w:space="0" w:color="2E75B6"/>
        </w:pBdr>
        <w:spacing w:before="160" w:after="40" w:line="240" w:lineRule="auto"/>
        <w:jc w:val="center"/>
        <w:rPr>
          <w:rFonts w:ascii="Calibri" w:eastAsia="Calibri" w:hAnsi="Calibri" w:cs="Calibri"/>
        </w:rPr>
      </w:pPr>
      <w:r>
        <w:rPr>
          <w:rFonts w:ascii="Calibri" w:eastAsia="Calibri" w:hAnsi="Calibri" w:cs="Calibri"/>
          <w:noProof/>
        </w:rPr>
        <w:drawing>
          <wp:inline distT="114300" distB="114300" distL="114300" distR="114300">
            <wp:extent cx="6543675" cy="1897388"/>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6543675" cy="1897388"/>
                    </a:xfrm>
                    <a:prstGeom prst="rect">
                      <a:avLst/>
                    </a:prstGeom>
                    <a:ln/>
                  </pic:spPr>
                </pic:pic>
              </a:graphicData>
            </a:graphic>
          </wp:inline>
        </w:drawing>
      </w:r>
    </w:p>
    <w:p w:rsidR="00FE1DA8" w:rsidRDefault="00000000">
      <w:pPr>
        <w:spacing w:before="20" w:after="160" w:line="240" w:lineRule="auto"/>
        <w:jc w:val="center"/>
        <w:rPr>
          <w:rFonts w:ascii="Calibri" w:eastAsia="Calibri" w:hAnsi="Calibri" w:cs="Calibri"/>
        </w:rPr>
      </w:pPr>
      <w:r>
        <w:rPr>
          <w:rFonts w:ascii="Calibri" w:eastAsia="Calibri" w:hAnsi="Calibri" w:cs="Calibri"/>
          <w:b/>
          <w:bCs/>
          <w:color w:val="2E75B6"/>
          <w:sz w:val="19"/>
          <w:szCs w:val="19"/>
        </w:rPr>
        <w:t xml:space="preserve">Figure 3. </w:t>
      </w:r>
      <w:r>
        <w:rPr>
          <w:rFonts w:ascii="Calibri" w:eastAsia="Calibri" w:hAnsi="Calibri" w:cs="Calibri"/>
          <w:color w:val="404040"/>
          <w:sz w:val="19"/>
          <w:szCs w:val="19"/>
        </w:rPr>
        <w:t xml:space="preserve">CLT simulation: sampling distribution of mean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 xml:space="preserve"> under 5,000 bootstrap samples at three sample sizes. Left (coral, n=5): substantially right-skewed (skewness = 0.36), SE = $12,178. Centre (</w:t>
      </w:r>
      <w:proofErr w:type="spellStart"/>
      <w:r>
        <w:rPr>
          <w:rFonts w:ascii="Calibri" w:eastAsia="Calibri" w:hAnsi="Calibri" w:cs="Calibri"/>
          <w:color w:val="404040"/>
          <w:sz w:val="19"/>
          <w:szCs w:val="19"/>
        </w:rPr>
        <w:t>steelblue</w:t>
      </w:r>
      <w:proofErr w:type="spellEnd"/>
      <w:r>
        <w:rPr>
          <w:rFonts w:ascii="Calibri" w:eastAsia="Calibri" w:hAnsi="Calibri" w:cs="Calibri"/>
          <w:color w:val="404040"/>
          <w:sz w:val="19"/>
          <w:szCs w:val="19"/>
        </w:rPr>
        <w:t>, n=30): approaches bell shape (skewness = 0.12), SE = $4,997. Right (</w:t>
      </w:r>
      <w:proofErr w:type="spellStart"/>
      <w:r>
        <w:rPr>
          <w:rFonts w:ascii="Calibri" w:eastAsia="Calibri" w:hAnsi="Calibri" w:cs="Calibri"/>
          <w:color w:val="404040"/>
          <w:sz w:val="19"/>
          <w:szCs w:val="19"/>
        </w:rPr>
        <w:t>seagreen</w:t>
      </w:r>
      <w:proofErr w:type="spellEnd"/>
      <w:r>
        <w:rPr>
          <w:rFonts w:ascii="Calibri" w:eastAsia="Calibri" w:hAnsi="Calibri" w:cs="Calibri"/>
          <w:color w:val="404040"/>
          <w:sz w:val="19"/>
          <w:szCs w:val="19"/>
        </w:rPr>
        <w:t xml:space="preserve">, n=200): near-perfect normal (skewness ≈ 0.02), SE = $1,916. Black dashed line overlays the theoretical </w:t>
      </w:r>
      <w:proofErr w:type="gramStart"/>
      <w:r>
        <w:rPr>
          <w:rFonts w:ascii="Calibri" w:eastAsia="Calibri" w:hAnsi="Calibri" w:cs="Calibri"/>
          <w:color w:val="404040"/>
          <w:sz w:val="19"/>
          <w:szCs w:val="19"/>
        </w:rPr>
        <w:t>N(</w:t>
      </w:r>
      <w:proofErr w:type="gramEnd"/>
      <w:r>
        <w:rPr>
          <w:rFonts w:ascii="Calibri" w:eastAsia="Calibri" w:hAnsi="Calibri" w:cs="Calibri"/>
          <w:color w:val="404040"/>
          <w:sz w:val="19"/>
          <w:szCs w:val="19"/>
        </w:rPr>
        <w:t>μ, SE²) density.</w:t>
      </w:r>
    </w:p>
    <w:p w:rsidR="00FE1DA8" w:rsidRDefault="00FE1DA8">
      <w:pPr>
        <w:spacing w:before="80" w:after="80" w:line="240" w:lineRule="auto"/>
        <w:rPr>
          <w:rFonts w:ascii="Calibri" w:eastAsia="Calibri" w:hAnsi="Calibri" w:cs="Calibri"/>
        </w:rPr>
      </w:pPr>
    </w:p>
    <w:tbl>
      <w:tblPr>
        <w:tblStyle w:val="a4"/>
        <w:tblW w:w="8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20"/>
        <w:gridCol w:w="2400"/>
        <w:gridCol w:w="2400"/>
        <w:gridCol w:w="2040"/>
      </w:tblGrid>
      <w:tr w:rsidR="00FE1DA8">
        <w:tc>
          <w:tcPr>
            <w:tcW w:w="19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Sample Size (n)</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Mean of Simulated Means</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SE of Simulated Means</w:t>
            </w:r>
          </w:p>
        </w:tc>
        <w:tc>
          <w:tcPr>
            <w:tcW w:w="20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Skewness</w:t>
            </w:r>
          </w:p>
        </w:tc>
      </w:tr>
      <w:tr w:rsidR="00FE1DA8">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r>
              <w:rPr>
                <w:rFonts w:ascii="Calibri" w:eastAsia="Calibri" w:hAnsi="Calibri" w:cs="Calibri"/>
                <w:color w:val="404040"/>
                <w:sz w:val="19"/>
                <w:szCs w:val="19"/>
              </w:rPr>
              <w:t>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$58,226.68</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$12,136.05</w:t>
            </w:r>
          </w:p>
        </w:tc>
        <w:tc>
          <w:tcPr>
            <w:tcW w:w="20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0.3621</w:t>
            </w:r>
          </w:p>
        </w:tc>
      </w:tr>
      <w:tr w:rsidR="00FE1DA8">
        <w:tc>
          <w:tcPr>
            <w:tcW w:w="19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r>
              <w:rPr>
                <w:rFonts w:ascii="Calibri" w:eastAsia="Calibri" w:hAnsi="Calibri" w:cs="Calibri"/>
                <w:color w:val="404040"/>
                <w:sz w:val="19"/>
                <w:szCs w:val="19"/>
              </w:rPr>
              <w:t>30</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$58,588.21</w:t>
            </w:r>
          </w:p>
        </w:tc>
        <w:tc>
          <w:tcPr>
            <w:tcW w:w="24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$4,910.66</w:t>
            </w:r>
          </w:p>
        </w:tc>
        <w:tc>
          <w:tcPr>
            <w:tcW w:w="204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0.1222</w:t>
            </w:r>
          </w:p>
        </w:tc>
      </w:tr>
      <w:tr w:rsidR="00FE1DA8">
        <w:tc>
          <w:tcPr>
            <w:tcW w:w="19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r>
              <w:rPr>
                <w:rFonts w:ascii="Calibri" w:eastAsia="Calibri" w:hAnsi="Calibri" w:cs="Calibri"/>
                <w:color w:val="404040"/>
                <w:sz w:val="19"/>
                <w:szCs w:val="19"/>
              </w:rPr>
              <w:t>200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$58,569.82</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$1,941.92</w:t>
            </w:r>
          </w:p>
        </w:tc>
        <w:tc>
          <w:tcPr>
            <w:tcW w:w="20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0.0180</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t xml:space="preserve">Table 6. </w:t>
      </w:r>
      <w:r>
        <w:rPr>
          <w:rFonts w:ascii="Calibri" w:eastAsia="Calibri" w:hAnsi="Calibri" w:cs="Calibri"/>
          <w:color w:val="404040"/>
          <w:sz w:val="19"/>
          <w:szCs w:val="19"/>
        </w:rPr>
        <w:t>CLT simulation summary: mean of simulated sample means, standard error, and skewness of the sampling distribution at three sample sizes (5,000 bootstrap iterations each).</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The simulation provides compelling visual evidence of CLT convergence. At n = 5, the sampling distribution retains substantial skewness from the parent income distribution. By n = 30 — the conventional threshold cited in statistical textbooks — the distribution is approximately bell-shaped. At n = 200, it is nearly indistinguishable from a normal distribution. With 29,567 records in the cleaned dataset, all parametric tests conducted in Phase 2 and Phase 3 are firmly within the CLT convergence regime.</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4.8  Pearson</w:t>
      </w:r>
      <w:proofErr w:type="gramEnd"/>
      <w:r>
        <w:rPr>
          <w:rFonts w:ascii="Calibri" w:eastAsia="Calibri" w:hAnsi="Calibri" w:cs="Calibri"/>
          <w:b/>
          <w:bCs/>
          <w:color w:val="2E75B6"/>
          <w:sz w:val="26"/>
          <w:szCs w:val="26"/>
        </w:rPr>
        <w:t xml:space="preserve"> Correlation Matrix</w:t>
      </w:r>
    </w:p>
    <w:p w:rsidR="00FE1DA8" w:rsidRDefault="00000000">
      <w:pPr>
        <w:pBdr>
          <w:top w:val="single" w:sz="4" w:space="0" w:color="2E75B6"/>
          <w:left w:val="single" w:sz="4" w:space="0" w:color="2E75B6"/>
          <w:bottom w:val="single" w:sz="4" w:space="0" w:color="2E75B6"/>
          <w:right w:val="single" w:sz="4" w:space="0" w:color="2E75B6"/>
        </w:pBdr>
        <w:spacing w:before="160" w:after="40" w:line="240" w:lineRule="auto"/>
        <w:jc w:val="center"/>
        <w:rPr>
          <w:rFonts w:ascii="Calibri" w:eastAsia="Calibri" w:hAnsi="Calibri" w:cs="Calibri"/>
        </w:rPr>
      </w:pPr>
      <w:r>
        <w:rPr>
          <w:rFonts w:ascii="Calibri" w:eastAsia="Calibri" w:hAnsi="Calibri" w:cs="Calibri"/>
          <w:noProof/>
        </w:rPr>
        <w:lastRenderedPageBreak/>
        <w:drawing>
          <wp:inline distT="114300" distB="114300" distL="114300" distR="114300">
            <wp:extent cx="6270859" cy="435575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6270859" cy="4355753"/>
                    </a:xfrm>
                    <a:prstGeom prst="rect">
                      <a:avLst/>
                    </a:prstGeom>
                    <a:ln/>
                  </pic:spPr>
                </pic:pic>
              </a:graphicData>
            </a:graphic>
          </wp:inline>
        </w:drawing>
      </w:r>
    </w:p>
    <w:p w:rsidR="00FE1DA8" w:rsidRDefault="00000000">
      <w:pPr>
        <w:spacing w:before="20" w:after="160" w:line="240" w:lineRule="auto"/>
        <w:jc w:val="center"/>
        <w:rPr>
          <w:rFonts w:ascii="Calibri" w:eastAsia="Calibri" w:hAnsi="Calibri" w:cs="Calibri"/>
        </w:rPr>
      </w:pPr>
      <w:r>
        <w:rPr>
          <w:rFonts w:ascii="Calibri" w:eastAsia="Calibri" w:hAnsi="Calibri" w:cs="Calibri"/>
          <w:b/>
          <w:bCs/>
          <w:color w:val="2E75B6"/>
          <w:sz w:val="19"/>
          <w:szCs w:val="19"/>
        </w:rPr>
        <w:t xml:space="preserve">Figure 4. </w:t>
      </w:r>
      <w:r>
        <w:rPr>
          <w:rFonts w:ascii="Calibri" w:eastAsia="Calibri" w:hAnsi="Calibri" w:cs="Calibri"/>
          <w:color w:val="404040"/>
          <w:sz w:val="19"/>
          <w:szCs w:val="19"/>
        </w:rPr>
        <w:t>Full 9×9 Pearson correlation heatmap (</w:t>
      </w:r>
      <w:proofErr w:type="spellStart"/>
      <w:r>
        <w:rPr>
          <w:rFonts w:ascii="Calibri" w:eastAsia="Calibri" w:hAnsi="Calibri" w:cs="Calibri"/>
          <w:color w:val="404040"/>
          <w:sz w:val="19"/>
          <w:szCs w:val="19"/>
        </w:rPr>
        <w:t>coolwarm</w:t>
      </w:r>
      <w:proofErr w:type="spellEnd"/>
      <w:r>
        <w:rPr>
          <w:rFonts w:ascii="Calibri" w:eastAsia="Calibri" w:hAnsi="Calibri" w:cs="Calibri"/>
          <w:color w:val="404040"/>
          <w:sz w:val="19"/>
          <w:szCs w:val="19"/>
        </w:rPr>
        <w:t xml:space="preserve"> </w:t>
      </w:r>
      <w:proofErr w:type="spellStart"/>
      <w:r>
        <w:rPr>
          <w:rFonts w:ascii="Calibri" w:eastAsia="Calibri" w:hAnsi="Calibri" w:cs="Calibri"/>
          <w:color w:val="404040"/>
          <w:sz w:val="19"/>
          <w:szCs w:val="19"/>
        </w:rPr>
        <w:t>colour</w:t>
      </w:r>
      <w:proofErr w:type="spellEnd"/>
      <w:r>
        <w:rPr>
          <w:rFonts w:ascii="Calibri" w:eastAsia="Calibri" w:hAnsi="Calibri" w:cs="Calibri"/>
          <w:color w:val="404040"/>
          <w:sz w:val="19"/>
          <w:szCs w:val="19"/>
        </w:rPr>
        <w:t xml:space="preserve"> scheme, range −1 to +1). Each cell is annotated with the Pearson r value. White text indicates |r| &gt; 0.60. Key high-correlation regions: </w:t>
      </w:r>
      <w:proofErr w:type="spellStart"/>
      <w:r>
        <w:rPr>
          <w:rFonts w:ascii="Calibri" w:eastAsia="Calibri" w:hAnsi="Calibri" w:cs="Calibri"/>
          <w:color w:val="404040"/>
          <w:sz w:val="19"/>
          <w:szCs w:val="19"/>
        </w:rPr>
        <w:t>person_age</w:t>
      </w:r>
      <w:proofErr w:type="spellEnd"/>
      <w:r>
        <w:rPr>
          <w:rFonts w:ascii="Calibri" w:eastAsia="Calibri" w:hAnsi="Calibri" w:cs="Calibri"/>
          <w:color w:val="404040"/>
          <w:sz w:val="19"/>
          <w:szCs w:val="19"/>
        </w:rPr>
        <w:t xml:space="preserve"> — </w:t>
      </w:r>
      <w:proofErr w:type="spellStart"/>
      <w:r>
        <w:rPr>
          <w:rFonts w:ascii="Calibri" w:eastAsia="Calibri" w:hAnsi="Calibri" w:cs="Calibri"/>
          <w:color w:val="404040"/>
          <w:sz w:val="19"/>
          <w:szCs w:val="19"/>
        </w:rPr>
        <w:t>cb_person_cred_hist_length</w:t>
      </w:r>
      <w:proofErr w:type="spellEnd"/>
      <w:r>
        <w:rPr>
          <w:rFonts w:ascii="Calibri" w:eastAsia="Calibri" w:hAnsi="Calibri" w:cs="Calibri"/>
          <w:color w:val="404040"/>
          <w:sz w:val="19"/>
          <w:szCs w:val="19"/>
        </w:rPr>
        <w:t xml:space="preserve"> (r = 0.836, top-right quadrant, dark red);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 xml:space="preserve"> — </w:t>
      </w:r>
      <w:proofErr w:type="spellStart"/>
      <w:r>
        <w:rPr>
          <w:rFonts w:ascii="Calibri" w:eastAsia="Calibri" w:hAnsi="Calibri" w:cs="Calibri"/>
          <w:color w:val="404040"/>
          <w:sz w:val="19"/>
          <w:szCs w:val="19"/>
        </w:rPr>
        <w:t>log_person_income</w:t>
      </w:r>
      <w:proofErr w:type="spellEnd"/>
      <w:r>
        <w:rPr>
          <w:rFonts w:ascii="Calibri" w:eastAsia="Calibri" w:hAnsi="Calibri" w:cs="Calibri"/>
          <w:color w:val="404040"/>
          <w:sz w:val="19"/>
          <w:szCs w:val="19"/>
        </w:rPr>
        <w:t xml:space="preserve"> (r = 0.953, diagonal band, dark red); </w:t>
      </w:r>
      <w:proofErr w:type="spellStart"/>
      <w:r>
        <w:rPr>
          <w:rFonts w:ascii="Calibri" w:eastAsia="Calibri" w:hAnsi="Calibri" w:cs="Calibri"/>
          <w:color w:val="404040"/>
          <w:sz w:val="19"/>
          <w:szCs w:val="19"/>
        </w:rPr>
        <w:t>loan_amnt</w:t>
      </w:r>
      <w:proofErr w:type="spellEnd"/>
      <w:r>
        <w:rPr>
          <w:rFonts w:ascii="Calibri" w:eastAsia="Calibri" w:hAnsi="Calibri" w:cs="Calibri"/>
          <w:color w:val="404040"/>
          <w:sz w:val="19"/>
          <w:szCs w:val="19"/>
        </w:rPr>
        <w:t xml:space="preserve"> — </w:t>
      </w:r>
      <w:proofErr w:type="spellStart"/>
      <w:r>
        <w:rPr>
          <w:rFonts w:ascii="Calibri" w:eastAsia="Calibri" w:hAnsi="Calibri" w:cs="Calibri"/>
          <w:color w:val="404040"/>
          <w:sz w:val="19"/>
          <w:szCs w:val="19"/>
        </w:rPr>
        <w:t>loan_percent_income</w:t>
      </w:r>
      <w:proofErr w:type="spellEnd"/>
      <w:r>
        <w:rPr>
          <w:rFonts w:ascii="Calibri" w:eastAsia="Calibri" w:hAnsi="Calibri" w:cs="Calibri"/>
          <w:color w:val="404040"/>
          <w:sz w:val="19"/>
          <w:szCs w:val="19"/>
        </w:rPr>
        <w:t xml:space="preserve"> (r = 0.641). Strong negative correlation: </w:t>
      </w:r>
      <w:proofErr w:type="spellStart"/>
      <w:r>
        <w:rPr>
          <w:rFonts w:ascii="Calibri" w:eastAsia="Calibri" w:hAnsi="Calibri" w:cs="Calibri"/>
          <w:color w:val="404040"/>
          <w:sz w:val="19"/>
          <w:szCs w:val="19"/>
        </w:rPr>
        <w:t>loan_status</w:t>
      </w:r>
      <w:proofErr w:type="spellEnd"/>
      <w:r>
        <w:rPr>
          <w:rFonts w:ascii="Calibri" w:eastAsia="Calibri" w:hAnsi="Calibri" w:cs="Calibri"/>
          <w:color w:val="404040"/>
          <w:sz w:val="19"/>
          <w:szCs w:val="19"/>
        </w:rPr>
        <w:t xml:space="preserve"> — </w:t>
      </w:r>
      <w:proofErr w:type="spellStart"/>
      <w:r>
        <w:rPr>
          <w:rFonts w:ascii="Calibri" w:eastAsia="Calibri" w:hAnsi="Calibri" w:cs="Calibri"/>
          <w:color w:val="404040"/>
          <w:sz w:val="19"/>
          <w:szCs w:val="19"/>
        </w:rPr>
        <w:t>person_income</w:t>
      </w:r>
      <w:proofErr w:type="spellEnd"/>
      <w:r>
        <w:rPr>
          <w:rFonts w:ascii="Calibri" w:eastAsia="Calibri" w:hAnsi="Calibri" w:cs="Calibri"/>
          <w:color w:val="404040"/>
          <w:sz w:val="19"/>
          <w:szCs w:val="19"/>
        </w:rPr>
        <w:t xml:space="preserve"> (r = −0.257) and </w:t>
      </w:r>
      <w:proofErr w:type="spellStart"/>
      <w:r>
        <w:rPr>
          <w:rFonts w:ascii="Calibri" w:eastAsia="Calibri" w:hAnsi="Calibri" w:cs="Calibri"/>
          <w:color w:val="404040"/>
          <w:sz w:val="19"/>
          <w:szCs w:val="19"/>
        </w:rPr>
        <w:t>loan_status</w:t>
      </w:r>
      <w:proofErr w:type="spellEnd"/>
      <w:r>
        <w:rPr>
          <w:rFonts w:ascii="Calibri" w:eastAsia="Calibri" w:hAnsi="Calibri" w:cs="Calibri"/>
          <w:color w:val="404040"/>
          <w:sz w:val="19"/>
          <w:szCs w:val="19"/>
        </w:rPr>
        <w:t xml:space="preserve"> — </w:t>
      </w:r>
      <w:proofErr w:type="spellStart"/>
      <w:r>
        <w:rPr>
          <w:rFonts w:ascii="Calibri" w:eastAsia="Calibri" w:hAnsi="Calibri" w:cs="Calibri"/>
          <w:color w:val="404040"/>
          <w:sz w:val="19"/>
          <w:szCs w:val="19"/>
        </w:rPr>
        <w:t>log_person_income</w:t>
      </w:r>
      <w:proofErr w:type="spellEnd"/>
      <w:r>
        <w:rPr>
          <w:rFonts w:ascii="Calibri" w:eastAsia="Calibri" w:hAnsi="Calibri" w:cs="Calibri"/>
          <w:color w:val="404040"/>
          <w:sz w:val="19"/>
          <w:szCs w:val="19"/>
        </w:rPr>
        <w:t xml:space="preserve"> (r = −0.299).</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Table 7 lists all feature pairs with |r| &gt; 0.30, sorted by absolute correlation strength:</w:t>
      </w:r>
    </w:p>
    <w:p w:rsidR="00FE1DA8" w:rsidRDefault="00FE1DA8">
      <w:pPr>
        <w:spacing w:before="80" w:after="80" w:line="240" w:lineRule="auto"/>
        <w:rPr>
          <w:rFonts w:ascii="Calibri" w:eastAsia="Calibri" w:hAnsi="Calibri" w:cs="Calibri"/>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280"/>
        <w:gridCol w:w="1200"/>
        <w:gridCol w:w="3720"/>
      </w:tblGrid>
      <w:tr w:rsidR="00FE1DA8">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Feature A</w:t>
            </w:r>
          </w:p>
        </w:tc>
        <w:tc>
          <w:tcPr>
            <w:tcW w:w="22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Feature B</w:t>
            </w:r>
          </w:p>
        </w:tc>
        <w:tc>
          <w:tcPr>
            <w:tcW w:w="1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Pearson r</w:t>
            </w:r>
          </w:p>
        </w:tc>
        <w:tc>
          <w:tcPr>
            <w:tcW w:w="372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rsidR="00FE1DA8" w:rsidRDefault="00000000">
            <w:pPr>
              <w:spacing w:line="240" w:lineRule="auto"/>
              <w:jc w:val="center"/>
              <w:rPr>
                <w:rFonts w:ascii="Calibri" w:eastAsia="Calibri" w:hAnsi="Calibri" w:cs="Calibri"/>
              </w:rPr>
            </w:pPr>
            <w:r>
              <w:rPr>
                <w:rFonts w:ascii="Calibri" w:eastAsia="Calibri" w:hAnsi="Calibri" w:cs="Calibri"/>
                <w:b/>
                <w:bCs/>
                <w:color w:val="FFFFFF"/>
                <w:sz w:val="19"/>
                <w:szCs w:val="19"/>
              </w:rPr>
              <w:t>Implication</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log_person_income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0.9533</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Redundant — use one in regression</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person_age</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cb_person_cred_hist_length</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0.8362</w:t>
            </w:r>
          </w:p>
        </w:tc>
        <w:tc>
          <w:tcPr>
            <w:tcW w:w="37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VIF screening required in Phase 3</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loan_amnt</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loan_percent_income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0.6407</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Moderate collinearity — monitor VIF</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loan_amnt</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log_person_income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0.3969</w:t>
            </w:r>
          </w:p>
        </w:tc>
        <w:tc>
          <w:tcPr>
            <w:tcW w:w="37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Borrowers earn more → borrow more</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loan_status</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loan_percent_income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0.3798</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Higher burden → more defaults</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loan_amnt</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0.3860</w:t>
            </w:r>
          </w:p>
        </w:tc>
        <w:tc>
          <w:tcPr>
            <w:tcW w:w="37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Higher earners → larger loans</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loan_int_rate</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loan_status</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0.3184</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Higher rates → more defaults</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loan_status</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log_person_income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−0.2990</w:t>
            </w:r>
          </w:p>
        </w:tc>
        <w:tc>
          <w:tcPr>
            <w:tcW w:w="3720" w:type="dxa"/>
            <w:tcBorders>
              <w:top w:val="single" w:sz="4" w:space="0" w:color="CCCCCC"/>
              <w:left w:val="single" w:sz="4" w:space="0" w:color="CCCCCC"/>
              <w:bottom w:val="single" w:sz="4" w:space="0" w:color="CCCCCC"/>
              <w:right w:val="single" w:sz="4" w:space="0" w:color="CCCCCC"/>
            </w:tcBorders>
            <w:shd w:val="clear" w:color="auto" w:fill="F2F2F2"/>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Higher income → fewer defaults</w:t>
            </w:r>
          </w:p>
        </w:tc>
      </w:tr>
      <w:tr w:rsidR="00FE1DA8">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rPr>
                <w:rFonts w:ascii="Calibri" w:eastAsia="Calibri" w:hAnsi="Calibri" w:cs="Calibri"/>
              </w:rPr>
            </w:pPr>
            <w:proofErr w:type="spellStart"/>
            <w:r>
              <w:rPr>
                <w:rFonts w:ascii="Calibri" w:eastAsia="Calibri" w:hAnsi="Calibri" w:cs="Calibri"/>
                <w:color w:val="404040"/>
                <w:sz w:val="19"/>
                <w:szCs w:val="19"/>
              </w:rPr>
              <w:t>person_income</w:t>
            </w:r>
            <w:proofErr w:type="spellEnd"/>
          </w:p>
        </w:tc>
        <w:tc>
          <w:tcPr>
            <w:tcW w:w="22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proofErr w:type="spellStart"/>
            <w:r>
              <w:rPr>
                <w:rFonts w:ascii="Calibri" w:eastAsia="Calibri" w:hAnsi="Calibri" w:cs="Calibri"/>
                <w:color w:val="404040"/>
                <w:sz w:val="19"/>
                <w:szCs w:val="19"/>
              </w:rPr>
              <w:t>loan_percent_income</w:t>
            </w:r>
            <w:proofErr w:type="spellEnd"/>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−0.3309</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rsidR="00FE1DA8" w:rsidRDefault="00000000">
            <w:pPr>
              <w:spacing w:line="240" w:lineRule="auto"/>
              <w:jc w:val="center"/>
              <w:rPr>
                <w:rFonts w:ascii="Calibri" w:eastAsia="Calibri" w:hAnsi="Calibri" w:cs="Calibri"/>
              </w:rPr>
            </w:pPr>
            <w:r>
              <w:rPr>
                <w:rFonts w:ascii="Calibri" w:eastAsia="Calibri" w:hAnsi="Calibri" w:cs="Calibri"/>
                <w:color w:val="404040"/>
                <w:sz w:val="19"/>
                <w:szCs w:val="19"/>
              </w:rPr>
              <w:t>Higher income → lower debt burden</w:t>
            </w:r>
          </w:p>
        </w:tc>
      </w:tr>
    </w:tbl>
    <w:p w:rsidR="00FE1DA8" w:rsidRDefault="00000000">
      <w:pPr>
        <w:spacing w:before="80" w:after="160" w:line="240" w:lineRule="auto"/>
        <w:jc w:val="center"/>
        <w:rPr>
          <w:rFonts w:ascii="Calibri" w:eastAsia="Calibri" w:hAnsi="Calibri" w:cs="Calibri"/>
        </w:rPr>
      </w:pPr>
      <w:r>
        <w:rPr>
          <w:rFonts w:ascii="Calibri" w:eastAsia="Calibri" w:hAnsi="Calibri" w:cs="Calibri"/>
          <w:b/>
          <w:bCs/>
          <w:color w:val="1F3864"/>
          <w:sz w:val="19"/>
          <w:szCs w:val="19"/>
        </w:rPr>
        <w:lastRenderedPageBreak/>
        <w:t xml:space="preserve">Table 7. </w:t>
      </w:r>
      <w:r>
        <w:rPr>
          <w:rFonts w:ascii="Calibri" w:eastAsia="Calibri" w:hAnsi="Calibri" w:cs="Calibri"/>
          <w:color w:val="404040"/>
          <w:sz w:val="19"/>
          <w:szCs w:val="19"/>
        </w:rPr>
        <w:t>All feature pairs with |r| &gt; 0.30 in the cleaned dataset, with practical interpretations. Pairs with |r| &gt; 0.80 represents potential multicollinearity risks requiring VIF analysis in Phase 3.</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Several findings from the correlation matrix carry direct implications for modelling:</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person_income</w:t>
      </w:r>
      <w:proofErr w:type="spellEnd"/>
      <w:r>
        <w:rPr>
          <w:rFonts w:ascii="Calibri" w:eastAsia="Calibri" w:hAnsi="Calibri" w:cs="Calibri"/>
          <w:color w:val="404040"/>
          <w:sz w:val="21"/>
          <w:szCs w:val="21"/>
        </w:rPr>
        <w:t xml:space="preserve"> vs </w:t>
      </w:r>
      <w:proofErr w:type="spellStart"/>
      <w:r>
        <w:rPr>
          <w:rFonts w:ascii="Calibri" w:eastAsia="Calibri" w:hAnsi="Calibri" w:cs="Calibri"/>
          <w:color w:val="404040"/>
          <w:sz w:val="21"/>
          <w:szCs w:val="21"/>
        </w:rPr>
        <w:t>log_person_income</w:t>
      </w:r>
      <w:proofErr w:type="spellEnd"/>
      <w:r>
        <w:rPr>
          <w:rFonts w:ascii="Calibri" w:eastAsia="Calibri" w:hAnsi="Calibri" w:cs="Calibri"/>
          <w:color w:val="404040"/>
          <w:sz w:val="21"/>
          <w:szCs w:val="21"/>
        </w:rPr>
        <w:t xml:space="preserve"> (r = 0.953): These two variables are nearly perfectly correlated. Only </w:t>
      </w:r>
      <w:proofErr w:type="spellStart"/>
      <w:r>
        <w:rPr>
          <w:rFonts w:ascii="Calibri" w:eastAsia="Calibri" w:hAnsi="Calibri" w:cs="Calibri"/>
          <w:color w:val="404040"/>
          <w:sz w:val="21"/>
          <w:szCs w:val="21"/>
        </w:rPr>
        <w:t>log_person_income</w:t>
      </w:r>
      <w:proofErr w:type="spellEnd"/>
      <w:r>
        <w:rPr>
          <w:rFonts w:ascii="Calibri" w:eastAsia="Calibri" w:hAnsi="Calibri" w:cs="Calibri"/>
          <w:color w:val="404040"/>
          <w:sz w:val="21"/>
          <w:szCs w:val="21"/>
        </w:rPr>
        <w:t xml:space="preserve"> should be used as a predictor in regression to avoid perfect multicollinearity.</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person_age</w:t>
      </w:r>
      <w:proofErr w:type="spellEnd"/>
      <w:r>
        <w:rPr>
          <w:rFonts w:ascii="Calibri" w:eastAsia="Calibri" w:hAnsi="Calibri" w:cs="Calibri"/>
          <w:color w:val="404040"/>
          <w:sz w:val="21"/>
          <w:szCs w:val="21"/>
        </w:rPr>
        <w:t xml:space="preserve"> vs </w:t>
      </w:r>
      <w:proofErr w:type="spellStart"/>
      <w:r>
        <w:rPr>
          <w:rFonts w:ascii="Calibri" w:eastAsia="Calibri" w:hAnsi="Calibri" w:cs="Calibri"/>
          <w:color w:val="404040"/>
          <w:sz w:val="21"/>
          <w:szCs w:val="21"/>
        </w:rPr>
        <w:t>cb_person_cred_hist_length</w:t>
      </w:r>
      <w:proofErr w:type="spellEnd"/>
      <w:r>
        <w:rPr>
          <w:rFonts w:ascii="Calibri" w:eastAsia="Calibri" w:hAnsi="Calibri" w:cs="Calibri"/>
          <w:color w:val="404040"/>
          <w:sz w:val="21"/>
          <w:szCs w:val="21"/>
        </w:rPr>
        <w:t xml:space="preserve"> (r = 0.836): This is the most significant multicollinearity risk. Older borrowers naturally have longer credit histories. Including both variables in OLS </w:t>
      </w:r>
      <w:proofErr w:type="gramStart"/>
      <w:r>
        <w:rPr>
          <w:rFonts w:ascii="Calibri" w:eastAsia="Calibri" w:hAnsi="Calibri" w:cs="Calibri"/>
          <w:color w:val="404040"/>
          <w:sz w:val="21"/>
          <w:szCs w:val="21"/>
        </w:rPr>
        <w:t>or</w:t>
      </w:r>
      <w:proofErr w:type="gramEnd"/>
      <w:r>
        <w:rPr>
          <w:rFonts w:ascii="Calibri" w:eastAsia="Calibri" w:hAnsi="Calibri" w:cs="Calibri"/>
          <w:color w:val="404040"/>
          <w:sz w:val="21"/>
          <w:szCs w:val="21"/>
        </w:rPr>
        <w:t xml:space="preserve"> logistic regression will produce inflated standard errors. Formal VIF screening is planned for Phase 3.</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loan_int_rate</w:t>
      </w:r>
      <w:proofErr w:type="spellEnd"/>
      <w:r>
        <w:rPr>
          <w:rFonts w:ascii="Calibri" w:eastAsia="Calibri" w:hAnsi="Calibri" w:cs="Calibri"/>
          <w:color w:val="404040"/>
          <w:sz w:val="21"/>
          <w:szCs w:val="21"/>
        </w:rPr>
        <w:t xml:space="preserve"> vs </w:t>
      </w:r>
      <w:proofErr w:type="spellStart"/>
      <w:r>
        <w:rPr>
          <w:rFonts w:ascii="Calibri" w:eastAsia="Calibri" w:hAnsi="Calibri" w:cs="Calibri"/>
          <w:color w:val="404040"/>
          <w:sz w:val="21"/>
          <w:szCs w:val="21"/>
        </w:rPr>
        <w:t>loan_status</w:t>
      </w:r>
      <w:proofErr w:type="spellEnd"/>
      <w:r>
        <w:rPr>
          <w:rFonts w:ascii="Calibri" w:eastAsia="Calibri" w:hAnsi="Calibri" w:cs="Calibri"/>
          <w:color w:val="404040"/>
          <w:sz w:val="21"/>
          <w:szCs w:val="21"/>
        </w:rPr>
        <w:t xml:space="preserve"> (r = 0.318): Interest rate is positively correlated with default — riskier borrowers are charged more, and they are also more likely to default. This is the core credit risk pricing relationship motivating the entire project.</w:t>
      </w:r>
    </w:p>
    <w:p w:rsidR="00FE1DA8" w:rsidRDefault="00000000">
      <w:pPr>
        <w:numPr>
          <w:ilvl w:val="0"/>
          <w:numId w:val="1"/>
        </w:numPr>
        <w:spacing w:before="40" w:after="40" w:line="240" w:lineRule="auto"/>
        <w:rPr>
          <w:rFonts w:ascii="Calibri" w:eastAsia="Calibri" w:hAnsi="Calibri" w:cs="Calibri"/>
        </w:rPr>
      </w:pPr>
      <w:proofErr w:type="spellStart"/>
      <w:r>
        <w:rPr>
          <w:rFonts w:ascii="Calibri" w:eastAsia="Calibri" w:hAnsi="Calibri" w:cs="Calibri"/>
          <w:color w:val="404040"/>
          <w:sz w:val="21"/>
          <w:szCs w:val="21"/>
        </w:rPr>
        <w:t>person_income</w:t>
      </w:r>
      <w:proofErr w:type="spellEnd"/>
      <w:r>
        <w:rPr>
          <w:rFonts w:ascii="Calibri" w:eastAsia="Calibri" w:hAnsi="Calibri" w:cs="Calibri"/>
          <w:color w:val="404040"/>
          <w:sz w:val="21"/>
          <w:szCs w:val="21"/>
        </w:rPr>
        <w:t xml:space="preserve"> vs </w:t>
      </w:r>
      <w:proofErr w:type="spellStart"/>
      <w:r>
        <w:rPr>
          <w:rFonts w:ascii="Calibri" w:eastAsia="Calibri" w:hAnsi="Calibri" w:cs="Calibri"/>
          <w:color w:val="404040"/>
          <w:sz w:val="21"/>
          <w:szCs w:val="21"/>
        </w:rPr>
        <w:t>loan_status</w:t>
      </w:r>
      <w:proofErr w:type="spellEnd"/>
      <w:r>
        <w:rPr>
          <w:rFonts w:ascii="Calibri" w:eastAsia="Calibri" w:hAnsi="Calibri" w:cs="Calibri"/>
          <w:color w:val="404040"/>
          <w:sz w:val="21"/>
          <w:szCs w:val="21"/>
        </w:rPr>
        <w:t xml:space="preserve"> (r = −0.257): Higher-income borrowers are less likely to default, consistent with the ability-to-pay hypothesis tested formally in Phase 3 regression.</w:t>
      </w: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pStyle w:val="Heading1"/>
        <w:keepNext w:val="0"/>
        <w:keepLines w:val="0"/>
        <w:spacing w:before="320" w:line="240" w:lineRule="auto"/>
        <w:rPr>
          <w:rFonts w:ascii="Calibri" w:eastAsia="Calibri" w:hAnsi="Calibri" w:cs="Calibri"/>
          <w:b/>
          <w:bCs/>
          <w:color w:val="1F3864"/>
          <w:sz w:val="32"/>
          <w:szCs w:val="32"/>
        </w:rPr>
      </w:pPr>
      <w:r>
        <w:rPr>
          <w:rFonts w:ascii="Calibri" w:eastAsia="Calibri" w:hAnsi="Calibri" w:cs="Calibri"/>
          <w:b/>
          <w:bCs/>
          <w:color w:val="1F3864"/>
          <w:sz w:val="32"/>
          <w:szCs w:val="32"/>
        </w:rPr>
        <w:t>5.  Conclusion</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5.1  Summary</w:t>
      </w:r>
      <w:proofErr w:type="gramEnd"/>
      <w:r>
        <w:rPr>
          <w:rFonts w:ascii="Calibri" w:eastAsia="Calibri" w:hAnsi="Calibri" w:cs="Calibri"/>
          <w:b/>
          <w:bCs/>
          <w:color w:val="2E75B6"/>
          <w:sz w:val="26"/>
          <w:szCs w:val="26"/>
        </w:rPr>
        <w:t xml:space="preserve"> of Findings</w:t>
      </w:r>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This Phase 1 report has established a clean, well-</w:t>
      </w:r>
      <w:proofErr w:type="spellStart"/>
      <w:r>
        <w:rPr>
          <w:rFonts w:ascii="Calibri" w:eastAsia="Calibri" w:hAnsi="Calibri" w:cs="Calibri"/>
          <w:color w:val="404040"/>
        </w:rPr>
        <w:t>characterised</w:t>
      </w:r>
      <w:proofErr w:type="spellEnd"/>
      <w:r>
        <w:rPr>
          <w:rFonts w:ascii="Calibri" w:eastAsia="Calibri" w:hAnsi="Calibri" w:cs="Calibri"/>
          <w:color w:val="404040"/>
        </w:rPr>
        <w:t xml:space="preserve"> foundation for the credit risk modelling effort. The key findings are:</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Data quality issues were limited but meaningful: two columns required median imputation (895 and 3,116 missing values), 1,494 age outliers and 1,484 income outliers were removed, 156 duplicates were identified, and 1 physically impossible employment record was corrected. The total dataset reduction was 9.25% (32,581 → 29,567 rows).</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Income is </w:t>
      </w:r>
      <w:proofErr w:type="gramStart"/>
      <w:r>
        <w:rPr>
          <w:rFonts w:ascii="Calibri" w:eastAsia="Calibri" w:hAnsi="Calibri" w:cs="Calibri"/>
          <w:color w:val="404040"/>
          <w:sz w:val="21"/>
          <w:szCs w:val="21"/>
        </w:rPr>
        <w:t>right-skewed</w:t>
      </w:r>
      <w:proofErr w:type="gramEnd"/>
      <w:r>
        <w:rPr>
          <w:rFonts w:ascii="Calibri" w:eastAsia="Calibri" w:hAnsi="Calibri" w:cs="Calibri"/>
          <w:color w:val="404040"/>
          <w:sz w:val="21"/>
          <w:szCs w:val="21"/>
        </w:rPr>
        <w:t xml:space="preserve"> (skewness = 0.74). The log-transformation reduces skewness to −0.44, making the variable suitable for OLS regression. The Shapiro-Wilk test formally rejects normality for both raw and log-transformed income, but the CLT guarantees that parametric inference on sample means is valid for our sample size.</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The class imbalance of 77.56% non-default vs. 22.44% default is meaningful but not extreme. It will require class-weighted training or SMOTE resampling in classification phases.</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Two multicollinearity risks have been identified: </w:t>
      </w:r>
      <w:proofErr w:type="spellStart"/>
      <w:r>
        <w:rPr>
          <w:rFonts w:ascii="Calibri" w:eastAsia="Calibri" w:hAnsi="Calibri" w:cs="Calibri"/>
          <w:color w:val="404040"/>
          <w:sz w:val="21"/>
          <w:szCs w:val="21"/>
        </w:rPr>
        <w:t>person_age</w:t>
      </w:r>
      <w:proofErr w:type="spellEnd"/>
      <w:r>
        <w:rPr>
          <w:rFonts w:ascii="Calibri" w:eastAsia="Calibri" w:hAnsi="Calibri" w:cs="Calibri"/>
          <w:color w:val="404040"/>
          <w:sz w:val="21"/>
          <w:szCs w:val="21"/>
        </w:rPr>
        <w:t xml:space="preserve"> — </w:t>
      </w:r>
      <w:proofErr w:type="spellStart"/>
      <w:r>
        <w:rPr>
          <w:rFonts w:ascii="Calibri" w:eastAsia="Calibri" w:hAnsi="Calibri" w:cs="Calibri"/>
          <w:color w:val="404040"/>
          <w:sz w:val="21"/>
          <w:szCs w:val="21"/>
        </w:rPr>
        <w:t>cb_person_cred_hist_length</w:t>
      </w:r>
      <w:proofErr w:type="spellEnd"/>
      <w:r>
        <w:rPr>
          <w:rFonts w:ascii="Calibri" w:eastAsia="Calibri" w:hAnsi="Calibri" w:cs="Calibri"/>
          <w:color w:val="404040"/>
          <w:sz w:val="21"/>
          <w:szCs w:val="21"/>
        </w:rPr>
        <w:t xml:space="preserve"> (r = 0.836) and </w:t>
      </w:r>
      <w:proofErr w:type="spellStart"/>
      <w:r>
        <w:rPr>
          <w:rFonts w:ascii="Calibri" w:eastAsia="Calibri" w:hAnsi="Calibri" w:cs="Calibri"/>
          <w:color w:val="404040"/>
          <w:sz w:val="21"/>
          <w:szCs w:val="21"/>
        </w:rPr>
        <w:t>person_income</w:t>
      </w:r>
      <w:proofErr w:type="spellEnd"/>
      <w:r>
        <w:rPr>
          <w:rFonts w:ascii="Calibri" w:eastAsia="Calibri" w:hAnsi="Calibri" w:cs="Calibri"/>
          <w:color w:val="404040"/>
          <w:sz w:val="21"/>
          <w:szCs w:val="21"/>
        </w:rPr>
        <w:t xml:space="preserve"> — </w:t>
      </w:r>
      <w:proofErr w:type="spellStart"/>
      <w:r>
        <w:rPr>
          <w:rFonts w:ascii="Calibri" w:eastAsia="Calibri" w:hAnsi="Calibri" w:cs="Calibri"/>
          <w:color w:val="404040"/>
          <w:sz w:val="21"/>
          <w:szCs w:val="21"/>
        </w:rPr>
        <w:t>log_person_income</w:t>
      </w:r>
      <w:proofErr w:type="spellEnd"/>
      <w:r>
        <w:rPr>
          <w:rFonts w:ascii="Calibri" w:eastAsia="Calibri" w:hAnsi="Calibri" w:cs="Calibri"/>
          <w:color w:val="404040"/>
          <w:sz w:val="21"/>
          <w:szCs w:val="21"/>
        </w:rPr>
        <w:t xml:space="preserve"> (r = 0.953). Both will be formally assessed via VIF in Phase 3.</w:t>
      </w:r>
    </w:p>
    <w:p w:rsidR="00FE1DA8" w:rsidRDefault="00000000">
      <w:pPr>
        <w:numPr>
          <w:ilvl w:val="0"/>
          <w:numId w:val="1"/>
        </w:numPr>
        <w:spacing w:before="40" w:after="40" w:line="240" w:lineRule="auto"/>
        <w:rPr>
          <w:rFonts w:ascii="Calibri" w:eastAsia="Calibri" w:hAnsi="Calibri" w:cs="Calibri"/>
        </w:rPr>
      </w:pPr>
      <w:r>
        <w:rPr>
          <w:rFonts w:ascii="Calibri" w:eastAsia="Calibri" w:hAnsi="Calibri" w:cs="Calibri"/>
          <w:color w:val="404040"/>
          <w:sz w:val="21"/>
          <w:szCs w:val="21"/>
        </w:rPr>
        <w:t xml:space="preserve">The three most important predictors of </w:t>
      </w:r>
      <w:proofErr w:type="spellStart"/>
      <w:r>
        <w:rPr>
          <w:rFonts w:ascii="Calibri" w:eastAsia="Calibri" w:hAnsi="Calibri" w:cs="Calibri"/>
          <w:color w:val="404040"/>
          <w:sz w:val="21"/>
          <w:szCs w:val="21"/>
        </w:rPr>
        <w:t>loan_status</w:t>
      </w:r>
      <w:proofErr w:type="spellEnd"/>
      <w:r>
        <w:rPr>
          <w:rFonts w:ascii="Calibri" w:eastAsia="Calibri" w:hAnsi="Calibri" w:cs="Calibri"/>
          <w:color w:val="404040"/>
          <w:sz w:val="21"/>
          <w:szCs w:val="21"/>
        </w:rPr>
        <w:t xml:space="preserve"> identified at the correlation level are: </w:t>
      </w:r>
      <w:proofErr w:type="spellStart"/>
      <w:r>
        <w:rPr>
          <w:rFonts w:ascii="Calibri" w:eastAsia="Calibri" w:hAnsi="Calibri" w:cs="Calibri"/>
          <w:color w:val="404040"/>
          <w:sz w:val="21"/>
          <w:szCs w:val="21"/>
        </w:rPr>
        <w:t>loan_percent_income</w:t>
      </w:r>
      <w:proofErr w:type="spellEnd"/>
      <w:r>
        <w:rPr>
          <w:rFonts w:ascii="Calibri" w:eastAsia="Calibri" w:hAnsi="Calibri" w:cs="Calibri"/>
          <w:color w:val="404040"/>
          <w:sz w:val="21"/>
          <w:szCs w:val="21"/>
        </w:rPr>
        <w:t xml:space="preserve"> (r = 0.38), </w:t>
      </w:r>
      <w:proofErr w:type="spellStart"/>
      <w:r>
        <w:rPr>
          <w:rFonts w:ascii="Calibri" w:eastAsia="Calibri" w:hAnsi="Calibri" w:cs="Calibri"/>
          <w:color w:val="404040"/>
          <w:sz w:val="21"/>
          <w:szCs w:val="21"/>
        </w:rPr>
        <w:t>loan_int_rate</w:t>
      </w:r>
      <w:proofErr w:type="spellEnd"/>
      <w:r>
        <w:rPr>
          <w:rFonts w:ascii="Calibri" w:eastAsia="Calibri" w:hAnsi="Calibri" w:cs="Calibri"/>
          <w:color w:val="404040"/>
          <w:sz w:val="21"/>
          <w:szCs w:val="21"/>
        </w:rPr>
        <w:t xml:space="preserve"> (r = 0.32), and </w:t>
      </w:r>
      <w:proofErr w:type="spellStart"/>
      <w:r>
        <w:rPr>
          <w:rFonts w:ascii="Calibri" w:eastAsia="Calibri" w:hAnsi="Calibri" w:cs="Calibri"/>
          <w:color w:val="404040"/>
          <w:sz w:val="21"/>
          <w:szCs w:val="21"/>
        </w:rPr>
        <w:t>log_person_income</w:t>
      </w:r>
      <w:proofErr w:type="spellEnd"/>
      <w:r>
        <w:rPr>
          <w:rFonts w:ascii="Calibri" w:eastAsia="Calibri" w:hAnsi="Calibri" w:cs="Calibri"/>
          <w:color w:val="404040"/>
          <w:sz w:val="21"/>
          <w:szCs w:val="21"/>
        </w:rPr>
        <w:t xml:space="preserve"> (r = −0.30).</w:t>
      </w:r>
    </w:p>
    <w:p w:rsidR="00FE1DA8" w:rsidRDefault="00000000">
      <w:pPr>
        <w:pStyle w:val="Heading2"/>
        <w:keepNext w:val="0"/>
        <w:keepLines w:val="0"/>
        <w:spacing w:before="240" w:after="80" w:line="240" w:lineRule="auto"/>
        <w:rPr>
          <w:rFonts w:ascii="Calibri" w:eastAsia="Calibri" w:hAnsi="Calibri" w:cs="Calibri"/>
          <w:b/>
          <w:bCs/>
          <w:color w:val="2E75B6"/>
          <w:sz w:val="26"/>
          <w:szCs w:val="26"/>
        </w:rPr>
      </w:pPr>
      <w:proofErr w:type="gramStart"/>
      <w:r>
        <w:rPr>
          <w:rFonts w:ascii="Calibri" w:eastAsia="Calibri" w:hAnsi="Calibri" w:cs="Calibri"/>
          <w:b/>
          <w:bCs/>
          <w:color w:val="2E75B6"/>
          <w:sz w:val="26"/>
          <w:szCs w:val="26"/>
        </w:rPr>
        <w:t>5.2  Limitations</w:t>
      </w:r>
      <w:proofErr w:type="gramEnd"/>
    </w:p>
    <w:p w:rsidR="00FE1DA8" w:rsidRDefault="00000000">
      <w:pPr>
        <w:spacing w:before="80" w:after="80" w:line="240" w:lineRule="auto"/>
        <w:jc w:val="both"/>
        <w:rPr>
          <w:rFonts w:ascii="Calibri" w:eastAsia="Calibri" w:hAnsi="Calibri" w:cs="Calibri"/>
        </w:rPr>
      </w:pPr>
      <w:r>
        <w:rPr>
          <w:rFonts w:ascii="Calibri" w:eastAsia="Calibri" w:hAnsi="Calibri" w:cs="Calibri"/>
          <w:color w:val="404040"/>
        </w:rPr>
        <w:t>Several limitations of this phase deserve acknowledgement. First, the dataset is observational — all recorded defaults reflect historical lending decisions that may themselves reflect historical biases in lending practice. Second, the IQR-based outlier filter necessarily removes some legitimate observations (e.g., very high-income borrowers or older borrowers) along with data entry errors. Third, the Pearson correlation analysis captures only linear relationships; non-linear dependencies between features and the default target may exist and will only be revealed by the models fitted in subsequent phases.</w:t>
      </w:r>
    </w:p>
    <w:p w:rsidR="00FE1DA8" w:rsidRDefault="00FE1DA8">
      <w:pPr>
        <w:spacing w:before="200" w:after="200" w:line="240" w:lineRule="auto"/>
        <w:rPr>
          <w:rFonts w:ascii="Calibri" w:eastAsia="Calibri" w:hAnsi="Calibri" w:cs="Calibri"/>
        </w:rPr>
      </w:pPr>
    </w:p>
    <w:p w:rsidR="00FE1DA8" w:rsidRDefault="00FE1DA8">
      <w:pPr>
        <w:pBdr>
          <w:bottom w:val="single" w:sz="6" w:space="0" w:color="2E75B6"/>
        </w:pBdr>
        <w:spacing w:before="200" w:after="200" w:line="240" w:lineRule="auto"/>
        <w:rPr>
          <w:rFonts w:ascii="Calibri" w:eastAsia="Calibri" w:hAnsi="Calibri" w:cs="Calibri"/>
        </w:rPr>
      </w:pPr>
    </w:p>
    <w:p w:rsidR="00FE1DA8" w:rsidRDefault="00000000">
      <w:pPr>
        <w:spacing w:before="120" w:after="40" w:line="240" w:lineRule="auto"/>
        <w:jc w:val="center"/>
        <w:rPr>
          <w:rFonts w:ascii="Calibri" w:eastAsia="Calibri" w:hAnsi="Calibri" w:cs="Calibri"/>
        </w:rPr>
      </w:pPr>
      <w:r>
        <w:rPr>
          <w:rFonts w:ascii="Calibri" w:eastAsia="Calibri" w:hAnsi="Calibri" w:cs="Calibri"/>
          <w:color w:val="888888"/>
          <w:sz w:val="19"/>
          <w:szCs w:val="19"/>
        </w:rPr>
        <w:t>End of Phase 1 Report — Data Preparation &amp; Exploratory Data Analysis</w:t>
      </w:r>
    </w:p>
    <w:p w:rsidR="00FE1DA8" w:rsidRDefault="00000000">
      <w:pPr>
        <w:spacing w:before="40" w:after="40" w:line="240" w:lineRule="auto"/>
        <w:jc w:val="center"/>
        <w:rPr>
          <w:rFonts w:ascii="Calibri" w:eastAsia="Calibri" w:hAnsi="Calibri" w:cs="Calibri"/>
        </w:rPr>
      </w:pPr>
      <w:proofErr w:type="spellStart"/>
      <w:r>
        <w:rPr>
          <w:rFonts w:ascii="Calibri" w:eastAsia="Calibri" w:hAnsi="Calibri" w:cs="Calibri"/>
          <w:color w:val="888888"/>
          <w:sz w:val="19"/>
          <w:szCs w:val="19"/>
        </w:rPr>
        <w:t>Diaesh</w:t>
      </w:r>
      <w:proofErr w:type="spellEnd"/>
      <w:r>
        <w:rPr>
          <w:rFonts w:ascii="Calibri" w:eastAsia="Calibri" w:hAnsi="Calibri" w:cs="Calibri"/>
          <w:color w:val="888888"/>
          <w:sz w:val="19"/>
          <w:szCs w:val="19"/>
        </w:rPr>
        <w:t xml:space="preserve"> </w:t>
      </w:r>
      <w:proofErr w:type="gramStart"/>
      <w:r>
        <w:rPr>
          <w:rFonts w:ascii="Calibri" w:eastAsia="Calibri" w:hAnsi="Calibri" w:cs="Calibri"/>
          <w:color w:val="888888"/>
          <w:sz w:val="19"/>
          <w:szCs w:val="19"/>
        </w:rPr>
        <w:t>Antony  |</w:t>
      </w:r>
      <w:proofErr w:type="gramEnd"/>
      <w:r>
        <w:rPr>
          <w:rFonts w:ascii="Calibri" w:eastAsia="Calibri" w:hAnsi="Calibri" w:cs="Calibri"/>
          <w:color w:val="888888"/>
          <w:sz w:val="19"/>
          <w:szCs w:val="19"/>
        </w:rPr>
        <w:t xml:space="preserve">  AAI 500  |  University of San Diego  |  June 2026</w:t>
      </w:r>
    </w:p>
    <w:p w:rsidR="00FE1DA8" w:rsidRDefault="00FE1DA8">
      <w:pPr>
        <w:ind w:left="-720"/>
        <w:rPr>
          <w:b/>
          <w:bCs/>
          <w:sz w:val="28"/>
          <w:szCs w:val="28"/>
        </w:rPr>
      </w:pPr>
    </w:p>
    <w:sectPr w:rsidR="00FE1DA8">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515DD" w:rsidRDefault="00C515DD" w:rsidP="005A5433">
      <w:pPr>
        <w:spacing w:line="240" w:lineRule="auto"/>
      </w:pPr>
      <w:r>
        <w:separator/>
      </w:r>
    </w:p>
  </w:endnote>
  <w:endnote w:type="continuationSeparator" w:id="0">
    <w:p w:rsidR="00C515DD" w:rsidRDefault="00C515DD" w:rsidP="005A54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FB9B5F1-1C5D-46F9-8C15-8322EEFA0BCD}"/>
    <w:embedBold r:id="rId2" w:fontKey="{55E1B801-3B36-45DE-81EE-68A86681C896}"/>
    <w:embedItalic r:id="rId3" w:fontKey="{DB34148C-D1A5-45D8-8A89-FE6CEE5A5614}"/>
  </w:font>
  <w:font w:name="Cambria">
    <w:panose1 w:val="02040503050406030204"/>
    <w:charset w:val="00"/>
    <w:family w:val="roman"/>
    <w:pitch w:val="variable"/>
    <w:sig w:usb0="E00006FF" w:usb1="420024FF" w:usb2="02000000" w:usb3="00000000" w:csb0="0000019F" w:csb1="00000000"/>
    <w:embedRegular r:id="rId4" w:fontKey="{845D1D31-B578-4603-A01A-BE39C00C54F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515DD" w:rsidRDefault="00C515DD" w:rsidP="005A5433">
      <w:pPr>
        <w:spacing w:line="240" w:lineRule="auto"/>
      </w:pPr>
      <w:r>
        <w:separator/>
      </w:r>
    </w:p>
  </w:footnote>
  <w:footnote w:type="continuationSeparator" w:id="0">
    <w:p w:rsidR="00C515DD" w:rsidRDefault="00C515DD" w:rsidP="005A543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A5433" w:rsidRDefault="005A54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8B6961"/>
    <w:multiLevelType w:val="multilevel"/>
    <w:tmpl w:val="0194C1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16cid:durableId="849759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1DA8"/>
    <w:rsid w:val="00334F55"/>
    <w:rsid w:val="005A5433"/>
    <w:rsid w:val="00C515DD"/>
    <w:rsid w:val="00FE1D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0D84A6E-30C9-4828-84E0-C3F031037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4A86E8"/>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A86E8"/>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5A5433"/>
    <w:pPr>
      <w:tabs>
        <w:tab w:val="center" w:pos="4513"/>
        <w:tab w:val="right" w:pos="9026"/>
      </w:tabs>
      <w:spacing w:line="240" w:lineRule="auto"/>
    </w:pPr>
  </w:style>
  <w:style w:type="character" w:customStyle="1" w:styleId="HeaderChar">
    <w:name w:val="Header Char"/>
    <w:basedOn w:val="DefaultParagraphFont"/>
    <w:link w:val="Header"/>
    <w:uiPriority w:val="99"/>
    <w:rsid w:val="005A5433"/>
  </w:style>
  <w:style w:type="paragraph" w:styleId="Footer">
    <w:name w:val="footer"/>
    <w:basedOn w:val="Normal"/>
    <w:link w:val="FooterChar"/>
    <w:uiPriority w:val="99"/>
    <w:unhideWhenUsed/>
    <w:rsid w:val="005A5433"/>
    <w:pPr>
      <w:tabs>
        <w:tab w:val="center" w:pos="4513"/>
        <w:tab w:val="right" w:pos="9026"/>
      </w:tabs>
      <w:spacing w:line="240" w:lineRule="auto"/>
    </w:pPr>
  </w:style>
  <w:style w:type="character" w:customStyle="1" w:styleId="FooterChar">
    <w:name w:val="Footer Char"/>
    <w:basedOn w:val="DefaultParagraphFont"/>
    <w:link w:val="Footer"/>
    <w:uiPriority w:val="99"/>
    <w:rsid w:val="005A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12</Pages>
  <Words>3463</Words>
  <Characters>19742</Characters>
  <Application>Microsoft Office Word</Application>
  <DocSecurity>0</DocSecurity>
  <Lines>164</Lines>
  <Paragraphs>46</Paragraphs>
  <ScaleCrop>false</ScaleCrop>
  <Company>Oracle</Company>
  <LinksUpToDate>false</LinksUpToDate>
  <CharactersWithSpaces>23159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 L N Sai Krishna Akula</cp:lastModifiedBy>
  <cp:revision>3</cp:revision>
  <dcterms:created xsi:type="dcterms:W3CDTF">2026-06-15T16:33:00Z</dcterms:created>
  <dcterms:modified xsi:type="dcterms:W3CDTF">2026-06-15T16:34:00Z</dcterms:modified>
</cp:coreProperties>
</file>