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ADC" w:rsidRPr="00A32575" w:rsidRDefault="007F4ADC" w:rsidP="004A7279">
      <w:pPr>
        <w:pStyle w:val="Encabezado"/>
        <w:tabs>
          <w:tab w:val="left" w:pos="9000"/>
          <w:tab w:val="right" w:leader="underscore" w:pos="10530"/>
        </w:tabs>
        <w:jc w:val="center"/>
        <w:rPr>
          <w:rFonts w:ascii="Arial" w:hAnsi="Arial" w:cs="Arial"/>
          <w:b/>
          <w:sz w:val="24"/>
          <w:szCs w:val="24"/>
        </w:rPr>
      </w:pPr>
      <w:r w:rsidRPr="00A32575">
        <w:rPr>
          <w:rFonts w:ascii="Arial" w:eastAsia="Times New Roman" w:hAnsi="Arial" w:cs="Arial"/>
          <w:b/>
          <w:sz w:val="24"/>
          <w:szCs w:val="24"/>
          <w:lang w:val="es-ES_tradnl" w:eastAsia="es-ES"/>
        </w:rPr>
        <w:t>M</w:t>
      </w:r>
      <w:r w:rsidRPr="00A32575">
        <w:rPr>
          <w:rFonts w:ascii="Arial" w:hAnsi="Arial" w:cs="Arial"/>
          <w:b/>
          <w:sz w:val="24"/>
          <w:szCs w:val="24"/>
        </w:rPr>
        <w:t>INISTERIO DE COMERCIO, INDUSTRIA Y TURISMO</w:t>
      </w:r>
    </w:p>
    <w:p w:rsidR="007F4ADC" w:rsidRPr="00A32575" w:rsidRDefault="007F4ADC" w:rsidP="004A7279">
      <w:pPr>
        <w:pStyle w:val="Encabezado"/>
        <w:jc w:val="center"/>
        <w:rPr>
          <w:rFonts w:ascii="Arial" w:hAnsi="Arial" w:cs="Arial"/>
          <w:b/>
          <w:sz w:val="24"/>
          <w:szCs w:val="24"/>
        </w:rPr>
      </w:pPr>
      <w:r w:rsidRPr="00A32575">
        <w:rPr>
          <w:rFonts w:ascii="Arial" w:hAnsi="Arial" w:cs="Arial"/>
          <w:b/>
          <w:sz w:val="24"/>
          <w:szCs w:val="24"/>
        </w:rPr>
        <w:t>SUPERINTENDENCIA DE INDUSTRIA Y COMERCIO</w:t>
      </w:r>
    </w:p>
    <w:p w:rsidR="007F4ADC" w:rsidRPr="00A32575" w:rsidRDefault="007F4ADC" w:rsidP="004A7279">
      <w:pPr>
        <w:pStyle w:val="Encabezado"/>
        <w:tabs>
          <w:tab w:val="clear" w:pos="4419"/>
          <w:tab w:val="clear" w:pos="8838"/>
        </w:tabs>
        <w:spacing w:before="40" w:after="40"/>
        <w:jc w:val="center"/>
        <w:rPr>
          <w:rFonts w:ascii="Arial" w:hAnsi="Arial" w:cs="Arial"/>
          <w:sz w:val="24"/>
          <w:szCs w:val="24"/>
        </w:rPr>
      </w:pPr>
    </w:p>
    <w:p w:rsidR="007F4ADC" w:rsidRPr="00A32575" w:rsidRDefault="007F4ADC" w:rsidP="004A7279">
      <w:pPr>
        <w:pStyle w:val="Encabezado"/>
        <w:jc w:val="center"/>
        <w:rPr>
          <w:rFonts w:ascii="Arial" w:hAnsi="Arial" w:cs="Arial"/>
          <w:sz w:val="24"/>
          <w:szCs w:val="24"/>
        </w:rPr>
      </w:pPr>
      <w:proofErr w:type="gramStart"/>
      <w:r w:rsidRPr="00A32575">
        <w:rPr>
          <w:rFonts w:ascii="Arial" w:hAnsi="Arial" w:cs="Arial"/>
          <w:sz w:val="24"/>
          <w:szCs w:val="24"/>
        </w:rPr>
        <w:t>RESOLUCIÓN  NÚMERO</w:t>
      </w:r>
      <w:proofErr w:type="gramEnd"/>
      <w:r w:rsidRPr="00A32575">
        <w:rPr>
          <w:rFonts w:ascii="Arial" w:hAnsi="Arial" w:cs="Arial"/>
          <w:sz w:val="24"/>
          <w:szCs w:val="24"/>
        </w:rPr>
        <w:t xml:space="preserve"> ${numero}     DE ${</w:t>
      </w:r>
      <w:proofErr w:type="spellStart"/>
      <w:r w:rsidRPr="00A32575">
        <w:rPr>
          <w:rFonts w:ascii="Arial" w:hAnsi="Arial" w:cs="Arial"/>
          <w:sz w:val="24"/>
          <w:szCs w:val="24"/>
        </w:rPr>
        <w:t>year</w:t>
      </w:r>
      <w:proofErr w:type="spellEnd"/>
      <w:r w:rsidRPr="00A32575">
        <w:rPr>
          <w:rFonts w:ascii="Arial" w:hAnsi="Arial" w:cs="Arial"/>
          <w:sz w:val="24"/>
          <w:szCs w:val="24"/>
        </w:rPr>
        <w:t>}</w:t>
      </w:r>
    </w:p>
    <w:p w:rsidR="007F4ADC" w:rsidRPr="00A32575" w:rsidRDefault="007F4ADC" w:rsidP="004A7279">
      <w:pPr>
        <w:pStyle w:val="Encabezado"/>
        <w:tabs>
          <w:tab w:val="clear" w:pos="4419"/>
          <w:tab w:val="clear" w:pos="8838"/>
        </w:tabs>
        <w:spacing w:before="40" w:after="40"/>
        <w:jc w:val="center"/>
        <w:rPr>
          <w:rFonts w:ascii="Arial" w:hAnsi="Arial" w:cs="Arial"/>
          <w:sz w:val="24"/>
          <w:szCs w:val="24"/>
        </w:rPr>
      </w:pPr>
    </w:p>
    <w:p w:rsidR="007F4ADC" w:rsidRPr="00A32575" w:rsidRDefault="007F4ADC" w:rsidP="004A7279">
      <w:pPr>
        <w:pStyle w:val="Encabezado"/>
        <w:tabs>
          <w:tab w:val="center" w:pos="5220"/>
        </w:tabs>
        <w:ind w:right="360"/>
        <w:jc w:val="center"/>
        <w:rPr>
          <w:rFonts w:ascii="Arial" w:hAnsi="Arial" w:cs="Arial"/>
          <w:sz w:val="24"/>
          <w:szCs w:val="24"/>
        </w:rPr>
      </w:pPr>
      <w:r w:rsidRPr="00A32575">
        <w:rPr>
          <w:rFonts w:ascii="Arial" w:hAnsi="Arial" w:cs="Arial"/>
          <w:sz w:val="24"/>
          <w:szCs w:val="24"/>
        </w:rPr>
        <w:t>${cabecera}</w:t>
      </w:r>
    </w:p>
    <w:p w:rsidR="002F4465" w:rsidRPr="00A32575" w:rsidRDefault="002F4465" w:rsidP="004A7279">
      <w:pPr>
        <w:widowControl w:val="0"/>
        <w:tabs>
          <w:tab w:val="left" w:pos="3330"/>
        </w:tabs>
        <w:suppressAutoHyphens/>
        <w:spacing w:after="0" w:line="240" w:lineRule="auto"/>
        <w:jc w:val="both"/>
        <w:rPr>
          <w:rFonts w:ascii="Arial" w:eastAsia="Times New Roman" w:hAnsi="Arial" w:cs="Arial"/>
          <w:b/>
          <w:sz w:val="24"/>
          <w:szCs w:val="24"/>
          <w:lang w:val="es-ES_tradnl" w:eastAsia="es-ES"/>
        </w:rPr>
      </w:pPr>
    </w:p>
    <w:p w:rsidR="002F4465" w:rsidRPr="00A32575" w:rsidRDefault="002F4465" w:rsidP="004A7279">
      <w:pPr>
        <w:spacing w:after="0" w:line="240" w:lineRule="auto"/>
        <w:ind w:left="113" w:right="113"/>
        <w:rPr>
          <w:rFonts w:ascii="Arial" w:hAnsi="Arial" w:cs="Arial"/>
          <w:b/>
          <w:sz w:val="24"/>
          <w:szCs w:val="24"/>
        </w:rPr>
      </w:pPr>
      <w:r w:rsidRPr="00A32575">
        <w:rPr>
          <w:rFonts w:ascii="Arial" w:hAnsi="Arial" w:cs="Arial"/>
          <w:b/>
          <w:sz w:val="24"/>
          <w:szCs w:val="24"/>
        </w:rPr>
        <w:t>Radicación: ${expediente}</w:t>
      </w:r>
    </w:p>
    <w:p w:rsidR="002F4465" w:rsidRPr="00A32575" w:rsidRDefault="002F4465" w:rsidP="004A7279">
      <w:pPr>
        <w:widowControl w:val="0"/>
        <w:suppressAutoHyphens/>
        <w:spacing w:after="0" w:line="240" w:lineRule="auto"/>
        <w:jc w:val="center"/>
        <w:rPr>
          <w:rFonts w:ascii="Arial" w:eastAsia="Times New Roman" w:hAnsi="Arial" w:cs="Arial"/>
          <w:sz w:val="24"/>
          <w:szCs w:val="24"/>
          <w:lang w:val="es-ES_tradnl" w:eastAsia="es-ES"/>
        </w:rPr>
      </w:pPr>
    </w:p>
    <w:p w:rsidR="002F4465" w:rsidRPr="00A32575" w:rsidRDefault="002F4465" w:rsidP="004A7279">
      <w:pPr>
        <w:spacing w:after="0" w:line="240" w:lineRule="auto"/>
        <w:ind w:left="113" w:right="113"/>
        <w:jc w:val="center"/>
        <w:rPr>
          <w:rFonts w:ascii="Arial" w:hAnsi="Arial" w:cs="Arial"/>
          <w:b/>
          <w:bCs/>
        </w:rPr>
      </w:pPr>
      <w:r w:rsidRPr="00A32575">
        <w:rPr>
          <w:rFonts w:ascii="Arial" w:hAnsi="Arial" w:cs="Arial"/>
          <w:b/>
          <w:bCs/>
        </w:rPr>
        <w:t>${cargo}</w:t>
      </w:r>
    </w:p>
    <w:p w:rsidR="002F4465" w:rsidRPr="00A32575" w:rsidRDefault="002F4465" w:rsidP="004A7279">
      <w:pPr>
        <w:widowControl w:val="0"/>
        <w:spacing w:after="0" w:line="240" w:lineRule="auto"/>
        <w:ind w:left="113" w:right="113"/>
        <w:jc w:val="center"/>
        <w:rPr>
          <w:rFonts w:ascii="Arial" w:hAnsi="Arial" w:cs="Arial"/>
          <w:bCs/>
          <w:sz w:val="24"/>
          <w:szCs w:val="24"/>
          <w:lang w:val="es-ES"/>
        </w:rPr>
      </w:pPr>
    </w:p>
    <w:p w:rsidR="002F4465" w:rsidRPr="00A32575" w:rsidRDefault="002F4465" w:rsidP="004A7279">
      <w:pPr>
        <w:widowControl w:val="0"/>
        <w:spacing w:after="0" w:line="240" w:lineRule="auto"/>
        <w:ind w:left="113" w:right="113"/>
        <w:jc w:val="center"/>
        <w:rPr>
          <w:rFonts w:ascii="Arial" w:hAnsi="Arial" w:cs="Arial"/>
          <w:sz w:val="24"/>
          <w:szCs w:val="24"/>
        </w:rPr>
      </w:pPr>
      <w:r w:rsidRPr="00A32575">
        <w:rPr>
          <w:rFonts w:ascii="Arial" w:hAnsi="Arial" w:cs="Arial"/>
          <w:sz w:val="24"/>
          <w:szCs w:val="24"/>
        </w:rPr>
        <w:t xml:space="preserve">En ejercicio de sus facultades legales y reglamentarias, en especial las conferidas por la Ley 1341 de 2009, </w:t>
      </w:r>
      <w:r w:rsidR="005F2D3D">
        <w:rPr>
          <w:rFonts w:ascii="Arial" w:hAnsi="Arial" w:cs="Arial"/>
          <w:sz w:val="24"/>
          <w:szCs w:val="24"/>
        </w:rPr>
        <w:t xml:space="preserve">modificada por la Ley 1978 de 2019, </w:t>
      </w:r>
      <w:r w:rsidRPr="00A32575">
        <w:rPr>
          <w:rFonts w:ascii="Arial" w:hAnsi="Arial" w:cs="Arial"/>
          <w:sz w:val="24"/>
          <w:szCs w:val="24"/>
        </w:rPr>
        <w:t>el artículo 13 del Decreto 4886 de 2011, y</w:t>
      </w:r>
    </w:p>
    <w:p w:rsidR="002F4465" w:rsidRPr="00A32575" w:rsidRDefault="002F4465" w:rsidP="004A7279">
      <w:pPr>
        <w:widowControl w:val="0"/>
        <w:spacing w:after="0" w:line="240" w:lineRule="auto"/>
        <w:ind w:left="113" w:right="113"/>
        <w:jc w:val="center"/>
        <w:rPr>
          <w:rFonts w:ascii="Arial" w:hAnsi="Arial" w:cs="Arial"/>
          <w:sz w:val="24"/>
          <w:szCs w:val="24"/>
        </w:rPr>
      </w:pPr>
    </w:p>
    <w:p w:rsidR="002F4465" w:rsidRPr="00A32575" w:rsidRDefault="002F4465" w:rsidP="004A7279">
      <w:pPr>
        <w:widowControl w:val="0"/>
        <w:spacing w:after="0" w:line="240" w:lineRule="auto"/>
        <w:ind w:left="113" w:right="113"/>
        <w:jc w:val="center"/>
        <w:rPr>
          <w:rFonts w:ascii="Arial" w:hAnsi="Arial" w:cs="Arial"/>
          <w:b/>
          <w:sz w:val="24"/>
          <w:szCs w:val="24"/>
        </w:rPr>
      </w:pPr>
      <w:r w:rsidRPr="00A32575">
        <w:rPr>
          <w:rFonts w:ascii="Arial" w:hAnsi="Arial" w:cs="Arial"/>
          <w:b/>
          <w:sz w:val="24"/>
          <w:szCs w:val="24"/>
        </w:rPr>
        <w:t>CONSIDERANDO</w:t>
      </w:r>
    </w:p>
    <w:p w:rsidR="002F4465" w:rsidRPr="00A32575" w:rsidRDefault="002F4465" w:rsidP="004A7279">
      <w:pPr>
        <w:widowControl w:val="0"/>
        <w:spacing w:after="0" w:line="240" w:lineRule="auto"/>
        <w:ind w:left="113" w:right="113"/>
        <w:jc w:val="center"/>
        <w:rPr>
          <w:rFonts w:ascii="Arial" w:hAnsi="Arial" w:cs="Arial"/>
          <w:sz w:val="24"/>
          <w:szCs w:val="24"/>
        </w:rPr>
      </w:pPr>
    </w:p>
    <w:p w:rsidR="002F4465" w:rsidRPr="00A32575" w:rsidRDefault="002F4465" w:rsidP="004A7279">
      <w:pPr>
        <w:pStyle w:val="Sinespaciado"/>
        <w:ind w:left="113" w:right="113"/>
        <w:jc w:val="both"/>
        <w:rPr>
          <w:rFonts w:ascii="Arial" w:hAnsi="Arial" w:cs="Arial"/>
          <w:sz w:val="24"/>
          <w:szCs w:val="24"/>
        </w:rPr>
      </w:pPr>
      <w:r w:rsidRPr="00A32575">
        <w:rPr>
          <w:rFonts w:ascii="Arial" w:hAnsi="Arial" w:cs="Arial"/>
          <w:b/>
          <w:bCs/>
          <w:sz w:val="24"/>
          <w:szCs w:val="24"/>
        </w:rPr>
        <w:t xml:space="preserve">PRIMERO: </w:t>
      </w:r>
      <w:proofErr w:type="gramStart"/>
      <w:r w:rsidRPr="00A32575">
        <w:rPr>
          <w:rFonts w:ascii="Arial" w:hAnsi="Arial" w:cs="Arial"/>
          <w:sz w:val="24"/>
          <w:szCs w:val="24"/>
        </w:rPr>
        <w:t>Que</w:t>
      </w:r>
      <w:proofErr w:type="gramEnd"/>
      <w:r w:rsidRPr="00A32575">
        <w:rPr>
          <w:rFonts w:ascii="Arial" w:hAnsi="Arial" w:cs="Arial"/>
          <w:sz w:val="24"/>
          <w:szCs w:val="24"/>
        </w:rPr>
        <w:t xml:space="preserve"> con ocasión del trámite en sede de empresa, se dio traslado del expediente identificado con el número de la referencia para que fuera decidido el recurso de apelación, en el cual se identifican como:</w:t>
      </w:r>
    </w:p>
    <w:p w:rsidR="002F4465" w:rsidRPr="00A32575" w:rsidRDefault="002F4465" w:rsidP="004A7279">
      <w:pPr>
        <w:pStyle w:val="Sinespaciado"/>
        <w:rPr>
          <w:rFonts w:ascii="Arial" w:hAnsi="Arial" w:cs="Arial"/>
          <w:sz w:val="24"/>
          <w:szCs w:val="24"/>
        </w:rPr>
      </w:pPr>
    </w:p>
    <w:p w:rsidR="002F4465" w:rsidRPr="00A32575" w:rsidRDefault="002F4465" w:rsidP="004A7279">
      <w:pPr>
        <w:pStyle w:val="Textoindependiente2"/>
        <w:spacing w:before="0" w:after="0"/>
        <w:rPr>
          <w:rFonts w:ascii="Arial" w:hAnsi="Arial" w:cs="Arial"/>
          <w:color w:val="auto"/>
          <w:lang w:val="es-CO"/>
        </w:rPr>
      </w:pPr>
    </w:p>
    <w:p w:rsidR="002F4465" w:rsidRPr="00A32575" w:rsidRDefault="002F4465" w:rsidP="004A7279">
      <w:pPr>
        <w:pStyle w:val="Textoindependiente2"/>
        <w:spacing w:before="0" w:after="0"/>
        <w:ind w:right="850"/>
        <w:rPr>
          <w:rFonts w:ascii="Arial" w:hAnsi="Arial" w:cs="Arial"/>
          <w:color w:val="auto"/>
          <w:lang w:val="es-CO"/>
        </w:rPr>
      </w:pPr>
      <w:r w:rsidRPr="00A32575">
        <w:rPr>
          <w:rFonts w:ascii="Arial" w:hAnsi="Arial" w:cs="Arial"/>
          <w:b/>
          <w:bCs/>
          <w:color w:val="auto"/>
          <w:lang w:val="es-CO"/>
        </w:rPr>
        <w:t xml:space="preserve">         Usuario(a):</w:t>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Cs/>
          <w:color w:val="auto"/>
          <w:lang w:val="es-CO"/>
        </w:rPr>
        <w:t>${</w:t>
      </w:r>
      <w:proofErr w:type="spellStart"/>
      <w:r w:rsidRPr="00A32575">
        <w:rPr>
          <w:rFonts w:ascii="Arial" w:hAnsi="Arial" w:cs="Arial"/>
          <w:bCs/>
          <w:color w:val="auto"/>
          <w:lang w:val="es-CO"/>
        </w:rPr>
        <w:t>quejosonombre</w:t>
      </w:r>
      <w:proofErr w:type="spellEnd"/>
      <w:r w:rsidRPr="00A32575">
        <w:rPr>
          <w:rFonts w:ascii="Arial" w:hAnsi="Arial" w:cs="Arial"/>
          <w:bCs/>
          <w:color w:val="auto"/>
          <w:lang w:val="es-CO"/>
        </w:rPr>
        <w:t>}</w:t>
      </w:r>
    </w:p>
    <w:p w:rsidR="002F4465" w:rsidRPr="00A32575" w:rsidRDefault="002F4465" w:rsidP="004A7279">
      <w:pPr>
        <w:pStyle w:val="Textoindependiente2"/>
        <w:spacing w:before="0" w:after="0"/>
        <w:ind w:right="850"/>
        <w:rPr>
          <w:rFonts w:ascii="Arial" w:hAnsi="Arial" w:cs="Arial"/>
          <w:color w:val="auto"/>
          <w:lang w:val="es-CO"/>
        </w:rPr>
      </w:pPr>
      <w:r w:rsidRPr="00A32575">
        <w:rPr>
          <w:rFonts w:ascii="Arial" w:hAnsi="Arial" w:cs="Arial"/>
          <w:color w:val="auto"/>
          <w:lang w:val="es-CO"/>
        </w:rPr>
        <w:t xml:space="preserve"> </w:t>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t>${</w:t>
      </w:r>
      <w:proofErr w:type="spellStart"/>
      <w:r w:rsidRPr="00A32575">
        <w:rPr>
          <w:rFonts w:ascii="Arial" w:hAnsi="Arial" w:cs="Arial"/>
          <w:color w:val="auto"/>
          <w:lang w:val="es-CO"/>
        </w:rPr>
        <w:t>quejosoidentificacion</w:t>
      </w:r>
      <w:proofErr w:type="spellEnd"/>
      <w:r w:rsidRPr="00A32575">
        <w:rPr>
          <w:rFonts w:ascii="Arial" w:hAnsi="Arial" w:cs="Arial"/>
          <w:color w:val="auto"/>
          <w:lang w:val="es-CO"/>
        </w:rPr>
        <w:t>}</w:t>
      </w:r>
    </w:p>
    <w:p w:rsidR="002F4465" w:rsidRPr="00A32575" w:rsidRDefault="002F4465" w:rsidP="004A7279">
      <w:pPr>
        <w:pStyle w:val="Textoindependiente2"/>
        <w:spacing w:before="0" w:after="0"/>
        <w:ind w:left="850" w:right="850"/>
        <w:rPr>
          <w:rFonts w:ascii="Arial" w:hAnsi="Arial" w:cs="Arial"/>
          <w:color w:val="auto"/>
          <w:lang w:val="es-CO"/>
        </w:rPr>
      </w:pP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p>
    <w:p w:rsidR="002F4465" w:rsidRPr="00A32575" w:rsidRDefault="002F4465" w:rsidP="004A7279">
      <w:pPr>
        <w:pStyle w:val="Sinespaciado"/>
        <w:ind w:right="850"/>
        <w:rPr>
          <w:rFonts w:ascii="Arial" w:eastAsia="Calibri" w:hAnsi="Arial" w:cs="Arial"/>
          <w:sz w:val="24"/>
          <w:szCs w:val="24"/>
          <w:lang w:val="es-ES" w:bidi="en-US"/>
        </w:rPr>
      </w:pPr>
      <w:r w:rsidRPr="00A32575">
        <w:rPr>
          <w:rFonts w:ascii="Arial" w:hAnsi="Arial" w:cs="Arial"/>
          <w:b/>
          <w:bCs/>
          <w:sz w:val="24"/>
          <w:szCs w:val="24"/>
        </w:rPr>
        <w:t xml:space="preserve">         Operador:</w:t>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sz w:val="24"/>
          <w:szCs w:val="24"/>
        </w:rPr>
        <w:t>${</w:t>
      </w:r>
      <w:proofErr w:type="spellStart"/>
      <w:r w:rsidRPr="00A32575">
        <w:rPr>
          <w:rFonts w:ascii="Arial" w:hAnsi="Arial" w:cs="Arial"/>
          <w:sz w:val="24"/>
          <w:szCs w:val="24"/>
        </w:rPr>
        <w:t>notificadosnombre</w:t>
      </w:r>
      <w:proofErr w:type="spellEnd"/>
      <w:r w:rsidRPr="00A32575">
        <w:rPr>
          <w:rFonts w:ascii="Arial" w:hAnsi="Arial" w:cs="Arial"/>
          <w:sz w:val="24"/>
          <w:szCs w:val="24"/>
        </w:rPr>
        <w:t>}</w:t>
      </w:r>
    </w:p>
    <w:p w:rsidR="002F4465" w:rsidRPr="00A32575" w:rsidRDefault="002F4465" w:rsidP="004A7279">
      <w:pPr>
        <w:spacing w:after="0" w:line="240" w:lineRule="auto"/>
        <w:ind w:left="850" w:right="850"/>
        <w:rPr>
          <w:rFonts w:ascii="Arial" w:hAnsi="Arial" w:cs="Arial"/>
          <w:sz w:val="24"/>
          <w:szCs w:val="24"/>
          <w:lang w:val="es-ES"/>
        </w:rPr>
      </w:pP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sz w:val="24"/>
          <w:szCs w:val="24"/>
          <w:lang w:val="es-ES"/>
        </w:rPr>
        <w:t>${</w:t>
      </w:r>
      <w:proofErr w:type="spellStart"/>
      <w:r w:rsidRPr="00A32575">
        <w:rPr>
          <w:rFonts w:ascii="Arial" w:hAnsi="Arial" w:cs="Arial"/>
          <w:sz w:val="24"/>
          <w:szCs w:val="24"/>
          <w:lang w:val="es-ES"/>
        </w:rPr>
        <w:t>notificadosidentificacion</w:t>
      </w:r>
      <w:proofErr w:type="spellEnd"/>
      <w:r w:rsidRPr="00A32575">
        <w:rPr>
          <w:rFonts w:ascii="Arial" w:hAnsi="Arial" w:cs="Arial"/>
          <w:sz w:val="24"/>
          <w:szCs w:val="24"/>
          <w:lang w:val="es-ES"/>
        </w:rPr>
        <w:t>}</w:t>
      </w:r>
    </w:p>
    <w:p w:rsidR="002F4465" w:rsidRPr="00A32575" w:rsidRDefault="002F4465" w:rsidP="004A7279">
      <w:pPr>
        <w:spacing w:after="0" w:line="240" w:lineRule="auto"/>
        <w:ind w:left="850" w:right="850"/>
        <w:rPr>
          <w:rFonts w:ascii="Arial" w:hAnsi="Arial" w:cs="Arial"/>
          <w:b/>
          <w:sz w:val="24"/>
          <w:szCs w:val="24"/>
          <w:lang w:val="es-ES"/>
        </w:rPr>
      </w:pPr>
    </w:p>
    <w:p w:rsidR="004A7279" w:rsidRPr="008E4398" w:rsidRDefault="004A7279" w:rsidP="004A7279">
      <w:pPr>
        <w:spacing w:after="0" w:line="240" w:lineRule="auto"/>
        <w:ind w:left="4248" w:hanging="3648"/>
        <w:rPr>
          <w:rFonts w:ascii="Arial" w:hAnsi="Arial" w:cs="Arial"/>
          <w:sz w:val="24"/>
          <w:szCs w:val="24"/>
          <w:lang w:val="es-ES"/>
        </w:rPr>
      </w:pPr>
      <w:r>
        <w:rPr>
          <w:rFonts w:ascii="Arial" w:hAnsi="Arial" w:cs="Arial"/>
          <w:b/>
          <w:sz w:val="24"/>
          <w:szCs w:val="24"/>
          <w:lang w:val="es-ES"/>
        </w:rPr>
        <w:t>Decisión Empresarial:</w:t>
      </w:r>
      <w:r>
        <w:rPr>
          <w:rFonts w:ascii="Arial" w:hAnsi="Arial" w:cs="Arial"/>
          <w:b/>
          <w:sz w:val="24"/>
          <w:szCs w:val="24"/>
          <w:lang w:val="es-ES"/>
        </w:rPr>
        <w:tab/>
      </w:r>
      <w:r w:rsidRPr="008E4398">
        <w:rPr>
          <w:rFonts w:ascii="Arial" w:hAnsi="Arial" w:cs="Arial"/>
          <w:sz w:val="24"/>
          <w:szCs w:val="24"/>
          <w:lang w:val="es-ES"/>
        </w:rPr>
        <w:t xml:space="preserve">CUN </w:t>
      </w:r>
      <w:bookmarkStart w:id="0" w:name="_GoBack"/>
      <w:r w:rsidR="008E4398" w:rsidRPr="008E4398">
        <w:rPr>
          <w:rFonts w:ascii="Arial" w:hAnsi="Arial" w:cs="Arial"/>
          <w:sz w:val="24"/>
          <w:szCs w:val="24"/>
        </w:rPr>
        <w:t>7210180000010501</w:t>
      </w:r>
      <w:bookmarkEnd w:id="0"/>
      <w:r w:rsidR="008E4398" w:rsidRPr="008E4398">
        <w:rPr>
          <w:rFonts w:ascii="Arial" w:hAnsi="Arial" w:cs="Arial"/>
          <w:sz w:val="24"/>
          <w:szCs w:val="24"/>
        </w:rPr>
        <w:t xml:space="preserve"> </w:t>
      </w:r>
      <w:r w:rsidR="008E4398" w:rsidRPr="008E4398">
        <w:rPr>
          <w:rFonts w:ascii="Arial" w:hAnsi="Arial" w:cs="Arial"/>
          <w:sz w:val="24"/>
          <w:szCs w:val="24"/>
          <w:lang w:val="es-ES"/>
        </w:rPr>
        <w:t xml:space="preserve">del </w:t>
      </w:r>
      <w:r w:rsidR="008E4398">
        <w:rPr>
          <w:rFonts w:ascii="Arial" w:hAnsi="Arial" w:cs="Arial"/>
          <w:sz w:val="24"/>
          <w:szCs w:val="24"/>
          <w:lang w:val="es-ES"/>
        </w:rPr>
        <w:t>01</w:t>
      </w:r>
      <w:r w:rsidRPr="008E4398">
        <w:rPr>
          <w:rFonts w:ascii="Arial" w:hAnsi="Arial" w:cs="Arial"/>
          <w:sz w:val="24"/>
          <w:szCs w:val="24"/>
        </w:rPr>
        <w:t xml:space="preserve"> de </w:t>
      </w:r>
      <w:r w:rsidR="008E4398">
        <w:rPr>
          <w:rFonts w:ascii="Arial" w:hAnsi="Arial" w:cs="Arial"/>
          <w:sz w:val="24"/>
          <w:szCs w:val="24"/>
        </w:rPr>
        <w:t>noviembre</w:t>
      </w:r>
      <w:r w:rsidRPr="008E4398">
        <w:rPr>
          <w:rFonts w:ascii="Arial" w:hAnsi="Arial" w:cs="Arial"/>
          <w:sz w:val="24"/>
          <w:szCs w:val="24"/>
        </w:rPr>
        <w:t xml:space="preserve"> de 2018</w:t>
      </w:r>
      <w:r w:rsidRPr="008E4398">
        <w:rPr>
          <w:rFonts w:ascii="Arial" w:hAnsi="Arial" w:cs="Arial"/>
          <w:sz w:val="24"/>
          <w:szCs w:val="24"/>
          <w:lang w:val="es-ES"/>
        </w:rPr>
        <w:t>.</w:t>
      </w:r>
    </w:p>
    <w:p w:rsidR="004A7279" w:rsidRPr="00C16E2E" w:rsidRDefault="004A7279" w:rsidP="004A7279">
      <w:pPr>
        <w:spacing w:after="0" w:line="240" w:lineRule="auto"/>
        <w:rPr>
          <w:rFonts w:ascii="Arial" w:hAnsi="Arial" w:cs="Arial"/>
          <w:lang w:val="es-ES"/>
        </w:rPr>
      </w:pPr>
    </w:p>
    <w:p w:rsidR="002F4465" w:rsidRPr="00A32575" w:rsidRDefault="002F4465" w:rsidP="004A7279">
      <w:pPr>
        <w:spacing w:after="0" w:line="240" w:lineRule="auto"/>
        <w:rPr>
          <w:rFonts w:ascii="Arial" w:hAnsi="Arial" w:cs="Arial"/>
          <w:sz w:val="24"/>
          <w:szCs w:val="24"/>
        </w:rPr>
      </w:pPr>
    </w:p>
    <w:p w:rsidR="00CB0951" w:rsidRPr="00A32575" w:rsidRDefault="00CB0951" w:rsidP="004A7279">
      <w:pPr>
        <w:spacing w:after="0" w:line="240" w:lineRule="auto"/>
        <w:ind w:left="113" w:right="113"/>
        <w:jc w:val="both"/>
        <w:rPr>
          <w:rFonts w:ascii="Arial" w:hAnsi="Arial" w:cs="Arial"/>
          <w:b/>
          <w:bCs/>
          <w:sz w:val="24"/>
          <w:szCs w:val="24"/>
        </w:rPr>
      </w:pPr>
    </w:p>
    <w:p w:rsidR="005E5161" w:rsidRDefault="004A7279" w:rsidP="009109DC">
      <w:pPr>
        <w:spacing w:after="0"/>
        <w:ind w:left="113" w:right="113"/>
        <w:jc w:val="both"/>
        <w:rPr>
          <w:rFonts w:ascii="Arial" w:hAnsi="Arial" w:cs="Arial"/>
          <w:bCs/>
          <w:sz w:val="24"/>
          <w:szCs w:val="24"/>
        </w:rPr>
      </w:pPr>
      <w:r w:rsidRPr="004A7279">
        <w:rPr>
          <w:rFonts w:ascii="Arial" w:hAnsi="Arial" w:cs="Arial"/>
          <w:b/>
          <w:bCs/>
          <w:sz w:val="24"/>
          <w:szCs w:val="24"/>
        </w:rPr>
        <w:t xml:space="preserve">SEGUNDO: </w:t>
      </w:r>
      <w:proofErr w:type="gramStart"/>
      <w:r w:rsidRPr="004A7279">
        <w:rPr>
          <w:rFonts w:ascii="Arial" w:hAnsi="Arial" w:cs="Arial"/>
          <w:sz w:val="24"/>
          <w:szCs w:val="24"/>
        </w:rPr>
        <w:t>Que</w:t>
      </w:r>
      <w:proofErr w:type="gramEnd"/>
      <w:r w:rsidRPr="004A7279">
        <w:rPr>
          <w:rFonts w:ascii="Arial" w:hAnsi="Arial" w:cs="Arial"/>
          <w:sz w:val="24"/>
          <w:szCs w:val="24"/>
        </w:rPr>
        <w:t xml:space="preserve"> de acuerdo con la información allegada al expediente, se advierte que el motivo de inconformidad expuesto por el(la) usuario(a)</w:t>
      </w:r>
      <w:r w:rsidR="007A09CF">
        <w:rPr>
          <w:rFonts w:ascii="Arial" w:hAnsi="Arial" w:cs="Arial"/>
          <w:sz w:val="24"/>
          <w:szCs w:val="24"/>
        </w:rPr>
        <w:t xml:space="preserve"> de la </w:t>
      </w:r>
      <w:r w:rsidR="008E4398">
        <w:rPr>
          <w:rFonts w:ascii="Arial" w:hAnsi="Arial" w:cs="Arial"/>
          <w:sz w:val="24"/>
          <w:szCs w:val="24"/>
        </w:rPr>
        <w:t>línea No. 3122363224</w:t>
      </w:r>
      <w:r w:rsidR="007A09CF" w:rsidRPr="008E4398">
        <w:rPr>
          <w:rFonts w:ascii="Arial" w:hAnsi="Arial" w:cs="Arial"/>
          <w:sz w:val="24"/>
          <w:szCs w:val="24"/>
        </w:rPr>
        <w:t>,</w:t>
      </w:r>
      <w:r w:rsidRPr="008E4398">
        <w:rPr>
          <w:rFonts w:ascii="Arial" w:hAnsi="Arial" w:cs="Arial"/>
          <w:bCs/>
          <w:sz w:val="24"/>
          <w:szCs w:val="24"/>
        </w:rPr>
        <w:t xml:space="preserve"> </w:t>
      </w:r>
      <w:r w:rsidR="005E5161" w:rsidRPr="00281C17">
        <w:rPr>
          <w:rFonts w:ascii="Arial" w:hAnsi="Arial" w:cs="Arial"/>
          <w:bCs/>
          <w:sz w:val="24"/>
          <w:szCs w:val="24"/>
        </w:rPr>
        <w:t xml:space="preserve">circunscribe a que el operador realizo </w:t>
      </w:r>
      <w:r w:rsidR="00281C17">
        <w:rPr>
          <w:rFonts w:ascii="Arial" w:hAnsi="Arial" w:cs="Arial"/>
          <w:bCs/>
          <w:sz w:val="24"/>
          <w:szCs w:val="24"/>
        </w:rPr>
        <w:t xml:space="preserve">la </w:t>
      </w:r>
      <w:r w:rsidR="005E5161" w:rsidRPr="00281C17">
        <w:rPr>
          <w:rFonts w:ascii="Arial" w:hAnsi="Arial" w:cs="Arial"/>
          <w:bCs/>
          <w:sz w:val="24"/>
          <w:szCs w:val="24"/>
        </w:rPr>
        <w:t xml:space="preserve">portabilidad de su línea sin consentimiento, </w:t>
      </w:r>
      <w:r w:rsidR="005E5161" w:rsidRPr="00281C17">
        <w:rPr>
          <w:rFonts w:ascii="Arial" w:hAnsi="Arial" w:cs="Arial"/>
          <w:sz w:val="24"/>
          <w:szCs w:val="24"/>
        </w:rPr>
        <w:t xml:space="preserve">dicha línea siempre </w:t>
      </w:r>
      <w:r w:rsidR="00281C17" w:rsidRPr="00281C17">
        <w:rPr>
          <w:rFonts w:ascii="Arial" w:hAnsi="Arial" w:cs="Arial"/>
          <w:sz w:val="24"/>
          <w:szCs w:val="24"/>
        </w:rPr>
        <w:t>había</w:t>
      </w:r>
      <w:r w:rsidR="005E5161" w:rsidRPr="00281C17">
        <w:rPr>
          <w:rFonts w:ascii="Arial" w:hAnsi="Arial" w:cs="Arial"/>
          <w:sz w:val="24"/>
          <w:szCs w:val="24"/>
        </w:rPr>
        <w:t xml:space="preserve"> sido de su pertenencia </w:t>
      </w:r>
      <w:r w:rsidR="005E5161" w:rsidRPr="00281C17">
        <w:rPr>
          <w:rFonts w:ascii="Arial" w:hAnsi="Arial" w:cs="Arial"/>
          <w:sz w:val="24"/>
          <w:szCs w:val="24"/>
        </w:rPr>
        <w:t xml:space="preserve">en el operador </w:t>
      </w:r>
      <w:r w:rsidR="009109DC">
        <w:rPr>
          <w:rFonts w:ascii="Arial" w:hAnsi="Arial" w:cs="Arial"/>
          <w:sz w:val="24"/>
          <w:szCs w:val="24"/>
        </w:rPr>
        <w:t>COLOMBIA MOVIL S.A.,</w:t>
      </w:r>
      <w:r w:rsidR="005E5161" w:rsidRPr="00281C17">
        <w:rPr>
          <w:rFonts w:ascii="Arial" w:hAnsi="Arial" w:cs="Arial"/>
          <w:sz w:val="24"/>
          <w:szCs w:val="24"/>
        </w:rPr>
        <w:t xml:space="preserve"> y no ha</w:t>
      </w:r>
      <w:r w:rsidR="009109DC">
        <w:rPr>
          <w:rFonts w:ascii="Arial" w:hAnsi="Arial" w:cs="Arial"/>
          <w:sz w:val="24"/>
          <w:szCs w:val="24"/>
        </w:rPr>
        <w:t>bía</w:t>
      </w:r>
      <w:r w:rsidR="005E5161" w:rsidRPr="00281C17">
        <w:rPr>
          <w:rFonts w:ascii="Arial" w:hAnsi="Arial" w:cs="Arial"/>
          <w:sz w:val="24"/>
          <w:szCs w:val="24"/>
        </w:rPr>
        <w:t xml:space="preserve"> solicitado ningún proceso de portabilidad con </w:t>
      </w:r>
      <w:r w:rsidR="005E5161" w:rsidRPr="00281C17">
        <w:rPr>
          <w:rFonts w:ascii="Arial" w:hAnsi="Arial" w:cs="Arial"/>
          <w:sz w:val="24"/>
          <w:szCs w:val="24"/>
        </w:rPr>
        <w:t xml:space="preserve">el operador </w:t>
      </w:r>
      <w:r w:rsidR="009109DC" w:rsidRPr="009109DC">
        <w:rPr>
          <w:rFonts w:ascii="Arial" w:hAnsi="Arial" w:cs="Arial"/>
          <w:sz w:val="24"/>
          <w:szCs w:val="24"/>
        </w:rPr>
        <w:t>ALMACENES EXITO INVERSIONES S.A.S.</w:t>
      </w:r>
    </w:p>
    <w:p w:rsidR="009109DC" w:rsidRDefault="009109DC" w:rsidP="005E5161">
      <w:pPr>
        <w:spacing w:after="0"/>
        <w:ind w:left="113" w:right="113"/>
        <w:jc w:val="both"/>
        <w:rPr>
          <w:rFonts w:ascii="Arial" w:hAnsi="Arial" w:cs="Arial"/>
          <w:bCs/>
          <w:sz w:val="24"/>
          <w:szCs w:val="24"/>
        </w:rPr>
      </w:pPr>
    </w:p>
    <w:p w:rsidR="005E5161" w:rsidRPr="005E5161" w:rsidRDefault="005E5161" w:rsidP="005E5161">
      <w:pPr>
        <w:spacing w:after="0"/>
        <w:ind w:left="113" w:right="113"/>
        <w:jc w:val="both"/>
        <w:rPr>
          <w:rFonts w:ascii="Arial" w:hAnsi="Arial" w:cs="Arial"/>
          <w:bCs/>
          <w:sz w:val="24"/>
          <w:szCs w:val="24"/>
        </w:rPr>
      </w:pPr>
      <w:r>
        <w:rPr>
          <w:rFonts w:ascii="Arial" w:hAnsi="Arial" w:cs="Arial"/>
          <w:bCs/>
          <w:sz w:val="24"/>
          <w:szCs w:val="24"/>
        </w:rPr>
        <w:t>Por último, el usuario manifiesta que la portabilidad</w:t>
      </w:r>
      <w:r w:rsidR="00281C17">
        <w:rPr>
          <w:rFonts w:ascii="Arial" w:hAnsi="Arial" w:cs="Arial"/>
          <w:bCs/>
          <w:sz w:val="24"/>
          <w:szCs w:val="24"/>
        </w:rPr>
        <w:t xml:space="preserve"> realizada por el operador sin su consentimiento le produjo daños y perjuicios en su actividad laboral, motivo por el cual solicitó </w:t>
      </w:r>
      <w:r w:rsidR="00281C17">
        <w:rPr>
          <w:rFonts w:ascii="Arial" w:hAnsi="Arial" w:cs="Arial"/>
          <w:sz w:val="24"/>
          <w:szCs w:val="24"/>
        </w:rPr>
        <w:t xml:space="preserve">la titularidad de la línea y </w:t>
      </w:r>
      <w:r w:rsidR="00281C17" w:rsidRPr="00654C25">
        <w:rPr>
          <w:rFonts w:ascii="Arial" w:hAnsi="Arial" w:cs="Arial"/>
          <w:bCs/>
          <w:sz w:val="24"/>
          <w:szCs w:val="24"/>
        </w:rPr>
        <w:t>que se generen los ajustes correspondientes.</w:t>
      </w:r>
    </w:p>
    <w:p w:rsidR="007A09CF" w:rsidRPr="00934D07" w:rsidRDefault="007A09CF" w:rsidP="007A09CF">
      <w:pPr>
        <w:spacing w:after="0"/>
        <w:ind w:left="113" w:right="113"/>
        <w:jc w:val="both"/>
        <w:rPr>
          <w:rFonts w:ascii="Arial" w:hAnsi="Arial" w:cs="Arial"/>
          <w:sz w:val="24"/>
          <w:szCs w:val="24"/>
        </w:rPr>
      </w:pPr>
    </w:p>
    <w:p w:rsidR="007A09CF" w:rsidRDefault="007A09CF" w:rsidP="009109DC">
      <w:pPr>
        <w:spacing w:after="0"/>
        <w:ind w:left="113" w:right="113"/>
        <w:jc w:val="both"/>
        <w:rPr>
          <w:rFonts w:ascii="Arial" w:hAnsi="Arial" w:cs="Arial"/>
          <w:sz w:val="24"/>
          <w:szCs w:val="24"/>
        </w:rPr>
      </w:pPr>
      <w:r w:rsidRPr="00934D07">
        <w:rPr>
          <w:rFonts w:ascii="Arial" w:hAnsi="Arial" w:cs="Arial"/>
          <w:b/>
          <w:bCs/>
          <w:sz w:val="24"/>
          <w:szCs w:val="24"/>
        </w:rPr>
        <w:t>TERCERO:</w:t>
      </w:r>
      <w:r w:rsidRPr="00934D07">
        <w:rPr>
          <w:rFonts w:ascii="Arial" w:hAnsi="Arial" w:cs="Arial"/>
          <w:sz w:val="24"/>
          <w:szCs w:val="24"/>
        </w:rPr>
        <w:t xml:space="preserve"> </w:t>
      </w:r>
      <w:r w:rsidRPr="009D47DF">
        <w:rPr>
          <w:rFonts w:ascii="Arial" w:hAnsi="Arial" w:cs="Arial"/>
          <w:sz w:val="24"/>
          <w:szCs w:val="24"/>
        </w:rPr>
        <w:t xml:space="preserve">Que frente a la(las) inconformidad(des) expuesta(s) por el(la) usuario(a), el </w:t>
      </w:r>
      <w:r w:rsidR="009D47DF" w:rsidRPr="009D47DF">
        <w:rPr>
          <w:rFonts w:ascii="Arial" w:hAnsi="Arial" w:cs="Arial"/>
          <w:sz w:val="24"/>
          <w:szCs w:val="24"/>
        </w:rPr>
        <w:t xml:space="preserve">operador </w:t>
      </w:r>
      <w:r w:rsidR="009D47DF">
        <w:rPr>
          <w:rFonts w:ascii="Arial" w:hAnsi="Arial" w:cs="Arial"/>
          <w:sz w:val="24"/>
          <w:szCs w:val="24"/>
        </w:rPr>
        <w:t>manifestó</w:t>
      </w:r>
      <w:r w:rsidR="009D47DF" w:rsidRPr="009D47DF">
        <w:rPr>
          <w:rFonts w:ascii="Arial" w:hAnsi="Arial" w:cs="Arial"/>
          <w:sz w:val="24"/>
          <w:szCs w:val="24"/>
        </w:rPr>
        <w:t xml:space="preserve"> que </w:t>
      </w:r>
      <w:r w:rsidR="00281C17" w:rsidRPr="009D47DF">
        <w:rPr>
          <w:rFonts w:ascii="Arial" w:hAnsi="Arial" w:cs="Arial"/>
          <w:sz w:val="24"/>
          <w:szCs w:val="24"/>
        </w:rPr>
        <w:t>la portabi</w:t>
      </w:r>
      <w:r w:rsidR="009D47DF" w:rsidRPr="009D47DF">
        <w:rPr>
          <w:rFonts w:ascii="Arial" w:hAnsi="Arial" w:cs="Arial"/>
          <w:sz w:val="24"/>
          <w:szCs w:val="24"/>
        </w:rPr>
        <w:t xml:space="preserve">lidad fue realizada </w:t>
      </w:r>
      <w:r w:rsidR="009109DC">
        <w:rPr>
          <w:rFonts w:ascii="Arial" w:hAnsi="Arial" w:cs="Arial"/>
          <w:sz w:val="24"/>
          <w:szCs w:val="24"/>
        </w:rPr>
        <w:t>por</w:t>
      </w:r>
      <w:r w:rsidR="009D47DF" w:rsidRPr="009D47DF">
        <w:rPr>
          <w:rFonts w:ascii="Arial" w:hAnsi="Arial" w:cs="Arial"/>
          <w:sz w:val="24"/>
          <w:szCs w:val="24"/>
        </w:rPr>
        <w:t xml:space="preserve"> </w:t>
      </w:r>
      <w:r w:rsidR="00281C17" w:rsidRPr="009D47DF">
        <w:rPr>
          <w:rFonts w:ascii="Arial" w:hAnsi="Arial" w:cs="Arial"/>
          <w:sz w:val="24"/>
          <w:szCs w:val="24"/>
        </w:rPr>
        <w:t xml:space="preserve">solicitud </w:t>
      </w:r>
      <w:r w:rsidR="009109DC">
        <w:rPr>
          <w:rFonts w:ascii="Arial" w:hAnsi="Arial" w:cs="Arial"/>
          <w:sz w:val="24"/>
          <w:szCs w:val="24"/>
        </w:rPr>
        <w:t>de</w:t>
      </w:r>
      <w:r w:rsidR="00281C17" w:rsidRPr="009D47DF">
        <w:rPr>
          <w:rFonts w:ascii="Arial" w:hAnsi="Arial" w:cs="Arial"/>
          <w:sz w:val="24"/>
          <w:szCs w:val="24"/>
        </w:rPr>
        <w:t xml:space="preserve"> la persona titular de la línea 30</w:t>
      </w:r>
      <w:r w:rsidR="009D47DF" w:rsidRPr="009D47DF">
        <w:rPr>
          <w:rFonts w:ascii="Arial" w:hAnsi="Arial" w:cs="Arial"/>
          <w:sz w:val="24"/>
          <w:szCs w:val="24"/>
        </w:rPr>
        <w:t xml:space="preserve">52949883, </w:t>
      </w:r>
      <w:r w:rsidR="009109DC">
        <w:rPr>
          <w:rFonts w:ascii="Arial" w:hAnsi="Arial" w:cs="Arial"/>
          <w:sz w:val="24"/>
          <w:szCs w:val="24"/>
        </w:rPr>
        <w:t xml:space="preserve">asimismo, </w:t>
      </w:r>
      <w:r w:rsidR="00281C17" w:rsidRPr="009D47DF">
        <w:rPr>
          <w:rFonts w:ascii="Arial" w:hAnsi="Arial" w:cs="Arial"/>
          <w:sz w:val="24"/>
          <w:szCs w:val="24"/>
        </w:rPr>
        <w:t>durante la llamada en la cual se solicit</w:t>
      </w:r>
      <w:r w:rsidR="009D47DF" w:rsidRPr="009D47DF">
        <w:rPr>
          <w:rFonts w:ascii="Arial" w:hAnsi="Arial" w:cs="Arial"/>
          <w:sz w:val="24"/>
          <w:szCs w:val="24"/>
        </w:rPr>
        <w:t>ó</w:t>
      </w:r>
      <w:r w:rsidR="00281C17" w:rsidRPr="009D47DF">
        <w:rPr>
          <w:rFonts w:ascii="Arial" w:hAnsi="Arial" w:cs="Arial"/>
          <w:sz w:val="24"/>
          <w:szCs w:val="24"/>
        </w:rPr>
        <w:t xml:space="preserve"> el proceso se evidenci</w:t>
      </w:r>
      <w:r w:rsidR="009D47DF">
        <w:rPr>
          <w:rFonts w:ascii="Arial" w:hAnsi="Arial" w:cs="Arial"/>
          <w:sz w:val="24"/>
          <w:szCs w:val="24"/>
        </w:rPr>
        <w:t>ó</w:t>
      </w:r>
      <w:r w:rsidR="00281C17" w:rsidRPr="009D47DF">
        <w:rPr>
          <w:rFonts w:ascii="Arial" w:hAnsi="Arial" w:cs="Arial"/>
          <w:sz w:val="24"/>
          <w:szCs w:val="24"/>
        </w:rPr>
        <w:t xml:space="preserve"> que </w:t>
      </w:r>
      <w:r w:rsidR="009D47DF" w:rsidRPr="009D47DF">
        <w:rPr>
          <w:rFonts w:ascii="Arial" w:hAnsi="Arial" w:cs="Arial"/>
          <w:sz w:val="24"/>
          <w:szCs w:val="24"/>
        </w:rPr>
        <w:t xml:space="preserve">el solicitante </w:t>
      </w:r>
      <w:r w:rsidR="009109DC">
        <w:rPr>
          <w:rFonts w:ascii="Arial" w:hAnsi="Arial" w:cs="Arial"/>
          <w:sz w:val="24"/>
          <w:szCs w:val="24"/>
        </w:rPr>
        <w:t>confirmó</w:t>
      </w:r>
      <w:r w:rsidR="00281C17" w:rsidRPr="009D47DF">
        <w:rPr>
          <w:rFonts w:ascii="Arial" w:hAnsi="Arial" w:cs="Arial"/>
          <w:sz w:val="24"/>
          <w:szCs w:val="24"/>
        </w:rPr>
        <w:t xml:space="preserve"> el código NIP enviado a la línea 3122363224, </w:t>
      </w:r>
      <w:r w:rsidR="009D47DF" w:rsidRPr="009D47DF">
        <w:rPr>
          <w:rFonts w:ascii="Arial" w:hAnsi="Arial" w:cs="Arial"/>
          <w:sz w:val="24"/>
          <w:szCs w:val="24"/>
        </w:rPr>
        <w:t>el operador aclaró</w:t>
      </w:r>
      <w:r w:rsidR="00281C17" w:rsidRPr="009D47DF">
        <w:rPr>
          <w:rFonts w:ascii="Arial" w:hAnsi="Arial" w:cs="Arial"/>
          <w:sz w:val="24"/>
          <w:szCs w:val="24"/>
        </w:rPr>
        <w:t xml:space="preserve"> que el código NIP es un número único personal que llega a la línea donante y que durante este p</w:t>
      </w:r>
      <w:r w:rsidR="009109DC">
        <w:rPr>
          <w:rFonts w:ascii="Arial" w:hAnsi="Arial" w:cs="Arial"/>
          <w:sz w:val="24"/>
          <w:szCs w:val="24"/>
        </w:rPr>
        <w:t xml:space="preserve">roceso los datos se confirmaron. </w:t>
      </w:r>
      <w:r w:rsidR="009D47DF">
        <w:rPr>
          <w:rFonts w:ascii="Arial" w:hAnsi="Arial" w:cs="Arial"/>
          <w:sz w:val="24"/>
          <w:szCs w:val="24"/>
        </w:rPr>
        <w:t>Para finalizar, el operador</w:t>
      </w:r>
      <w:r w:rsidR="009D47DF" w:rsidRPr="009D47DF">
        <w:rPr>
          <w:rFonts w:ascii="Arial" w:hAnsi="Arial" w:cs="Arial"/>
          <w:sz w:val="24"/>
          <w:szCs w:val="24"/>
        </w:rPr>
        <w:t xml:space="preserve"> </w:t>
      </w:r>
      <w:r w:rsidR="009D47DF">
        <w:rPr>
          <w:rFonts w:ascii="Arial" w:hAnsi="Arial" w:cs="Arial"/>
          <w:sz w:val="24"/>
          <w:szCs w:val="24"/>
        </w:rPr>
        <w:t>aclar</w:t>
      </w:r>
      <w:r w:rsidR="009109DC">
        <w:rPr>
          <w:rFonts w:ascii="Arial" w:hAnsi="Arial" w:cs="Arial"/>
          <w:sz w:val="24"/>
          <w:szCs w:val="24"/>
        </w:rPr>
        <w:t>ó</w:t>
      </w:r>
      <w:r w:rsidR="009D47DF">
        <w:rPr>
          <w:rFonts w:ascii="Arial" w:hAnsi="Arial" w:cs="Arial"/>
          <w:sz w:val="24"/>
          <w:szCs w:val="24"/>
        </w:rPr>
        <w:t xml:space="preserve"> que no evidenció</w:t>
      </w:r>
      <w:r w:rsidR="009D47DF" w:rsidRPr="009D47DF">
        <w:rPr>
          <w:rFonts w:ascii="Arial" w:hAnsi="Arial" w:cs="Arial"/>
          <w:sz w:val="24"/>
          <w:szCs w:val="24"/>
        </w:rPr>
        <w:t xml:space="preserve"> inconsistencia alguna </w:t>
      </w:r>
      <w:r w:rsidR="00C52D05">
        <w:rPr>
          <w:rFonts w:ascii="Arial" w:hAnsi="Arial" w:cs="Arial"/>
          <w:sz w:val="24"/>
          <w:szCs w:val="24"/>
        </w:rPr>
        <w:t>d</w:t>
      </w:r>
      <w:r w:rsidR="009109DC">
        <w:rPr>
          <w:rFonts w:ascii="Arial" w:hAnsi="Arial" w:cs="Arial"/>
          <w:sz w:val="24"/>
          <w:szCs w:val="24"/>
        </w:rPr>
        <w:t>el proceso de portabilidad.</w:t>
      </w:r>
    </w:p>
    <w:p w:rsidR="00113935" w:rsidRDefault="00113935" w:rsidP="009109DC">
      <w:pPr>
        <w:spacing w:after="0"/>
        <w:ind w:left="113" w:right="113"/>
        <w:jc w:val="both"/>
        <w:rPr>
          <w:rFonts w:ascii="Arial" w:hAnsi="Arial" w:cs="Arial"/>
          <w:sz w:val="24"/>
          <w:szCs w:val="24"/>
        </w:rPr>
      </w:pPr>
    </w:p>
    <w:p w:rsidR="00113935" w:rsidRDefault="00113935" w:rsidP="009109DC">
      <w:pPr>
        <w:spacing w:after="0"/>
        <w:ind w:left="113" w:right="113"/>
        <w:jc w:val="both"/>
        <w:rPr>
          <w:rFonts w:ascii="Arial" w:hAnsi="Arial" w:cs="Arial"/>
          <w:sz w:val="24"/>
          <w:szCs w:val="24"/>
        </w:rPr>
      </w:pPr>
      <w:r>
        <w:rPr>
          <w:rFonts w:ascii="Arial" w:hAnsi="Arial" w:cs="Arial"/>
          <w:sz w:val="24"/>
          <w:szCs w:val="24"/>
        </w:rPr>
        <w:t>Finalmente, el operador indico al usuario que la línea objeto de reclamación fue activa en el operador de origen (COMCEL S.A.).</w:t>
      </w:r>
    </w:p>
    <w:p w:rsidR="009109DC" w:rsidRPr="004A7279" w:rsidRDefault="009109DC" w:rsidP="009109DC">
      <w:pPr>
        <w:spacing w:after="0"/>
        <w:ind w:left="113" w:right="113"/>
        <w:jc w:val="both"/>
        <w:rPr>
          <w:rFonts w:ascii="Arial" w:hAnsi="Arial" w:cs="Arial"/>
          <w:b/>
          <w:bCs/>
          <w:sz w:val="24"/>
          <w:szCs w:val="24"/>
        </w:rPr>
      </w:pPr>
    </w:p>
    <w:p w:rsidR="002F4465" w:rsidRPr="00A32575" w:rsidRDefault="002F4465" w:rsidP="004A7279">
      <w:pPr>
        <w:pStyle w:val="Textocomentario"/>
        <w:spacing w:before="0" w:after="0"/>
        <w:ind w:left="113" w:right="113"/>
        <w:rPr>
          <w:rFonts w:ascii="Arial" w:hAnsi="Arial" w:cs="Arial"/>
          <w:bCs/>
          <w:sz w:val="24"/>
          <w:szCs w:val="24"/>
        </w:rPr>
      </w:pPr>
      <w:r w:rsidRPr="00A32575">
        <w:rPr>
          <w:rFonts w:ascii="Arial" w:hAnsi="Arial" w:cs="Arial"/>
          <w:b/>
          <w:bCs/>
          <w:sz w:val="24"/>
          <w:szCs w:val="24"/>
        </w:rPr>
        <w:lastRenderedPageBreak/>
        <w:t>CUARTO:</w:t>
      </w:r>
      <w:r w:rsidRPr="00A32575">
        <w:rPr>
          <w:rFonts w:ascii="Arial" w:hAnsi="Arial" w:cs="Arial"/>
          <w:sz w:val="24"/>
          <w:szCs w:val="24"/>
        </w:rPr>
        <w:t xml:space="preserve"> </w:t>
      </w:r>
      <w:proofErr w:type="gramStart"/>
      <w:r w:rsidRPr="00A32575">
        <w:rPr>
          <w:rFonts w:ascii="Arial" w:hAnsi="Arial" w:cs="Arial"/>
          <w:sz w:val="24"/>
          <w:szCs w:val="24"/>
        </w:rPr>
        <w:t>Que</w:t>
      </w:r>
      <w:proofErr w:type="gramEnd"/>
      <w:r w:rsidRPr="00A32575">
        <w:rPr>
          <w:rFonts w:ascii="Arial" w:hAnsi="Arial" w:cs="Arial"/>
          <w:sz w:val="24"/>
          <w:szCs w:val="24"/>
        </w:rPr>
        <w:t xml:space="preserve"> en virtud de los hechos expuestos, entra este Despacho a hacer las siguientes consideraciones:</w:t>
      </w:r>
    </w:p>
    <w:p w:rsidR="002F4465" w:rsidRPr="00A32575" w:rsidRDefault="002F4465" w:rsidP="004A7279">
      <w:pPr>
        <w:pStyle w:val="HTMLconformatoprevio"/>
        <w:ind w:left="113" w:right="113"/>
        <w:jc w:val="both"/>
        <w:rPr>
          <w:rFonts w:ascii="Arial" w:eastAsia="Calibri" w:hAnsi="Arial" w:cs="Arial"/>
          <w:color w:val="auto"/>
          <w:sz w:val="24"/>
          <w:szCs w:val="24"/>
          <w:lang w:val="es-CO" w:eastAsia="en-US"/>
        </w:rPr>
      </w:pPr>
    </w:p>
    <w:p w:rsidR="00CB0951" w:rsidRPr="00A32575" w:rsidRDefault="00CB0951" w:rsidP="004A7279">
      <w:pPr>
        <w:widowControl w:val="0"/>
        <w:tabs>
          <w:tab w:val="left" w:pos="0"/>
        </w:tabs>
        <w:autoSpaceDE w:val="0"/>
        <w:autoSpaceDN w:val="0"/>
        <w:adjustRightInd w:val="0"/>
        <w:spacing w:after="0" w:line="240" w:lineRule="auto"/>
        <w:ind w:left="113" w:right="113"/>
        <w:jc w:val="both"/>
        <w:rPr>
          <w:rFonts w:ascii="Arial" w:hAnsi="Arial" w:cs="Arial"/>
          <w:b/>
          <w:sz w:val="24"/>
          <w:szCs w:val="24"/>
        </w:rPr>
      </w:pPr>
    </w:p>
    <w:p w:rsidR="00C52D05" w:rsidRPr="005912AC" w:rsidRDefault="00C52D05" w:rsidP="00113935">
      <w:pPr>
        <w:pStyle w:val="Textocomentario"/>
        <w:spacing w:before="0" w:after="0"/>
        <w:ind w:left="144" w:right="144"/>
        <w:rPr>
          <w:rFonts w:ascii="Arial" w:hAnsi="Arial" w:cs="Arial"/>
          <w:b/>
          <w:sz w:val="24"/>
          <w:szCs w:val="24"/>
        </w:rPr>
      </w:pPr>
      <w:r w:rsidRPr="005912AC">
        <w:rPr>
          <w:rFonts w:ascii="Arial" w:hAnsi="Arial" w:cs="Arial"/>
          <w:b/>
          <w:sz w:val="24"/>
          <w:szCs w:val="24"/>
        </w:rPr>
        <w:t>4.1.</w:t>
      </w:r>
      <w:r>
        <w:rPr>
          <w:rFonts w:ascii="Arial" w:hAnsi="Arial" w:cs="Arial"/>
          <w:b/>
          <w:sz w:val="24"/>
          <w:szCs w:val="24"/>
        </w:rPr>
        <w:tab/>
        <w:t>Inconformidad en el proceso de portación línea prepago</w:t>
      </w:r>
    </w:p>
    <w:p w:rsidR="00C52D05" w:rsidRDefault="00C52D05" w:rsidP="00113935">
      <w:pPr>
        <w:pStyle w:val="Textocomentario"/>
        <w:spacing w:before="0" w:after="0"/>
        <w:ind w:left="144" w:right="144"/>
        <w:rPr>
          <w:rFonts w:ascii="Arial" w:hAnsi="Arial" w:cs="Arial"/>
          <w:sz w:val="24"/>
          <w:szCs w:val="24"/>
        </w:rPr>
      </w:pPr>
    </w:p>
    <w:p w:rsidR="00C52D05" w:rsidRPr="0071112D" w:rsidRDefault="00C52D05" w:rsidP="00113935">
      <w:pPr>
        <w:widowControl w:val="0"/>
        <w:spacing w:after="0" w:line="240" w:lineRule="auto"/>
        <w:ind w:left="144" w:right="144"/>
        <w:jc w:val="both"/>
        <w:rPr>
          <w:rFonts w:ascii="Arial" w:hAnsi="Arial" w:cs="Arial"/>
        </w:rPr>
      </w:pPr>
      <w:r w:rsidRPr="0071112D">
        <w:rPr>
          <w:rFonts w:ascii="Arial" w:hAnsi="Arial" w:cs="Arial"/>
        </w:rPr>
        <w:t>En consideración a que la reclamación se centra en el reintegro de la línea móvil portada sin consentimiento del titular, se considera pertinente hacer referencia a lo dispuesto en el artículo 2.6.4.1 de la Resolución CRC 5050 de 2016</w:t>
      </w:r>
      <w:r w:rsidRPr="0071112D">
        <w:rPr>
          <w:rStyle w:val="Refdenotaalpie"/>
          <w:rFonts w:ascii="Arial" w:hAnsi="Arial" w:cs="Arial"/>
        </w:rPr>
        <w:footnoteReference w:id="1"/>
      </w:r>
      <w:r w:rsidRPr="0071112D">
        <w:rPr>
          <w:rFonts w:ascii="Arial" w:hAnsi="Arial" w:cs="Arial"/>
        </w:rPr>
        <w:t xml:space="preserve">, así: </w:t>
      </w:r>
    </w:p>
    <w:p w:rsidR="00C52D05" w:rsidRPr="0071112D" w:rsidRDefault="00C52D05" w:rsidP="00C52D05">
      <w:pPr>
        <w:widowControl w:val="0"/>
        <w:spacing w:after="0" w:line="240" w:lineRule="auto"/>
        <w:ind w:left="567" w:right="338"/>
        <w:jc w:val="both"/>
        <w:rPr>
          <w:rFonts w:ascii="Arial" w:hAnsi="Arial" w:cs="Arial"/>
          <w:b/>
          <w:i/>
          <w:noProof/>
        </w:rPr>
      </w:pPr>
    </w:p>
    <w:p w:rsidR="00C52D05" w:rsidRPr="0071112D" w:rsidRDefault="00C52D05" w:rsidP="00C52D05">
      <w:pPr>
        <w:pStyle w:val="Default"/>
        <w:ind w:left="850" w:right="850"/>
        <w:jc w:val="both"/>
        <w:rPr>
          <w:i/>
          <w:sz w:val="22"/>
          <w:szCs w:val="22"/>
        </w:rPr>
      </w:pPr>
      <w:r w:rsidRPr="0071112D">
        <w:rPr>
          <w:b/>
          <w:i/>
          <w:noProof/>
          <w:sz w:val="22"/>
          <w:szCs w:val="22"/>
        </w:rPr>
        <w:t>“</w:t>
      </w:r>
      <w:r w:rsidRPr="0071112D">
        <w:rPr>
          <w:b/>
          <w:bCs/>
          <w:i/>
          <w:sz w:val="22"/>
          <w:szCs w:val="22"/>
        </w:rPr>
        <w:t xml:space="preserve">ARTÍCULO 2.6.4.1. PROCESO DE PORTACIÓN. </w:t>
      </w:r>
      <w:r w:rsidRPr="0071112D">
        <w:rPr>
          <w:i/>
          <w:sz w:val="22"/>
          <w:szCs w:val="22"/>
        </w:rPr>
        <w:t>El Proceso de Portación incluirá las siguientes etapas: (i) Generación del NIP de Confirmación, (ii) Solicitud de Portación, (iii) Verificación de la Solicitud por parte del ABD, (iv) Aceptación o Rechazo de la Solicitud de Portación por parte del Proveedor Donante, (v) Planeación de la Ventana de Cambio, y (vi) Activación del Número Portado.</w:t>
      </w:r>
    </w:p>
    <w:p w:rsidR="00C52D05" w:rsidRPr="0071112D" w:rsidRDefault="00C52D05" w:rsidP="00C52D05">
      <w:pPr>
        <w:pStyle w:val="Default"/>
        <w:ind w:left="850" w:right="850"/>
        <w:jc w:val="both"/>
        <w:rPr>
          <w:i/>
          <w:sz w:val="22"/>
          <w:szCs w:val="22"/>
        </w:rPr>
      </w:pPr>
      <w:r w:rsidRPr="0071112D">
        <w:rPr>
          <w:i/>
          <w:sz w:val="22"/>
          <w:szCs w:val="22"/>
        </w:rPr>
        <w:t xml:space="preserve"> </w:t>
      </w:r>
    </w:p>
    <w:p w:rsidR="00C52D05" w:rsidRPr="0071112D" w:rsidRDefault="00C52D05" w:rsidP="00C52D05">
      <w:pPr>
        <w:pStyle w:val="Default"/>
        <w:ind w:left="850" w:right="850"/>
        <w:jc w:val="both"/>
        <w:rPr>
          <w:i/>
          <w:sz w:val="22"/>
          <w:szCs w:val="22"/>
        </w:rPr>
      </w:pPr>
      <w:r w:rsidRPr="0071112D">
        <w:rPr>
          <w:i/>
          <w:sz w:val="22"/>
          <w:szCs w:val="22"/>
        </w:rPr>
        <w:t xml:space="preserve">Todo el Proceso de Portación tendrá una duración máxima de cinco (5) días hábiles contada a partir del ingreso de la Solicitud de Portación por parte del Usuario. A partir del 1º de </w:t>
      </w:r>
      <w:proofErr w:type="gramStart"/>
      <w:r w:rsidRPr="0071112D">
        <w:rPr>
          <w:i/>
          <w:sz w:val="22"/>
          <w:szCs w:val="22"/>
        </w:rPr>
        <w:t>Agosto</w:t>
      </w:r>
      <w:proofErr w:type="gramEnd"/>
      <w:r w:rsidRPr="0071112D">
        <w:rPr>
          <w:i/>
          <w:sz w:val="22"/>
          <w:szCs w:val="22"/>
        </w:rPr>
        <w:t xml:space="preserve"> de 2012, esta duración será de máximo tres (3) días hábiles. </w:t>
      </w:r>
    </w:p>
    <w:p w:rsidR="00C52D05" w:rsidRPr="0071112D" w:rsidRDefault="00C52D05" w:rsidP="00C52D05">
      <w:pPr>
        <w:pStyle w:val="Default"/>
        <w:ind w:left="850" w:right="850"/>
        <w:jc w:val="both"/>
        <w:rPr>
          <w:i/>
          <w:sz w:val="22"/>
          <w:szCs w:val="22"/>
        </w:rPr>
      </w:pPr>
    </w:p>
    <w:p w:rsidR="00C52D05" w:rsidRPr="0071112D" w:rsidRDefault="00C52D05" w:rsidP="00C52D05">
      <w:pPr>
        <w:pStyle w:val="Default"/>
        <w:ind w:left="850" w:right="850"/>
        <w:jc w:val="both"/>
        <w:rPr>
          <w:i/>
          <w:sz w:val="22"/>
          <w:szCs w:val="22"/>
        </w:rPr>
      </w:pPr>
      <w:r w:rsidRPr="0071112D">
        <w:rPr>
          <w:b/>
          <w:bCs/>
          <w:i/>
          <w:sz w:val="22"/>
          <w:szCs w:val="22"/>
        </w:rPr>
        <w:t xml:space="preserve">PARÁGRAFO 1. </w:t>
      </w:r>
      <w:r w:rsidRPr="0071112D">
        <w:rPr>
          <w:i/>
          <w:sz w:val="22"/>
          <w:szCs w:val="22"/>
        </w:rPr>
        <w:t xml:space="preserve">Todas aquéllas solicitudes de portación registradas con posterioridad al período establecido para el día hábil, se entenderán presentadas en el día hábil siguiente. En todo caso, el tiempo de portación no podrá superar los plazos contemplados en el CAPÍTULO 6 del TÍTULO II. </w:t>
      </w:r>
    </w:p>
    <w:p w:rsidR="00C52D05" w:rsidRPr="0071112D" w:rsidRDefault="00C52D05" w:rsidP="00C52D05">
      <w:pPr>
        <w:pStyle w:val="Default"/>
        <w:ind w:left="850" w:right="850"/>
        <w:jc w:val="both"/>
        <w:rPr>
          <w:i/>
          <w:sz w:val="22"/>
          <w:szCs w:val="22"/>
        </w:rPr>
      </w:pPr>
    </w:p>
    <w:p w:rsidR="00C52D05" w:rsidRPr="0071112D" w:rsidRDefault="00C52D05" w:rsidP="00C52D05">
      <w:pPr>
        <w:pStyle w:val="Default"/>
        <w:ind w:left="850" w:right="850"/>
        <w:jc w:val="both"/>
        <w:rPr>
          <w:i/>
          <w:sz w:val="22"/>
          <w:szCs w:val="22"/>
        </w:rPr>
      </w:pPr>
      <w:r w:rsidRPr="0071112D">
        <w:rPr>
          <w:b/>
          <w:bCs/>
          <w:i/>
          <w:sz w:val="22"/>
          <w:szCs w:val="22"/>
        </w:rPr>
        <w:t xml:space="preserve">PARÁGRAFO 2. </w:t>
      </w:r>
      <w:r w:rsidRPr="0071112D">
        <w:rPr>
          <w:i/>
          <w:sz w:val="22"/>
          <w:szCs w:val="22"/>
        </w:rPr>
        <w:t xml:space="preserve">La ventana de cambio podrá efectuarse fuera del tiempo máximo aquí señalado, en aquéllos casos en los que el Usuario que solicita la portación elija una fecha posterior a dicho plazo, el cual en todo caso deberá corresponder a un día hábil de la semana. La fecha indicada en la Solicitud de Portación por parte del Usuario para que se efectúe la Ventana de Cambio, no podrá ser mayor a treinta (30) días calendarios contados a partir de la fecha de la Solicitud de Portación. En todo caso, el Proveedor Receptor deberá informar al Usuario que la Ventana de Cambio podrá llevarse a cabo dentro de los tres (3) días hábiles anteriores a la fecha por él indicada. </w:t>
      </w:r>
    </w:p>
    <w:p w:rsidR="00C52D05" w:rsidRPr="0071112D" w:rsidRDefault="00C52D05" w:rsidP="00C52D05">
      <w:pPr>
        <w:pStyle w:val="Default"/>
        <w:ind w:left="850" w:right="850"/>
        <w:jc w:val="both"/>
        <w:rPr>
          <w:i/>
          <w:sz w:val="22"/>
          <w:szCs w:val="22"/>
        </w:rPr>
      </w:pPr>
    </w:p>
    <w:p w:rsidR="00C52D05" w:rsidRPr="0071112D" w:rsidRDefault="00C52D05" w:rsidP="00C52D05">
      <w:pPr>
        <w:pStyle w:val="Default"/>
        <w:ind w:left="850" w:right="850"/>
        <w:jc w:val="both"/>
        <w:rPr>
          <w:i/>
          <w:sz w:val="22"/>
          <w:szCs w:val="22"/>
        </w:rPr>
      </w:pPr>
      <w:r w:rsidRPr="0071112D">
        <w:rPr>
          <w:i/>
          <w:sz w:val="22"/>
          <w:szCs w:val="22"/>
        </w:rPr>
        <w:t xml:space="preserve">Para lo anterior, los Proveedores Donante y Receptor deben adelantar las gestiones necesarias para que la ventana de cambio se realice de manera tal que se lleve a cabo en las condiciones antes señaladas. </w:t>
      </w:r>
    </w:p>
    <w:p w:rsidR="00C52D05" w:rsidRPr="0071112D" w:rsidRDefault="00C52D05" w:rsidP="00C52D05">
      <w:pPr>
        <w:pStyle w:val="Default"/>
        <w:ind w:left="850" w:right="850"/>
        <w:jc w:val="both"/>
        <w:rPr>
          <w:i/>
          <w:sz w:val="22"/>
          <w:szCs w:val="22"/>
        </w:rPr>
      </w:pPr>
    </w:p>
    <w:p w:rsidR="00C52D05" w:rsidRPr="0071112D" w:rsidRDefault="00C52D05" w:rsidP="00C52D05">
      <w:pPr>
        <w:widowControl w:val="0"/>
        <w:spacing w:after="0" w:line="240" w:lineRule="auto"/>
        <w:ind w:left="850" w:right="850"/>
        <w:jc w:val="both"/>
        <w:rPr>
          <w:rFonts w:ascii="Arial" w:hAnsi="Arial" w:cs="Arial"/>
          <w:i/>
          <w:noProof/>
        </w:rPr>
      </w:pPr>
      <w:r w:rsidRPr="0071112D">
        <w:rPr>
          <w:rFonts w:ascii="Arial" w:hAnsi="Arial" w:cs="Arial"/>
          <w:i/>
        </w:rPr>
        <w:t xml:space="preserve">No </w:t>
      </w:r>
      <w:proofErr w:type="gramStart"/>
      <w:r w:rsidRPr="0071112D">
        <w:rPr>
          <w:rFonts w:ascii="Arial" w:hAnsi="Arial" w:cs="Arial"/>
          <w:i/>
        </w:rPr>
        <w:t>obstante</w:t>
      </w:r>
      <w:proofErr w:type="gramEnd"/>
      <w:r w:rsidRPr="0071112D">
        <w:rPr>
          <w:rFonts w:ascii="Arial" w:hAnsi="Arial" w:cs="Arial"/>
          <w:i/>
        </w:rPr>
        <w:t xml:space="preserve"> lo anterior, las demás etapas del proceso de portación, deberán surtirse dentro de los términos establecidos por la regulación”. </w:t>
      </w:r>
    </w:p>
    <w:p w:rsidR="00C52D05" w:rsidRPr="0071112D" w:rsidRDefault="00C52D05" w:rsidP="00C52D05">
      <w:pPr>
        <w:widowControl w:val="0"/>
        <w:spacing w:after="0" w:line="240" w:lineRule="auto"/>
        <w:ind w:left="567" w:right="338"/>
        <w:jc w:val="both"/>
        <w:rPr>
          <w:rFonts w:ascii="Arial" w:hAnsi="Arial" w:cs="Arial"/>
          <w:i/>
          <w:noProof/>
        </w:rPr>
      </w:pPr>
    </w:p>
    <w:p w:rsidR="00C52D05" w:rsidRPr="0071112D" w:rsidRDefault="00C52D05" w:rsidP="00113935">
      <w:pPr>
        <w:widowControl w:val="0"/>
        <w:spacing w:after="0" w:line="240" w:lineRule="auto"/>
        <w:ind w:left="144" w:right="144"/>
        <w:jc w:val="both"/>
        <w:rPr>
          <w:rFonts w:ascii="Arial" w:hAnsi="Arial" w:cs="Arial"/>
          <w:noProof/>
        </w:rPr>
      </w:pPr>
      <w:r w:rsidRPr="0071112D">
        <w:rPr>
          <w:rFonts w:ascii="Arial" w:hAnsi="Arial" w:cs="Arial"/>
          <w:noProof/>
        </w:rPr>
        <w:t>Para ilustrar lo anterior, se trae a colación el siguiente diagrama 1:</w:t>
      </w:r>
    </w:p>
    <w:p w:rsidR="00C52D05" w:rsidRPr="0071112D" w:rsidRDefault="00C52D05" w:rsidP="00C52D05">
      <w:pPr>
        <w:widowControl w:val="0"/>
        <w:spacing w:after="0" w:line="240" w:lineRule="auto"/>
        <w:jc w:val="both"/>
        <w:rPr>
          <w:rFonts w:ascii="Arial" w:hAnsi="Arial" w:cs="Arial"/>
          <w:noProof/>
        </w:rPr>
      </w:pPr>
    </w:p>
    <w:p w:rsidR="00C52D05" w:rsidRPr="0071112D" w:rsidRDefault="00C52D05" w:rsidP="00C52D05">
      <w:pPr>
        <w:widowControl w:val="0"/>
        <w:spacing w:after="0" w:line="240" w:lineRule="auto"/>
        <w:jc w:val="center"/>
        <w:rPr>
          <w:rFonts w:ascii="Arial" w:hAnsi="Arial" w:cs="Arial"/>
          <w:noProof/>
        </w:rPr>
      </w:pPr>
      <w:r w:rsidRPr="0071112D">
        <w:rPr>
          <w:noProof/>
          <w:lang w:val="en-US"/>
        </w:rPr>
        <w:drawing>
          <wp:inline distT="0" distB="0" distL="0" distR="0" wp14:anchorId="6EA240DD" wp14:editId="619F5F3C">
            <wp:extent cx="5611210" cy="2677885"/>
            <wp:effectExtent l="0" t="0" r="889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312" cy="2691296"/>
                    </a:xfrm>
                    <a:prstGeom prst="rect">
                      <a:avLst/>
                    </a:prstGeom>
                  </pic:spPr>
                </pic:pic>
              </a:graphicData>
            </a:graphic>
          </wp:inline>
        </w:drawing>
      </w:r>
    </w:p>
    <w:p w:rsidR="00C52D05" w:rsidRPr="0071112D" w:rsidRDefault="00C52D05" w:rsidP="00C52D05">
      <w:pPr>
        <w:spacing w:after="0" w:line="240" w:lineRule="auto"/>
        <w:jc w:val="center"/>
        <w:rPr>
          <w:rFonts w:ascii="Arial" w:hAnsi="Arial" w:cs="Arial"/>
          <w:i/>
          <w:sz w:val="18"/>
          <w:szCs w:val="18"/>
        </w:rPr>
      </w:pPr>
      <w:r w:rsidRPr="0071112D">
        <w:rPr>
          <w:rFonts w:ascii="Arial" w:hAnsi="Arial" w:cs="Arial"/>
          <w:b/>
          <w:sz w:val="18"/>
          <w:szCs w:val="18"/>
        </w:rPr>
        <w:lastRenderedPageBreak/>
        <w:t>Fuente:</w:t>
      </w:r>
      <w:r w:rsidRPr="0071112D">
        <w:rPr>
          <w:rFonts w:ascii="Arial" w:hAnsi="Arial" w:cs="Arial"/>
          <w:i/>
          <w:sz w:val="18"/>
          <w:szCs w:val="18"/>
        </w:rPr>
        <w:t xml:space="preserve"> </w:t>
      </w:r>
      <w:r w:rsidRPr="0071112D">
        <w:rPr>
          <w:rFonts w:ascii="Arial" w:hAnsi="Arial" w:cs="Arial"/>
          <w:sz w:val="18"/>
          <w:szCs w:val="18"/>
        </w:rPr>
        <w:t>“</w:t>
      </w:r>
      <w:r w:rsidRPr="0071112D">
        <w:rPr>
          <w:rFonts w:ascii="Arial" w:hAnsi="Arial" w:cs="Arial"/>
          <w:i/>
          <w:sz w:val="18"/>
          <w:szCs w:val="18"/>
        </w:rPr>
        <w:t>Revisión de los Regímenes de Portabilidad Numérica Móvil y Compensación automática por llamadas caídas” Comisión de Regulación de Comunicaciones</w:t>
      </w:r>
      <w:r w:rsidRPr="0071112D">
        <w:rPr>
          <w:rStyle w:val="Refdenotaalpie"/>
          <w:rFonts w:ascii="Arial" w:hAnsi="Arial" w:cs="Arial"/>
          <w:sz w:val="18"/>
          <w:szCs w:val="18"/>
        </w:rPr>
        <w:footnoteReference w:id="2"/>
      </w:r>
      <w:r w:rsidRPr="0071112D">
        <w:rPr>
          <w:rFonts w:ascii="Arial" w:hAnsi="Arial" w:cs="Arial"/>
          <w:i/>
          <w:sz w:val="18"/>
          <w:szCs w:val="18"/>
        </w:rPr>
        <w:t>.</w:t>
      </w:r>
    </w:p>
    <w:p w:rsidR="00C52D05" w:rsidRPr="0071112D" w:rsidRDefault="00C52D05" w:rsidP="00C52D05">
      <w:pPr>
        <w:widowControl w:val="0"/>
        <w:spacing w:after="0" w:line="240" w:lineRule="auto"/>
        <w:jc w:val="both"/>
        <w:rPr>
          <w:rFonts w:ascii="Arial" w:hAnsi="Arial" w:cs="Arial"/>
          <w:noProof/>
        </w:rPr>
      </w:pPr>
    </w:p>
    <w:p w:rsidR="00C52D05" w:rsidRPr="0071112D" w:rsidRDefault="00C52D05" w:rsidP="00113935">
      <w:pPr>
        <w:widowControl w:val="0"/>
        <w:spacing w:after="0" w:line="240" w:lineRule="auto"/>
        <w:ind w:left="144" w:right="144"/>
        <w:jc w:val="both"/>
        <w:rPr>
          <w:rFonts w:ascii="Arial" w:hAnsi="Arial" w:cs="Arial"/>
          <w:noProof/>
          <w:sz w:val="24"/>
          <w:szCs w:val="24"/>
        </w:rPr>
      </w:pPr>
      <w:r w:rsidRPr="0071112D">
        <w:rPr>
          <w:rFonts w:ascii="Arial" w:hAnsi="Arial" w:cs="Arial"/>
          <w:noProof/>
          <w:sz w:val="24"/>
          <w:szCs w:val="24"/>
        </w:rPr>
        <w:t xml:space="preserve">De igual manera la sección 17 de </w:t>
      </w:r>
      <w:r w:rsidRPr="0071112D">
        <w:rPr>
          <w:rFonts w:ascii="Arial" w:hAnsi="Arial" w:cs="Arial"/>
          <w:sz w:val="24"/>
          <w:szCs w:val="24"/>
          <w:lang w:eastAsia="es-CO"/>
        </w:rPr>
        <w:t>la Resolución CRC 5050 de 2016, modificada por el artículo 1° de la Resolución CRC 5111 de 2017</w:t>
      </w:r>
      <w:r w:rsidRPr="0071112D">
        <w:rPr>
          <w:rStyle w:val="Refdenotaalpie"/>
          <w:rFonts w:ascii="Arial" w:hAnsi="Arial" w:cs="Arial"/>
          <w:sz w:val="24"/>
          <w:szCs w:val="24"/>
          <w:lang w:eastAsia="es-CO"/>
        </w:rPr>
        <w:footnoteReference w:id="3"/>
      </w:r>
      <w:r w:rsidRPr="0071112D">
        <w:rPr>
          <w:rFonts w:ascii="Arial" w:hAnsi="Arial" w:cs="Arial"/>
          <w:noProof/>
          <w:sz w:val="24"/>
          <w:szCs w:val="24"/>
        </w:rPr>
        <w:t>, al respecto señala:</w:t>
      </w:r>
    </w:p>
    <w:p w:rsidR="00C52D05" w:rsidRPr="0071112D" w:rsidRDefault="00C52D05" w:rsidP="00C52D05">
      <w:pPr>
        <w:widowControl w:val="0"/>
        <w:spacing w:after="0" w:line="240" w:lineRule="auto"/>
        <w:ind w:right="850"/>
        <w:jc w:val="both"/>
        <w:rPr>
          <w:rFonts w:ascii="Arial" w:hAnsi="Arial" w:cs="Arial"/>
          <w:i/>
          <w:noProof/>
        </w:rPr>
      </w:pPr>
    </w:p>
    <w:p w:rsidR="00C52D05" w:rsidRPr="0071112D" w:rsidRDefault="00C52D05" w:rsidP="00C52D05">
      <w:pPr>
        <w:shd w:val="clear" w:color="auto" w:fill="FFFFFF"/>
        <w:tabs>
          <w:tab w:val="left" w:pos="7938"/>
        </w:tabs>
        <w:spacing w:after="0" w:line="240" w:lineRule="auto"/>
        <w:ind w:left="851" w:right="900"/>
        <w:jc w:val="both"/>
        <w:rPr>
          <w:rFonts w:ascii="Arial" w:hAnsi="Arial" w:cs="Arial"/>
          <w:bCs/>
          <w:i/>
          <w:iCs/>
          <w:lang w:val="es-MX" w:eastAsia="es-CO"/>
        </w:rPr>
      </w:pPr>
      <w:r w:rsidRPr="0071112D">
        <w:rPr>
          <w:rFonts w:ascii="Arial" w:hAnsi="Arial" w:cs="Arial"/>
          <w:b/>
          <w:bCs/>
          <w:i/>
          <w:iCs/>
          <w:lang w:val="es-MX" w:eastAsia="es-CO"/>
        </w:rPr>
        <w:t xml:space="preserve">“Artículo 1. </w:t>
      </w:r>
      <w:r w:rsidRPr="0071112D">
        <w:rPr>
          <w:rFonts w:ascii="Arial" w:hAnsi="Arial" w:cs="Arial"/>
          <w:bCs/>
          <w:i/>
          <w:iCs/>
          <w:lang w:val="es-MX" w:eastAsia="es-CO"/>
        </w:rPr>
        <w:t>Modificar el Capítulo 1 del Título II de la Resolución CRC 5050 de 2016, el cual quedará de la siguiente manera:</w:t>
      </w:r>
    </w:p>
    <w:p w:rsidR="00C52D05" w:rsidRPr="0071112D" w:rsidRDefault="00C52D05" w:rsidP="00C52D05">
      <w:pPr>
        <w:shd w:val="clear" w:color="auto" w:fill="FFFFFF"/>
        <w:tabs>
          <w:tab w:val="left" w:pos="7938"/>
        </w:tabs>
        <w:spacing w:after="0" w:line="240" w:lineRule="auto"/>
        <w:ind w:left="851" w:right="900" w:firstLine="708"/>
        <w:jc w:val="both"/>
        <w:rPr>
          <w:rFonts w:ascii="Arial" w:hAnsi="Arial" w:cs="Arial"/>
          <w:bCs/>
          <w:i/>
          <w:iCs/>
          <w:lang w:val="es-MX" w:eastAsia="es-CO"/>
        </w:rPr>
      </w:pP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r w:rsidRPr="0071112D">
        <w:rPr>
          <w:rFonts w:ascii="Arial" w:hAnsi="Arial" w:cs="Arial"/>
          <w:bCs/>
          <w:i/>
          <w:iCs/>
          <w:lang w:val="es-MX" w:eastAsia="es-CO"/>
        </w:rPr>
        <w:t>‘</w:t>
      </w:r>
      <w:r w:rsidRPr="0071112D">
        <w:rPr>
          <w:rFonts w:ascii="Arial" w:hAnsi="Arial" w:cs="Arial"/>
          <w:b/>
          <w:bCs/>
          <w:i/>
          <w:iCs/>
          <w:lang w:val="es-MX" w:eastAsia="es-CO"/>
        </w:rPr>
        <w:t>CAPÍTULO 1</w:t>
      </w: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r w:rsidRPr="0071112D">
        <w:rPr>
          <w:rFonts w:ascii="Arial" w:hAnsi="Arial" w:cs="Arial"/>
          <w:b/>
          <w:bCs/>
          <w:i/>
          <w:iCs/>
          <w:lang w:val="es-MX" w:eastAsia="es-CO"/>
        </w:rPr>
        <w:t>RÉGIMEN DE PROTECCIÓN DE LOS DERECHOS DE LOS USUARIOS DE SERVICIOS DE COMUNICACIONES.</w:t>
      </w: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p>
    <w:p w:rsidR="00C52D05" w:rsidRPr="0071112D" w:rsidRDefault="00C52D05" w:rsidP="00C52D05">
      <w:pPr>
        <w:shd w:val="clear" w:color="auto" w:fill="FFFFFF"/>
        <w:tabs>
          <w:tab w:val="left" w:pos="7938"/>
        </w:tabs>
        <w:spacing w:after="0" w:line="240" w:lineRule="auto"/>
        <w:ind w:left="851" w:right="900"/>
        <w:rPr>
          <w:rFonts w:ascii="Arial" w:hAnsi="Arial" w:cs="Arial"/>
          <w:i/>
          <w:iCs/>
          <w:lang w:val="es-MX" w:eastAsia="es-CO"/>
        </w:rPr>
      </w:pPr>
      <w:r w:rsidRPr="0071112D">
        <w:rPr>
          <w:rFonts w:ascii="Arial" w:hAnsi="Arial" w:cs="Arial"/>
          <w:i/>
          <w:iCs/>
          <w:lang w:val="es-MX" w:eastAsia="es-CO"/>
        </w:rPr>
        <w:t>(…)</w:t>
      </w: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r w:rsidRPr="0071112D">
        <w:rPr>
          <w:rFonts w:ascii="Arial" w:hAnsi="Arial" w:cs="Arial"/>
          <w:b/>
          <w:bCs/>
          <w:i/>
          <w:iCs/>
          <w:lang w:val="es-MX" w:eastAsia="es-CO"/>
        </w:rPr>
        <w:t>SECCIÓN 17. PORTACIÓN DEL NÚMERO DE LA LÍNEA DE TELEFONÍA MÓVIL</w:t>
      </w:r>
    </w:p>
    <w:p w:rsidR="00C52D05" w:rsidRPr="0071112D" w:rsidRDefault="00C52D05" w:rsidP="00C52D05">
      <w:pPr>
        <w:shd w:val="clear" w:color="auto" w:fill="FFFFFF"/>
        <w:tabs>
          <w:tab w:val="left" w:pos="7938"/>
        </w:tabs>
        <w:spacing w:after="0" w:line="240" w:lineRule="auto"/>
        <w:ind w:left="851" w:right="900"/>
        <w:jc w:val="center"/>
        <w:rPr>
          <w:rFonts w:ascii="Arial" w:hAnsi="Arial" w:cs="Arial"/>
          <w:b/>
          <w:bCs/>
          <w:i/>
          <w:iCs/>
          <w:lang w:val="es-MX" w:eastAsia="es-CO"/>
        </w:rPr>
      </w:pP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lang w:eastAsia="es-CO"/>
        </w:rPr>
      </w:pPr>
      <w:r w:rsidRPr="0071112D">
        <w:rPr>
          <w:rFonts w:ascii="Arial" w:hAnsi="Arial" w:cs="Arial"/>
          <w:b/>
          <w:bCs/>
          <w:i/>
          <w:color w:val="000000" w:themeColor="text1"/>
          <w:lang w:eastAsia="es-CO"/>
        </w:rPr>
        <w:t>ARTÍCULO. 2.1.17.1. SOLICITUD DE PORTACIÓN.</w:t>
      </w:r>
      <w:r w:rsidRPr="0071112D">
        <w:rPr>
          <w:rFonts w:ascii="Arial" w:hAnsi="Arial" w:cs="Arial"/>
          <w:i/>
          <w:color w:val="000000" w:themeColor="text1"/>
          <w:lang w:eastAsia="es-CO"/>
        </w:rPr>
        <w:t> Cuando el usuario desee cambiar de operador manteniendo su número de celular, podrá solicitar ante el nuevo operador (operador receptor) la portación de dicho número.</w:t>
      </w: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lang w:eastAsia="es-CO"/>
        </w:rPr>
      </w:pP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lang w:eastAsia="es-CO"/>
        </w:rPr>
      </w:pPr>
      <w:r w:rsidRPr="0071112D">
        <w:rPr>
          <w:rFonts w:ascii="Arial" w:hAnsi="Arial" w:cs="Arial"/>
          <w:b/>
          <w:bCs/>
          <w:i/>
          <w:color w:val="000000" w:themeColor="text1"/>
          <w:lang w:eastAsia="es-CO"/>
        </w:rPr>
        <w:t>ARTÍCULO. 2.1.17.2. INFORMACIÓN DE PORTACIÓN.</w:t>
      </w:r>
      <w:r w:rsidRPr="0071112D">
        <w:rPr>
          <w:rFonts w:ascii="Arial" w:hAnsi="Arial" w:cs="Arial"/>
          <w:i/>
          <w:color w:val="000000" w:themeColor="text1"/>
          <w:lang w:eastAsia="es-CO"/>
        </w:rPr>
        <w:t> El usuario podrá solicitar al operador receptor información frente al estado de su trámite de portación, a través de cualquiera de los medios de atención.</w:t>
      </w: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u w:val="single"/>
          <w:lang w:eastAsia="es-CO"/>
        </w:rPr>
      </w:pPr>
      <w:r w:rsidRPr="0071112D">
        <w:rPr>
          <w:rFonts w:ascii="Arial" w:hAnsi="Arial" w:cs="Arial"/>
          <w:b/>
          <w:bCs/>
          <w:i/>
          <w:color w:val="000000" w:themeColor="text1"/>
          <w:lang w:eastAsia="es-CO"/>
        </w:rPr>
        <w:t>ARTÍCULO. 2.1.17.3. TRÁMITE DE PORTACIÓN</w:t>
      </w:r>
      <w:r w:rsidRPr="0071112D">
        <w:rPr>
          <w:rFonts w:ascii="Arial" w:hAnsi="Arial" w:cs="Arial"/>
          <w:b/>
          <w:bCs/>
          <w:i/>
          <w:color w:val="000000" w:themeColor="text1"/>
          <w:u w:val="single"/>
          <w:lang w:eastAsia="es-CO"/>
        </w:rPr>
        <w:t>.</w:t>
      </w:r>
      <w:r w:rsidRPr="0071112D">
        <w:rPr>
          <w:rFonts w:ascii="Arial" w:hAnsi="Arial" w:cs="Arial"/>
          <w:i/>
          <w:color w:val="000000" w:themeColor="text1"/>
          <w:u w:val="single"/>
          <w:lang w:eastAsia="es-CO"/>
        </w:rPr>
        <w:t> El usuario podrá elegir el día hábil a partir del cual se hará efectiva la portación. El plazo máximo de portación será de 3 días hábiles.</w:t>
      </w: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lang w:eastAsia="es-CO"/>
        </w:rPr>
      </w:pPr>
    </w:p>
    <w:p w:rsidR="00C52D05" w:rsidRPr="0071112D" w:rsidRDefault="00C52D05" w:rsidP="00C52D05">
      <w:pPr>
        <w:shd w:val="clear" w:color="auto" w:fill="FFFFFF"/>
        <w:spacing w:after="0" w:line="240" w:lineRule="auto"/>
        <w:ind w:left="850" w:right="850"/>
        <w:jc w:val="both"/>
        <w:rPr>
          <w:rFonts w:ascii="Arial" w:hAnsi="Arial" w:cs="Arial"/>
          <w:i/>
          <w:noProof/>
          <w:color w:val="000000" w:themeColor="text1"/>
        </w:rPr>
      </w:pPr>
      <w:r w:rsidRPr="0071112D">
        <w:rPr>
          <w:rFonts w:ascii="Arial" w:hAnsi="Arial" w:cs="Arial"/>
          <w:b/>
          <w:bCs/>
          <w:i/>
          <w:color w:val="000000" w:themeColor="text1"/>
          <w:lang w:eastAsia="es-CO"/>
        </w:rPr>
        <w:t>ARTÍCULO. 2.1.17.4. PAGO DE OBLIGACIONES PENDIENTES. </w:t>
      </w:r>
      <w:r w:rsidRPr="0071112D">
        <w:rPr>
          <w:rFonts w:ascii="Arial" w:hAnsi="Arial" w:cs="Arial"/>
          <w:i/>
          <w:color w:val="000000" w:themeColor="text1"/>
          <w:lang w:eastAsia="es-CO"/>
        </w:rPr>
        <w:t>La portación del número no se hará efectiva a menos que el usuario haya pagado todas las obligaciones únicamente asociadas al servicio cuyo plazo se encuentre vencido al momento de presentar la solicitud. Esto sin perjuicio de las demás sumas que se puedan generar hasta que se produzca la portación de su número</w:t>
      </w:r>
      <w:r w:rsidRPr="0071112D">
        <w:rPr>
          <w:rFonts w:ascii="Arial" w:hAnsi="Arial" w:cs="Arial"/>
          <w:i/>
          <w:noProof/>
          <w:color w:val="000000" w:themeColor="text1"/>
        </w:rPr>
        <w:t>.</w:t>
      </w:r>
    </w:p>
    <w:p w:rsidR="00C52D05" w:rsidRPr="0071112D" w:rsidRDefault="00C52D05" w:rsidP="00C52D05">
      <w:pPr>
        <w:shd w:val="clear" w:color="auto" w:fill="FFFFFF"/>
        <w:spacing w:after="0" w:line="240" w:lineRule="auto"/>
        <w:ind w:left="850" w:right="850"/>
        <w:jc w:val="both"/>
        <w:rPr>
          <w:rFonts w:ascii="Arial" w:hAnsi="Arial" w:cs="Arial"/>
          <w:i/>
          <w:color w:val="000000" w:themeColor="text1"/>
          <w:lang w:eastAsia="es-CO"/>
        </w:rPr>
      </w:pPr>
    </w:p>
    <w:p w:rsidR="00C52D05" w:rsidRPr="0071112D" w:rsidRDefault="00C52D05" w:rsidP="00C52D05">
      <w:pPr>
        <w:widowControl w:val="0"/>
        <w:spacing w:after="0" w:line="240" w:lineRule="auto"/>
        <w:ind w:left="850" w:right="850"/>
        <w:jc w:val="both"/>
        <w:rPr>
          <w:rFonts w:ascii="Arial" w:hAnsi="Arial" w:cs="Arial"/>
          <w:i/>
          <w:iCs/>
          <w:color w:val="000000" w:themeColor="text1"/>
        </w:rPr>
      </w:pPr>
      <w:r w:rsidRPr="0071112D">
        <w:rPr>
          <w:rFonts w:ascii="Arial" w:hAnsi="Arial" w:cs="Arial"/>
          <w:i/>
          <w:iCs/>
          <w:color w:val="000000" w:themeColor="text1"/>
        </w:rPr>
        <w:t>(…)</w:t>
      </w:r>
      <w:r w:rsidRPr="0071112D">
        <w:rPr>
          <w:rFonts w:ascii="Arial" w:hAnsi="Arial" w:cs="Arial"/>
          <w:i/>
          <w:color w:val="000000" w:themeColor="text1"/>
        </w:rPr>
        <w:t>” (Destacado fuera de texto)</w:t>
      </w:r>
    </w:p>
    <w:p w:rsidR="00C52D05" w:rsidRPr="0071112D" w:rsidRDefault="00C52D05" w:rsidP="00113935">
      <w:pPr>
        <w:shd w:val="clear" w:color="auto" w:fill="FFFFFF"/>
        <w:spacing w:after="0" w:line="240" w:lineRule="auto"/>
        <w:ind w:left="144" w:right="144"/>
        <w:jc w:val="both"/>
        <w:rPr>
          <w:rFonts w:ascii="Arial" w:hAnsi="Arial" w:cs="Arial"/>
          <w:i/>
          <w:color w:val="333333"/>
          <w:lang w:eastAsia="es-CO"/>
        </w:rPr>
      </w:pPr>
    </w:p>
    <w:p w:rsidR="00C52D05" w:rsidRPr="0071112D" w:rsidRDefault="00C52D05" w:rsidP="00113935">
      <w:pPr>
        <w:widowControl w:val="0"/>
        <w:spacing w:after="0" w:line="240" w:lineRule="auto"/>
        <w:ind w:left="144" w:right="144"/>
        <w:jc w:val="both"/>
        <w:rPr>
          <w:rFonts w:ascii="Arial" w:hAnsi="Arial" w:cs="Arial"/>
          <w:sz w:val="24"/>
          <w:szCs w:val="24"/>
        </w:rPr>
      </w:pPr>
      <w:r w:rsidRPr="0071112D">
        <w:rPr>
          <w:rFonts w:ascii="Arial" w:hAnsi="Arial" w:cs="Arial"/>
          <w:iCs/>
          <w:sz w:val="24"/>
          <w:szCs w:val="24"/>
        </w:rPr>
        <w:t xml:space="preserve">De lo anterior se colige, que ante la solicitud de portación elevada, el operador receptor lo primero que debe solicitar es (i) la </w:t>
      </w:r>
      <w:r w:rsidRPr="0071112D">
        <w:rPr>
          <w:rFonts w:ascii="Arial" w:hAnsi="Arial" w:cs="Arial"/>
          <w:sz w:val="24"/>
          <w:szCs w:val="24"/>
        </w:rPr>
        <w:t>Generación del NIP</w:t>
      </w:r>
      <w:r w:rsidRPr="0071112D">
        <w:rPr>
          <w:rStyle w:val="Refdenotaalpie"/>
          <w:rFonts w:ascii="Arial" w:hAnsi="Arial" w:cs="Arial"/>
          <w:sz w:val="24"/>
          <w:szCs w:val="24"/>
        </w:rPr>
        <w:footnoteReference w:id="4"/>
      </w:r>
      <w:r w:rsidRPr="0071112D">
        <w:rPr>
          <w:rFonts w:ascii="Arial" w:hAnsi="Arial" w:cs="Arial"/>
          <w:sz w:val="24"/>
          <w:szCs w:val="24"/>
        </w:rPr>
        <w:t xml:space="preserve"> de confirmación, el cual debe ser asignado por el ABD</w:t>
      </w:r>
      <w:r w:rsidRPr="0071112D">
        <w:rPr>
          <w:rStyle w:val="Refdenotaalpie"/>
          <w:rFonts w:ascii="Arial" w:hAnsi="Arial" w:cs="Arial"/>
          <w:sz w:val="24"/>
          <w:szCs w:val="24"/>
        </w:rPr>
        <w:footnoteReference w:id="5"/>
      </w:r>
      <w:r w:rsidRPr="0071112D">
        <w:rPr>
          <w:rFonts w:ascii="Arial" w:hAnsi="Arial" w:cs="Arial"/>
          <w:sz w:val="24"/>
          <w:szCs w:val="24"/>
        </w:rPr>
        <w:t>, (ii) lo que conlleva a solicitar la portabilidad por parte del usuario al operador receptor</w:t>
      </w:r>
      <w:r w:rsidRPr="0071112D">
        <w:rPr>
          <w:rStyle w:val="Refdenotaalpie"/>
          <w:rFonts w:ascii="Arial" w:hAnsi="Arial" w:cs="Arial"/>
          <w:sz w:val="24"/>
          <w:szCs w:val="24"/>
        </w:rPr>
        <w:footnoteReference w:id="6"/>
      </w:r>
      <w:r w:rsidRPr="0071112D">
        <w:rPr>
          <w:rFonts w:ascii="Arial" w:hAnsi="Arial" w:cs="Arial"/>
          <w:sz w:val="24"/>
          <w:szCs w:val="24"/>
        </w:rPr>
        <w:t>; (iii) posteriormente el ABD verifica la solicitud realizada por el operador receptor, y luego, (iv) el operador Donante</w:t>
      </w:r>
      <w:r w:rsidRPr="0071112D">
        <w:rPr>
          <w:rStyle w:val="Refdenotaalpie"/>
          <w:rFonts w:ascii="Arial" w:hAnsi="Arial" w:cs="Arial"/>
          <w:sz w:val="24"/>
          <w:szCs w:val="24"/>
        </w:rPr>
        <w:footnoteReference w:id="7"/>
      </w:r>
      <w:r w:rsidRPr="0071112D">
        <w:rPr>
          <w:rFonts w:ascii="Arial" w:hAnsi="Arial" w:cs="Arial"/>
          <w:sz w:val="24"/>
          <w:szCs w:val="24"/>
        </w:rPr>
        <w:t xml:space="preserve"> debe indicar si acepta o rechaza la solicitud realizada por el operador receptor; (v) aceptada la portabilidad se genera la desactivación del servicio en el operador donante y se activa en el operador receptor, tiempo en el cual el usuario estará sin servicio; por último,  (vi) se generará la activación del número portado en el nuevo operador. Todo el proceso previamente descrito se debe llevar a cabo en un terminó de tres (3) días hábiles.</w:t>
      </w:r>
    </w:p>
    <w:p w:rsidR="00C52D05" w:rsidRPr="0071112D" w:rsidRDefault="00C52D05" w:rsidP="00113935">
      <w:pPr>
        <w:widowControl w:val="0"/>
        <w:spacing w:after="0" w:line="240" w:lineRule="auto"/>
        <w:ind w:left="144" w:right="144"/>
        <w:jc w:val="both"/>
        <w:rPr>
          <w:rFonts w:ascii="Arial" w:hAnsi="Arial" w:cs="Arial"/>
          <w:sz w:val="24"/>
          <w:szCs w:val="24"/>
        </w:rPr>
      </w:pPr>
    </w:p>
    <w:p w:rsidR="00C52D05" w:rsidRPr="0071112D" w:rsidRDefault="00C52D05" w:rsidP="00113935">
      <w:pPr>
        <w:widowControl w:val="0"/>
        <w:spacing w:after="0" w:line="240" w:lineRule="auto"/>
        <w:ind w:left="144" w:right="144"/>
        <w:jc w:val="both"/>
        <w:rPr>
          <w:rFonts w:ascii="Arial" w:hAnsi="Arial" w:cs="Arial"/>
          <w:sz w:val="24"/>
          <w:szCs w:val="24"/>
        </w:rPr>
      </w:pPr>
      <w:r w:rsidRPr="0071112D">
        <w:rPr>
          <w:rFonts w:ascii="Arial" w:hAnsi="Arial" w:cs="Arial"/>
          <w:sz w:val="24"/>
          <w:szCs w:val="24"/>
        </w:rPr>
        <w:t>De otra parte, el artículo 2.6.4.7 de la Resolución CRC 5050 de 2016, enumera de forma taxativa las causales de rechazo de la solicitud de portación, en los siguientes términos:</w:t>
      </w:r>
    </w:p>
    <w:p w:rsidR="00C52D05" w:rsidRPr="0071112D" w:rsidRDefault="00C52D05" w:rsidP="00C52D05">
      <w:pPr>
        <w:widowControl w:val="0"/>
        <w:spacing w:after="0" w:line="240" w:lineRule="auto"/>
        <w:jc w:val="both"/>
        <w:rPr>
          <w:rFonts w:ascii="Arial" w:hAnsi="Arial" w:cs="Arial"/>
        </w:rPr>
      </w:pPr>
    </w:p>
    <w:p w:rsidR="00C52D05" w:rsidRPr="0071112D" w:rsidRDefault="00C52D05" w:rsidP="00C52D05">
      <w:pPr>
        <w:pStyle w:val="Default"/>
        <w:ind w:left="850" w:right="850"/>
        <w:jc w:val="both"/>
        <w:rPr>
          <w:i/>
          <w:sz w:val="22"/>
          <w:szCs w:val="22"/>
        </w:rPr>
      </w:pPr>
      <w:r w:rsidRPr="0071112D">
        <w:rPr>
          <w:i/>
          <w:sz w:val="22"/>
          <w:szCs w:val="22"/>
        </w:rPr>
        <w:lastRenderedPageBreak/>
        <w:t>“</w:t>
      </w:r>
      <w:r w:rsidRPr="0071112D">
        <w:rPr>
          <w:b/>
          <w:bCs/>
          <w:i/>
          <w:sz w:val="22"/>
          <w:szCs w:val="22"/>
        </w:rPr>
        <w:t xml:space="preserve">ARTÍCULO 2.6.4.7. ACEPTACIÓN O RECHAZO POR PARTE DEL PROVEEDOR DONANTE. </w:t>
      </w:r>
      <w:r w:rsidRPr="0071112D">
        <w:rPr>
          <w:i/>
          <w:sz w:val="22"/>
          <w:szCs w:val="22"/>
        </w:rPr>
        <w:t xml:space="preserve">El Proveedor Donante dispondrá de un plazo máximo de un (1) día hábil, contado desde el momento en que recibe la Solicitud de Portación por parte del ABD, para aceptar o rechazar la misma. En todo caso, vencido este plazo, si el ABD no recibe respuesta del Proveedor Donante, se entenderá aceptada la Solicitud de Portación por parte de este último y se continuará el Proceso de Portación. </w:t>
      </w:r>
    </w:p>
    <w:p w:rsidR="00C52D05" w:rsidRPr="0071112D" w:rsidRDefault="00C52D05" w:rsidP="00C52D05">
      <w:pPr>
        <w:pStyle w:val="Default"/>
        <w:ind w:left="850" w:right="850"/>
        <w:jc w:val="both"/>
        <w:rPr>
          <w:i/>
          <w:sz w:val="22"/>
          <w:szCs w:val="22"/>
        </w:rPr>
      </w:pPr>
    </w:p>
    <w:p w:rsidR="00C52D05" w:rsidRPr="0071112D" w:rsidRDefault="00C52D05" w:rsidP="00C52D05">
      <w:pPr>
        <w:pStyle w:val="Default"/>
        <w:ind w:left="850" w:right="850"/>
        <w:jc w:val="both"/>
        <w:rPr>
          <w:i/>
          <w:sz w:val="22"/>
          <w:szCs w:val="22"/>
        </w:rPr>
      </w:pPr>
      <w:r w:rsidRPr="0071112D">
        <w:rPr>
          <w:i/>
          <w:sz w:val="22"/>
          <w:szCs w:val="22"/>
        </w:rPr>
        <w:t xml:space="preserve">El Proveedor Donante solamente podrá rechazar la Solicitud de Portación en los siguientes casos: </w:t>
      </w:r>
    </w:p>
    <w:p w:rsidR="00C52D05" w:rsidRPr="0071112D" w:rsidRDefault="00C52D05" w:rsidP="00C52D05">
      <w:pPr>
        <w:pStyle w:val="Default"/>
        <w:ind w:left="850" w:right="850"/>
        <w:jc w:val="both"/>
        <w:rPr>
          <w:i/>
          <w:sz w:val="22"/>
          <w:szCs w:val="22"/>
        </w:rPr>
      </w:pPr>
    </w:p>
    <w:p w:rsidR="00C52D05" w:rsidRPr="0071112D" w:rsidRDefault="00C52D05" w:rsidP="00C52D05">
      <w:pPr>
        <w:pStyle w:val="Default"/>
        <w:ind w:left="850" w:right="850"/>
        <w:jc w:val="both"/>
        <w:rPr>
          <w:i/>
          <w:sz w:val="22"/>
          <w:szCs w:val="22"/>
          <w:u w:val="single"/>
        </w:rPr>
      </w:pPr>
      <w:r w:rsidRPr="0071112D">
        <w:rPr>
          <w:i/>
          <w:sz w:val="22"/>
          <w:szCs w:val="22"/>
          <w:u w:val="single"/>
        </w:rPr>
        <w:t xml:space="preserve">2.6.4.7.1. Cuando tratándose de servicios en la modalidad de </w:t>
      </w:r>
      <w:proofErr w:type="spellStart"/>
      <w:r w:rsidRPr="0071112D">
        <w:rPr>
          <w:i/>
          <w:sz w:val="22"/>
          <w:szCs w:val="22"/>
          <w:u w:val="single"/>
        </w:rPr>
        <w:t>pospago</w:t>
      </w:r>
      <w:proofErr w:type="spellEnd"/>
      <w:r w:rsidRPr="0071112D">
        <w:rPr>
          <w:i/>
          <w:sz w:val="22"/>
          <w:szCs w:val="22"/>
          <w:u w:val="single"/>
        </w:rPr>
        <w:t xml:space="preserve"> el solicitante no es el suscriptor del contrato del servicio de telecomunicaciones o la persona autorizada por éste. </w:t>
      </w:r>
    </w:p>
    <w:p w:rsidR="00C52D05" w:rsidRPr="0071112D" w:rsidRDefault="00C52D05" w:rsidP="00C52D05">
      <w:pPr>
        <w:pStyle w:val="Default"/>
        <w:ind w:left="850" w:right="850"/>
        <w:jc w:val="both"/>
        <w:rPr>
          <w:i/>
          <w:sz w:val="22"/>
          <w:szCs w:val="22"/>
          <w:u w:val="single"/>
        </w:rPr>
      </w:pPr>
    </w:p>
    <w:p w:rsidR="00C52D05" w:rsidRPr="0071112D" w:rsidRDefault="00C52D05" w:rsidP="00C52D05">
      <w:pPr>
        <w:pStyle w:val="Default"/>
        <w:ind w:left="850" w:right="850"/>
        <w:jc w:val="both"/>
        <w:rPr>
          <w:i/>
          <w:sz w:val="22"/>
          <w:szCs w:val="22"/>
          <w:u w:val="single"/>
        </w:rPr>
      </w:pPr>
      <w:r w:rsidRPr="0071112D">
        <w:rPr>
          <w:i/>
          <w:sz w:val="22"/>
          <w:szCs w:val="22"/>
          <w:u w:val="single"/>
        </w:rPr>
        <w:t xml:space="preserve">2.6.4.7.2. Cuando el número portado se encuentre reportado como extraviado o hurtado ante el Proveedor Donante, siempre y cuando éste no haya realizado la reposición de la SIMCARD al usuario. </w:t>
      </w:r>
    </w:p>
    <w:p w:rsidR="00C52D05" w:rsidRPr="0071112D" w:rsidRDefault="00C52D05" w:rsidP="00C52D05">
      <w:pPr>
        <w:pStyle w:val="Default"/>
        <w:ind w:left="850" w:right="850"/>
        <w:jc w:val="both"/>
        <w:rPr>
          <w:i/>
          <w:sz w:val="22"/>
          <w:szCs w:val="22"/>
          <w:u w:val="single"/>
        </w:rPr>
      </w:pPr>
    </w:p>
    <w:p w:rsidR="00C52D05" w:rsidRPr="0071112D" w:rsidRDefault="00C52D05" w:rsidP="00C52D05">
      <w:pPr>
        <w:pStyle w:val="Default"/>
        <w:ind w:left="850" w:right="850"/>
        <w:jc w:val="both"/>
        <w:rPr>
          <w:i/>
          <w:sz w:val="22"/>
          <w:szCs w:val="22"/>
          <w:u w:val="single"/>
        </w:rPr>
      </w:pPr>
      <w:r w:rsidRPr="0071112D">
        <w:rPr>
          <w:i/>
          <w:sz w:val="22"/>
          <w:szCs w:val="22"/>
          <w:u w:val="single"/>
        </w:rPr>
        <w:t xml:space="preserve">2.6.4.7.3. Cuando el número portado haya sido desactivado por fraude. </w:t>
      </w:r>
    </w:p>
    <w:p w:rsidR="00C52D05" w:rsidRPr="0071112D" w:rsidRDefault="00C52D05" w:rsidP="00C52D05">
      <w:pPr>
        <w:pStyle w:val="Default"/>
        <w:ind w:left="850" w:right="850"/>
        <w:jc w:val="both"/>
        <w:rPr>
          <w:i/>
          <w:sz w:val="22"/>
          <w:szCs w:val="22"/>
          <w:u w:val="single"/>
        </w:rPr>
      </w:pPr>
    </w:p>
    <w:p w:rsidR="00C52D05" w:rsidRPr="0071112D" w:rsidRDefault="00C52D05" w:rsidP="00C52D05">
      <w:pPr>
        <w:pStyle w:val="Default"/>
        <w:ind w:left="850" w:right="850"/>
        <w:jc w:val="both"/>
        <w:rPr>
          <w:i/>
          <w:sz w:val="22"/>
          <w:szCs w:val="22"/>
          <w:u w:val="single"/>
        </w:rPr>
      </w:pPr>
      <w:r w:rsidRPr="0071112D">
        <w:rPr>
          <w:i/>
          <w:sz w:val="22"/>
          <w:szCs w:val="22"/>
          <w:u w:val="single"/>
        </w:rPr>
        <w:t xml:space="preserve">2.6.4.7.4. Cuando el número a ser portado se encuentre suspendido por falta de pago, por terminación del contrato por falta de pago, o cuando existan obligaciones de pago exigibles, esto es, respecto de las cuales el plazo se encuentra efectivamente vencido a la fecha de presentación de la solicitud de portación, de acuerdo con lo previsto en el numeral 2.6.2.3.1 del ARTÍCULO 2.6.2.3 del TÍTULO II. </w:t>
      </w:r>
    </w:p>
    <w:p w:rsidR="00C52D05" w:rsidRPr="0071112D" w:rsidRDefault="00C52D05" w:rsidP="00C52D05">
      <w:pPr>
        <w:pStyle w:val="Default"/>
        <w:ind w:left="850" w:right="850"/>
        <w:jc w:val="both"/>
        <w:rPr>
          <w:i/>
          <w:sz w:val="22"/>
          <w:szCs w:val="22"/>
          <w:u w:val="single"/>
        </w:rPr>
      </w:pPr>
    </w:p>
    <w:p w:rsidR="00C52D05" w:rsidRPr="0071112D" w:rsidRDefault="00C52D05" w:rsidP="00C52D05">
      <w:pPr>
        <w:widowControl w:val="0"/>
        <w:spacing w:after="0" w:line="240" w:lineRule="auto"/>
        <w:ind w:left="850" w:right="850"/>
        <w:jc w:val="both"/>
        <w:rPr>
          <w:rFonts w:ascii="Arial" w:hAnsi="Arial" w:cs="Arial"/>
          <w:i/>
        </w:rPr>
      </w:pPr>
      <w:r w:rsidRPr="0071112D">
        <w:rPr>
          <w:rFonts w:ascii="Arial" w:hAnsi="Arial" w:cs="Arial"/>
          <w:i/>
        </w:rPr>
        <w:t>La aceptación o rechazo de la Solicitud de Portación debe ser enviada por el Proveedor Donante al Proveedor Receptor, por medio del ABD, el cual a su vez la reenviará al Proveedor Receptor. En caso de rechazo de la Solicitud de Portación el Proveedor Donante deberá remitir la justificación y prueba del mismo. A su vez, el Proveedor Receptor deberá informar del rechazo y su justificación al Usuario, en un plazo no mayor a un (1) día hábil contado a partir de la recepción de la respectiva comunicación.”</w:t>
      </w:r>
    </w:p>
    <w:p w:rsidR="00C52D05" w:rsidRPr="0071112D" w:rsidRDefault="00C52D05" w:rsidP="00C52D05">
      <w:pPr>
        <w:widowControl w:val="0"/>
        <w:spacing w:after="0" w:line="240" w:lineRule="auto"/>
        <w:ind w:left="850" w:right="850"/>
        <w:jc w:val="both"/>
        <w:rPr>
          <w:rFonts w:ascii="Arial" w:hAnsi="Arial" w:cs="Arial"/>
          <w:i/>
        </w:rPr>
      </w:pPr>
    </w:p>
    <w:p w:rsidR="00C52D05" w:rsidRPr="0071112D" w:rsidRDefault="00C52D05" w:rsidP="00C52D05">
      <w:pPr>
        <w:widowControl w:val="0"/>
        <w:spacing w:after="0" w:line="240" w:lineRule="auto"/>
        <w:ind w:left="850" w:right="850"/>
        <w:jc w:val="both"/>
        <w:rPr>
          <w:rFonts w:ascii="Arial" w:hAnsi="Arial" w:cs="Arial"/>
          <w:iCs/>
        </w:rPr>
      </w:pPr>
      <w:r w:rsidRPr="0071112D">
        <w:rPr>
          <w:rFonts w:ascii="Arial" w:hAnsi="Arial" w:cs="Arial"/>
          <w:i/>
          <w:iCs/>
        </w:rPr>
        <w:t>(…)</w:t>
      </w:r>
      <w:r w:rsidRPr="0071112D">
        <w:rPr>
          <w:rFonts w:ascii="Arial" w:hAnsi="Arial" w:cs="Arial"/>
          <w:i/>
        </w:rPr>
        <w:t xml:space="preserve">” </w:t>
      </w:r>
      <w:r w:rsidRPr="0071112D">
        <w:rPr>
          <w:rFonts w:ascii="Arial" w:hAnsi="Arial" w:cs="Arial"/>
          <w:iCs/>
        </w:rPr>
        <w:t>(Destacado fuera de texto)</w:t>
      </w:r>
    </w:p>
    <w:p w:rsidR="00C52D05" w:rsidRPr="0071112D" w:rsidRDefault="00C52D05" w:rsidP="00C52D05">
      <w:pPr>
        <w:widowControl w:val="0"/>
        <w:spacing w:after="0" w:line="240" w:lineRule="auto"/>
        <w:ind w:left="567" w:right="338"/>
        <w:jc w:val="both"/>
        <w:rPr>
          <w:rFonts w:ascii="Arial" w:hAnsi="Arial" w:cs="Arial"/>
          <w:i/>
        </w:rPr>
      </w:pPr>
    </w:p>
    <w:p w:rsidR="00C52D05" w:rsidRDefault="00C52D05" w:rsidP="00113935">
      <w:pPr>
        <w:pStyle w:val="NormalWeb"/>
        <w:spacing w:before="0" w:beforeAutospacing="0" w:after="0" w:afterAutospacing="0"/>
        <w:ind w:left="144" w:right="144"/>
        <w:jc w:val="both"/>
        <w:rPr>
          <w:rFonts w:ascii="Arial" w:hAnsi="Arial" w:cs="Arial"/>
        </w:rPr>
      </w:pPr>
      <w:r w:rsidRPr="0071112D">
        <w:rPr>
          <w:rFonts w:ascii="Arial" w:hAnsi="Arial" w:cs="Arial"/>
          <w:color w:val="000000" w:themeColor="text1"/>
        </w:rPr>
        <w:t>D</w:t>
      </w:r>
      <w:r w:rsidRPr="00113935">
        <w:rPr>
          <w:rFonts w:ascii="Arial" w:hAnsi="Arial" w:cs="Arial"/>
          <w:color w:val="000000" w:themeColor="text1"/>
        </w:rPr>
        <w:t>e las citadas normas</w:t>
      </w:r>
      <w:r w:rsidRPr="00113935">
        <w:rPr>
          <w:rFonts w:ascii="Arial" w:hAnsi="Arial" w:cs="Arial"/>
        </w:rPr>
        <w:t xml:space="preserve">, se desprende que hay un proceso riguroso para realizar la portabilidad de una línea. Así las cosas, esta Dirección después de hacer un análisis de los hechos expuestos y del acervo probatorio allegado al expediente, encuentra que el motivo de inconformidad del usuario versa sobre el hecho que la línea móvil No. 3122363224, se encontraba a nombre del </w:t>
      </w:r>
      <w:r w:rsidRPr="00113935">
        <w:rPr>
          <w:rFonts w:ascii="Arial" w:hAnsi="Arial" w:cs="Arial"/>
        </w:rPr>
        <w:t>usuario</w:t>
      </w:r>
      <w:r w:rsidR="009109DC" w:rsidRPr="00113935">
        <w:rPr>
          <w:rFonts w:ascii="Arial" w:hAnsi="Arial" w:cs="Arial"/>
        </w:rPr>
        <w:t xml:space="preserve"> ante el operador donante COLOMBIA MOVIL S.A.</w:t>
      </w:r>
      <w:r w:rsidRPr="00113935">
        <w:rPr>
          <w:rFonts w:ascii="Arial" w:hAnsi="Arial" w:cs="Arial"/>
        </w:rPr>
        <w:t xml:space="preserve">; no obstante, la línea fue portada al operador receptor </w:t>
      </w:r>
      <w:r w:rsidR="009109DC" w:rsidRPr="00113935">
        <w:rPr>
          <w:rFonts w:ascii="Arial" w:hAnsi="Arial" w:cs="Arial"/>
        </w:rPr>
        <w:t>ALMACENES EXITO INVERSIONES S.A.S.</w:t>
      </w:r>
      <w:r w:rsidR="009109DC" w:rsidRPr="00113935">
        <w:rPr>
          <w:rFonts w:ascii="Arial" w:hAnsi="Arial" w:cs="Arial"/>
        </w:rPr>
        <w:t>,</w:t>
      </w:r>
      <w:r w:rsidR="009109DC" w:rsidRPr="00113935">
        <w:t xml:space="preserve"> </w:t>
      </w:r>
      <w:r w:rsidRPr="00113935">
        <w:rPr>
          <w:rFonts w:ascii="Arial" w:hAnsi="Arial" w:cs="Arial"/>
        </w:rPr>
        <w:t xml:space="preserve">el </w:t>
      </w:r>
      <w:r w:rsidRPr="00113935">
        <w:rPr>
          <w:rFonts w:ascii="Arial" w:hAnsi="Arial" w:cs="Arial"/>
        </w:rPr>
        <w:t>13 de octubre 2018</w:t>
      </w:r>
      <w:r w:rsidRPr="00113935">
        <w:rPr>
          <w:rFonts w:ascii="Arial" w:hAnsi="Arial" w:cs="Arial"/>
        </w:rPr>
        <w:t>, que en sus bases de datos pertenece a otro usuario diferente del reclamante.</w:t>
      </w:r>
    </w:p>
    <w:p w:rsidR="00113935" w:rsidRPr="00113935" w:rsidRDefault="00113935" w:rsidP="00113935">
      <w:pPr>
        <w:pStyle w:val="NormalWeb"/>
        <w:spacing w:before="0" w:beforeAutospacing="0" w:after="0" w:afterAutospacing="0"/>
        <w:ind w:left="144" w:right="144"/>
        <w:jc w:val="both"/>
        <w:rPr>
          <w:rFonts w:ascii="Arial" w:hAnsi="Arial" w:cs="Arial"/>
        </w:rPr>
      </w:pPr>
    </w:p>
    <w:p w:rsidR="00C52D05" w:rsidRPr="005B53A3" w:rsidRDefault="00C52D05" w:rsidP="00113935">
      <w:pPr>
        <w:pStyle w:val="NormalWeb"/>
        <w:spacing w:before="0" w:beforeAutospacing="0" w:after="0" w:afterAutospacing="0"/>
        <w:ind w:left="144" w:right="144"/>
        <w:jc w:val="both"/>
        <w:rPr>
          <w:rFonts w:ascii="Arial" w:hAnsi="Arial" w:cs="Arial"/>
        </w:rPr>
      </w:pPr>
      <w:r w:rsidRPr="00113935">
        <w:rPr>
          <w:rFonts w:ascii="Arial" w:hAnsi="Arial" w:cs="Arial"/>
        </w:rPr>
        <w:t xml:space="preserve">En el presente caso, se observa que el usuario reclamante no tiene ningún vínculo contractual con el operador receptor </w:t>
      </w:r>
      <w:r w:rsidR="00113935" w:rsidRPr="00113935">
        <w:rPr>
          <w:rFonts w:ascii="Arial" w:hAnsi="Arial" w:cs="Arial"/>
        </w:rPr>
        <w:t>ALMACENES EXITO INVERSIONES S.A.S.,</w:t>
      </w:r>
      <w:r w:rsidR="00113935" w:rsidRPr="00113935">
        <w:t xml:space="preserve"> </w:t>
      </w:r>
      <w:r w:rsidRPr="00113935">
        <w:rPr>
          <w:rFonts w:ascii="Arial" w:hAnsi="Arial" w:cs="Arial"/>
        </w:rPr>
        <w:t>y en su solicitud requiere información que se encuentra sujeta a la Ley 1581 de 2012 – Ley de protección de datos personales- la cual es imposible de entregar por parte del operador receptor debido a que el reclamante no es titular de los servicios.</w:t>
      </w:r>
      <w:r w:rsidRPr="005B53A3">
        <w:rPr>
          <w:rFonts w:ascii="Arial" w:hAnsi="Arial" w:cs="Arial"/>
        </w:rPr>
        <w:t xml:space="preserve"> </w:t>
      </w:r>
    </w:p>
    <w:p w:rsidR="00C52D05" w:rsidRPr="005B53A3" w:rsidRDefault="00C52D05" w:rsidP="00113935">
      <w:pPr>
        <w:shd w:val="clear" w:color="auto" w:fill="FFFFFF"/>
        <w:spacing w:after="0" w:line="240" w:lineRule="auto"/>
        <w:ind w:left="144" w:right="144"/>
        <w:jc w:val="both"/>
        <w:rPr>
          <w:rFonts w:ascii="Arial" w:hAnsi="Arial" w:cs="Arial"/>
          <w:color w:val="222222"/>
          <w:sz w:val="24"/>
          <w:szCs w:val="24"/>
          <w:lang w:eastAsia="es-CO"/>
        </w:rPr>
      </w:pPr>
      <w:r w:rsidRPr="005B53A3">
        <w:rPr>
          <w:rFonts w:ascii="Arial" w:hAnsi="Arial" w:cs="Arial"/>
          <w:color w:val="000000" w:themeColor="text1"/>
          <w:sz w:val="24"/>
          <w:szCs w:val="24"/>
        </w:rPr>
        <w:t>De esta manera</w:t>
      </w:r>
      <w:r w:rsidRPr="005B53A3">
        <w:rPr>
          <w:rFonts w:ascii="Arial" w:hAnsi="Arial" w:cs="Arial"/>
          <w:color w:val="222222"/>
          <w:sz w:val="24"/>
          <w:szCs w:val="24"/>
          <w:lang w:eastAsia="es-CO"/>
        </w:rPr>
        <w:t>, frente a la PQR presentada por el usuario relacionada con la reasignación de la línea móvil,</w:t>
      </w:r>
      <w:r w:rsidRPr="005B53A3">
        <w:rPr>
          <w:rFonts w:ascii="Arial" w:hAnsi="Arial" w:cs="Arial"/>
          <w:color w:val="000000" w:themeColor="text1"/>
          <w:sz w:val="24"/>
          <w:szCs w:val="24"/>
        </w:rPr>
        <w:t xml:space="preserve"> debe tenerse en cuenta lo dispuesto en</w:t>
      </w:r>
      <w:r w:rsidRPr="005B53A3">
        <w:rPr>
          <w:rFonts w:ascii="Arial" w:hAnsi="Arial" w:cs="Arial"/>
          <w:color w:val="222222"/>
          <w:sz w:val="24"/>
          <w:szCs w:val="24"/>
          <w:lang w:eastAsia="es-CO"/>
        </w:rPr>
        <w:t xml:space="preserve"> el artículo 2.1.1.1. de la Resolución CRC 5050 de 2016, modificada por el artículo 1° de la Resolución CRC 5111 de 2017, según la cual:</w:t>
      </w:r>
    </w:p>
    <w:p w:rsidR="00C52D05" w:rsidRPr="005B53A3" w:rsidRDefault="00C52D05" w:rsidP="00C52D05">
      <w:pPr>
        <w:shd w:val="clear" w:color="auto" w:fill="FFFFFF"/>
        <w:spacing w:after="0" w:line="240" w:lineRule="auto"/>
        <w:ind w:left="113"/>
        <w:jc w:val="both"/>
        <w:rPr>
          <w:rFonts w:ascii="Calibri" w:hAnsi="Calibri" w:cs="Calibri"/>
          <w:color w:val="222222"/>
          <w:sz w:val="24"/>
          <w:szCs w:val="24"/>
          <w:lang w:eastAsia="es-CO"/>
        </w:rPr>
      </w:pPr>
      <w:r w:rsidRPr="005B53A3">
        <w:rPr>
          <w:rFonts w:ascii="Arial" w:hAnsi="Arial" w:cs="Arial"/>
          <w:color w:val="222222"/>
          <w:sz w:val="24"/>
          <w:szCs w:val="24"/>
          <w:lang w:eastAsia="es-CO"/>
        </w:rPr>
        <w:t> </w:t>
      </w:r>
    </w:p>
    <w:p w:rsidR="00C52D05" w:rsidRPr="001D05E3" w:rsidRDefault="00C52D05" w:rsidP="00C52D05">
      <w:pPr>
        <w:shd w:val="clear" w:color="auto" w:fill="FFFFFF"/>
        <w:spacing w:after="0" w:line="240" w:lineRule="auto"/>
        <w:ind w:left="851" w:right="900"/>
        <w:jc w:val="both"/>
        <w:rPr>
          <w:rFonts w:ascii="Calibri" w:hAnsi="Calibri" w:cs="Calibri"/>
          <w:color w:val="222222"/>
          <w:lang w:eastAsia="es-CO"/>
        </w:rPr>
      </w:pPr>
      <w:r w:rsidRPr="0071112D">
        <w:rPr>
          <w:rFonts w:ascii="Arial" w:hAnsi="Arial" w:cs="Arial"/>
          <w:i/>
          <w:iCs/>
          <w:color w:val="222222"/>
          <w:lang w:val="es-MX" w:eastAsia="es-CO"/>
        </w:rPr>
        <w:t>“</w:t>
      </w:r>
      <w:r w:rsidRPr="0071112D">
        <w:rPr>
          <w:rFonts w:ascii="Arial" w:hAnsi="Arial" w:cs="Arial"/>
          <w:b/>
          <w:bCs/>
          <w:i/>
          <w:iCs/>
          <w:color w:val="222222"/>
          <w:lang w:val="es-MX" w:eastAsia="es-CO"/>
        </w:rPr>
        <w:t>A</w:t>
      </w:r>
      <w:r w:rsidRPr="001D05E3">
        <w:rPr>
          <w:rFonts w:ascii="Arial" w:hAnsi="Arial" w:cs="Arial"/>
          <w:b/>
          <w:bCs/>
          <w:i/>
          <w:iCs/>
          <w:color w:val="222222"/>
          <w:lang w:val="es-MX" w:eastAsia="es-CO"/>
        </w:rPr>
        <w:t>rtículo 1. </w:t>
      </w:r>
      <w:r w:rsidRPr="001D05E3">
        <w:rPr>
          <w:rFonts w:ascii="Arial" w:hAnsi="Arial" w:cs="Arial"/>
          <w:i/>
          <w:iCs/>
          <w:color w:val="222222"/>
          <w:lang w:val="es-MX" w:eastAsia="es-CO"/>
        </w:rPr>
        <w:t>Modificar el Capítulo 1 del Título II de la Resolución CRC 5050 de 2016, el cual quedará de la siguiente manera:</w:t>
      </w:r>
    </w:p>
    <w:p w:rsidR="00C52D05" w:rsidRPr="001D05E3" w:rsidRDefault="00C52D05" w:rsidP="00C52D05">
      <w:pPr>
        <w:shd w:val="clear" w:color="auto" w:fill="FFFFFF"/>
        <w:spacing w:after="0" w:line="240" w:lineRule="auto"/>
        <w:ind w:left="851" w:right="900"/>
        <w:jc w:val="both"/>
        <w:rPr>
          <w:rFonts w:ascii="Calibri" w:hAnsi="Calibri" w:cs="Calibri"/>
          <w:color w:val="222222"/>
          <w:lang w:eastAsia="es-CO"/>
        </w:rPr>
      </w:pPr>
      <w:r w:rsidRPr="001D05E3">
        <w:rPr>
          <w:rFonts w:ascii="Arial" w:hAnsi="Arial" w:cs="Arial"/>
          <w:i/>
          <w:iCs/>
          <w:color w:val="222222"/>
          <w:lang w:val="es-MX" w:eastAsia="es-CO"/>
        </w:rPr>
        <w:t> </w:t>
      </w:r>
    </w:p>
    <w:p w:rsidR="00C52D05" w:rsidRPr="001D05E3" w:rsidRDefault="00C52D05" w:rsidP="00C52D05">
      <w:pPr>
        <w:shd w:val="clear" w:color="auto" w:fill="FFFFFF"/>
        <w:spacing w:after="0" w:line="240" w:lineRule="auto"/>
        <w:ind w:left="851" w:right="900"/>
        <w:jc w:val="center"/>
        <w:rPr>
          <w:rFonts w:ascii="Calibri" w:hAnsi="Calibri" w:cs="Calibri"/>
          <w:color w:val="222222"/>
          <w:lang w:eastAsia="es-CO"/>
        </w:rPr>
      </w:pPr>
      <w:r w:rsidRPr="001D05E3">
        <w:rPr>
          <w:rFonts w:ascii="Arial" w:hAnsi="Arial" w:cs="Arial"/>
          <w:i/>
          <w:iCs/>
          <w:color w:val="222222"/>
          <w:lang w:val="es-MX" w:eastAsia="es-CO"/>
        </w:rPr>
        <w:t>‘</w:t>
      </w:r>
      <w:r w:rsidRPr="001D05E3">
        <w:rPr>
          <w:rFonts w:ascii="Arial" w:hAnsi="Arial" w:cs="Arial"/>
          <w:b/>
          <w:bCs/>
          <w:i/>
          <w:iCs/>
          <w:color w:val="222222"/>
          <w:lang w:val="es-MX" w:eastAsia="es-CO"/>
        </w:rPr>
        <w:t>CAPÍTULO 1</w:t>
      </w:r>
    </w:p>
    <w:p w:rsidR="00C52D05" w:rsidRPr="001D05E3" w:rsidRDefault="00C52D05" w:rsidP="00C52D05">
      <w:pPr>
        <w:shd w:val="clear" w:color="auto" w:fill="FFFFFF"/>
        <w:spacing w:after="0" w:line="240" w:lineRule="auto"/>
        <w:ind w:left="851" w:right="900"/>
        <w:jc w:val="center"/>
        <w:rPr>
          <w:rFonts w:ascii="Calibri" w:hAnsi="Calibri" w:cs="Calibri"/>
          <w:color w:val="222222"/>
          <w:lang w:eastAsia="es-CO"/>
        </w:rPr>
      </w:pPr>
      <w:r w:rsidRPr="001D05E3">
        <w:rPr>
          <w:rFonts w:ascii="Arial" w:hAnsi="Arial" w:cs="Arial"/>
          <w:b/>
          <w:bCs/>
          <w:i/>
          <w:iCs/>
          <w:color w:val="222222"/>
          <w:lang w:val="es-MX" w:eastAsia="es-CO"/>
        </w:rPr>
        <w:t>RÉGIMEN DE PROTECCIÓN DE LOS DERECHOS DE LOS USUARIOS DE SERVICIOS DE COMUNICACIONES.</w:t>
      </w:r>
    </w:p>
    <w:p w:rsidR="00C52D05" w:rsidRPr="001D05E3" w:rsidRDefault="00C52D05" w:rsidP="00C52D05">
      <w:pPr>
        <w:shd w:val="clear" w:color="auto" w:fill="FFFFFF"/>
        <w:spacing w:after="0" w:line="240" w:lineRule="auto"/>
        <w:ind w:left="851" w:right="900"/>
        <w:jc w:val="center"/>
        <w:rPr>
          <w:rFonts w:ascii="Calibri" w:hAnsi="Calibri" w:cs="Calibri"/>
          <w:color w:val="222222"/>
          <w:lang w:eastAsia="es-CO"/>
        </w:rPr>
      </w:pPr>
      <w:r w:rsidRPr="001D05E3">
        <w:rPr>
          <w:rFonts w:ascii="Arial" w:hAnsi="Arial" w:cs="Arial"/>
          <w:b/>
          <w:bCs/>
          <w:i/>
          <w:iCs/>
          <w:color w:val="222222"/>
          <w:lang w:val="es-MX" w:eastAsia="es-CO"/>
        </w:rPr>
        <w:lastRenderedPageBreak/>
        <w:t> </w:t>
      </w:r>
    </w:p>
    <w:p w:rsidR="00C52D05" w:rsidRPr="001D05E3" w:rsidRDefault="00C52D05" w:rsidP="00C52D05">
      <w:pPr>
        <w:shd w:val="clear" w:color="auto" w:fill="FFFFFF"/>
        <w:spacing w:after="0" w:line="240" w:lineRule="auto"/>
        <w:ind w:left="851" w:right="900"/>
        <w:jc w:val="center"/>
        <w:rPr>
          <w:rFonts w:ascii="Calibri" w:hAnsi="Calibri" w:cs="Calibri"/>
          <w:color w:val="222222"/>
          <w:lang w:eastAsia="es-CO"/>
        </w:rPr>
      </w:pPr>
      <w:r w:rsidRPr="001D05E3">
        <w:rPr>
          <w:rFonts w:ascii="Arial" w:hAnsi="Arial" w:cs="Arial"/>
          <w:b/>
          <w:bCs/>
          <w:i/>
          <w:iCs/>
          <w:color w:val="222222"/>
          <w:lang w:val="es-MX" w:eastAsia="es-CO"/>
        </w:rPr>
        <w:t>SECCIÓN 1. DISPOSICIONES GENERALES.</w:t>
      </w:r>
    </w:p>
    <w:p w:rsidR="00C52D05" w:rsidRPr="001D05E3" w:rsidRDefault="00C52D05" w:rsidP="00C52D05">
      <w:pPr>
        <w:shd w:val="clear" w:color="auto" w:fill="FFFFFF"/>
        <w:spacing w:after="0" w:line="240" w:lineRule="auto"/>
        <w:jc w:val="both"/>
        <w:rPr>
          <w:rFonts w:ascii="Calibri" w:hAnsi="Calibri" w:cs="Calibri"/>
          <w:color w:val="222222"/>
          <w:lang w:eastAsia="es-CO"/>
        </w:rPr>
      </w:pPr>
      <w:r w:rsidRPr="001D05E3">
        <w:rPr>
          <w:rFonts w:ascii="Arial" w:hAnsi="Arial" w:cs="Arial"/>
          <w:i/>
          <w:iCs/>
          <w:color w:val="222222"/>
          <w:lang w:eastAsia="es-CO"/>
        </w:rPr>
        <w:t> </w:t>
      </w:r>
    </w:p>
    <w:p w:rsidR="00C52D05" w:rsidRPr="001D05E3" w:rsidRDefault="00C52D05" w:rsidP="00C52D05">
      <w:pPr>
        <w:shd w:val="clear" w:color="auto" w:fill="FFFFFF"/>
        <w:spacing w:after="0" w:line="240" w:lineRule="auto"/>
        <w:ind w:left="850" w:right="850"/>
        <w:jc w:val="both"/>
        <w:rPr>
          <w:rFonts w:ascii="Calibri" w:hAnsi="Calibri" w:cs="Calibri"/>
          <w:color w:val="222222"/>
          <w:lang w:eastAsia="es-CO"/>
        </w:rPr>
      </w:pPr>
      <w:r w:rsidRPr="001D05E3">
        <w:rPr>
          <w:rFonts w:ascii="Arial" w:hAnsi="Arial" w:cs="Arial"/>
          <w:b/>
          <w:bCs/>
          <w:i/>
          <w:iCs/>
          <w:color w:val="222222"/>
          <w:lang w:eastAsia="es-CO"/>
        </w:rPr>
        <w:t>ARTÍCULO. 2.1.1.1. ÁMBITO DE APLICACIÓN. </w:t>
      </w:r>
      <w:r w:rsidRPr="001D05E3">
        <w:rPr>
          <w:rFonts w:ascii="Arial" w:hAnsi="Arial" w:cs="Arial"/>
          <w:i/>
          <w:iCs/>
          <w:color w:val="222222"/>
          <w:u w:val="single"/>
          <w:lang w:eastAsia="es-CO"/>
        </w:rPr>
        <w:t>Este régimen aplica a todas las relaciones surgidas entre los usuarios y los operadores (entendidos estos en el presente régimen como: los proveedores de redes y servicios de telefonía móvil y fija, acceso a internet fijo y móvil, y operadores de televisión cerrada), en el ofrecimiento de servicios de comunicaciones, en la celebración del contrato, durante su ejecución y en la terminación del mismo.</w:t>
      </w:r>
      <w:r>
        <w:rPr>
          <w:rFonts w:ascii="Arial" w:hAnsi="Arial" w:cs="Arial"/>
          <w:i/>
          <w:iCs/>
          <w:color w:val="222222"/>
          <w:u w:val="single"/>
          <w:lang w:eastAsia="es-CO"/>
        </w:rPr>
        <w:t>”</w:t>
      </w:r>
    </w:p>
    <w:p w:rsidR="00C52D05" w:rsidRPr="001D05E3" w:rsidRDefault="00C52D05" w:rsidP="00C52D05">
      <w:pPr>
        <w:shd w:val="clear" w:color="auto" w:fill="FFFFFF"/>
        <w:spacing w:after="0" w:line="240" w:lineRule="auto"/>
        <w:jc w:val="both"/>
        <w:rPr>
          <w:rFonts w:ascii="Calibri" w:hAnsi="Calibri" w:cs="Calibri"/>
          <w:color w:val="222222"/>
          <w:lang w:eastAsia="es-CO"/>
        </w:rPr>
      </w:pPr>
      <w:r w:rsidRPr="001D05E3">
        <w:rPr>
          <w:rFonts w:ascii="Arial" w:hAnsi="Arial" w:cs="Arial"/>
          <w:i/>
          <w:iCs/>
          <w:color w:val="222222"/>
          <w:lang w:eastAsia="es-CO"/>
        </w:rPr>
        <w:t> </w:t>
      </w:r>
    </w:p>
    <w:p w:rsidR="00C52D05" w:rsidRPr="0071112D" w:rsidRDefault="00C52D05" w:rsidP="00113935">
      <w:pPr>
        <w:shd w:val="clear" w:color="auto" w:fill="FFFFFF"/>
        <w:spacing w:after="0" w:line="240" w:lineRule="auto"/>
        <w:ind w:left="144" w:right="144"/>
        <w:jc w:val="both"/>
        <w:rPr>
          <w:rFonts w:ascii="Calibri" w:hAnsi="Calibri" w:cs="Calibri"/>
          <w:color w:val="222222"/>
          <w:sz w:val="24"/>
          <w:szCs w:val="24"/>
          <w:lang w:eastAsia="es-CO"/>
        </w:rPr>
      </w:pPr>
      <w:r w:rsidRPr="0071112D">
        <w:rPr>
          <w:rFonts w:ascii="Arial" w:hAnsi="Arial" w:cs="Arial"/>
          <w:color w:val="222222"/>
          <w:sz w:val="24"/>
          <w:szCs w:val="24"/>
          <w:lang w:eastAsia="es-CO"/>
        </w:rPr>
        <w:t>De la citada norma se desprende que, en materia de servicios de comunicaciones, el Régimen de Protección de Usuarios de este tipo de servicios, contenido en la citada Resolución, resulta aplicable siempre y cuando se trate de controversias surgidas con ocasión del ofrecimiento y durante la celebración y ejecución del contrato de prestación de servicios de comunicaciones.</w:t>
      </w:r>
    </w:p>
    <w:p w:rsidR="00C52D05" w:rsidRPr="0071112D" w:rsidRDefault="00C52D05" w:rsidP="00113935">
      <w:pPr>
        <w:shd w:val="clear" w:color="auto" w:fill="FFFFFF"/>
        <w:spacing w:after="0" w:line="240" w:lineRule="auto"/>
        <w:ind w:left="144" w:right="144"/>
        <w:jc w:val="both"/>
        <w:rPr>
          <w:rFonts w:ascii="Arial" w:hAnsi="Arial" w:cs="Arial"/>
          <w:color w:val="222222"/>
          <w:sz w:val="24"/>
          <w:szCs w:val="24"/>
          <w:lang w:eastAsia="es-CO"/>
        </w:rPr>
      </w:pPr>
      <w:r w:rsidRPr="0071112D">
        <w:rPr>
          <w:rFonts w:ascii="Arial" w:hAnsi="Arial" w:cs="Arial"/>
          <w:color w:val="222222"/>
          <w:sz w:val="24"/>
          <w:szCs w:val="24"/>
          <w:lang w:eastAsia="es-CO"/>
        </w:rPr>
        <w:t> </w:t>
      </w:r>
    </w:p>
    <w:p w:rsidR="00C52D05" w:rsidRDefault="00C52D05" w:rsidP="00113935">
      <w:pPr>
        <w:widowControl w:val="0"/>
        <w:spacing w:after="0" w:line="240" w:lineRule="auto"/>
        <w:ind w:left="144" w:right="144"/>
        <w:jc w:val="both"/>
        <w:rPr>
          <w:rFonts w:ascii="Arial" w:hAnsi="Arial" w:cs="Arial"/>
          <w:color w:val="222222"/>
          <w:shd w:val="clear" w:color="auto" w:fill="FFFFFF"/>
        </w:rPr>
      </w:pPr>
      <w:r w:rsidRPr="00113935">
        <w:rPr>
          <w:rFonts w:ascii="Arial" w:hAnsi="Arial" w:cs="Arial"/>
          <w:color w:val="222222"/>
          <w:sz w:val="24"/>
          <w:szCs w:val="24"/>
          <w:lang w:eastAsia="es-CO"/>
        </w:rPr>
        <w:t xml:space="preserve">Por lo tanto, luego de revisar la información obrante en el expediente se tiene que la controversia por la cual fue trasladado el recurso de apelación a esta Entidad, se centra exclusivamente en la solicitud de información sobre la línea No. </w:t>
      </w:r>
      <w:r w:rsidRPr="00113935">
        <w:rPr>
          <w:rFonts w:ascii="Arial" w:hAnsi="Arial" w:cs="Arial"/>
          <w:sz w:val="24"/>
          <w:szCs w:val="24"/>
        </w:rPr>
        <w:t>3122363224</w:t>
      </w:r>
      <w:r w:rsidRPr="00113935">
        <w:rPr>
          <w:rFonts w:ascii="Arial" w:hAnsi="Arial" w:cs="Arial"/>
          <w:color w:val="222222"/>
          <w:sz w:val="24"/>
          <w:szCs w:val="24"/>
          <w:lang w:eastAsia="es-CO"/>
        </w:rPr>
        <w:t xml:space="preserve"> y reasignación de dicho número; n</w:t>
      </w:r>
      <w:r w:rsidRPr="00113935">
        <w:rPr>
          <w:rFonts w:ascii="Arial" w:hAnsi="Arial" w:cs="Arial"/>
          <w:iCs/>
          <w:color w:val="000000" w:themeColor="text1"/>
          <w:sz w:val="24"/>
          <w:szCs w:val="24"/>
        </w:rPr>
        <w:t xml:space="preserve">o obstante lo anterior, el </w:t>
      </w:r>
      <w:r w:rsidRPr="00113935">
        <w:rPr>
          <w:rFonts w:ascii="Arial" w:hAnsi="Arial" w:cs="Arial"/>
          <w:iCs/>
          <w:color w:val="000000" w:themeColor="text1"/>
          <w:sz w:val="24"/>
          <w:szCs w:val="24"/>
        </w:rPr>
        <w:t xml:space="preserve">usuario </w:t>
      </w:r>
      <w:r w:rsidRPr="00113935">
        <w:rPr>
          <w:rFonts w:ascii="Arial" w:hAnsi="Arial" w:cs="Arial"/>
          <w:iCs/>
          <w:color w:val="000000" w:themeColor="text1"/>
          <w:sz w:val="24"/>
          <w:szCs w:val="24"/>
        </w:rPr>
        <w:t>no tiene la calidad de titular de los servicios ante el operador receptor</w:t>
      </w:r>
      <w:r w:rsidR="00113935" w:rsidRPr="00113935">
        <w:rPr>
          <w:rFonts w:ascii="Arial" w:hAnsi="Arial" w:cs="Arial"/>
        </w:rPr>
        <w:t xml:space="preserve"> </w:t>
      </w:r>
      <w:r w:rsidR="00113935" w:rsidRPr="00113935">
        <w:rPr>
          <w:rFonts w:ascii="Arial" w:hAnsi="Arial" w:cs="Arial"/>
        </w:rPr>
        <w:t>ALMACENES EXITO INVERSIONES S.A.S.,</w:t>
      </w:r>
      <w:r w:rsidRPr="00113935">
        <w:rPr>
          <w:rFonts w:ascii="Arial" w:hAnsi="Arial" w:cs="Arial"/>
          <w:iCs/>
          <w:color w:val="000000" w:themeColor="text1"/>
          <w:sz w:val="24"/>
          <w:szCs w:val="24"/>
        </w:rPr>
        <w:t xml:space="preserve"> razón por la cual no estaría legitimado para actuar dentro del presente trámite, como recurrente o usuario y, en consecuencia, </w:t>
      </w:r>
      <w:r w:rsidRPr="00113935">
        <w:rPr>
          <w:rFonts w:ascii="Arial" w:hAnsi="Arial" w:cs="Arial"/>
          <w:color w:val="222222"/>
          <w:sz w:val="24"/>
          <w:szCs w:val="24"/>
          <w:shd w:val="clear" w:color="auto" w:fill="FFFFFF"/>
        </w:rPr>
        <w:t>se confirmará la decisión del proveedor de servicios en ese sentido.</w:t>
      </w:r>
    </w:p>
    <w:p w:rsidR="002F4465" w:rsidRPr="00A32575" w:rsidRDefault="002F4465" w:rsidP="004A7279">
      <w:pPr>
        <w:shd w:val="clear" w:color="auto" w:fill="FFFFFF"/>
        <w:spacing w:after="0" w:line="240" w:lineRule="auto"/>
        <w:ind w:left="113" w:right="113"/>
        <w:jc w:val="both"/>
        <w:rPr>
          <w:rFonts w:ascii="Arial" w:hAnsi="Arial" w:cs="Arial"/>
          <w:sz w:val="24"/>
          <w:szCs w:val="24"/>
          <w:lang w:eastAsia="es-CO"/>
        </w:rPr>
      </w:pPr>
    </w:p>
    <w:p w:rsidR="00CB0951" w:rsidRPr="00A32575" w:rsidRDefault="00CB0951" w:rsidP="004A7279">
      <w:pPr>
        <w:spacing w:after="0" w:line="240" w:lineRule="auto"/>
        <w:ind w:left="113" w:right="113"/>
        <w:jc w:val="both"/>
        <w:rPr>
          <w:rFonts w:ascii="Arial" w:hAnsi="Arial" w:cs="Arial"/>
          <w:sz w:val="24"/>
          <w:szCs w:val="24"/>
        </w:rPr>
      </w:pPr>
    </w:p>
    <w:p w:rsidR="002F4465" w:rsidRPr="00A32575" w:rsidRDefault="002F4465" w:rsidP="00113935">
      <w:pPr>
        <w:spacing w:after="0" w:line="240" w:lineRule="auto"/>
        <w:ind w:left="113" w:right="113"/>
        <w:jc w:val="both"/>
        <w:rPr>
          <w:rFonts w:ascii="Arial" w:hAnsi="Arial" w:cs="Arial"/>
          <w:b/>
          <w:sz w:val="24"/>
          <w:szCs w:val="24"/>
        </w:rPr>
      </w:pPr>
      <w:r w:rsidRPr="00A32575">
        <w:rPr>
          <w:rFonts w:ascii="Arial" w:hAnsi="Arial" w:cs="Arial"/>
          <w:sz w:val="24"/>
          <w:szCs w:val="24"/>
        </w:rPr>
        <w:t>En mérito de lo expuesto, este Despacho,</w:t>
      </w:r>
    </w:p>
    <w:p w:rsidR="00CB0951" w:rsidRPr="00A32575" w:rsidRDefault="00CB0951" w:rsidP="004A7279">
      <w:pPr>
        <w:spacing w:after="0" w:line="240" w:lineRule="auto"/>
        <w:ind w:left="113" w:right="113"/>
        <w:jc w:val="center"/>
        <w:rPr>
          <w:rFonts w:ascii="Arial" w:hAnsi="Arial" w:cs="Arial"/>
          <w:b/>
          <w:sz w:val="24"/>
          <w:szCs w:val="24"/>
        </w:rPr>
      </w:pPr>
    </w:p>
    <w:p w:rsidR="00113935" w:rsidRDefault="00113935" w:rsidP="004A7279">
      <w:pPr>
        <w:spacing w:after="0" w:line="240" w:lineRule="auto"/>
        <w:ind w:left="113" w:right="113"/>
        <w:jc w:val="center"/>
        <w:rPr>
          <w:rFonts w:ascii="Arial" w:hAnsi="Arial" w:cs="Arial"/>
          <w:b/>
          <w:sz w:val="24"/>
          <w:szCs w:val="24"/>
        </w:rPr>
      </w:pPr>
    </w:p>
    <w:p w:rsidR="002F4465" w:rsidRPr="00A32575" w:rsidRDefault="002F4465" w:rsidP="00113935">
      <w:pPr>
        <w:spacing w:after="0" w:line="240" w:lineRule="auto"/>
        <w:ind w:left="113" w:right="113"/>
        <w:jc w:val="center"/>
        <w:rPr>
          <w:rFonts w:ascii="Arial" w:hAnsi="Arial" w:cs="Arial"/>
          <w:b/>
          <w:bCs/>
          <w:sz w:val="24"/>
          <w:szCs w:val="24"/>
        </w:rPr>
      </w:pPr>
      <w:r w:rsidRPr="00A32575">
        <w:rPr>
          <w:rFonts w:ascii="Arial" w:hAnsi="Arial" w:cs="Arial"/>
          <w:b/>
          <w:sz w:val="24"/>
          <w:szCs w:val="24"/>
        </w:rPr>
        <w:t>RESUELVE</w:t>
      </w:r>
    </w:p>
    <w:p w:rsidR="00CB0951" w:rsidRPr="00A32575" w:rsidRDefault="00CB0951" w:rsidP="004A7279">
      <w:pPr>
        <w:spacing w:after="0" w:line="240" w:lineRule="auto"/>
        <w:ind w:left="113" w:right="113"/>
        <w:rPr>
          <w:rFonts w:ascii="Arial" w:hAnsi="Arial" w:cs="Arial"/>
          <w:b/>
          <w:bCs/>
          <w:sz w:val="24"/>
          <w:szCs w:val="24"/>
          <w:u w:val="single"/>
        </w:rPr>
      </w:pPr>
    </w:p>
    <w:p w:rsidR="002F4465" w:rsidRPr="00A32575" w:rsidRDefault="002F4465" w:rsidP="004A7279">
      <w:pPr>
        <w:widowControl w:val="0"/>
        <w:spacing w:after="0" w:line="240" w:lineRule="auto"/>
        <w:ind w:left="113" w:right="113"/>
        <w:jc w:val="both"/>
        <w:rPr>
          <w:rFonts w:ascii="Arial" w:hAnsi="Arial" w:cs="Arial"/>
          <w:bCs/>
          <w:sz w:val="24"/>
          <w:szCs w:val="24"/>
        </w:rPr>
      </w:pPr>
      <w:r w:rsidRPr="00A32575">
        <w:rPr>
          <w:rFonts w:ascii="Arial" w:hAnsi="Arial" w:cs="Arial"/>
          <w:b/>
          <w:bCs/>
          <w:sz w:val="24"/>
          <w:szCs w:val="24"/>
        </w:rPr>
        <w:t xml:space="preserve">ARTÍCULO 1. </w:t>
      </w:r>
      <w:r w:rsidRPr="00A32575">
        <w:rPr>
          <w:rFonts w:ascii="Arial" w:hAnsi="Arial" w:cs="Arial"/>
          <w:bCs/>
          <w:sz w:val="24"/>
          <w:szCs w:val="24"/>
        </w:rPr>
        <w:t>Confirmar la decisión empresarial proferida por el operador de servicios, identificada en el numeral primero de la presente resolución, por las razones expuestas en la parte considerativa.</w:t>
      </w:r>
    </w:p>
    <w:p w:rsidR="002F4465" w:rsidRPr="00A32575" w:rsidRDefault="002F4465" w:rsidP="004A7279">
      <w:pPr>
        <w:widowControl w:val="0"/>
        <w:spacing w:after="0" w:line="240" w:lineRule="auto"/>
        <w:ind w:left="113" w:right="113"/>
        <w:jc w:val="both"/>
        <w:rPr>
          <w:rFonts w:ascii="Arial" w:hAnsi="Arial" w:cs="Arial"/>
          <w:bCs/>
          <w:sz w:val="24"/>
          <w:szCs w:val="24"/>
        </w:rPr>
      </w:pPr>
    </w:p>
    <w:p w:rsidR="002F4465" w:rsidRPr="00A32575" w:rsidRDefault="002F4465" w:rsidP="004A7279">
      <w:pPr>
        <w:widowControl w:val="0"/>
        <w:tabs>
          <w:tab w:val="left" w:pos="1830"/>
        </w:tabs>
        <w:spacing w:after="0" w:line="240" w:lineRule="auto"/>
        <w:ind w:left="113" w:right="113"/>
        <w:jc w:val="both"/>
        <w:rPr>
          <w:rFonts w:ascii="Arial" w:hAnsi="Arial" w:cs="Arial"/>
          <w:sz w:val="24"/>
          <w:szCs w:val="24"/>
        </w:rPr>
      </w:pPr>
      <w:r w:rsidRPr="00A32575">
        <w:rPr>
          <w:rFonts w:ascii="Arial" w:hAnsi="Arial" w:cs="Arial"/>
          <w:b/>
          <w:sz w:val="24"/>
          <w:szCs w:val="24"/>
        </w:rPr>
        <w:t xml:space="preserve">Parágrafo 1. </w:t>
      </w:r>
      <w:r w:rsidRPr="00A32575">
        <w:rPr>
          <w:rFonts w:ascii="Arial" w:hAnsi="Arial" w:cs="Arial"/>
          <w:sz w:val="24"/>
          <w:szCs w:val="24"/>
        </w:rPr>
        <w:t>No</w:t>
      </w:r>
      <w:r w:rsidRPr="00A32575">
        <w:rPr>
          <w:rFonts w:ascii="Arial" w:hAnsi="Arial" w:cs="Arial"/>
          <w:b/>
          <w:sz w:val="24"/>
          <w:szCs w:val="24"/>
        </w:rPr>
        <w:t xml:space="preserve"> </w:t>
      </w:r>
      <w:r w:rsidRPr="00A32575">
        <w:rPr>
          <w:rFonts w:ascii="Arial" w:hAnsi="Arial" w:cs="Arial"/>
          <w:sz w:val="24"/>
          <w:szCs w:val="24"/>
        </w:rPr>
        <w:t xml:space="preserve">se causarán intereses desde la presentación de la queja que dio lugar a la presente actuación, hasta la fecha de notificación de esta resolución. </w:t>
      </w:r>
    </w:p>
    <w:p w:rsidR="002F4465" w:rsidRPr="00A32575" w:rsidRDefault="002F4465" w:rsidP="004A7279">
      <w:pPr>
        <w:widowControl w:val="0"/>
        <w:spacing w:after="0" w:line="240" w:lineRule="auto"/>
        <w:ind w:left="113" w:right="113"/>
        <w:jc w:val="both"/>
        <w:rPr>
          <w:rFonts w:ascii="Arial" w:hAnsi="Arial" w:cs="Arial"/>
          <w:b/>
          <w:bCs/>
          <w:sz w:val="24"/>
          <w:szCs w:val="24"/>
        </w:rPr>
      </w:pPr>
    </w:p>
    <w:p w:rsidR="002F4465" w:rsidRPr="00A32575" w:rsidRDefault="002F4465" w:rsidP="004A7279">
      <w:pPr>
        <w:widowControl w:val="0"/>
        <w:tabs>
          <w:tab w:val="left" w:pos="2340"/>
        </w:tabs>
        <w:spacing w:after="0" w:line="240" w:lineRule="auto"/>
        <w:ind w:left="113" w:right="113"/>
        <w:jc w:val="both"/>
        <w:rPr>
          <w:rFonts w:ascii="Arial" w:hAnsi="Arial" w:cs="Arial"/>
          <w:sz w:val="24"/>
          <w:szCs w:val="24"/>
        </w:rPr>
      </w:pPr>
      <w:r w:rsidRPr="00A32575">
        <w:rPr>
          <w:rFonts w:ascii="Arial" w:hAnsi="Arial" w:cs="Arial"/>
          <w:b/>
          <w:sz w:val="24"/>
          <w:szCs w:val="24"/>
        </w:rPr>
        <w:t xml:space="preserve">ARTÍCULO 2. </w:t>
      </w:r>
      <w:r w:rsidRPr="00A32575">
        <w:rPr>
          <w:rFonts w:ascii="Arial" w:hAnsi="Arial" w:cs="Arial"/>
          <w:sz w:val="24"/>
          <w:szCs w:val="24"/>
        </w:rPr>
        <w:t xml:space="preserve">Notificar el contenido de la presente resolución al representante legal del </w:t>
      </w:r>
      <w:r w:rsidRPr="00A32575">
        <w:rPr>
          <w:rFonts w:ascii="Arial" w:hAnsi="Arial" w:cs="Arial"/>
          <w:bCs/>
          <w:sz w:val="24"/>
          <w:szCs w:val="24"/>
        </w:rPr>
        <w:t>operador de servicios</w:t>
      </w:r>
      <w:r w:rsidRPr="00A32575">
        <w:rPr>
          <w:rFonts w:ascii="Arial" w:hAnsi="Arial" w:cs="Arial"/>
          <w:sz w:val="24"/>
          <w:szCs w:val="24"/>
        </w:rPr>
        <w:t>, o a quien haga sus veces.</w:t>
      </w:r>
    </w:p>
    <w:p w:rsidR="002F4465" w:rsidRPr="00A32575" w:rsidRDefault="002F4465" w:rsidP="004A7279">
      <w:pPr>
        <w:widowControl w:val="0"/>
        <w:tabs>
          <w:tab w:val="left" w:pos="2340"/>
        </w:tabs>
        <w:spacing w:after="0" w:line="240" w:lineRule="auto"/>
        <w:ind w:left="113" w:right="113"/>
        <w:jc w:val="both"/>
        <w:rPr>
          <w:rFonts w:ascii="Arial" w:hAnsi="Arial" w:cs="Arial"/>
          <w:sz w:val="24"/>
          <w:szCs w:val="24"/>
          <w:highlight w:val="yellow"/>
        </w:rPr>
      </w:pPr>
    </w:p>
    <w:p w:rsidR="002F4465" w:rsidRPr="00A32575" w:rsidRDefault="002F4465" w:rsidP="00113935">
      <w:pPr>
        <w:widowControl w:val="0"/>
        <w:tabs>
          <w:tab w:val="left" w:pos="2340"/>
        </w:tabs>
        <w:spacing w:after="0" w:line="240" w:lineRule="auto"/>
        <w:ind w:left="113" w:right="113"/>
        <w:jc w:val="both"/>
        <w:rPr>
          <w:rFonts w:ascii="Arial" w:hAnsi="Arial" w:cs="Arial"/>
          <w:sz w:val="24"/>
          <w:szCs w:val="24"/>
        </w:rPr>
      </w:pPr>
      <w:r w:rsidRPr="00A32575">
        <w:rPr>
          <w:rFonts w:ascii="Arial" w:hAnsi="Arial" w:cs="Arial"/>
          <w:b/>
          <w:sz w:val="24"/>
          <w:szCs w:val="24"/>
        </w:rPr>
        <w:t>ARTÍCULO 3.</w:t>
      </w:r>
      <w:r w:rsidRPr="00A32575">
        <w:rPr>
          <w:rFonts w:ascii="Arial" w:hAnsi="Arial" w:cs="Arial"/>
          <w:b/>
          <w:bCs/>
          <w:sz w:val="24"/>
          <w:szCs w:val="24"/>
        </w:rPr>
        <w:t xml:space="preserve">  </w:t>
      </w:r>
      <w:r w:rsidRPr="00A32575">
        <w:rPr>
          <w:rFonts w:ascii="Arial" w:hAnsi="Arial" w:cs="Arial"/>
          <w:sz w:val="24"/>
          <w:szCs w:val="24"/>
        </w:rPr>
        <w:t>Notificar personalmente el contenido de la presente resolución al(la) usuario(a) en su calidad de reclamante, entregándole copia de la misma y advirtiéndole que no procede recurso alguno por encontrarse agotada la actuación administrativa.</w:t>
      </w:r>
    </w:p>
    <w:p w:rsidR="00CB0951" w:rsidRPr="00A32575" w:rsidRDefault="00CB0951" w:rsidP="004A7279">
      <w:pPr>
        <w:widowControl w:val="0"/>
        <w:tabs>
          <w:tab w:val="left" w:pos="2340"/>
        </w:tabs>
        <w:spacing w:after="0" w:line="240" w:lineRule="auto"/>
        <w:ind w:left="113" w:right="113"/>
        <w:jc w:val="both"/>
        <w:rPr>
          <w:rFonts w:ascii="Arial" w:hAnsi="Arial" w:cs="Arial"/>
          <w:sz w:val="24"/>
          <w:szCs w:val="24"/>
        </w:rPr>
      </w:pPr>
    </w:p>
    <w:p w:rsidR="00090085" w:rsidRPr="00133367" w:rsidRDefault="00090085" w:rsidP="00090085">
      <w:pPr>
        <w:widowControl w:val="0"/>
        <w:spacing w:after="0" w:line="240" w:lineRule="auto"/>
        <w:ind w:left="113" w:right="113"/>
        <w:jc w:val="center"/>
        <w:rPr>
          <w:rFonts w:ascii="Arial" w:hAnsi="Arial" w:cs="Arial"/>
          <w:b/>
          <w:sz w:val="24"/>
          <w:szCs w:val="24"/>
          <w:lang w:val="es-ES"/>
        </w:rPr>
      </w:pPr>
      <w:r w:rsidRPr="00133367">
        <w:rPr>
          <w:rFonts w:ascii="Arial" w:hAnsi="Arial" w:cs="Arial"/>
          <w:b/>
          <w:sz w:val="24"/>
          <w:szCs w:val="24"/>
          <w:lang w:val="es-ES"/>
        </w:rPr>
        <w:t>NOTIFÍQUESE Y CÚMPLASE</w:t>
      </w:r>
    </w:p>
    <w:p w:rsidR="00090085" w:rsidRPr="00133367" w:rsidRDefault="00090085" w:rsidP="00090085">
      <w:pPr>
        <w:widowControl w:val="0"/>
        <w:spacing w:after="0" w:line="240" w:lineRule="auto"/>
        <w:ind w:left="113" w:right="113"/>
        <w:jc w:val="center"/>
        <w:rPr>
          <w:rFonts w:ascii="Arial" w:hAnsi="Arial" w:cs="Arial"/>
          <w:sz w:val="24"/>
          <w:szCs w:val="24"/>
        </w:rPr>
      </w:pPr>
      <w:r w:rsidRPr="00133367">
        <w:rPr>
          <w:rFonts w:ascii="Arial" w:hAnsi="Arial" w:cs="Arial"/>
          <w:sz w:val="24"/>
          <w:szCs w:val="24"/>
          <w:lang w:val="es-ES"/>
        </w:rPr>
        <w:t>Dada en Bogotá D.C.,</w:t>
      </w:r>
      <w:r>
        <w:rPr>
          <w:rFonts w:ascii="Arial" w:hAnsi="Arial" w:cs="Arial"/>
          <w:sz w:val="24"/>
          <w:szCs w:val="24"/>
          <w:lang w:val="es-ES"/>
        </w:rPr>
        <w:t xml:space="preserve"> </w:t>
      </w:r>
      <w:r w:rsidRPr="00E87F8C">
        <w:rPr>
          <w:rFonts w:ascii="Arial" w:hAnsi="Arial" w:cs="Arial"/>
          <w:lang w:val="es-ES"/>
        </w:rPr>
        <w:t>${fecha}  </w:t>
      </w:r>
    </w:p>
    <w:p w:rsidR="00090085" w:rsidRPr="00133367" w:rsidRDefault="00090085" w:rsidP="00090085">
      <w:pPr>
        <w:spacing w:after="0" w:line="240" w:lineRule="auto"/>
        <w:ind w:right="113"/>
        <w:rPr>
          <w:rFonts w:ascii="Arial" w:hAnsi="Arial" w:cs="Arial"/>
          <w:sz w:val="24"/>
          <w:szCs w:val="24"/>
        </w:rPr>
      </w:pPr>
    </w:p>
    <w:p w:rsidR="00090085" w:rsidRDefault="00090085" w:rsidP="00090085">
      <w:pPr>
        <w:spacing w:after="0" w:line="240" w:lineRule="auto"/>
        <w:ind w:left="57" w:right="57"/>
        <w:rPr>
          <w:rFonts w:ascii="Arial" w:hAnsi="Arial" w:cs="Arial"/>
          <w:sz w:val="24"/>
          <w:szCs w:val="24"/>
        </w:rPr>
      </w:pPr>
      <w:r>
        <w:rPr>
          <w:rFonts w:ascii="Arial" w:hAnsi="Arial" w:cs="Arial"/>
          <w:b/>
        </w:rPr>
        <w:t xml:space="preserve">${cargo1} </w:t>
      </w:r>
      <w:r>
        <w:rPr>
          <w:rFonts w:ascii="Arial" w:hAnsi="Arial" w:cs="Arial"/>
          <w:sz w:val="24"/>
          <w:szCs w:val="24"/>
        </w:rPr>
        <w:t xml:space="preserve"> </w:t>
      </w:r>
    </w:p>
    <w:p w:rsidR="00090085" w:rsidRDefault="00090085" w:rsidP="00090085">
      <w:pPr>
        <w:spacing w:after="0" w:line="240" w:lineRule="auto"/>
        <w:ind w:right="113"/>
        <w:rPr>
          <w:rFonts w:ascii="Arial" w:hAnsi="Arial" w:cs="Arial"/>
          <w:sz w:val="24"/>
          <w:szCs w:val="24"/>
        </w:rPr>
      </w:pPr>
    </w:p>
    <w:p w:rsidR="00090085" w:rsidRPr="00E87F8C" w:rsidRDefault="00090085" w:rsidP="00090085">
      <w:pPr>
        <w:pStyle w:val="Sinespaciado1"/>
        <w:spacing w:before="0"/>
        <w:ind w:left="113" w:right="113"/>
        <w:jc w:val="center"/>
        <w:rPr>
          <w:rFonts w:ascii="Arial" w:hAnsi="Arial" w:cs="Arial"/>
        </w:rPr>
      </w:pPr>
      <w:r>
        <w:rPr>
          <w:rFonts w:ascii="Arial" w:hAnsi="Arial" w:cs="Arial"/>
        </w:rPr>
        <w:t xml:space="preserve">                                                            </w:t>
      </w:r>
      <w:r w:rsidRPr="00E87F8C">
        <w:rPr>
          <w:rFonts w:ascii="Arial" w:hAnsi="Arial" w:cs="Arial"/>
        </w:rPr>
        <w:t>${firma}</w:t>
      </w:r>
    </w:p>
    <w:p w:rsidR="00090085" w:rsidRPr="00160074" w:rsidRDefault="00090085" w:rsidP="00090085">
      <w:pPr>
        <w:pStyle w:val="Sinespaciado1"/>
        <w:spacing w:before="0"/>
        <w:ind w:left="113" w:right="113"/>
        <w:jc w:val="right"/>
        <w:rPr>
          <w:rFonts w:ascii="Arial" w:hAnsi="Arial" w:cs="Arial"/>
          <w:b/>
        </w:rPr>
      </w:pPr>
      <w:r w:rsidRPr="00160074">
        <w:rPr>
          <w:rFonts w:ascii="Arial" w:hAnsi="Arial" w:cs="Arial"/>
          <w:b/>
        </w:rPr>
        <w:t>${nombre}</w:t>
      </w:r>
    </w:p>
    <w:p w:rsidR="00090085" w:rsidRPr="00A32575" w:rsidRDefault="00090085" w:rsidP="00090085">
      <w:pPr>
        <w:spacing w:after="0" w:line="240" w:lineRule="auto"/>
        <w:ind w:left="57" w:right="57"/>
        <w:jc w:val="right"/>
        <w:rPr>
          <w:rFonts w:ascii="Arial" w:hAnsi="Arial" w:cs="Arial"/>
          <w:b/>
        </w:rPr>
      </w:pPr>
    </w:p>
    <w:p w:rsidR="00090085" w:rsidRPr="00A32575" w:rsidRDefault="00090085" w:rsidP="00090085">
      <w:pPr>
        <w:widowControl w:val="0"/>
        <w:spacing w:after="0" w:line="240" w:lineRule="auto"/>
        <w:ind w:left="113" w:right="113"/>
        <w:rPr>
          <w:rFonts w:ascii="Arial" w:hAnsi="Arial" w:cs="Arial"/>
          <w:b/>
          <w:lang w:val="es-ES"/>
        </w:rPr>
      </w:pPr>
    </w:p>
    <w:p w:rsidR="00090085" w:rsidRPr="00A32575" w:rsidRDefault="00090085" w:rsidP="00090085">
      <w:pPr>
        <w:widowControl w:val="0"/>
        <w:spacing w:after="0" w:line="240" w:lineRule="auto"/>
        <w:ind w:left="113" w:right="113"/>
        <w:rPr>
          <w:rFonts w:ascii="Arial" w:hAnsi="Arial" w:cs="Arial"/>
          <w:b/>
          <w:lang w:val="es-ES"/>
        </w:rPr>
      </w:pPr>
      <w:r w:rsidRPr="00A32575">
        <w:rPr>
          <w:rFonts w:ascii="Arial" w:hAnsi="Arial" w:cs="Arial"/>
          <w:b/>
          <w:lang w:val="es-ES"/>
        </w:rPr>
        <w:t>Notificaciones:</w:t>
      </w:r>
    </w:p>
    <w:p w:rsidR="00090085" w:rsidRPr="00A32575" w:rsidRDefault="00090085" w:rsidP="00090085">
      <w:pPr>
        <w:widowControl w:val="0"/>
        <w:spacing w:after="0" w:line="240" w:lineRule="auto"/>
        <w:ind w:left="113" w:right="113"/>
        <w:rPr>
          <w:rFonts w:ascii="Arial" w:hAnsi="Arial" w:cs="Arial"/>
          <w:b/>
          <w:bCs/>
        </w:rPr>
      </w:pPr>
    </w:p>
    <w:p w:rsidR="00090085" w:rsidRPr="00A32575" w:rsidRDefault="00090085" w:rsidP="00090085">
      <w:pPr>
        <w:widowControl w:val="0"/>
        <w:spacing w:after="0" w:line="240" w:lineRule="auto"/>
        <w:ind w:left="113" w:right="113"/>
        <w:rPr>
          <w:rFonts w:ascii="Arial" w:hAnsi="Arial" w:cs="Arial"/>
          <w:bCs/>
        </w:rPr>
      </w:pPr>
      <w:r w:rsidRPr="00A32575">
        <w:rPr>
          <w:rFonts w:ascii="Arial" w:hAnsi="Arial" w:cs="Arial"/>
          <w:bCs/>
        </w:rPr>
        <w:t>${investigado}</w:t>
      </w:r>
    </w:p>
    <w:p w:rsidR="00090085" w:rsidRPr="00A32575" w:rsidRDefault="00090085" w:rsidP="00090085">
      <w:pPr>
        <w:widowControl w:val="0"/>
        <w:spacing w:after="0" w:line="240" w:lineRule="auto"/>
        <w:ind w:left="113" w:right="113"/>
        <w:rPr>
          <w:rFonts w:ascii="Arial" w:hAnsi="Arial" w:cs="Arial"/>
          <w:b/>
          <w:bCs/>
        </w:rPr>
      </w:pPr>
    </w:p>
    <w:p w:rsidR="00090085" w:rsidRPr="00A32575" w:rsidRDefault="00090085" w:rsidP="00090085">
      <w:pPr>
        <w:widowControl w:val="0"/>
        <w:spacing w:after="0" w:line="240" w:lineRule="auto"/>
        <w:ind w:left="113" w:right="113"/>
        <w:rPr>
          <w:rFonts w:ascii="Arial" w:hAnsi="Arial" w:cs="Arial"/>
          <w:b/>
          <w:bCs/>
        </w:rPr>
      </w:pPr>
      <w:r w:rsidRPr="00A32575">
        <w:rPr>
          <w:rFonts w:ascii="Arial" w:hAnsi="Arial" w:cs="Arial"/>
          <w:b/>
          <w:bCs/>
        </w:rPr>
        <w:t>Usuario(a)</w:t>
      </w:r>
    </w:p>
    <w:p w:rsidR="00090085" w:rsidRPr="00A32575" w:rsidRDefault="00090085" w:rsidP="00090085">
      <w:pPr>
        <w:widowControl w:val="0"/>
        <w:spacing w:after="0" w:line="240" w:lineRule="auto"/>
        <w:ind w:left="113" w:right="113"/>
        <w:rPr>
          <w:rFonts w:ascii="Arial" w:hAnsi="Arial" w:cs="Arial"/>
          <w:b/>
          <w:bCs/>
        </w:rPr>
      </w:pPr>
    </w:p>
    <w:p w:rsidR="00090085" w:rsidRPr="00A32575" w:rsidRDefault="00090085" w:rsidP="00090085">
      <w:pPr>
        <w:widowControl w:val="0"/>
        <w:spacing w:after="0" w:line="240" w:lineRule="auto"/>
        <w:ind w:left="113" w:right="113"/>
        <w:rPr>
          <w:rFonts w:ascii="Arial" w:hAnsi="Arial" w:cs="Arial"/>
          <w:bCs/>
        </w:rPr>
      </w:pPr>
      <w:r w:rsidRPr="00A32575">
        <w:rPr>
          <w:rFonts w:ascii="Arial" w:hAnsi="Arial" w:cs="Arial"/>
          <w:bCs/>
        </w:rPr>
        <w:lastRenderedPageBreak/>
        <w:t>${demandante}</w:t>
      </w:r>
    </w:p>
    <w:p w:rsidR="00090085" w:rsidRPr="00A32575" w:rsidRDefault="00090085" w:rsidP="00090085">
      <w:pPr>
        <w:widowControl w:val="0"/>
        <w:spacing w:after="0" w:line="240" w:lineRule="auto"/>
        <w:ind w:left="113" w:right="113"/>
        <w:rPr>
          <w:rFonts w:ascii="Arial" w:hAnsi="Arial" w:cs="Arial"/>
          <w:b/>
          <w:bCs/>
        </w:rPr>
      </w:pPr>
    </w:p>
    <w:p w:rsidR="00090085" w:rsidRPr="00A32575" w:rsidRDefault="00090085" w:rsidP="00090085">
      <w:pPr>
        <w:pStyle w:val="Textonotapie"/>
        <w:ind w:left="113" w:right="113"/>
        <w:outlineLvl w:val="0"/>
        <w:rPr>
          <w:rFonts w:ascii="Arial" w:hAnsi="Arial" w:cs="Arial"/>
          <w:sz w:val="16"/>
          <w:szCs w:val="16"/>
        </w:rPr>
      </w:pPr>
      <w:r w:rsidRPr="00A32575">
        <w:rPr>
          <w:rFonts w:ascii="Arial" w:hAnsi="Arial" w:cs="Arial"/>
          <w:sz w:val="16"/>
          <w:szCs w:val="16"/>
        </w:rPr>
        <w:t>Elaboró: ${elaboro}// Revisó: ${reviso} // Aprobó: ${</w:t>
      </w:r>
      <w:proofErr w:type="spellStart"/>
      <w:r w:rsidRPr="00A32575">
        <w:rPr>
          <w:rFonts w:ascii="Arial" w:hAnsi="Arial" w:cs="Arial"/>
          <w:sz w:val="16"/>
          <w:szCs w:val="16"/>
        </w:rPr>
        <w:t>aprobo</w:t>
      </w:r>
      <w:proofErr w:type="spellEnd"/>
      <w:r w:rsidRPr="00A32575">
        <w:rPr>
          <w:rFonts w:ascii="Arial" w:hAnsi="Arial" w:cs="Arial"/>
          <w:sz w:val="16"/>
          <w:szCs w:val="16"/>
        </w:rPr>
        <w:t xml:space="preserve">}      </w:t>
      </w:r>
    </w:p>
    <w:p w:rsidR="00090085" w:rsidRPr="00A32575" w:rsidRDefault="00090085" w:rsidP="00090085">
      <w:pPr>
        <w:pStyle w:val="Textonotapie"/>
        <w:ind w:left="113" w:right="113"/>
        <w:outlineLvl w:val="0"/>
        <w:rPr>
          <w:rFonts w:ascii="Arial" w:hAnsi="Arial" w:cs="Arial"/>
          <w:sz w:val="16"/>
          <w:szCs w:val="16"/>
        </w:rPr>
      </w:pPr>
    </w:p>
    <w:p w:rsidR="00090085" w:rsidRPr="00A32575" w:rsidRDefault="00090085" w:rsidP="00090085">
      <w:pPr>
        <w:pStyle w:val="Textonotapie"/>
        <w:ind w:left="113" w:right="113"/>
        <w:jc w:val="center"/>
        <w:outlineLvl w:val="0"/>
        <w:rPr>
          <w:rFonts w:ascii="Arial" w:hAnsi="Arial" w:cs="Arial"/>
          <w:sz w:val="16"/>
          <w:szCs w:val="16"/>
        </w:rPr>
      </w:pPr>
      <w:r w:rsidRPr="00A32575">
        <w:rPr>
          <w:rFonts w:ascii="Arial" w:hAnsi="Arial" w:cs="Arial"/>
          <w:sz w:val="16"/>
          <w:szCs w:val="16"/>
        </w:rPr>
        <w:t>${</w:t>
      </w:r>
      <w:proofErr w:type="spellStart"/>
      <w:r w:rsidRPr="00A32575">
        <w:rPr>
          <w:rFonts w:ascii="Arial" w:hAnsi="Arial" w:cs="Arial"/>
          <w:sz w:val="16"/>
          <w:szCs w:val="16"/>
        </w:rPr>
        <w:t>qr</w:t>
      </w:r>
      <w:proofErr w:type="spellEnd"/>
      <w:r w:rsidRPr="00A32575">
        <w:rPr>
          <w:rFonts w:ascii="Arial" w:hAnsi="Arial" w:cs="Arial"/>
          <w:sz w:val="16"/>
          <w:szCs w:val="16"/>
        </w:rPr>
        <w:t>}</w:t>
      </w:r>
    </w:p>
    <w:p w:rsidR="002F4465" w:rsidRPr="00A32575" w:rsidRDefault="002F4465" w:rsidP="00090085">
      <w:pPr>
        <w:widowControl w:val="0"/>
        <w:spacing w:after="0" w:line="240" w:lineRule="auto"/>
        <w:ind w:left="113" w:right="113"/>
        <w:jc w:val="center"/>
        <w:rPr>
          <w:rFonts w:ascii="Arial" w:hAnsi="Arial" w:cs="Arial"/>
          <w:sz w:val="16"/>
          <w:szCs w:val="16"/>
        </w:rPr>
      </w:pPr>
    </w:p>
    <w:sectPr w:rsidR="002F4465" w:rsidRPr="00A32575" w:rsidSect="007F4ADC">
      <w:headerReference w:type="even" r:id="rId9"/>
      <w:headerReference w:type="default" r:id="rId10"/>
      <w:footerReference w:type="default" r:id="rId11"/>
      <w:headerReference w:type="first" r:id="rId12"/>
      <w:pgSz w:w="12242" w:h="18722" w:code="121"/>
      <w:pgMar w:top="1827" w:right="1021" w:bottom="851" w:left="1021" w:header="992" w:footer="567" w:gutter="0"/>
      <w:pgBorders w:offsetFrom="page">
        <w:top w:val="thinThickLargeGap" w:sz="24" w:space="30" w:color="auto"/>
        <w:left w:val="thinThickLargeGap" w:sz="24" w:space="29" w:color="auto"/>
        <w:bottom w:val="thickThinLargeGap" w:sz="24" w:space="30" w:color="auto"/>
        <w:right w:val="thickThinLargeGap" w:sz="24" w:space="30"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367" w:rsidRDefault="004D0367" w:rsidP="002F4465">
      <w:pPr>
        <w:spacing w:after="0" w:line="240" w:lineRule="auto"/>
      </w:pPr>
      <w:r>
        <w:separator/>
      </w:r>
    </w:p>
  </w:endnote>
  <w:endnote w:type="continuationSeparator" w:id="0">
    <w:p w:rsidR="004D0367" w:rsidRDefault="004D0367" w:rsidP="002F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45" w:rsidRPr="006B3E2A" w:rsidRDefault="004D0367" w:rsidP="006B3E2A">
    <w:pPr>
      <w:pStyle w:val="Piedepgina"/>
      <w:jc w:val="both"/>
      <w:rPr>
        <w:rFonts w:ascii="Arial" w:hAnsi="Arial" w:cs="Arial"/>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367" w:rsidRDefault="004D0367" w:rsidP="002F4465">
      <w:pPr>
        <w:spacing w:after="0" w:line="240" w:lineRule="auto"/>
      </w:pPr>
      <w:r>
        <w:separator/>
      </w:r>
    </w:p>
  </w:footnote>
  <w:footnote w:type="continuationSeparator" w:id="0">
    <w:p w:rsidR="004D0367" w:rsidRDefault="004D0367" w:rsidP="002F4465">
      <w:pPr>
        <w:spacing w:after="0" w:line="240" w:lineRule="auto"/>
      </w:pPr>
      <w:r>
        <w:continuationSeparator/>
      </w:r>
    </w:p>
  </w:footnote>
  <w:footnote w:id="1">
    <w:p w:rsidR="00C52D05" w:rsidRPr="00484B63" w:rsidRDefault="00C52D05" w:rsidP="00C52D05">
      <w:pPr>
        <w:pStyle w:val="Textonotapie"/>
        <w:rPr>
          <w:rFonts w:ascii="Arial" w:hAnsi="Arial" w:cs="Arial"/>
          <w:sz w:val="18"/>
          <w:szCs w:val="18"/>
        </w:rPr>
      </w:pPr>
      <w:r w:rsidRPr="00484B63">
        <w:rPr>
          <w:rStyle w:val="Refdenotaalpie"/>
          <w:rFonts w:ascii="Arial" w:hAnsi="Arial" w:cs="Arial"/>
          <w:sz w:val="18"/>
          <w:szCs w:val="18"/>
        </w:rPr>
        <w:footnoteRef/>
      </w:r>
      <w:r w:rsidRPr="00484B63">
        <w:rPr>
          <w:rFonts w:ascii="Arial" w:hAnsi="Arial" w:cs="Arial"/>
          <w:sz w:val="18"/>
          <w:szCs w:val="18"/>
        </w:rPr>
        <w:t xml:space="preserve"> Vigente para la época de los hechos.</w:t>
      </w:r>
    </w:p>
  </w:footnote>
  <w:footnote w:id="2">
    <w:p w:rsidR="00C52D05" w:rsidRPr="0071112D" w:rsidRDefault="00C52D05" w:rsidP="00C52D05">
      <w:pPr>
        <w:pStyle w:val="Textonotapie"/>
        <w:tabs>
          <w:tab w:val="left" w:pos="0"/>
        </w:tabs>
        <w:rPr>
          <w:rFonts w:ascii="Arial" w:hAnsi="Arial" w:cs="Arial"/>
          <w:sz w:val="18"/>
          <w:szCs w:val="18"/>
        </w:rPr>
      </w:pPr>
      <w:r w:rsidRPr="0071112D">
        <w:rPr>
          <w:rStyle w:val="Refdenotaalpie"/>
          <w:rFonts w:ascii="Arial" w:hAnsi="Arial" w:cs="Arial"/>
          <w:sz w:val="18"/>
          <w:szCs w:val="18"/>
        </w:rPr>
        <w:footnoteRef/>
      </w:r>
      <w:r w:rsidRPr="0071112D">
        <w:rPr>
          <w:rFonts w:ascii="Arial" w:hAnsi="Arial" w:cs="Arial"/>
          <w:sz w:val="18"/>
          <w:szCs w:val="18"/>
        </w:rPr>
        <w:t xml:space="preserve"> Cfr. Documento soporte </w:t>
      </w:r>
      <w:r w:rsidRPr="0071112D">
        <w:rPr>
          <w:rFonts w:ascii="Arial" w:hAnsi="Arial" w:cs="Arial"/>
          <w:i/>
          <w:sz w:val="18"/>
          <w:szCs w:val="18"/>
        </w:rPr>
        <w:t>“Revisión de los Regímenes de Portabilidad Numérica Móvil y Compensación automática por llamadas caídas”</w:t>
      </w:r>
    </w:p>
    <w:p w:rsidR="00C52D05" w:rsidRPr="0071112D" w:rsidRDefault="00C52D05" w:rsidP="00C52D05">
      <w:pPr>
        <w:pStyle w:val="Textonotapie"/>
        <w:rPr>
          <w:rFonts w:ascii="Arial" w:hAnsi="Arial" w:cs="Arial"/>
          <w:sz w:val="18"/>
          <w:szCs w:val="18"/>
        </w:rPr>
      </w:pPr>
      <w:hyperlink r:id="rId1" w:history="1">
        <w:r w:rsidRPr="0071112D">
          <w:rPr>
            <w:rStyle w:val="Hipervnculo"/>
            <w:rFonts w:ascii="Arial" w:hAnsi="Arial" w:cs="Arial"/>
            <w:sz w:val="18"/>
            <w:szCs w:val="18"/>
          </w:rPr>
          <w:t>https://www.crcom.gov.co/uploads/images/files/DOCUMENTO%20AMARILLO_PORTABILIDAD%20Y%20COMPENSACI%C3%93N_AJUSTES%20COMIT%C3%89%20_SCC.pdf</w:t>
        </w:r>
      </w:hyperlink>
    </w:p>
  </w:footnote>
  <w:footnote w:id="3">
    <w:p w:rsidR="00C52D05" w:rsidRPr="0071112D" w:rsidRDefault="00C52D05" w:rsidP="00C52D05">
      <w:pPr>
        <w:pStyle w:val="Textonotapie"/>
        <w:rPr>
          <w:rFonts w:ascii="Arial" w:hAnsi="Arial" w:cs="Arial"/>
          <w:sz w:val="18"/>
          <w:szCs w:val="18"/>
        </w:rPr>
      </w:pPr>
      <w:r w:rsidRPr="0071112D">
        <w:rPr>
          <w:rStyle w:val="Refdenotaalpie"/>
          <w:rFonts w:ascii="Arial" w:hAnsi="Arial" w:cs="Arial"/>
          <w:sz w:val="18"/>
          <w:szCs w:val="18"/>
        </w:rPr>
        <w:footnoteRef/>
      </w:r>
      <w:r w:rsidRPr="0071112D">
        <w:rPr>
          <w:rFonts w:ascii="Arial" w:hAnsi="Arial" w:cs="Arial"/>
          <w:sz w:val="18"/>
          <w:szCs w:val="18"/>
        </w:rPr>
        <w:t xml:space="preserve"> Por la cual se establece el Régimen de Protección de los Derechos de los Usuarios de Servicios de Comunicaciones, se modifica el Capítulo 1 del Título II de la Resolución CRC 5050 de 2016 y se dictan otras disposiciones.</w:t>
      </w:r>
    </w:p>
  </w:footnote>
  <w:footnote w:id="4">
    <w:p w:rsidR="00C52D05" w:rsidRPr="004C7BDE" w:rsidRDefault="00C52D05" w:rsidP="00C52D05">
      <w:pPr>
        <w:pStyle w:val="Textonotapie"/>
        <w:rPr>
          <w:rFonts w:ascii="Arial" w:hAnsi="Arial" w:cs="Arial"/>
          <w:sz w:val="18"/>
          <w:szCs w:val="18"/>
        </w:rPr>
      </w:pPr>
      <w:r w:rsidRPr="004C7BDE">
        <w:rPr>
          <w:rStyle w:val="Refdenotaalpie"/>
          <w:rFonts w:ascii="Arial" w:hAnsi="Arial" w:cs="Arial"/>
          <w:sz w:val="18"/>
          <w:szCs w:val="18"/>
        </w:rPr>
        <w:footnoteRef/>
      </w:r>
      <w:r w:rsidRPr="004C7BDE">
        <w:rPr>
          <w:rFonts w:ascii="Arial" w:hAnsi="Arial" w:cs="Arial"/>
          <w:sz w:val="18"/>
          <w:szCs w:val="18"/>
        </w:rPr>
        <w:t xml:space="preserve"> Número de Identificación Personal</w:t>
      </w:r>
    </w:p>
  </w:footnote>
  <w:footnote w:id="5">
    <w:p w:rsidR="00C52D05" w:rsidRPr="004C7BDE" w:rsidRDefault="00C52D05" w:rsidP="00C52D05">
      <w:pPr>
        <w:pStyle w:val="Textonotapie"/>
        <w:rPr>
          <w:rFonts w:ascii="Arial" w:hAnsi="Arial" w:cs="Arial"/>
          <w:sz w:val="18"/>
          <w:szCs w:val="18"/>
        </w:rPr>
      </w:pPr>
      <w:r w:rsidRPr="004C7BDE">
        <w:rPr>
          <w:rStyle w:val="Refdenotaalpie"/>
          <w:rFonts w:ascii="Arial" w:hAnsi="Arial" w:cs="Arial"/>
          <w:sz w:val="18"/>
          <w:szCs w:val="18"/>
        </w:rPr>
        <w:footnoteRef/>
      </w:r>
      <w:r w:rsidRPr="004C7BDE">
        <w:rPr>
          <w:rFonts w:ascii="Arial" w:hAnsi="Arial" w:cs="Arial"/>
          <w:sz w:val="18"/>
          <w:szCs w:val="18"/>
        </w:rPr>
        <w:t xml:space="preserve"> Administrador de la Base de Datos</w:t>
      </w:r>
    </w:p>
  </w:footnote>
  <w:footnote w:id="6">
    <w:p w:rsidR="00C52D05" w:rsidRPr="004C7BDE" w:rsidRDefault="00C52D05" w:rsidP="00C52D05">
      <w:pPr>
        <w:pStyle w:val="Textonotapie"/>
        <w:rPr>
          <w:rFonts w:ascii="Arial" w:hAnsi="Arial" w:cs="Arial"/>
          <w:sz w:val="18"/>
          <w:szCs w:val="18"/>
        </w:rPr>
      </w:pPr>
      <w:r w:rsidRPr="004C7BDE">
        <w:rPr>
          <w:rStyle w:val="Refdenotaalpie"/>
          <w:rFonts w:ascii="Arial" w:hAnsi="Arial" w:cs="Arial"/>
          <w:sz w:val="18"/>
          <w:szCs w:val="18"/>
        </w:rPr>
        <w:footnoteRef/>
      </w:r>
      <w:r w:rsidRPr="004C7BDE">
        <w:rPr>
          <w:rFonts w:ascii="Arial" w:hAnsi="Arial" w:cs="Arial"/>
          <w:sz w:val="18"/>
          <w:szCs w:val="18"/>
        </w:rPr>
        <w:t xml:space="preserve"> Operador Receptor: proveedor de servicios de telecomunicaciones hacia el cual es portado determinado número como resultado del proceso de portación</w:t>
      </w:r>
    </w:p>
  </w:footnote>
  <w:footnote w:id="7">
    <w:p w:rsidR="00C52D05" w:rsidRPr="004C7BDE" w:rsidRDefault="00C52D05" w:rsidP="00C52D05">
      <w:pPr>
        <w:pStyle w:val="Textonotapie"/>
        <w:rPr>
          <w:rFonts w:ascii="Arial" w:hAnsi="Arial" w:cs="Arial"/>
          <w:sz w:val="18"/>
          <w:szCs w:val="18"/>
        </w:rPr>
      </w:pPr>
      <w:r w:rsidRPr="004C7BDE">
        <w:rPr>
          <w:rStyle w:val="Refdenotaalpie"/>
          <w:rFonts w:ascii="Arial" w:hAnsi="Arial" w:cs="Arial"/>
          <w:sz w:val="18"/>
          <w:szCs w:val="18"/>
        </w:rPr>
        <w:footnoteRef/>
      </w:r>
      <w:r w:rsidRPr="004C7BDE">
        <w:rPr>
          <w:rFonts w:ascii="Arial" w:hAnsi="Arial" w:cs="Arial"/>
          <w:sz w:val="18"/>
          <w:szCs w:val="18"/>
        </w:rPr>
        <w:t xml:space="preserve"> Operador Donante: Proveedor de redes y servicios de telecomunicaciones desde el cual es portado un determinado número como resultado del proceso de portación.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45" w:rsidRDefault="002C5CA6">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B13B45" w:rsidRDefault="004D0367">
    <w:pPr>
      <w:pStyle w:val="Encabezado"/>
      <w:ind w:right="360"/>
    </w:pPr>
  </w:p>
  <w:p w:rsidR="00B13B45" w:rsidRDefault="004D036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913" w:rsidRPr="00520464" w:rsidRDefault="002C5CA6" w:rsidP="00304913">
    <w:pPr>
      <w:pStyle w:val="Encabezado"/>
      <w:framePr w:w="1261" w:wrap="around" w:vAnchor="text" w:hAnchor="page" w:x="10150" w:y="-173"/>
      <w:jc w:val="center"/>
      <w:rPr>
        <w:rStyle w:val="Nmerodepgina"/>
        <w:rFonts w:ascii="Arial" w:hAnsi="Arial" w:cs="Arial"/>
        <w:sz w:val="20"/>
        <w:szCs w:val="20"/>
      </w:rPr>
    </w:pPr>
    <w:r w:rsidRPr="00520464">
      <w:rPr>
        <w:rStyle w:val="Nmerodepgina"/>
        <w:rFonts w:ascii="Arial" w:hAnsi="Arial" w:cs="Arial"/>
        <w:sz w:val="20"/>
        <w:szCs w:val="20"/>
      </w:rPr>
      <w:t xml:space="preserve">HOJA N° </w:t>
    </w:r>
    <w:r w:rsidRPr="00520464">
      <w:rPr>
        <w:rStyle w:val="Nmerodepgina"/>
        <w:rFonts w:ascii="Arial" w:hAnsi="Arial" w:cs="Arial"/>
        <w:sz w:val="20"/>
        <w:szCs w:val="20"/>
      </w:rPr>
      <w:fldChar w:fldCharType="begin"/>
    </w:r>
    <w:r w:rsidRPr="00520464">
      <w:rPr>
        <w:rStyle w:val="Nmerodepgina"/>
        <w:rFonts w:ascii="Arial" w:hAnsi="Arial" w:cs="Arial"/>
        <w:sz w:val="20"/>
        <w:szCs w:val="20"/>
      </w:rPr>
      <w:instrText xml:space="preserve">PAGE  </w:instrText>
    </w:r>
    <w:r w:rsidRPr="00520464">
      <w:rPr>
        <w:rStyle w:val="Nmerodepgina"/>
        <w:rFonts w:ascii="Arial" w:hAnsi="Arial" w:cs="Arial"/>
        <w:sz w:val="20"/>
        <w:szCs w:val="20"/>
      </w:rPr>
      <w:fldChar w:fldCharType="separate"/>
    </w:r>
    <w:r w:rsidR="00113935">
      <w:rPr>
        <w:rStyle w:val="Nmerodepgina"/>
        <w:rFonts w:ascii="Arial" w:hAnsi="Arial" w:cs="Arial"/>
        <w:noProof/>
        <w:sz w:val="20"/>
        <w:szCs w:val="20"/>
      </w:rPr>
      <w:t>6</w:t>
    </w:r>
    <w:r w:rsidRPr="00520464">
      <w:rPr>
        <w:rStyle w:val="Nmerodepgina"/>
        <w:rFonts w:ascii="Arial" w:hAnsi="Arial" w:cs="Arial"/>
        <w:sz w:val="20"/>
        <w:szCs w:val="20"/>
      </w:rPr>
      <w:fldChar w:fldCharType="end"/>
    </w:r>
  </w:p>
  <w:p w:rsidR="00304913" w:rsidRPr="00650BA3" w:rsidRDefault="002C5CA6"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0288" behindDoc="1" locked="0" layoutInCell="1" allowOverlap="1" wp14:anchorId="2476815A" wp14:editId="714D1FC0">
              <wp:simplePos x="0" y="0"/>
              <wp:positionH relativeFrom="margin">
                <wp:posOffset>1372870</wp:posOffset>
              </wp:positionH>
              <wp:positionV relativeFrom="paragraph">
                <wp:posOffset>-65405</wp:posOffset>
              </wp:positionV>
              <wp:extent cx="3771900" cy="3810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913" w:rsidRPr="00520464" w:rsidRDefault="002C5CA6" w:rsidP="00304913">
                          <w:pPr>
                            <w:jc w:val="center"/>
                            <w:rPr>
                              <w:rFonts w:ascii="Arial" w:hAnsi="Arial"/>
                              <w:b/>
                              <w:sz w:val="24"/>
                              <w:szCs w:val="24"/>
                            </w:rPr>
                          </w:pPr>
                          <w:r w:rsidRPr="00520464">
                            <w:rPr>
                              <w:rFonts w:ascii="Arial" w:hAnsi="Arial"/>
                              <w:b/>
                              <w:sz w:val="24"/>
                              <w:szCs w:val="24"/>
                            </w:rPr>
                            <w:t xml:space="preserve">RESOLUCIÓN </w:t>
                          </w:r>
                          <w:r w:rsidR="00C22CFC">
                            <w:rPr>
                              <w:rFonts w:ascii="Arial" w:hAnsi="Arial"/>
                              <w:b/>
                              <w:sz w:val="24"/>
                              <w:szCs w:val="24"/>
                            </w:rPr>
                            <w:t xml:space="preserve">NÚMERO </w:t>
                          </w:r>
                          <w:r w:rsidR="00A0061C">
                            <w:rPr>
                              <w:rFonts w:ascii="Arial" w:hAnsi="Arial"/>
                              <w:b/>
                              <w:sz w:val="24"/>
                              <w:szCs w:val="24"/>
                            </w:rPr>
                            <w:t>${</w:t>
                          </w:r>
                          <w:proofErr w:type="gramStart"/>
                          <w:r w:rsidR="00A0061C">
                            <w:rPr>
                              <w:rFonts w:ascii="Arial" w:hAnsi="Arial"/>
                              <w:b/>
                              <w:sz w:val="24"/>
                              <w:szCs w:val="24"/>
                            </w:rPr>
                            <w:t>numero}</w:t>
                          </w:r>
                          <w:r w:rsidRPr="00520464">
                            <w:rPr>
                              <w:rFonts w:ascii="Arial" w:hAnsi="Arial"/>
                              <w:b/>
                              <w:sz w:val="24"/>
                              <w:szCs w:val="24"/>
                            </w:rPr>
                            <w:t xml:space="preserve">   </w:t>
                          </w:r>
                          <w:proofErr w:type="gramEnd"/>
                          <w:r w:rsidRPr="00520464">
                            <w:rPr>
                              <w:rFonts w:ascii="Arial" w:hAnsi="Arial"/>
                              <w:b/>
                              <w:sz w:val="24"/>
                              <w:szCs w:val="24"/>
                            </w:rPr>
                            <w:t xml:space="preserve">DE </w:t>
                          </w:r>
                          <w:r w:rsidR="00A0061C">
                            <w:rPr>
                              <w:rFonts w:ascii="Arial" w:hAnsi="Arial"/>
                              <w:b/>
                              <w:sz w:val="24"/>
                              <w:szCs w:val="24"/>
                            </w:rPr>
                            <w:t>${</w:t>
                          </w:r>
                          <w:proofErr w:type="spellStart"/>
                          <w:r w:rsidR="00A0061C">
                            <w:rPr>
                              <w:rFonts w:ascii="Arial" w:hAnsi="Arial"/>
                              <w:b/>
                              <w:sz w:val="24"/>
                              <w:szCs w:val="24"/>
                            </w:rPr>
                            <w:t>year</w:t>
                          </w:r>
                          <w:proofErr w:type="spellEnd"/>
                          <w:r w:rsidR="00A0061C">
                            <w:rPr>
                              <w:rFonts w:ascii="Arial" w:hAnsi="Arial"/>
                              <w:b/>
                              <w:sz w:val="24"/>
                              <w:szCs w:val="24"/>
                            </w:rPr>
                            <w:t>}</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6815A" id="_x0000_t202" coordsize="21600,21600" o:spt="202" path="m,l,21600r21600,l21600,xe">
              <v:stroke joinstyle="miter"/>
              <v:path gradientshapeok="t" o:connecttype="rect"/>
            </v:shapetype>
            <v:shape id="Cuadro de texto 2" o:spid="_x0000_s1026" type="#_x0000_t202" style="position:absolute;left:0;text-align:left;margin-left:108.1pt;margin-top:-5.15pt;width:297pt;height:3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" filled="f" stroked="f">
              <v:textbox inset=",7.2pt,,7.2pt">
                <w:txbxContent>
                  <w:p w:rsidR="00304913" w:rsidRPr="00520464" w:rsidRDefault="002C5CA6" w:rsidP="00304913">
                    <w:pPr>
                      <w:jc w:val="center"/>
                      <w:rPr>
                        <w:rFonts w:ascii="Arial" w:hAnsi="Arial"/>
                        <w:b/>
                        <w:sz w:val="24"/>
                        <w:szCs w:val="24"/>
                      </w:rPr>
                    </w:pPr>
                    <w:r w:rsidRPr="00520464">
                      <w:rPr>
                        <w:rFonts w:ascii="Arial" w:hAnsi="Arial"/>
                        <w:b/>
                        <w:sz w:val="24"/>
                        <w:szCs w:val="24"/>
                      </w:rPr>
                      <w:t xml:space="preserve">RESOLUCIÓN </w:t>
                    </w:r>
                    <w:r w:rsidR="00C22CFC">
                      <w:rPr>
                        <w:rFonts w:ascii="Arial" w:hAnsi="Arial"/>
                        <w:b/>
                        <w:sz w:val="24"/>
                        <w:szCs w:val="24"/>
                      </w:rPr>
                      <w:t xml:space="preserve">NÚMERO </w:t>
                    </w:r>
                    <w:r w:rsidR="00A0061C">
                      <w:rPr>
                        <w:rFonts w:ascii="Arial" w:hAnsi="Arial"/>
                        <w:b/>
                        <w:sz w:val="24"/>
                        <w:szCs w:val="24"/>
                      </w:rPr>
                      <w:t>${</w:t>
                    </w:r>
                    <w:proofErr w:type="gramStart"/>
                    <w:r w:rsidR="00A0061C">
                      <w:rPr>
                        <w:rFonts w:ascii="Arial" w:hAnsi="Arial"/>
                        <w:b/>
                        <w:sz w:val="24"/>
                        <w:szCs w:val="24"/>
                      </w:rPr>
                      <w:t>numero}</w:t>
                    </w:r>
                    <w:r w:rsidRPr="00520464">
                      <w:rPr>
                        <w:rFonts w:ascii="Arial" w:hAnsi="Arial"/>
                        <w:b/>
                        <w:sz w:val="24"/>
                        <w:szCs w:val="24"/>
                      </w:rPr>
                      <w:t xml:space="preserve">   </w:t>
                    </w:r>
                    <w:proofErr w:type="gramEnd"/>
                    <w:r w:rsidRPr="00520464">
                      <w:rPr>
                        <w:rFonts w:ascii="Arial" w:hAnsi="Arial"/>
                        <w:b/>
                        <w:sz w:val="24"/>
                        <w:szCs w:val="24"/>
                      </w:rPr>
                      <w:t xml:space="preserve">DE </w:t>
                    </w:r>
                    <w:r w:rsidR="00A0061C">
                      <w:rPr>
                        <w:rFonts w:ascii="Arial" w:hAnsi="Arial"/>
                        <w:b/>
                        <w:sz w:val="24"/>
                        <w:szCs w:val="24"/>
                      </w:rPr>
                      <w:t>${</w:t>
                    </w:r>
                    <w:proofErr w:type="spellStart"/>
                    <w:r w:rsidR="00A0061C">
                      <w:rPr>
                        <w:rFonts w:ascii="Arial" w:hAnsi="Arial"/>
                        <w:b/>
                        <w:sz w:val="24"/>
                        <w:szCs w:val="24"/>
                      </w:rPr>
                      <w:t>year</w:t>
                    </w:r>
                    <w:proofErr w:type="spellEnd"/>
                    <w:r w:rsidR="00A0061C">
                      <w:rPr>
                        <w:rFonts w:ascii="Arial" w:hAnsi="Arial"/>
                        <w:b/>
                        <w:sz w:val="24"/>
                        <w:szCs w:val="24"/>
                      </w:rPr>
                      <w:t>}</w:t>
                    </w:r>
                  </w:p>
                </w:txbxContent>
              </v:textbox>
              <w10:wrap anchorx="margin"/>
            </v:shape>
          </w:pict>
        </mc:Fallback>
      </mc:AlternateContent>
    </w:r>
  </w:p>
  <w:p w:rsidR="00304913" w:rsidRPr="00650BA3" w:rsidRDefault="004D0367" w:rsidP="00304913">
    <w:pPr>
      <w:pStyle w:val="Encabezado"/>
      <w:tabs>
        <w:tab w:val="clear" w:pos="4419"/>
        <w:tab w:val="clear" w:pos="8838"/>
      </w:tabs>
      <w:spacing w:before="80" w:after="80"/>
      <w:jc w:val="center"/>
      <w:rPr>
        <w:rFonts w:ascii="Arial" w:hAnsi="Arial" w:cs="Arial"/>
        <w:sz w:val="20"/>
        <w:szCs w:val="20"/>
      </w:rPr>
    </w:pPr>
  </w:p>
  <w:p w:rsidR="00E80058" w:rsidRPr="00E80058" w:rsidRDefault="00E80058" w:rsidP="00E80058">
    <w:pPr>
      <w:pStyle w:val="Encabezado"/>
      <w:tabs>
        <w:tab w:val="center" w:pos="5220"/>
      </w:tabs>
      <w:ind w:right="360"/>
      <w:jc w:val="center"/>
      <w:rPr>
        <w:rFonts w:ascii="Arial" w:hAnsi="Arial" w:cs="Arial"/>
        <w:sz w:val="20"/>
        <w:szCs w:val="20"/>
      </w:rPr>
    </w:pPr>
    <w:r w:rsidRPr="00E80058">
      <w:rPr>
        <w:rFonts w:ascii="Arial" w:hAnsi="Arial" w:cs="Arial"/>
        <w:sz w:val="20"/>
        <w:szCs w:val="20"/>
      </w:rPr>
      <w:t>${cabecera}</w:t>
    </w:r>
  </w:p>
  <w:p w:rsidR="00304913" w:rsidRPr="00650BA3" w:rsidRDefault="002C5CA6" w:rsidP="0030491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1312" behindDoc="1" locked="0" layoutInCell="1" allowOverlap="1" wp14:anchorId="36C80296" wp14:editId="3217F575">
              <wp:simplePos x="0" y="0"/>
              <wp:positionH relativeFrom="margin">
                <wp:align>center</wp:align>
              </wp:positionH>
              <wp:positionV relativeFrom="paragraph">
                <wp:posOffset>72060</wp:posOffset>
              </wp:positionV>
              <wp:extent cx="6696000" cy="0"/>
              <wp:effectExtent l="0" t="0" r="2921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B5FAEE" id="Conector recto 5"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5pt" to="527.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" strokeweight="2pt">
              <v:shadow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65" w:rsidRPr="002F4465" w:rsidRDefault="004D0367" w:rsidP="007F4ADC">
    <w:pPr>
      <w:pStyle w:val="Encabezado"/>
      <w:tabs>
        <w:tab w:val="left" w:pos="9000"/>
        <w:tab w:val="right" w:leader="underscore" w:pos="10530"/>
      </w:tabs>
      <w:jc w:val="center"/>
      <w:rPr>
        <w:rFonts w:ascii="Arial" w:hAnsi="Arial" w:cs="Arial"/>
        <w:sz w:val="24"/>
        <w:szCs w:val="24"/>
      </w:rPr>
    </w:pPr>
    <w:r>
      <w:rPr>
        <w:rFonts w:ascii="Arial" w:hAnsi="Arial" w:cs="Arial"/>
        <w:b/>
        <w:noProof/>
        <w:sz w:val="24"/>
        <w:szCs w:val="24"/>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10.6pt;margin-top:-8.4pt;width:86.65pt;height:47.45pt;z-index:251659264;visibility:visible;mso-wrap-edited:f" o:allowincell="f">
          <v:imagedata r:id="rId1" o:title=""/>
          <w10:wrap type="topAndBottom"/>
        </v:shape>
        <o:OLEObject Type="Embed" ProgID="Word.Picture.8" ShapeID="_x0000_s2049" DrawAspect="Content" ObjectID="_1653562115"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403B"/>
    <w:multiLevelType w:val="hybridMultilevel"/>
    <w:tmpl w:val="5C3CFDC6"/>
    <w:lvl w:ilvl="0" w:tplc="240A0001">
      <w:start w:val="1"/>
      <w:numFmt w:val="bullet"/>
      <w:lvlText w:val=""/>
      <w:lvlJc w:val="left"/>
      <w:pPr>
        <w:ind w:left="1353"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65"/>
    <w:rsid w:val="00090085"/>
    <w:rsid w:val="000E61E6"/>
    <w:rsid w:val="001004DB"/>
    <w:rsid w:val="00113935"/>
    <w:rsid w:val="00176499"/>
    <w:rsid w:val="00274722"/>
    <w:rsid w:val="00281C17"/>
    <w:rsid w:val="002C5CA6"/>
    <w:rsid w:val="002F4465"/>
    <w:rsid w:val="003C25A7"/>
    <w:rsid w:val="0043479B"/>
    <w:rsid w:val="00450B18"/>
    <w:rsid w:val="00487D23"/>
    <w:rsid w:val="004A3542"/>
    <w:rsid w:val="004A7279"/>
    <w:rsid w:val="004B0781"/>
    <w:rsid w:val="004D0367"/>
    <w:rsid w:val="004D6020"/>
    <w:rsid w:val="004E0814"/>
    <w:rsid w:val="0050093E"/>
    <w:rsid w:val="005E5161"/>
    <w:rsid w:val="005F2D3D"/>
    <w:rsid w:val="00780991"/>
    <w:rsid w:val="007A09CF"/>
    <w:rsid w:val="007D401C"/>
    <w:rsid w:val="007E2A57"/>
    <w:rsid w:val="007E64A0"/>
    <w:rsid w:val="007F287D"/>
    <w:rsid w:val="007F4ADC"/>
    <w:rsid w:val="00817E10"/>
    <w:rsid w:val="00860FB4"/>
    <w:rsid w:val="00867E8F"/>
    <w:rsid w:val="00883FA3"/>
    <w:rsid w:val="008E2ABA"/>
    <w:rsid w:val="008E4398"/>
    <w:rsid w:val="009109DC"/>
    <w:rsid w:val="009D47DF"/>
    <w:rsid w:val="00A0061C"/>
    <w:rsid w:val="00A32575"/>
    <w:rsid w:val="00A7462D"/>
    <w:rsid w:val="00AC44CE"/>
    <w:rsid w:val="00B530F5"/>
    <w:rsid w:val="00B61E97"/>
    <w:rsid w:val="00C20BF2"/>
    <w:rsid w:val="00C22CFC"/>
    <w:rsid w:val="00C52D05"/>
    <w:rsid w:val="00CB0951"/>
    <w:rsid w:val="00D6636A"/>
    <w:rsid w:val="00D7513D"/>
    <w:rsid w:val="00D76AD9"/>
    <w:rsid w:val="00D90662"/>
    <w:rsid w:val="00E80058"/>
    <w:rsid w:val="00E8408D"/>
    <w:rsid w:val="00E921E3"/>
    <w:rsid w:val="00EC28DA"/>
    <w:rsid w:val="00FA4D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65B3B4"/>
  <w15:chartTrackingRefBased/>
  <w15:docId w15:val="{1E7F8EEA-5142-453A-8DF6-83DB615F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 Char Char Char Char,Footnote Text Char Char Char Char,Footnote reference,FA Fu,texto de nota al pie,Footnote Text Char Char Char Char Char Char Char Char,Footnote referenc,FN,Footnote Text Cha,ft, Car,Footnote Text Char"/>
    <w:basedOn w:val="Normal"/>
    <w:link w:val="TextonotapieCar"/>
    <w:uiPriority w:val="99"/>
    <w:unhideWhenUsed/>
    <w:qFormat/>
    <w:rsid w:val="002F4465"/>
    <w:pPr>
      <w:spacing w:after="0" w:line="240" w:lineRule="auto"/>
    </w:pPr>
    <w:rPr>
      <w:rFonts w:eastAsiaTheme="minorEastAsia"/>
      <w:sz w:val="20"/>
      <w:szCs w:val="20"/>
      <w:lang w:eastAsia="es-CO"/>
    </w:rPr>
  </w:style>
  <w:style w:type="character" w:customStyle="1" w:styleId="TextonotapieCar">
    <w:name w:val="Texto nota pie Car"/>
    <w:aliases w:val="Footnote Text Char Char Char Char Char Car,Footnote Text Char Char Char Char Car,Footnote reference Car,FA Fu Car,texto de nota al pie Car,Footnote Text Char Char Char Char Char Char Char Char Car,Footnote referenc Car,FN Car,ft Car"/>
    <w:basedOn w:val="Fuentedeprrafopredeter"/>
    <w:link w:val="Textonotapie"/>
    <w:uiPriority w:val="99"/>
    <w:rsid w:val="002F4465"/>
    <w:rPr>
      <w:rFonts w:eastAsiaTheme="minorEastAsia"/>
      <w:sz w:val="20"/>
      <w:szCs w:val="20"/>
      <w:lang w:eastAsia="es-CO"/>
    </w:rPr>
  </w:style>
  <w:style w:type="paragraph" w:styleId="Encabezado">
    <w:name w:val="header"/>
    <w:basedOn w:val="Normal"/>
    <w:link w:val="EncabezadoCar"/>
    <w:unhideWhenUsed/>
    <w:rsid w:val="002F4465"/>
    <w:pPr>
      <w:tabs>
        <w:tab w:val="center" w:pos="4419"/>
        <w:tab w:val="right" w:pos="8838"/>
      </w:tabs>
      <w:spacing w:after="0" w:line="240" w:lineRule="auto"/>
    </w:pPr>
    <w:rPr>
      <w:rFonts w:eastAsiaTheme="minorEastAsia"/>
      <w:lang w:eastAsia="es-CO"/>
    </w:rPr>
  </w:style>
  <w:style w:type="character" w:customStyle="1" w:styleId="EncabezadoCar">
    <w:name w:val="Encabezado Car"/>
    <w:basedOn w:val="Fuentedeprrafopredeter"/>
    <w:link w:val="Encabezado"/>
    <w:rsid w:val="002F4465"/>
    <w:rPr>
      <w:rFonts w:eastAsiaTheme="minorEastAsia"/>
      <w:lang w:eastAsia="es-CO"/>
    </w:rPr>
  </w:style>
  <w:style w:type="character" w:styleId="Nmerodepgina">
    <w:name w:val="page number"/>
    <w:basedOn w:val="Fuentedeprrafopredeter"/>
    <w:rsid w:val="002F4465"/>
  </w:style>
  <w:style w:type="paragraph" w:styleId="Piedepgina">
    <w:name w:val="footer"/>
    <w:basedOn w:val="Normal"/>
    <w:link w:val="PiedepginaCar"/>
    <w:uiPriority w:val="99"/>
    <w:unhideWhenUsed/>
    <w:rsid w:val="002F4465"/>
    <w:pPr>
      <w:tabs>
        <w:tab w:val="center" w:pos="4419"/>
        <w:tab w:val="right" w:pos="8838"/>
      </w:tabs>
      <w:spacing w:after="0" w:line="240" w:lineRule="auto"/>
    </w:pPr>
    <w:rPr>
      <w:rFonts w:eastAsiaTheme="minorEastAsia"/>
      <w:lang w:eastAsia="es-CO"/>
    </w:rPr>
  </w:style>
  <w:style w:type="character" w:customStyle="1" w:styleId="PiedepginaCar">
    <w:name w:val="Pie de página Car"/>
    <w:basedOn w:val="Fuentedeprrafopredeter"/>
    <w:link w:val="Piedepgina"/>
    <w:uiPriority w:val="99"/>
    <w:rsid w:val="002F4465"/>
    <w:rPr>
      <w:rFonts w:eastAsiaTheme="minorEastAsia"/>
      <w:lang w:eastAsia="es-CO"/>
    </w:rPr>
  </w:style>
  <w:style w:type="character" w:styleId="Refdenotaalpie">
    <w:name w:val="footnote reference"/>
    <w:aliases w:val="Texto de nota al pie,referencia nota al pie,Appel note de bas de page,FC,Footnotes refss,Footnote number,BVI fnr,f,Ref. de nota al pie 2,Pie de Página,4_G,16 Point,Superscript 6 Point,Texto nota al pie,Texto de nota al p,Ref,F,FZ"/>
    <w:uiPriority w:val="99"/>
    <w:unhideWhenUsed/>
    <w:qFormat/>
    <w:rsid w:val="002F4465"/>
    <w:rPr>
      <w:vertAlign w:val="superscript"/>
    </w:rPr>
  </w:style>
  <w:style w:type="paragraph" w:styleId="Sinespaciado">
    <w:name w:val="No Spacing"/>
    <w:link w:val="SinespaciadoCar"/>
    <w:qFormat/>
    <w:rsid w:val="002F4465"/>
    <w:pPr>
      <w:spacing w:after="0" w:line="240" w:lineRule="auto"/>
    </w:pPr>
  </w:style>
  <w:style w:type="character" w:customStyle="1" w:styleId="SinespaciadoCar">
    <w:name w:val="Sin espaciado Car"/>
    <w:link w:val="Sinespaciado"/>
    <w:locked/>
    <w:rsid w:val="002F4465"/>
  </w:style>
  <w:style w:type="paragraph" w:styleId="NormalWeb">
    <w:name w:val="Normal (Web)"/>
    <w:basedOn w:val="Normal"/>
    <w:uiPriority w:val="99"/>
    <w:unhideWhenUsed/>
    <w:rsid w:val="002F446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WW-Textoindependiente3">
    <w:name w:val="WW-Texto independiente 3"/>
    <w:basedOn w:val="Normal"/>
    <w:rsid w:val="002F4465"/>
    <w:pPr>
      <w:tabs>
        <w:tab w:val="left" w:pos="1065"/>
      </w:tabs>
      <w:suppressAutoHyphens/>
      <w:spacing w:after="0" w:line="240" w:lineRule="auto"/>
      <w:jc w:val="both"/>
    </w:pPr>
    <w:rPr>
      <w:rFonts w:ascii="Arial Narrow" w:eastAsia="Times New Roman" w:hAnsi="Arial Narrow" w:cs="Times New Roman"/>
      <w:b/>
      <w:sz w:val="24"/>
      <w:szCs w:val="24"/>
      <w:lang w:eastAsia="es-ES"/>
    </w:rPr>
  </w:style>
  <w:style w:type="paragraph" w:styleId="Textoindependiente2">
    <w:name w:val="Body Text 2"/>
    <w:basedOn w:val="Normal"/>
    <w:link w:val="Textoindependiente2Car"/>
    <w:rsid w:val="002F4465"/>
    <w:pPr>
      <w:suppressAutoHyphens/>
      <w:spacing w:before="120" w:after="120" w:line="240" w:lineRule="auto"/>
      <w:jc w:val="both"/>
    </w:pPr>
    <w:rPr>
      <w:rFonts w:ascii="Arial Narrow" w:eastAsia="Times New Roman" w:hAnsi="Arial Narrow" w:cs="Arial Narrow"/>
      <w:color w:val="000000"/>
      <w:sz w:val="24"/>
      <w:szCs w:val="24"/>
      <w:lang w:val="es-ES_tradnl" w:eastAsia="es-ES"/>
    </w:rPr>
  </w:style>
  <w:style w:type="character" w:customStyle="1" w:styleId="Textoindependiente2Car">
    <w:name w:val="Texto independiente 2 Car"/>
    <w:basedOn w:val="Fuentedeprrafopredeter"/>
    <w:link w:val="Textoindependiente2"/>
    <w:rsid w:val="002F4465"/>
    <w:rPr>
      <w:rFonts w:ascii="Arial Narrow" w:eastAsia="Times New Roman" w:hAnsi="Arial Narrow" w:cs="Arial Narrow"/>
      <w:color w:val="000000"/>
      <w:sz w:val="24"/>
      <w:szCs w:val="24"/>
      <w:lang w:val="es-ES_tradnl" w:eastAsia="es-ES"/>
    </w:rPr>
  </w:style>
  <w:style w:type="paragraph" w:styleId="Textocomentario">
    <w:name w:val="annotation text"/>
    <w:basedOn w:val="Normal"/>
    <w:link w:val="TextocomentarioCar"/>
    <w:rsid w:val="002F4465"/>
    <w:pPr>
      <w:suppressAutoHyphens/>
      <w:spacing w:before="120" w:after="120" w:line="240" w:lineRule="auto"/>
      <w:jc w:val="both"/>
    </w:pPr>
    <w:rPr>
      <w:rFonts w:ascii="Arial Narrow" w:eastAsia="Calibri" w:hAnsi="Arial Narrow" w:cs="Times New Roman"/>
      <w:sz w:val="20"/>
      <w:szCs w:val="20"/>
      <w:lang w:val="es-ES_tradnl" w:eastAsia="es-ES"/>
    </w:rPr>
  </w:style>
  <w:style w:type="character" w:customStyle="1" w:styleId="TextocomentarioCar">
    <w:name w:val="Texto comentario Car"/>
    <w:basedOn w:val="Fuentedeprrafopredeter"/>
    <w:link w:val="Textocomentario"/>
    <w:rsid w:val="002F4465"/>
    <w:rPr>
      <w:rFonts w:ascii="Arial Narrow" w:eastAsia="Calibri" w:hAnsi="Arial Narrow" w:cs="Times New Roman"/>
      <w:sz w:val="20"/>
      <w:szCs w:val="20"/>
      <w:lang w:val="es-ES_tradnl" w:eastAsia="es-ES"/>
    </w:rPr>
  </w:style>
  <w:style w:type="paragraph" w:styleId="HTMLconformatoprevio">
    <w:name w:val="HTML Preformatted"/>
    <w:basedOn w:val="Normal"/>
    <w:link w:val="HTMLconformatoprevioCar"/>
    <w:uiPriority w:val="99"/>
    <w:rsid w:val="002F4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20"/>
      <w:szCs w:val="20"/>
      <w:lang w:val="es-MX" w:eastAsia="es-MX"/>
    </w:rPr>
  </w:style>
  <w:style w:type="character" w:customStyle="1" w:styleId="HTMLconformatoprevioCar">
    <w:name w:val="HTML con formato previo Car"/>
    <w:basedOn w:val="Fuentedeprrafopredeter"/>
    <w:link w:val="HTMLconformatoprevio"/>
    <w:uiPriority w:val="99"/>
    <w:rsid w:val="002F4465"/>
    <w:rPr>
      <w:rFonts w:ascii="Courier New" w:eastAsia="Times New Roman" w:hAnsi="Courier New" w:cs="Times New Roman"/>
      <w:color w:val="000000"/>
      <w:sz w:val="20"/>
      <w:szCs w:val="20"/>
      <w:lang w:val="es-MX" w:eastAsia="es-MX"/>
    </w:rPr>
  </w:style>
  <w:style w:type="paragraph" w:customStyle="1" w:styleId="Sinespaciado1">
    <w:name w:val="Sin espaciado1"/>
    <w:basedOn w:val="Normal"/>
    <w:rsid w:val="002F4465"/>
    <w:pPr>
      <w:suppressAutoHyphens/>
      <w:spacing w:before="120" w:after="0" w:line="240" w:lineRule="auto"/>
      <w:jc w:val="both"/>
    </w:pPr>
    <w:rPr>
      <w:rFonts w:ascii="Arial Narrow" w:eastAsia="Times New Roman" w:hAnsi="Arial Narrow" w:cs="Arial Narrow"/>
      <w:sz w:val="24"/>
      <w:szCs w:val="24"/>
      <w:lang w:val="es-ES_tradnl" w:eastAsia="es-ES"/>
    </w:rPr>
  </w:style>
  <w:style w:type="paragraph" w:customStyle="1" w:styleId="Default">
    <w:name w:val="Default"/>
    <w:rsid w:val="00C52D05"/>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52D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rcom.gov.co/uploads/images/files/DOCUMENTO%20AMARILLO_PORTABILIDAD%20Y%20COMPENSACI%C3%93N_AJUSTES%20COMIT%C3%89%20_SCC.pdf" TargetMode="Externa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545A8-1909-41F6-A283-318974FC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2007</Words>
  <Characters>11442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Sol Quintero Granadilla</dc:creator>
  <cp:keywords/>
  <dc:description/>
  <cp:lastModifiedBy>Andres Diaz</cp:lastModifiedBy>
  <cp:revision>2</cp:revision>
  <dcterms:created xsi:type="dcterms:W3CDTF">2020-06-13T19:02:00Z</dcterms:created>
  <dcterms:modified xsi:type="dcterms:W3CDTF">2020-06-13T19:02:00Z</dcterms:modified>
</cp:coreProperties>
</file>