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Times New Roman" w:hAnsi="Times New Roman"/>
          <w:sz w:val="32"/>
        </w:rPr>
        <w:t>Описание выборки исследования</w:t>
      </w:r>
    </w:p>
    <w:p>
      <w:pPr>
        <w:spacing w:after="120"/>
        <w:ind w:firstLine="709"/>
      </w:pPr>
      <w:r>
        <w:t xml:space="preserve">Выборка составила </w:t>
      </w:r>
      <w:r>
        <w:rPr>
          <w:b/>
        </w:rPr>
        <w:t>26 человек</w:t>
      </w:r>
      <w:r>
        <w:t>, проживающих в геронтологическом учреждении (пансионате).</w:t>
      </w:r>
    </w:p>
    <w:p>
      <w:pPr>
        <w:pStyle w:val="Heading2"/>
      </w:pPr>
      <w:r>
        <w:rPr>
          <w:rFonts w:ascii="Times New Roman" w:hAnsi="Times New Roman"/>
          <w:sz w:val="28"/>
        </w:rPr>
        <w:t>Пол и возраст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Показатель</w:t>
            </w:r>
          </w:p>
        </w:tc>
        <w:tc>
          <w:tcPr>
            <w:tcW w:type="dxa" w:w="4320"/>
          </w:tcPr>
          <w:p>
            <w:r>
              <w:rPr>
                <w:b/>
              </w:rPr>
              <w:t>Значение</w:t>
            </w:r>
          </w:p>
        </w:tc>
      </w:tr>
      <w:tr>
        <w:tc>
          <w:tcPr>
            <w:tcW w:type="dxa" w:w="4320"/>
          </w:tcPr>
          <w:p>
            <w:r>
              <w:t>Всего участников</w:t>
            </w:r>
          </w:p>
        </w:tc>
        <w:tc>
          <w:tcPr>
            <w:tcW w:type="dxa" w:w="4320"/>
          </w:tcPr>
          <w:p>
            <w:r>
              <w:t>26</w:t>
            </w:r>
          </w:p>
        </w:tc>
      </w:tr>
      <w:tr>
        <w:tc>
          <w:tcPr>
            <w:tcW w:type="dxa" w:w="4320"/>
          </w:tcPr>
          <w:p>
            <w:r>
              <w:t>Мужчины</w:t>
            </w:r>
          </w:p>
        </w:tc>
        <w:tc>
          <w:tcPr>
            <w:tcW w:type="dxa" w:w="4320"/>
          </w:tcPr>
          <w:p>
            <w:r>
              <w:t>6 (23,1%)</w:t>
            </w:r>
          </w:p>
        </w:tc>
      </w:tr>
      <w:tr>
        <w:tc>
          <w:tcPr>
            <w:tcW w:type="dxa" w:w="4320"/>
          </w:tcPr>
          <w:p>
            <w:r>
              <w:t>Женщины</w:t>
            </w:r>
          </w:p>
        </w:tc>
        <w:tc>
          <w:tcPr>
            <w:tcW w:type="dxa" w:w="4320"/>
          </w:tcPr>
          <w:p>
            <w:r>
              <w:t>20 (76,9%)</w:t>
            </w:r>
          </w:p>
        </w:tc>
      </w:tr>
      <w:tr>
        <w:tc>
          <w:tcPr>
            <w:tcW w:type="dxa" w:w="4320"/>
          </w:tcPr>
          <w:p>
            <w:r>
              <w:t>Средний возраст (M ± SD)</w:t>
            </w:r>
          </w:p>
        </w:tc>
        <w:tc>
          <w:tcPr>
            <w:tcW w:type="dxa" w:w="4320"/>
          </w:tcPr>
          <w:p>
            <w:r>
              <w:t>84,9 ± 7,2 лет</w:t>
            </w:r>
          </w:p>
        </w:tc>
      </w:tr>
      <w:tr>
        <w:tc>
          <w:tcPr>
            <w:tcW w:type="dxa" w:w="4320"/>
          </w:tcPr>
          <w:p>
            <w:r>
              <w:t>Возрастной диапазон</w:t>
            </w:r>
          </w:p>
        </w:tc>
        <w:tc>
          <w:tcPr>
            <w:tcW w:type="dxa" w:w="4320"/>
          </w:tcPr>
          <w:p>
            <w:r>
              <w:t>65–95 лет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sz w:val="28"/>
        </w:rPr>
        <w:t>Уровень образования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Уровень образования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%</w:t>
            </w:r>
          </w:p>
        </w:tc>
      </w:tr>
      <w:tr>
        <w:tc>
          <w:tcPr>
            <w:tcW w:type="dxa" w:w="2880"/>
          </w:tcPr>
          <w:p>
            <w:r>
              <w:t>Высшее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61,5%</w:t>
            </w:r>
          </w:p>
        </w:tc>
      </w:tr>
      <w:tr>
        <w:tc>
          <w:tcPr>
            <w:tcW w:type="dxa" w:w="2880"/>
          </w:tcPr>
          <w:p>
            <w:r>
              <w:t>Среднеспециальное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19,2%</w:t>
            </w:r>
          </w:p>
        </w:tc>
      </w:tr>
      <w:tr>
        <w:tc>
          <w:tcPr>
            <w:tcW w:type="dxa" w:w="2880"/>
          </w:tcPr>
          <w:p>
            <w:r>
              <w:t>Без образования / школьное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5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19,2%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sz w:val="28"/>
        </w:rPr>
        <w:t>Семейное положение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Семейное положение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rPr>
                <w:b/>
              </w:rPr>
              <w:t>%</w:t>
            </w:r>
          </w:p>
        </w:tc>
      </w:tr>
      <w:tr>
        <w:tc>
          <w:tcPr>
            <w:tcW w:type="dxa" w:w="2880"/>
          </w:tcPr>
          <w:p>
            <w:r>
              <w:t>Вдовцы/вдовы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18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75,0%</w:t>
            </w:r>
          </w:p>
        </w:tc>
      </w:tr>
      <w:tr>
        <w:tc>
          <w:tcPr>
            <w:tcW w:type="dxa" w:w="2880"/>
          </w:tcPr>
          <w:p>
            <w:r>
              <w:t>В браке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4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16,7%</w:t>
            </w:r>
          </w:p>
        </w:tc>
      </w:tr>
      <w:tr>
        <w:tc>
          <w:tcPr>
            <w:tcW w:type="dxa" w:w="2880"/>
          </w:tcPr>
          <w:p>
            <w:r>
              <w:t>В разводе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2</w:t>
            </w:r>
          </w:p>
        </w:tc>
        <w:tc>
          <w:tcPr>
            <w:tcW w:type="dxa" w:w="2880"/>
          </w:tcPr>
          <w:p>
            <w:pPr>
              <w:jc w:val="center"/>
            </w:pPr>
            <w:r>
              <w:t>8,3%</w:t>
            </w:r>
          </w:p>
        </w:tc>
      </w:tr>
    </w:tbl>
    <w:p>
      <w:pPr>
        <w:spacing w:after="120"/>
        <w:ind w:firstLine="709"/>
      </w:pPr>
      <w:r>
        <w:t>У всех участников (за единичным исключением) есть дети.</w:t>
      </w:r>
    </w:p>
    <w:p/>
    <w:p>
      <w:pPr>
        <w:pStyle w:val="Heading2"/>
      </w:pPr>
      <w:r>
        <w:rPr>
          <w:rFonts w:ascii="Times New Roman" w:hAnsi="Times New Roman"/>
          <w:sz w:val="28"/>
        </w:rPr>
        <w:t>Состояние здоровья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</w:rPr>
              <w:t>Состояние здоровья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rPr>
                <w:b/>
              </w:rPr>
              <w:t>N</w:t>
            </w:r>
          </w:p>
        </w:tc>
      </w:tr>
      <w:tr>
        <w:tc>
          <w:tcPr>
            <w:tcW w:type="dxa" w:w="4320"/>
          </w:tcPr>
          <w:p>
            <w:r>
              <w:t>Инсульт в анамнезе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8</w:t>
            </w:r>
          </w:p>
        </w:tc>
      </w:tr>
      <w:tr>
        <w:tc>
          <w:tcPr>
            <w:tcW w:type="dxa" w:w="4320"/>
          </w:tcPr>
          <w:p>
            <w:r>
              <w:t>Иные заболевания (диабет, гипертония, переломы, артрит и др.)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7</w:t>
            </w:r>
          </w:p>
        </w:tc>
      </w:tr>
      <w:tr>
        <w:tc>
          <w:tcPr>
            <w:tcW w:type="dxa" w:w="4320"/>
          </w:tcPr>
          <w:p>
            <w:r>
              <w:t>Без указанных значимых заболеваний</w:t>
            </w:r>
          </w:p>
        </w:tc>
        <w:tc>
          <w:tcPr>
            <w:tcW w:type="dxa" w:w="4320"/>
          </w:tcPr>
          <w:p>
            <w:pPr>
              <w:jc w:val="center"/>
            </w:pPr>
            <w:r>
              <w:t>11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  <w:sz w:val="28"/>
        </w:rPr>
        <w:t>Резюме</w:t>
      </w:r>
    </w:p>
    <w:p>
      <w:pPr>
        <w:spacing w:after="120"/>
        <w:ind w:firstLine="709"/>
      </w:pPr>
      <w:r>
        <w:t>Выборка представлена преимущественно женщинами пожилого и старческого возраста (M = 84,9 лет), с преобладанием высшего образования (61,5%), в большинстве овдовевших (75,0%). Около трети выборки имеет инсульт в анамнезе.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