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rPr>
          <w:rFonts w:ascii="Times New Roman" w:hAnsi="Times New Roman"/>
          <w:b/>
          <w:sz w:val="28"/>
        </w:rPr>
        <w:t>2.1 Социально-демографические характеристики выборки</w:t>
      </w:r>
    </w:p>
    <w:p>
      <w:pPr>
        <w:jc w:val="center"/>
      </w:pPr>
      <w:r>
        <w:rPr>
          <w:rFonts w:ascii="Times New Roman" w:hAnsi="Times New Roman"/>
          <w:b/>
          <w:sz w:val="24"/>
        </w:rPr>
        <w:t>Таблица 1 — Распределение выборки по полу и возрасту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Группы сравнения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Кол-во чел.</w:t>
            </w:r>
          </w:p>
        </w:tc>
        <w:tc>
          <w:tcPr>
            <w:tcW w:type="dxa" w:w="3456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Средний возраст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муж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жен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Лица пожилого возраста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70,75±3,95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Лица старческого возраста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87,45±3,89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Всего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26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84,88±7,24</w:t>
            </w:r>
          </w:p>
        </w:tc>
      </w:tr>
    </w:tbl>
    <w:p>
      <w:pPr>
        <w:ind w:firstLine="709"/>
      </w:pPr>
      <w:r>
        <w:rPr>
          <w:rFonts w:ascii="Times New Roman" w:hAnsi="Times New Roman"/>
          <w:sz w:val="28"/>
        </w:rPr>
        <w:t>Вся совокупность участников разделена на две группы: «лица пожилого возраста» (4 человека, возрастной диапазон 65–74 лет) и «лица старческого возраста» (22 человека, возрастной диапазон 81–95 лет). В первой группе представлено 2 мужчины и 2 женщины в соотношении 1:1. Вторая группа включает 4 мужчины и 18 женщин в соотношении 1:4,5. Средний возраст участников исследования 84,88±7,24. В группе лиц пожилого возраста средний возраст составляет 70,75±3,95, в группе лиц старческого возраста — 87,45±3,89.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Таблица 2 — Данные об образовании и трудоустройстве пациентов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Критерий анализа</w:t>
            </w:r>
          </w:p>
        </w:tc>
        <w:tc>
          <w:tcPr>
            <w:tcW w:type="dxa" w:w="2468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Лица пожилого возраста</w:t>
            </w:r>
          </w:p>
        </w:tc>
        <w:tc>
          <w:tcPr>
            <w:tcW w:type="dxa" w:w="2468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Лица старческого возраста</w:t>
            </w:r>
          </w:p>
        </w:tc>
        <w:tc>
          <w:tcPr>
            <w:tcW w:type="dxa" w:w="2468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Всего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Кол-во чел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Кол-во чел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Кол-во чел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%</w:t>
            </w:r>
          </w:p>
        </w:tc>
      </w:tr>
      <w:tr>
        <w:tc>
          <w:tcPr>
            <w:tcW w:type="dxa" w:w="8638"/>
            <w:gridSpan w:val="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Уровень образования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Без образования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13,6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11,5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Среднее общее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4,5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7,7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Среднее специальное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13,6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19,2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Высшее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68,2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61,5</w:t>
            </w:r>
          </w:p>
        </w:tc>
      </w:tr>
      <w:tr>
        <w:tc>
          <w:tcPr>
            <w:tcW w:type="dxa" w:w="8638"/>
            <w:gridSpan w:val="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Трудоустройство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Не работает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Работает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8638"/>
            <w:gridSpan w:val="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Специфика трудовой деятельности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Человек - Природа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Человек - Техника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75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53,8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Человек - Человек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31,8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26,9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Человек - Знак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9,1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7,7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Человек - Худ. образ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9,1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11,5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pPr>
        <w:ind w:firstLine="709"/>
      </w:pPr>
      <w:r>
        <w:rPr>
          <w:rFonts w:ascii="Times New Roman" w:hAnsi="Times New Roman"/>
          <w:sz w:val="28"/>
        </w:rPr>
        <w:t>На основании анализа таблицы 2 можно заключить, что большинство респондентов имеют уровень образования выше среднего общего: 61,5% человек получили высшее образование и 19,2% — среднее специальное. В группе лиц старческого возраста преобладает высшее образование (68,2%), тогда как в группе пожилого возраста наиболее распространённым является среднее специальное (50%). Все участники исследования на данный момент не работают (100%), что объясняется их проживанием в пансионате для пожилых. Большая часть пациентов (53,8%) работала в сферах, связанных с техникой, а 26,9% — в сфере помощи людям. В группе лиц пожилого возраста 75% были заняты в технической сфере, в группе старческого возраста техническая деятельность также преобладает (50%), при этом 31,8% работали с людьми.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Таблица 3 — Особенности семейного положения обследуемых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Критерий анализа</w:t>
            </w:r>
          </w:p>
        </w:tc>
        <w:tc>
          <w:tcPr>
            <w:tcW w:type="dxa" w:w="2468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Лица пожилого возраста</w:t>
            </w:r>
          </w:p>
        </w:tc>
        <w:tc>
          <w:tcPr>
            <w:tcW w:type="dxa" w:w="2468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Лица старческого возраста</w:t>
            </w:r>
          </w:p>
        </w:tc>
        <w:tc>
          <w:tcPr>
            <w:tcW w:type="dxa" w:w="2468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Всего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Кол-во чел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Кол-во чел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Кол-во чел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%</w:t>
            </w:r>
          </w:p>
        </w:tc>
      </w:tr>
      <w:tr>
        <w:tc>
          <w:tcPr>
            <w:tcW w:type="dxa" w:w="8638"/>
            <w:gridSpan w:val="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Семейное положение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Женат/замужем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13,6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19,2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Холост/не замужем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Разведен/разведена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9,1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11,5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Вдовец/вдова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77,3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69,2</w:t>
            </w:r>
          </w:p>
        </w:tc>
      </w:tr>
      <w:tr>
        <w:tc>
          <w:tcPr>
            <w:tcW w:type="dxa" w:w="8638"/>
            <w:gridSpan w:val="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Наличие детей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Нет детей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9,1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7,7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Есть дети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90,9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92,3</w:t>
            </w:r>
          </w:p>
        </w:tc>
      </w:tr>
      <w:tr>
        <w:tc>
          <w:tcPr>
            <w:tcW w:type="dxa" w:w="8638"/>
            <w:gridSpan w:val="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Наличие внуков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Нет внуков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31,8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30,8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Есть внуки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75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68,2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69,2</w:t>
            </w:r>
          </w:p>
        </w:tc>
      </w:tr>
    </w:tbl>
    <w:p>
      <w:pPr>
        <w:ind w:firstLine="709"/>
      </w:pPr>
      <w:r>
        <w:rPr>
          <w:rFonts w:ascii="Times New Roman" w:hAnsi="Times New Roman"/>
          <w:sz w:val="28"/>
        </w:rPr>
        <w:t>Из таблицы 3 следует, что общую совокупность выборки составляют 69,2% вдовцов/вдов, 19,2% состоящих в браке и 11,5% — разведённых. В группе лиц старческого возраста преобладающее число участников являются овдовевшими (77,3%), а в группе лиц пожилого возраста наиболее распространённый семейный статус — женат/замужем (50%). Стоит отметить, что у большинства пациентов есть дети (92,3%) и внуки (69,2%), что указывает на наличие социальной поддержки у большей части выборки. В группе старческого возраста доля вдовцов/вдов значительно выше (77,3% против 25% в группе пожилого возраста), что закономерно объясняется более длительным жизненным периодом и естественной убылью супругов.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