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sz w:val="32"/>
        </w:rPr>
        <w:t>Описание выборки исследования</w:t>
      </w:r>
    </w:p>
    <w:p>
      <w:pPr>
        <w:spacing w:after="120"/>
        <w:ind w:firstLine="709"/>
      </w:pPr>
      <w:r>
        <w:t>В исследовании приняли участие 26 человек, проживающих в геронтологическом учреждении (пансионате). Средний возраст участников составил 84,9 лет (SD = 7,2), возрастной диапазон — от 65 до 95 лет. Большинство выборки составили женщины — 20 человек (76,9%), мужчин — 6 человек (23,1%).</w:t>
      </w:r>
    </w:p>
    <w:p>
      <w:pPr>
        <w:spacing w:after="120"/>
        <w:ind w:firstLine="709"/>
      </w:pPr>
      <w:r>
        <w:t>По уровню образования выборка распределилась следующим образом: высшее образование имели 16 человек (61,5%), среднеспециальное — 5 человек (19,2%), без образования или со школьным образованием — 5 человек (19,2%). Среди профессий участников с высшим образованием представлены инженеры, врачи, военные технологи, педагоги и другие специалисты.</w:t>
      </w:r>
    </w:p>
    <w:p>
      <w:pPr>
        <w:spacing w:after="120"/>
        <w:ind w:firstLine="709"/>
      </w:pPr>
      <w:r>
        <w:t>По семейному положению преобладали вдовцы и вдовы — 18 человек (75,0%). В браке состояли 4 человека (16,7%), в разводе — 2 человека (8,3%). Практически у всех участников есть дети.</w:t>
      </w:r>
    </w:p>
    <w:p>
      <w:pPr>
        <w:spacing w:after="120"/>
        <w:ind w:firstLine="709"/>
      </w:pPr>
      <w:r>
        <w:t>В отношении состояния здоровья: у 8 человек в анамнезе отмечен инсульт (правополушарный или левополушарный). Иные значимые заболевания (диабет, гипертония, панкреатит, заболевания почек, переломы, артрит) зафиксированы у 7 человек. У 11 участников значимых заболеваний не указано. Двое участников не передвигаются самостоятельно.</w:t>
      </w:r>
    </w:p>
    <w:p>
      <w:pPr>
        <w:spacing w:after="120"/>
        <w:ind w:firstLine="709"/>
      </w:pPr>
      <w:r>
        <w:t>Таким образом, выборка представлена преимущественно женщинами пожилого и старческого возраста с преобладанием высшего образования и овдовевших. Около трети участников имеют цереброваскулярную патологию (инсульт) в анамнезе, что может оказывать влияние на показатели когнитивного функционирования.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