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/>
          <w:sz w:val="32"/>
        </w:rPr>
        <w:t>Описание методик исследования</w:t>
      </w:r>
    </w:p>
    <w:p>
      <w:pPr>
        <w:pStyle w:val="Heading2"/>
      </w:pPr>
      <w:r>
        <w:rPr>
          <w:rFonts w:ascii="Times New Roman" w:hAnsi="Times New Roman"/>
          <w:sz w:val="28"/>
        </w:rPr>
        <w:t>1. Монреальская шкала оценки когнитивных функций (MoCA)</w:t>
      </w:r>
    </w:p>
    <w:p>
      <w:pPr>
        <w:spacing w:after="120"/>
        <w:ind w:firstLine="709"/>
      </w:pPr>
      <w:r>
        <w:t>Монреальская шкала оценки когнитивных функций (Montreal Cognitive Assessment, MoCA) была разработана З. Насреддином в 1996 году и направлена на выявление когнитивных нарушений, в первую очередь нарушений памяти. Применение данной методики позволило определить степень когнитивного дефицита и проследить динамику восстановления когнитивных процессов в ходе реабилитации.</w:t>
      </w:r>
    </w:p>
    <w:p>
      <w:pPr>
        <w:spacing w:after="120"/>
        <w:ind w:firstLine="709"/>
      </w:pPr>
      <w:r>
        <w:t>Время выполнения методики составляет около 10 минут, что делает её удобным и эффективным инструментом для использования в клинической практике. В структуру теста входят задания на зрительно-пространственные и исполнительные навыки (соединение цифр и букв по порядку, рисование куба и часов), называние изображённых животных, запоминание и воспроизведение слов, проверку концентрации внимания (повторение числовых рядов, реакция на определённый стимул, серийное вычитание по 7 из 100), повторение предложений, беглость речи, абстракцию и ориентацию во времени и месте.</w:t>
      </w:r>
    </w:p>
    <w:p>
      <w:pPr>
        <w:spacing w:after="120"/>
        <w:ind w:firstLine="709"/>
      </w:pPr>
      <w:r>
        <w:t>Максимальное количество баллов по шкале составляет 30. Градация оценки: 26–30 баллов — нормальный уровень когнитивных функций; 18–25 баллов — лёгкие когнитивные нарушения; менее 18 баллов — выраженные когнитивные нарушения. Показатели ниже 26 баллов свидетельствуют о наличии когнитивных нарушений различной степени выраженности (Тарасова И. А., Трубникова О. А., 2021).</w:t>
      </w:r>
    </w:p>
    <w:p>
      <w:pPr>
        <w:pStyle w:val="Heading2"/>
      </w:pPr>
      <w:r>
        <w:rPr>
          <w:rFonts w:ascii="Times New Roman" w:hAnsi="Times New Roman"/>
          <w:sz w:val="28"/>
        </w:rPr>
        <w:t>2. Таблицы Шульте</w:t>
      </w:r>
    </w:p>
    <w:p>
      <w:pPr>
        <w:spacing w:after="120"/>
        <w:ind w:firstLine="709"/>
      </w:pPr>
      <w:r>
        <w:t>Таблицы Шульте — классическая методика исследования внимания (объёма, устойчивости, переключаемости), а также умственной работоспособности. Методика была разработана немецким психиатром В. Шульте. Испытуемому предъявляется таблица размером 5×5, содержащая числа от 1 до 25, расположенные в случайном порядке. Задача — как можно быстрее показать и назвать все числа по порядку от 1 до 25.</w:t>
      </w:r>
    </w:p>
    <w:p>
      <w:pPr>
        <w:spacing w:after="120"/>
        <w:ind w:firstLine="709"/>
      </w:pPr>
      <w:r>
        <w:t>В настоящем исследовании были использованы 3 таблицы Шульте (вместо стандартных 5), что обусловлено возрастными особенностями выборки и необходимостью минимизировать утомление участников. Фиксируется время выполнения каждой таблицы в секундах.</w:t>
      </w:r>
    </w:p>
    <w:p>
      <w:pPr>
        <w:spacing w:after="120"/>
        <w:ind w:firstLine="709"/>
      </w:pPr>
      <w:r>
        <w:t>Показатели времени выполнения позволяют оценить скорость переработки информации, устойчивость и концентрацию произвольного внимания. Увеличение времени выполнения от первой таблицы к третьей свидетельствует о повышенной истощаемости внимания. Норма выполнения одной таблицы для взрослых составляет 30–50 секунд; превышение этого времени указывает на снижение внимания.</w:t>
      </w:r>
    </w:p>
    <w:p>
      <w:pPr>
        <w:pStyle w:val="Heading2"/>
      </w:pPr>
      <w:r>
        <w:rPr>
          <w:rFonts w:ascii="Times New Roman" w:hAnsi="Times New Roman"/>
          <w:sz w:val="28"/>
        </w:rPr>
        <w:t>3. Методика «10 слов» А. Р. Лурии</w:t>
      </w:r>
    </w:p>
    <w:p>
      <w:pPr>
        <w:spacing w:after="120"/>
        <w:ind w:firstLine="709"/>
      </w:pPr>
      <w:r>
        <w:t>Методика заучивания 10 слов была предложена А. Р. Лурией и является одним из наиболее распространённых нейропсихологических инструментов для исследования процессов памяти: запоминания, сохранения и воспроизведения. Методика позволяет оценить объём и динамику слухоречевой памяти, наличие нарушений произвольного запоминания, а также утомляемость и устойчивость внимания.</w:t>
      </w:r>
    </w:p>
    <w:p>
      <w:pPr>
        <w:spacing w:after="120"/>
        <w:ind w:firstLine="709"/>
      </w:pPr>
      <w:r>
        <w:t>Процедура проведения: испытуемому зачитывается ряд из 10 не связанных между собой слов, после чего он воспроизводит те из них, которые запомнил, в произвольном порядке. Процедура повторяется 7 раз (7 проб). Через определённый интервал времени (20–30 минут) проводится отсроченное воспроизведение без повторного предъявления списка.</w:t>
      </w:r>
    </w:p>
    <w:p>
      <w:pPr>
        <w:spacing w:after="120"/>
        <w:ind w:firstLine="709"/>
      </w:pPr>
      <w:r>
        <w:t>Анализ результатов позволяет оценить: объём непосредственного запоминания (количество слов при первом воспроизведении), динамику заучивания (нарастание объёма от пробы к пробе), прочность следов памяти (отсроченное воспроизведение). В норме при повторных предъявлениях количество воспроизведённых слов нарастает и к 5–7 пробе достигает 9–10 слов. Снижение показателей отсроченного воспроизведения свидетельствует о нарушении долговременной памяти.</w:t>
      </w:r>
    </w:p>
    <w:p>
      <w:pPr>
        <w:pStyle w:val="Heading2"/>
      </w:pPr>
      <w:r>
        <w:rPr>
          <w:rFonts w:ascii="Times New Roman" w:hAnsi="Times New Roman"/>
          <w:sz w:val="28"/>
        </w:rPr>
        <w:t>4. Краткое нейропсихологическое обследование когнитивной сферы (КНОКС)</w:t>
      </w:r>
    </w:p>
    <w:p>
      <w:pPr>
        <w:spacing w:after="120"/>
        <w:ind w:firstLine="709"/>
      </w:pPr>
      <w:r>
        <w:t>Краткое нейропсихологическое обследование когнитивной сферы (КНОКС) разработано И. М. Тонконогим и предназначено для комплексной оценки когнитивных функций и выявления когнитивных нарушений различной степени выраженности — от мягких когнитивных нарушений до выраженного когнитивного дефекта. Методика позволяет оценить функциональный статус обследуемого, степень тяжести мозгового поражения, а также используется для прогноза прогрессирования заболевания.</w:t>
      </w:r>
    </w:p>
    <w:p>
      <w:pPr>
        <w:spacing w:after="120"/>
        <w:ind w:firstLine="709"/>
      </w:pPr>
      <w:r>
        <w:t>Методика состоит из 2 частей, каждая из которых содержит по 5 субтестов (всего 50 вопросов). Первая часть включает субтесты: ориентировка, память на президентов, называние, понимание и конструктивный праксис. Задания первой части преимущественно связаны с процессами переработки знакомой информации.</w:t>
      </w:r>
    </w:p>
    <w:p>
      <w:pPr>
        <w:spacing w:after="120"/>
        <w:ind w:firstLine="709"/>
      </w:pPr>
      <w:r>
        <w:t>Вторая часть включает более сложные задания: набор последовательностей, незавершённые изображения, нахождение сходства, внимание и рабочая память. Субтесты второй части предполагают работу с новой, неполной, менее привычной информацией, что требует сохранности регуляторных функций.</w:t>
      </w:r>
    </w:p>
    <w:p>
      <w:pPr>
        <w:spacing w:after="120"/>
        <w:ind w:firstLine="709"/>
      </w:pPr>
      <w:r>
        <w:t>Задания обеих частей характеризуются чувствительностью к выявлению когнитивных нарушений различной тяжести — от выраженных проявлений афазии, агнозии, апраксии и амнезии до «стёртых» форм, не выявляемых другими экспресс-методиками. Анализ результатов включает оценку сырых баллов по субтестам, баллов по Части 1 и Части 2, общего балла и индекса достоверности. Сочетание полученных показателей позволяет определить наличие и степень выраженности когнитивных нарушений, оценить функциональный статус обследуемого, а также предположить характер и динамику когнитивного дефекта.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