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58B9" w14:textId="77777777" w:rsidR="00000000" w:rsidRDefault="001D0688">
      <w:pPr>
        <w:divId w:val="839975711"/>
        <w:rPr>
          <w:rFonts w:eastAsia="Times New Roman"/>
          <w:vanish/>
        </w:rPr>
      </w:pPr>
      <w:r>
        <w:rPr>
          <w:rFonts w:eastAsia="Times New Roman"/>
          <w:vanish/>
        </w:rPr>
        <w:t>00007714972020FYFALSEus-gaap:AccountingStandardsUpdate201409Memberus-gaap:OtherLiabilitiesNoncurrentus-gaap:PropertyPlantAndEquipmentNetus-gaap:OtherAccruedLiabilitiesCurrent131879376526148540366052390366486542946118939916145047NANANANANANANANA</w:t>
      </w:r>
      <w:r>
        <w:rPr>
          <w:rFonts w:eastAsia="Times New Roman"/>
          <w:vanish/>
        </w:rPr>
        <w:t>00007714972019-11-012020-10-31iso4217:USD00007714972020-04-30xbrli:shares00007714972020-12-1500007714972020-10-3100007714972019-10-31iso4217:USDxbrli:shares00007714972018-11-012019-10-3100007714972017-11-012018-10-310000771497us-gaap:CommonStockMember2019-</w:t>
      </w:r>
      <w:r>
        <w:rPr>
          <w:rFonts w:eastAsia="Times New Roman"/>
          <w:vanish/>
        </w:rPr>
        <w:t>10-310000771497us-gaap:CommonStockMember2018-10-310000771497us-gaap:CommonStockMember2017-10-310000771497us-gaap:CommonStockMember2019-11-012020-10-310000771497us-gaap:CommonStockMember2018-11-012019-10-310000771497us-gaap:CommonStockMember2017-11-012018-1</w:t>
      </w:r>
      <w:r>
        <w:rPr>
          <w:rFonts w:eastAsia="Times New Roman"/>
          <w:vanish/>
        </w:rPr>
        <w:t>0-310000771497us-gaap:CommonStockMember2020-10-310000771497us-gaap:AdditionalPaidInCapitalMember2019-10-310000771497us-gaap:AdditionalPaidInCapitalMember2018-10-310000771497us-gaap:AdditionalPaidInCapitalMember2017-10-310000771497us-gaap:AdditionalPaidInCa</w:t>
      </w:r>
      <w:r>
        <w:rPr>
          <w:rFonts w:eastAsia="Times New Roman"/>
          <w:vanish/>
        </w:rPr>
        <w:t>pitalMember2019-11-012020-10-310000771497us-gaap:AdditionalPaidInCapitalMember2018-11-012019-10-310000771497us-gaap:AdditionalPaidInCapitalMember2017-11-012018-10-310000771497us-gaap:AdditionalPaidInCapitalMember2020-10-310000771497us-gaap:AccumulatedOther</w:t>
      </w:r>
      <w:r>
        <w:rPr>
          <w:rFonts w:eastAsia="Times New Roman"/>
          <w:vanish/>
        </w:rPr>
        <w:t>ComprehensiveIncomeMember2019-10-310000771497us-gaap:AccumulatedOtherComprehensiveIncomeMember2018-10-310000771497us-gaap:AccumulatedOtherComprehensiveIncomeMember2017-10-310000771497us-gaap:AccumulatedOtherComprehensiveIncomeMember2019-11-012020-10-310000</w:t>
      </w:r>
      <w:r>
        <w:rPr>
          <w:rFonts w:eastAsia="Times New Roman"/>
          <w:vanish/>
        </w:rPr>
        <w:t>771497us-gaap:AccumulatedOtherComprehensiveIncomeMember2018-11-012019-10-310000771497us-gaap:AccumulatedOtherComprehensiveIncomeMember2017-11-012018-10-310000771497us-gaap:AccumulatedOtherComprehensiveIncomeMember2020-10-310000771497us-gaap:RetainedEarning</w:t>
      </w:r>
      <w:r>
        <w:rPr>
          <w:rFonts w:eastAsia="Times New Roman"/>
          <w:vanish/>
        </w:rPr>
        <w:t>sMember2019-10-310000771497us-gaap:RetainedEarningsMember2018-10-310000771497us-gaap:RetainedEarningsMember2017-10-310000771497us-gaap:RetainedEarningsMember2019-11-012020-10-310000771497us-gaap:RetainedEarningsMember2018-11-012019-10-310000771497us-gaap:R</w:t>
      </w:r>
      <w:r>
        <w:rPr>
          <w:rFonts w:eastAsia="Times New Roman"/>
          <w:vanish/>
        </w:rPr>
        <w:t>etainedEarningsMember2017-11-012018-10-310000771497srt:CumulativeEffectPeriodOfAdoptionAdjustmentMemberus-gaap:RetainedEarningsMember2019-07-310000771497us-gaap:RetainedEarningsMember2020-10-3100007714972018-10-3100007714972017-10-31abm:industry_groupabm:s</w:t>
      </w:r>
      <w:r>
        <w:rPr>
          <w:rFonts w:eastAsia="Times New Roman"/>
          <w:vanish/>
        </w:rPr>
        <w:t>egmentxbrli:pure0000771497abm:PandemicMember2020-10-310000771497srt:MinimumMember2020-10-310000771497srt:MaximumMember2020-10-310000771497us-gaap:AuctionRateSecuritiesMember2019-11-012020-01-310000771497abm:ComputerEquipmentAndSoftwareMembersrt:MinimumMemb</w:t>
      </w:r>
      <w:r>
        <w:rPr>
          <w:rFonts w:eastAsia="Times New Roman"/>
          <w:vanish/>
        </w:rPr>
        <w:t>er2019-11-012020-10-310000771497abm:ComputerEquipmentAndSoftwareMembersrt:MaximumMember2019-11-012020-10-310000771497srt:MinimumMemberus-gaap:MachineryAndEquipmentMember2019-11-012020-10-310000771497srt:MaximumMemberus-gaap:MachineryAndEquipmentMember2019-</w:t>
      </w:r>
      <w:r>
        <w:rPr>
          <w:rFonts w:eastAsia="Times New Roman"/>
          <w:vanish/>
        </w:rPr>
        <w:t>11-012020-10-310000771497srt:MinimumMemberus-gaap:TransportationEquipmentMember2019-11-012020-10-310000771497srt:MaximumMemberus-gaap:TransportationEquipmentMember2019-11-012020-10-310000771497us-gaap:BuildingMembersrt:MinimumMember2019-11-012020-10-310000</w:t>
      </w:r>
      <w:r>
        <w:rPr>
          <w:rFonts w:eastAsia="Times New Roman"/>
          <w:vanish/>
        </w:rPr>
        <w:t>771497us-gaap:BuildingMembersrt:MaximumMember2019-11-012020-10-310000771497us-gaap:FurnitureAndFixturesMember2019-11-012020-10-310000771497srt:MinimumMember2019-11-012020-10-310000771497srt:MaximumMember2019-11-012020-10-310000771497abm:ManagementReimburse</w:t>
      </w:r>
      <w:r>
        <w:rPr>
          <w:rFonts w:eastAsia="Times New Roman"/>
          <w:vanish/>
        </w:rPr>
        <w:t>mentRevenueMemberabm:BusinessandIndustryMember2019-11-012020-10-310000771497abm:ManagementReimbursementRevenueMemberabm:BusinessandIndustryMember2018-11-012019-10-310000771497abm:ManagementReimbursementRevenueMemberabm:BusinessandIndustryMember2017-11-0120</w:t>
      </w:r>
      <w:r>
        <w:rPr>
          <w:rFonts w:eastAsia="Times New Roman"/>
          <w:vanish/>
        </w:rPr>
        <w:t>18-10-310000771497abm:ManagementReimbursementRevenueMemberabm:AviationMember2019-11-012020-10-310000771497abm:ManagementReimbursementRevenueMemberabm:AviationMember2018-11-012019-10-310000771497abm:ManagementReimbursementRevenueMemberabm:AviationMember2017</w:t>
      </w:r>
      <w:r>
        <w:rPr>
          <w:rFonts w:eastAsia="Times New Roman"/>
          <w:vanish/>
        </w:rPr>
        <w:t>-11-012018-10-310000771497abm:ManagementReimbursementRevenueMember2019-11-012020-10-310000771497abm:ManagementReimbursementRevenueMember2018-11-012019-10-310000771497abm:ManagementReimbursementRevenueMember2017-11-012018-10-310000771497us-gaap:AccountingSt</w:t>
      </w:r>
      <w:r>
        <w:rPr>
          <w:rFonts w:eastAsia="Times New Roman"/>
          <w:vanish/>
        </w:rPr>
        <w:t>andardsUpdate201602Member2019-11-0100007714972019-11-010000771497abm:JanitorialMemberus-gaap:OperatingSegmentsMemberabm:BusinessandIndustryMember2019-11-012020-10-310000771497abm:JanitorialMemberabm:TechnologyAndManufacturingMemberus-gaap:OperatingSegments</w:t>
      </w:r>
      <w:r>
        <w:rPr>
          <w:rFonts w:eastAsia="Times New Roman"/>
          <w:vanish/>
        </w:rPr>
        <w:t>Member2019-11-012020-10-310000771497abm:EducationMemberabm:JanitorialMemberus-gaap:OperatingSegmentsMember2019-11-012020-10-310000771497abm:JanitorialMemberus-gaap:OperatingSegmentsMemberabm:AviationMember2019-11-012020-10-310000771497abm:JanitorialMemberu</w:t>
      </w:r>
      <w:r>
        <w:rPr>
          <w:rFonts w:eastAsia="Times New Roman"/>
          <w:vanish/>
        </w:rPr>
        <w:t>s-gaap:OperatingSegmentsMemberabm:TechnicalSolutionsMember2019-11-012020-10-310000771497abm:JanitorialMemberus-gaap:OperatingSegmentsMember2019-11-012020-10-310000771497us-gaap:OperatingSegmentsMemberus-gaap:ParkingMemberabm:BusinessandIndustryMember2019-1</w:t>
      </w:r>
      <w:r>
        <w:rPr>
          <w:rFonts w:eastAsia="Times New Roman"/>
          <w:vanish/>
        </w:rPr>
        <w:t>1-012020-10-310000771497abm:TechnologyAndManufacturingMemberus-gaap:OperatingSegmentsMemberus-gaap:ParkingMember2019-11-012020-10-310000771497abm:EducationMemberus-gaap:OperatingSegmentsMemberus-gaap:ParkingMember2019-11-012020-10-310000771497us-gaap:Opera</w:t>
      </w:r>
      <w:r>
        <w:rPr>
          <w:rFonts w:eastAsia="Times New Roman"/>
          <w:vanish/>
        </w:rPr>
        <w:t>tingSegmentsMemberabm:AviationMemberus-gaap:ParkingMember2019-11-012020-10-310000771497us-gaap:OperatingSegmentsMemberabm:TechnicalSolutionsMemberus-gaap:ParkingMember2019-11-012020-10-310000771497us-gaap:OperatingSegmentsMemberus-gaap:ParkingMember2019-11</w:t>
      </w:r>
      <w:r>
        <w:rPr>
          <w:rFonts w:eastAsia="Times New Roman"/>
          <w:vanish/>
        </w:rPr>
        <w:t>-012020-10-310000771497us-gaap:OperatingSegmentsMemberabm:FacilityServicesMemberabm:BusinessandIndustryMember2019-11-012020-10-310000771497abm:TechnologyAndManufacturingMemberus-gaap:OperatingSegmentsMemberabm:FacilityServicesMember2019-11-012020-10-310000</w:t>
      </w:r>
      <w:r>
        <w:rPr>
          <w:rFonts w:eastAsia="Times New Roman"/>
          <w:vanish/>
        </w:rPr>
        <w:t>771497abm:EducationMemberus-gaap:OperatingSegmentsMemberabm:FacilityServicesMember2019-11-012020-10-310000771497us-gaap:OperatingSegmentsMemberabm:AviationMemberabm:FacilityServicesMember2019-11-012020-10-310000771497us-gaap:OperatingSegmentsMemberabm:Tech</w:t>
      </w:r>
      <w:r>
        <w:rPr>
          <w:rFonts w:eastAsia="Times New Roman"/>
          <w:vanish/>
        </w:rPr>
        <w:t>nicalSolutionsMemberabm:FacilityServicesMember2019-11-012020-10-310000771497us-gaap:OperatingSegmentsMemberabm:FacilityServicesMember2019-11-012020-10-310000771497abm:BuildingEnergySolutionsMemberus-gaap:OperatingSegmentsMemberabm:BusinessandIndustryMember</w:t>
      </w:r>
      <w:r>
        <w:rPr>
          <w:rFonts w:eastAsia="Times New Roman"/>
          <w:vanish/>
        </w:rPr>
        <w:t>2019-11-012020-10-310000771497abm:BuildingEnergySolutionsMemberabm:TechnologyAndManufacturingMemberus-gaap:OperatingSegmentsMember2019-11-012020-10-310000771497abm:EducationMemberabm:BuildingEnergySolutionsMemberus-gaap:OperatingSegmentsMember2019-11-01202</w:t>
      </w:r>
      <w:r>
        <w:rPr>
          <w:rFonts w:eastAsia="Times New Roman"/>
          <w:vanish/>
        </w:rPr>
        <w:t>0-10-310000771497abm:BuildingEnergySolutionsMemberus-gaap:OperatingSegmentsMemberabm:AviationMember2019-11-012020-10-310000771497abm:BuildingEnergySolutionsMemberus-gaap:OperatingSegmentsMemberabm:TechnicalSolutionsMember2019-11-012020-10-310000771497abm:B</w:t>
      </w:r>
      <w:r>
        <w:rPr>
          <w:rFonts w:eastAsia="Times New Roman"/>
          <w:vanish/>
        </w:rPr>
        <w:t>uildingEnergySolutionsMemberus-gaap:OperatingSegmentsMember2019-11-012020-10-310000771497abm:AirlineServicesMemberus-gaap:OperatingSegmentsMemberabm:BusinessandIndustryMember2019-11-012020-10-310000771497abm:TechnologyAndManufacturingMemberabm:AirlineServi</w:t>
      </w:r>
      <w:r>
        <w:rPr>
          <w:rFonts w:eastAsia="Times New Roman"/>
          <w:vanish/>
        </w:rPr>
        <w:t>cesMemberus-gaap:OperatingSegmentsMember2019-11-012020-10-310000771497abm:EducationMemberabm:AirlineServicesMemberus-gaap:OperatingSegmentsMember2019-11-012020-10-310000771497abm:AirlineServicesMemberus-gaap:OperatingSegmentsMemberabm:AviationMember2019-11</w:t>
      </w:r>
      <w:r>
        <w:rPr>
          <w:rFonts w:eastAsia="Times New Roman"/>
          <w:vanish/>
        </w:rPr>
        <w:t>-012020-10-310000771497abm:AirlineServicesMemberus-gaap:OperatingSegmentsMemberabm:TechnicalSolutionsMember2019-11-012020-10-310000771497abm:AirlineServicesMemberus-gaap:OperatingSegmentsMember2019-11-012020-10-310000771497us-gaap:OperatingSegmentsMemberab</w:t>
      </w:r>
      <w:r>
        <w:rPr>
          <w:rFonts w:eastAsia="Times New Roman"/>
          <w:vanish/>
        </w:rPr>
        <w:t>m:BusinessandIndustryMember2019-11-012020-10-310000771497abm:TechnologyAndManufacturingMemberus-gaap:OperatingSegmentsMember2019-11-012020-10-310000771497abm:EducationMemberus-gaap:OperatingSegmentsMember2019-11-012020-10-310000771497us-gaap:OperatingSegme</w:t>
      </w:r>
      <w:r>
        <w:rPr>
          <w:rFonts w:eastAsia="Times New Roman"/>
          <w:vanish/>
        </w:rPr>
        <w:t>ntsMemberabm:AviationMember2019-11-012020-10-310000771497us-gaap:OperatingSegmentsMemberabm:TechnicalSolutionsMember2019-11-012020-10-310000771497us-gaap:OperatingSegmentsMember2019-11-012020-10-310000771497us-gaap:IntersegmentEliminationMember2019-11-0120</w:t>
      </w:r>
      <w:r>
        <w:rPr>
          <w:rFonts w:eastAsia="Times New Roman"/>
          <w:vanish/>
        </w:rPr>
        <w:t>20-10-310000771497abm:JanitorialMemberus-gaap:OperatingSegmentsMemberabm:BusinessandIndustryMember2018-11-012019-10-310000771497abm:JanitorialMemberabm:TechnologyAndManufacturingMemberus-gaap:OperatingSegmentsMember2018-11-012019-10-310000771497abm:Educati</w:t>
      </w:r>
      <w:r>
        <w:rPr>
          <w:rFonts w:eastAsia="Times New Roman"/>
          <w:vanish/>
        </w:rPr>
        <w:t>onMemberabm:JanitorialMemberus-gaap:OperatingSegmentsMember2018-11-012019-10-310000771497abm:JanitorialMemberus-gaap:OperatingSegmentsMemberabm:AviationMember2018-11-012019-10-310000771497abm:JanitorialMemberus-gaap:OperatingSegmentsMemberabm:TechnicalSolu</w:t>
      </w:r>
      <w:r>
        <w:rPr>
          <w:rFonts w:eastAsia="Times New Roman"/>
          <w:vanish/>
        </w:rPr>
        <w:t>tionsMember2018-11-012019-10-310000771497abm:JanitorialMemberus-gaap:OperatingSegmentsMember2018-11-012019-10-310000771497us-gaap:OperatingSegmentsMemberus-gaap:ParkingMemberabm:BusinessandIndustryMember2018-11-012019-10-310000771497abm:TechnologyAndManufa</w:t>
      </w:r>
      <w:r>
        <w:rPr>
          <w:rFonts w:eastAsia="Times New Roman"/>
          <w:vanish/>
        </w:rPr>
        <w:t>cturingMemberus-gaap:OperatingSegmentsMemberus-gaap:ParkingMember2018-11-012019-10-310000771497abm:EducationMemberus-gaap:OperatingSegmentsMemberus-gaap:ParkingMember2018-11-012019-10-310000771497us-gaap:OperatingSegmentsMemberabm:AviationMemberus-gaap:Par</w:t>
      </w:r>
      <w:r>
        <w:rPr>
          <w:rFonts w:eastAsia="Times New Roman"/>
          <w:vanish/>
        </w:rPr>
        <w:t>kingMember2018-11-012019-10-310000771497us-gaap:OperatingSegmentsMemberabm:TechnicalSolutionsMemberus-gaap:ParkingMember2018-11-012019-10-310000771497us-gaap:OperatingSegmentsMemberus-gaap:ParkingMember2018-11-012019-10-310000771497us-gaap:OperatingSegment</w:t>
      </w:r>
      <w:r>
        <w:rPr>
          <w:rFonts w:eastAsia="Times New Roman"/>
          <w:vanish/>
        </w:rPr>
        <w:t>sMemberabm:FacilityServicesMemberabm:BusinessandIndustryMember2018-11-012019-10-310000771497abm:TechnologyAndManufacturingMemberus-gaap:OperatingSegmentsMemberabm:FacilityServicesMember2018-11-012019-10-310000771497abm:EducationMemberus-gaap:OperatingSegme</w:t>
      </w:r>
      <w:r>
        <w:rPr>
          <w:rFonts w:eastAsia="Times New Roman"/>
          <w:vanish/>
        </w:rPr>
        <w:t>ntsMemberabm:FacilityServicesMember2018-11-012019-10-310000771497us-gaap:OperatingSegmentsMemberabm:AviationMemberabm:FacilityServicesMember2018-11-012019-10-310000771497us-gaap:OperatingSegmentsMemberabm:TechnicalSolutionsMemberabm:FacilityServicesMember2</w:t>
      </w:r>
      <w:r>
        <w:rPr>
          <w:rFonts w:eastAsia="Times New Roman"/>
          <w:vanish/>
        </w:rPr>
        <w:t>018-11-012019-10-310000771497us-gaap:OperatingSegmentsMemberabm:FacilityServicesMember2018-11-012019-10-310000771497abm:BuildingEnergySolutionsMemberus-gaap:OperatingSegmentsMemberabm:BusinessandIndustryMember2018-11-012019-10-310000771497abm:BuildingEnerg</w:t>
      </w:r>
      <w:r>
        <w:rPr>
          <w:rFonts w:eastAsia="Times New Roman"/>
          <w:vanish/>
        </w:rPr>
        <w:t>ySolutionsMemberabm:TechnologyAndManufacturingMemberus-gaap:OperatingSegmentsMember2018-11-012019-10-310000771497abm:EducationMemberabm:BuildingEnergySolutionsMemberus-gaap:OperatingSegmentsMember2018-11-012019-10-310000771497abm:BuildingEnergySolutionsMem</w:t>
      </w:r>
      <w:r>
        <w:rPr>
          <w:rFonts w:eastAsia="Times New Roman"/>
          <w:vanish/>
        </w:rPr>
        <w:t>berus-gaap:OperatingSegmentsMemberabm:AviationMember2018-11-012019-10-310000771497abm:BuildingEnergySolutionsMemberus-gaap:OperatingSegmentsMemberabm:TechnicalSolutionsMember2018-11-012019-10-310000771497abm:BuildingEnergySolutionsMemberus-gaap:OperatingSe</w:t>
      </w:r>
      <w:r>
        <w:rPr>
          <w:rFonts w:eastAsia="Times New Roman"/>
          <w:vanish/>
        </w:rPr>
        <w:t>gmentsMember2018-11-012019-10-310000771497abm:AirlineServicesMemberus-gaap:OperatingSegmentsMemberabm:BusinessandIndustryMember2018-11-012019-10-310000771497abm:TechnologyAndManufacturingMemberabm:AirlineServicesMemberus-gaap:OperatingSegmentsMember2018-11</w:t>
      </w:r>
      <w:r>
        <w:rPr>
          <w:rFonts w:eastAsia="Times New Roman"/>
          <w:vanish/>
        </w:rPr>
        <w:t>-012019-10-310000771497abm:EducationMemberabm:AirlineServicesMemberus-gaap:OperatingSegmentsMember2018-11-012019-10-310000771497abm:AirlineServicesMemberus-gaap:OperatingSegmentsMemberabm:AviationMember2018-11-012019-10-310000771497abm:AirlineServicesMembe</w:t>
      </w:r>
      <w:r>
        <w:rPr>
          <w:rFonts w:eastAsia="Times New Roman"/>
          <w:vanish/>
        </w:rPr>
        <w:t>rus-gaap:OperatingSegmentsMemberabm:TechnicalSolutionsMember2018-11-012019-10-310000771497abm:AirlineServicesMemberus-gaap:OperatingSegmentsMember2018-11-012019-10-310000771497us-gaap:OperatingSegmentsMemberabm:BusinessandIndustryMember2018-11-012019-10-31</w:t>
      </w:r>
      <w:r>
        <w:rPr>
          <w:rFonts w:eastAsia="Times New Roman"/>
          <w:vanish/>
        </w:rPr>
        <w:t>0000771497abm:TechnologyAndManufacturingMemberus-gaap:OperatingSegmentsMember2018-11-012019-10-310000771497abm:EducationMemberus-gaap:OperatingSegmentsMember2018-11-012019-10-310000771497us-gaap:OperatingSegmentsMemberabm:AviationMember2018-11-012019-10-31</w:t>
      </w:r>
      <w:r>
        <w:rPr>
          <w:rFonts w:eastAsia="Times New Roman"/>
          <w:vanish/>
        </w:rPr>
        <w:t>0000771497us-gaap:OperatingSegmentsMemberabm:TechnicalSolutionsMember2018-11-012019-10-310000771497us-gaap:OperatingSegmentsMember2018-11-012019-10-310000771497us-gaap:IntersegmentEliminationMember2018-11-012019-10-3100007714972020-11-012020-10-31000077149</w:t>
      </w:r>
      <w:r>
        <w:rPr>
          <w:rFonts w:eastAsia="Times New Roman"/>
          <w:vanish/>
        </w:rPr>
        <w:t>72021-11-012020-10-310000771497us-gaap:OperatingExpenseMember2019-11-012020-10-310000771497us-gaap:SellingGeneralAndAdministrativeExpensesMember2019-11-012020-10-310000771497abm:A2020VisionRestructuringProgramMember2020-10-310000771497abm:ExternalSupportFe</w:t>
      </w:r>
      <w:r>
        <w:rPr>
          <w:rFonts w:eastAsia="Times New Roman"/>
          <w:vanish/>
        </w:rPr>
        <w:t>esMember2017-10-310000771497us-gaap:EmployeeSeveranceMember2017-10-310000771497abm:OtherProjectFeesMember2017-10-310000771497abm:LeaseExitMember2017-10-310000771497abm:AssetImpairmentMember2017-10-310000771497abm:ExternalSupportFeesMember2017-11-012018-10-</w:t>
      </w:r>
      <w:r>
        <w:rPr>
          <w:rFonts w:eastAsia="Times New Roman"/>
          <w:vanish/>
        </w:rPr>
        <w:t>310000771497us-gaap:EmployeeSeveranceMember2017-11-012018-10-310000771497abm:OtherProjectFeesMember2017-11-012018-10-310000771497abm:LeaseExitMember2017-11-012018-10-310000771497abm:AssetImpairmentMember2017-11-012018-10-310000771497abm:ExternalSupportFees</w:t>
      </w:r>
      <w:r>
        <w:rPr>
          <w:rFonts w:eastAsia="Times New Roman"/>
          <w:vanish/>
        </w:rPr>
        <w:t>Member2018-10-310000771497us-gaap:EmployeeSeveranceMember2018-10-310000771497abm:OtherProjectFeesMember2018-10-310000771497abm:LeaseExitMember2018-10-310000771497abm:AssetImpairmentMember2018-10-310000771497abm:ExternalSupportFeesMember2018-11-012019-10-31</w:t>
      </w:r>
      <w:r>
        <w:rPr>
          <w:rFonts w:eastAsia="Times New Roman"/>
          <w:vanish/>
        </w:rPr>
        <w:t>0000771497us-gaap:EmployeeSeveranceMember2018-11-012019-10-310000771497abm:OtherProjectFeesMember2018-11-012019-10-310000771497abm:LeaseExitMember2018-11-012019-10-310000771497abm:AssetImpairmentMember2018-11-012019-10-310000771497abm:ExternalSupportFeesMe</w:t>
      </w:r>
      <w:r>
        <w:rPr>
          <w:rFonts w:eastAsia="Times New Roman"/>
          <w:vanish/>
        </w:rPr>
        <w:t>mber2019-10-310000771497us-gaap:EmployeeSeveranceMember2019-10-310000771497abm:OtherProjectFeesMember2019-10-310000771497abm:LeaseExitMember2019-10-310000771497abm:AssetImpairmentMember2019-10-310000771497abm:ExternalSupportFeesMember2019-11-012020-10-3100</w:t>
      </w:r>
      <w:r>
        <w:rPr>
          <w:rFonts w:eastAsia="Times New Roman"/>
          <w:vanish/>
        </w:rPr>
        <w:t>00771497us-gaap:EmployeeSeveranceMember2019-11-012020-10-310000771497abm:OtherProjectFeesMember2019-11-012020-10-310000771497abm:LeaseExitMember2019-11-012020-10-310000771497abm:AssetImpairmentMember2019-11-012020-10-310000771497abm:ExternalSupportFeesMemb</w:t>
      </w:r>
      <w:r>
        <w:rPr>
          <w:rFonts w:eastAsia="Times New Roman"/>
          <w:vanish/>
        </w:rPr>
        <w:t>er2020-10-310000771497us-gaap:EmployeeSeveranceMember2020-10-310000771497abm:OtherProjectFeesMember2020-10-310000771497abm:LeaseExitMember2020-10-310000771497abm:AssetImpairmentMember2020-10-310000771497abm:ExternalSupportFeesMemberabm:GCARestructuringProg</w:t>
      </w:r>
      <w:r>
        <w:rPr>
          <w:rFonts w:eastAsia="Times New Roman"/>
          <w:vanish/>
        </w:rPr>
        <w:t>ramMember2020-10-310000771497us-gaap:EmployeeSeveranceMemberabm:GCARestructuringProgramMember2020-10-310000771497abm:GCARestructuringProgramMemberabm:OtherProjectFeesMember2020-10-310000771497abm:LeaseExitMemberabm:GCARestructuringProgramMember2020-10-3100</w:t>
      </w:r>
      <w:r>
        <w:rPr>
          <w:rFonts w:eastAsia="Times New Roman"/>
          <w:vanish/>
        </w:rPr>
        <w:t>00771497abm:AssetImpairmentMemberabm:GCARestructuringProgramMember2020-10-310000771497abm:GCARestructuringProgramMember2020-10-310000771497abm:ExternalSupportFeesMemberabm:A2020VisionRestructuringProgramMember2020-10-310000771497us-gaap:EmployeeSeveranceMe</w:t>
      </w:r>
      <w:r>
        <w:rPr>
          <w:rFonts w:eastAsia="Times New Roman"/>
          <w:vanish/>
        </w:rPr>
        <w:t>mberabm:A2020VisionRestructuringProgramMember2020-10-310000771497abm:OtherProjectFeesMemberabm:A2020VisionRestructuringProgramMember2020-10-310000771497abm:LeaseExitMemberabm:A2020VisionRestructuringProgramMember2020-10-310000771497abm:AssetImpairmentMembe</w:t>
      </w:r>
      <w:r>
        <w:rPr>
          <w:rFonts w:eastAsia="Times New Roman"/>
          <w:vanish/>
        </w:rPr>
        <w:t>rabm:A2020VisionRestructuringProgramMember2020-10-310000771497us-gaap:RestrictedStockUnitsRSUMember2019-11-012020-10-310000771497us-gaap:RestrictedStockUnitsRSUMember2018-11-012019-10-310000771497us-gaap:RestrictedStockUnitsRSUMember2017-11-012018-10-31000</w:t>
      </w:r>
      <w:r>
        <w:rPr>
          <w:rFonts w:eastAsia="Times New Roman"/>
          <w:vanish/>
        </w:rPr>
        <w:t>0771497us-gaap:EmployeeStockOptionMember2019-11-012020-10-310000771497us-gaap:EmployeeStockOptionMember2018-11-012019-10-310000771497us-gaap:EmployeeStockOptionMember2017-11-012018-10-310000771497us-gaap:PerformanceSharesMember2019-11-012020-10-31000077149</w:t>
      </w:r>
      <w:r>
        <w:rPr>
          <w:rFonts w:eastAsia="Times New Roman"/>
          <w:vanish/>
        </w:rPr>
        <w:t>7us-gaap:PerformanceSharesMember2018-11-012019-10-310000771497us-gaap:PerformanceSharesMember2017-11-012018-10-310000771497us-gaap:FairValueInputsLevel1Memberus-gaap:FairValueMeasurementsRecurringMember2020-10-310000771497us-gaap:FairValueInputsLevel1Membe</w:t>
      </w:r>
      <w:r>
        <w:rPr>
          <w:rFonts w:eastAsia="Times New Roman"/>
          <w:vanish/>
        </w:rPr>
        <w:t>rus-gaap:FairValueMeasurementsRecurringMember2019-10-310000771497us-gaap:FairValueMeasurementsRecurringMemberus-gaap:FairValueInputsLevel2Member2020-10-310000771497us-gaap:FairValueMeasurementsRecurringMemberus-gaap:FairValueInputsLevel2Member2019-10-31000</w:t>
      </w:r>
      <w:r>
        <w:rPr>
          <w:rFonts w:eastAsia="Times New Roman"/>
          <w:vanish/>
        </w:rPr>
        <w:t>0771497us-gaap:FairValueMeasurementsRecurringMemberus-gaap:FairValueInputsLevel3Member2020-10-310000771497us-gaap:FairValueMeasurementsRecurringMemberus-gaap:FairValueInputsLevel3Member2019-10-31abm:Security0000771497us-gaap:AuctionRateSecuritiesMember2019</w:t>
      </w:r>
      <w:r>
        <w:rPr>
          <w:rFonts w:eastAsia="Times New Roman"/>
          <w:vanish/>
        </w:rPr>
        <w:t>-10-310000771497us-gaap:AuctionRateSecuritiesMember2020-10-310000771497us-gaap:MachineryAndEquipmentMember2020-10-310000771497us-gaap:MachineryAndEquipmentMember2019-10-310000771497abm:ComputerEquipmentAndSoftwareMember2020-10-310000771497abm:ComputerEquip</w:t>
      </w:r>
      <w:r>
        <w:rPr>
          <w:rFonts w:eastAsia="Times New Roman"/>
          <w:vanish/>
        </w:rPr>
        <w:t>mentAndSoftwareMember2019-10-310000771497us-gaap:TransportationEquipmentMember2020-10-310000771497us-gaap:TransportationEquipmentMember2019-10-310000771497us-gaap:LeaseholdImprovementsMember2020-10-310000771497us-gaap:LeaseholdImprovementsMember2019-10-310</w:t>
      </w:r>
      <w:r>
        <w:rPr>
          <w:rFonts w:eastAsia="Times New Roman"/>
          <w:vanish/>
        </w:rPr>
        <w:t>000771497us-gaap:FurnitureAndFixturesMember2020-10-310000771497us-gaap:FurnitureAndFixturesMember2019-10-310000771497us-gaap:BuildingMember2020-10-310000771497us-gaap:BuildingMember2019-10-310000771497us-gaap:LandMember2020-10-310000771497us-gaap:LandMembe</w:t>
      </w:r>
      <w:r>
        <w:rPr>
          <w:rFonts w:eastAsia="Times New Roman"/>
          <w:vanish/>
        </w:rPr>
        <w:t>r2019-10-310000771497abm:BusinessandIndustryMember2018-10-310000771497abm:TechnologyAndManufacturingMember2018-10-310000771497abm:EducationMember2018-10-310000771497abm:AviationMember2018-10-310000771497abm:TechnicalSolutionsMember2018-10-310000771497abm:H</w:t>
      </w:r>
      <w:r>
        <w:rPr>
          <w:rFonts w:eastAsia="Times New Roman"/>
          <w:vanish/>
        </w:rPr>
        <w:t>ealthcareSegmentMember2018-10-310000771497abm:BusinessandIndustryMember2018-11-012019-10-310000771497abm:TechnologyAndManufacturingMember2018-11-012019-10-310000771497abm:EducationMember2018-11-012019-10-310000771497abm:AviationMember2018-11-012019-10-3100</w:t>
      </w:r>
      <w:r>
        <w:rPr>
          <w:rFonts w:eastAsia="Times New Roman"/>
          <w:vanish/>
        </w:rPr>
        <w:t>00771497abm:TechnicalSolutionsMember2018-11-012019-10-310000771497abm:HealthcareSegmentMember2018-11-012019-10-310000771497abm:BusinessandIndustryMember2019-10-310000771497abm:TechnologyAndManufacturingMember2019-10-310000771497abm:EducationMember2019-10-3</w:t>
      </w:r>
      <w:r>
        <w:rPr>
          <w:rFonts w:eastAsia="Times New Roman"/>
          <w:vanish/>
        </w:rPr>
        <w:t>10000771497abm:AviationMember2019-10-310000771497abm:TechnicalSolutionsMember2019-10-310000771497abm:HealthcareSegmentMember2019-10-310000771497abm:BusinessandIndustryMember2019-11-012020-10-310000771497abm:TechnologyAndManufacturingMember2019-11-012020-10</w:t>
      </w:r>
      <w:r>
        <w:rPr>
          <w:rFonts w:eastAsia="Times New Roman"/>
          <w:vanish/>
        </w:rPr>
        <w:t>-310000771497abm:EducationMember2019-11-012020-10-310000771497abm:AviationMember2019-11-012020-10-310000771497abm:TechnicalSolutionsMember2019-11-012020-10-310000771497abm:HealthcareSegmentMember2019-11-012020-10-310000771497abm:BusinessandIndustryMember20</w:t>
      </w:r>
      <w:r>
        <w:rPr>
          <w:rFonts w:eastAsia="Times New Roman"/>
          <w:vanish/>
        </w:rPr>
        <w:t>20-10-310000771497abm:TechnologyAndManufacturingMember2020-10-310000771497abm:EducationMember2020-10-310000771497abm:AviationMember2020-10-310000771497abm:TechnicalSolutionsMember2020-10-310000771497abm:HealthcareSegmentMember2020-10-310000771497abm:Educat</w:t>
      </w:r>
      <w:r>
        <w:rPr>
          <w:rFonts w:eastAsia="Times New Roman"/>
          <w:vanish/>
        </w:rPr>
        <w:t>ionMemberus-gaap:MeasurementInputDiscountRateMemberus-gaap:IncomeApproachValuationTechniqueMember2020-10-310000771497us-gaap:MeasurementInputDiscountRateMemberus-gaap:IncomeApproachValuationTechniqueMemberabm:AviationMember2020-10-310000771497us-gaap:Measu</w:t>
      </w:r>
      <w:r>
        <w:rPr>
          <w:rFonts w:eastAsia="Times New Roman"/>
          <w:vanish/>
        </w:rPr>
        <w:t>rementInputDiscountRateMemberus-gaap:IncomeApproachValuationTechniqueMemberabm:TechnicalSolutionsMember2020-10-310000771497us-gaap:MeasurementInputDiscountRateMemberus-gaap:MarketApproachValuationTechniqueMember2020-10-310000771497us-gaap:CustomerRelations</w:t>
      </w:r>
      <w:r>
        <w:rPr>
          <w:rFonts w:eastAsia="Times New Roman"/>
          <w:vanish/>
        </w:rPr>
        <w:t>hipsMember2020-10-310000771497us-gaap:CustomerRelationshipsMember2019-10-310000771497us-gaap:TrademarksAndTradeNamesMember2020-10-310000771497us-gaap:TrademarksAndTradeNamesMember2019-10-310000771497abm:ContractRightsAndOtherMember2020-10-310000771497abm:C</w:t>
      </w:r>
      <w:r>
        <w:rPr>
          <w:rFonts w:eastAsia="Times New Roman"/>
          <w:vanish/>
        </w:rPr>
        <w:t>ontractRightsAndOtherMember2019-10-310000771497abm:AllOtherClaimTypesMember2020-10-310000771497abm:AllOtherClaimTypesMember2019-10-310000771497abm:MedicalAndDentalSelfInsuranceProgramMember2020-10-310000771497abm:MedicalAndDentalSelfInsuranceProgramMember2</w:t>
      </w:r>
      <w:r>
        <w:rPr>
          <w:rFonts w:eastAsia="Times New Roman"/>
          <w:vanish/>
        </w:rPr>
        <w:t>019-10-310000771497us-gaap:StandbyLettersOfCreditMember2020-10-310000771497us-gaap:StandbyLettersOfCreditMember2019-10-310000771497us-gaap:SuretyBondMember2020-10-310000771497us-gaap:SuretyBondMember2019-10-310000771497us-gaap:DepositsMember2020-10-3100007</w:t>
      </w:r>
      <w:r>
        <w:rPr>
          <w:rFonts w:eastAsia="Times New Roman"/>
          <w:vanish/>
        </w:rPr>
        <w:t>71497us-gaap:DepositsMember2019-10-310000771497us-gaap:LineOfCreditMemberabm:PriorCreditFacilityMemberus-gaap:RevolvingCreditFacilityMember2017-08-310000771497abm:CreditFacilityMember2017-09-012017-09-010000771497us-gaap:LineOfCreditMemberabm:CreditFacilit</w:t>
      </w:r>
      <w:r>
        <w:rPr>
          <w:rFonts w:eastAsia="Times New Roman"/>
          <w:vanish/>
        </w:rPr>
        <w:t>yMemberus-gaap:RevolvingCreditFacilityMember2017-09-010000771497us-gaap:LoansPayableMemberabm:CreditFacilityMember2017-09-010000771497us-gaap:LineOfCreditMemberabm:CreditFacilityMemberus-gaap:RevolvingCreditFacilityMember2018-09-010000771497us-gaap:LineOfC</w:t>
      </w:r>
      <w:r>
        <w:rPr>
          <w:rFonts w:eastAsia="Times New Roman"/>
          <w:vanish/>
        </w:rPr>
        <w:t>reditMemberus-gaap:RevolvingCreditFacilityMember2020-03-012020-03-310000771497us-gaap:StandbyLettersOfCreditMemberabm:CreditFacilityMember2017-09-010000771497abm:CreditFacilityMemberabm:SwingLineLoanMember2017-09-010000771497abm:CovenantPeriodQuarterEndedO</w:t>
      </w:r>
      <w:r>
        <w:rPr>
          <w:rFonts w:eastAsia="Times New Roman"/>
          <w:vanish/>
        </w:rPr>
        <w:t>ctober2020Memberabm:CreditFacilityMember2020-05-270000771497abm:CovenantPeriodQuarterEndingOctober2022Memberabm:CreditFacilityMember2020-05-270000771497abm:CreditFacilityMember2020-05-270000771497abm:CreditFacilityMember2020-05-280000771497us-gaap:Eurodoll</w:t>
      </w:r>
      <w:r>
        <w:rPr>
          <w:rFonts w:eastAsia="Times New Roman"/>
          <w:vanish/>
        </w:rPr>
        <w:t>arMembersrt:MinimumMemberabm:CreditFacilityMember2017-09-012017-09-010000771497us-gaap:EurodollarMembersrt:MaximumMemberabm:CreditFacilityMember2017-09-012017-09-010000771497us-gaap:BaseRateMembersrt:MinimumMemberabm:CreditFacilityMember2017-09-012017-09-0</w:t>
      </w:r>
      <w:r>
        <w:rPr>
          <w:rFonts w:eastAsia="Times New Roman"/>
          <w:vanish/>
        </w:rPr>
        <w:t>10000771497srt:MaximumMemberus-gaap:BaseRateMemberabm:CreditFacilityMember2017-09-012017-09-010000771497srt:MinimumMemberabm:CreditFacilityMemberus-gaap:RevolvingCreditFacilityMember2017-09-012017-09-010000771497srt:MaximumMemberabm:CreditFacilityMemberus-</w:t>
      </w:r>
      <w:r>
        <w:rPr>
          <w:rFonts w:eastAsia="Times New Roman"/>
          <w:vanish/>
        </w:rPr>
        <w:t>gaap:RevolvingCreditFacilityMember2017-09-012017-09-010000771497us-gaap:EurodollarMembersrt:MinimumMemberabm:CreditFacilityMember2020-05-282020-05-280000771497us-gaap:EurodollarMembersrt:MaximumMemberabm:CreditFacilityMember2020-05-282020-05-280000771497us</w:t>
      </w:r>
      <w:r>
        <w:rPr>
          <w:rFonts w:eastAsia="Times New Roman"/>
          <w:vanish/>
        </w:rPr>
        <w:t>-gaap:BaseRateMembersrt:MinimumMemberabm:CreditFacilityMember2020-05-282020-05-280000771497srt:MaximumMemberus-gaap:BaseRateMemberabm:CreditFacilityMember2020-05-282020-05-280000771497abm:CreditFacilityMember2020-10-310000771497srt:MinimumMemberus-gaap:Rev</w:t>
      </w:r>
      <w:r>
        <w:rPr>
          <w:rFonts w:eastAsia="Times New Roman"/>
          <w:vanish/>
        </w:rPr>
        <w:t>olvingCreditFacilityMember2020-05-282020-05-280000771497srt:MaximumMemberus-gaap:RevolvingCreditFacilityMember2020-05-282020-05-280000771497abm:CreditFacilityMember2017-09-010000771497us-gaap:LineOfCreditMemberabm:CreditFacilityMember2017-09-010000771497us</w:t>
      </w:r>
      <w:r>
        <w:rPr>
          <w:rFonts w:eastAsia="Times New Roman"/>
          <w:vanish/>
        </w:rPr>
        <w:t>-gaap:LoansPayableMember2020-10-310000771497abm:InterestRateSwapMaturity4302021Member2018-11-010000771497abm:InterestRateSwapMaturity10312021Member2018-11-010000771497abm:InterestRateSwapMaturity4302022Member2018-11-010000771497abm:InterestRateSwapMaturity</w:t>
      </w:r>
      <w:r>
        <w:rPr>
          <w:rFonts w:eastAsia="Times New Roman"/>
          <w:vanish/>
        </w:rPr>
        <w:t>912022Member2018-11-010000771497us-gaap:AccumulatedGainLossCashFlowHedgeIncludingNoncontrollingInterestMember2019-11-012020-10-310000771497us-gaap:AccumulatedGainLossCashFlowHedgeIncludingNoncontrollingInterestMember2018-11-012019-10-310000771497us-gaap:Eq</w:t>
      </w:r>
      <w:r>
        <w:rPr>
          <w:rFonts w:eastAsia="Times New Roman"/>
          <w:vanish/>
        </w:rPr>
        <w:t>uitySecuritiesMember2020-10-310000771497us-gaap:FixedIncomeFundsMember2020-10-310000771497us-gaap:CashAndCashEquivalentsMember2020-10-310000771497us-gaap:DeferredCompensationArrangementWithIndividualByTypeOfCompensationPensionAndOtherPostretirementBenefits</w:t>
      </w:r>
      <w:r>
        <w:rPr>
          <w:rFonts w:eastAsia="Times New Roman"/>
          <w:vanish/>
        </w:rPr>
        <w:t>Member2020-10-310000771497us-gaap:DeferredCompensationArrangementWithIndividualByTypeOfCompensationPensionAndOtherPostretirementBenefitsMember2019-10-310000771497abm:RabbiTrustMember2020-10-310000771497abm:RabbiTrustMember2019-10-310000771497us-gaap:Deferr</w:t>
      </w:r>
      <w:r>
        <w:rPr>
          <w:rFonts w:eastAsia="Times New Roman"/>
          <w:vanish/>
        </w:rPr>
        <w:t>edCompensationArrangementWithIndividualByTypeOfCompensationPensionAndOtherPostretirementBenefitsMember2019-11-012020-10-310000771497us-gaap:DeferredCompensationArrangementWithIndividualByTypeOfCompensationPensionAndOtherPostretirementBenefitsMember2018-11-</w:t>
      </w:r>
      <w:r>
        <w:rPr>
          <w:rFonts w:eastAsia="Times New Roman"/>
          <w:vanish/>
        </w:rPr>
        <w:t>012019-10-310000771497us-gaap:DeferredCompensationArrangementWithIndividualByTypeOfCompensationPensionAndOtherPostretirementBenefitsMember2017-11-012018-10-31abm:defined_contribution_plan0000771497abm:BuildingService32BJPensionFundMemberus-gaap:PensionPlan</w:t>
      </w:r>
      <w:r>
        <w:rPr>
          <w:rFonts w:eastAsia="Times New Roman"/>
          <w:vanish/>
        </w:rPr>
        <w:t>sDefinedBenefitMember2019-11-012020-10-310000771497abm:BuildingService32BJPensionFundMemberus-gaap:PensionPlansDefinedBenefitMember2018-11-012019-10-310000771497abm:BuildingService32BJPensionFundMemberus-gaap:PensionPlansDefinedBenefitMember2017-11-012018-</w:t>
      </w:r>
      <w:r>
        <w:rPr>
          <w:rFonts w:eastAsia="Times New Roman"/>
          <w:vanish/>
        </w:rPr>
        <w:t>10-310000771497srt:MinimumMemberabm:BuildingService32BJPensionFundMemberus-gaap:PensionPlansDefinedBenefitMember2019-11-012020-10-310000771497srt:MaximumMemberabm:BuildingService32BJPensionFundMemberus-gaap:PensionPlansDefinedBenefitMember2019-11-012020-10</w:t>
      </w:r>
      <w:r>
        <w:rPr>
          <w:rFonts w:eastAsia="Times New Roman"/>
          <w:vanish/>
        </w:rPr>
        <w:t>-310000771497abm:SEIUNationalIndustryPensionFundMemberus-gaap:PensionPlansDefinedBenefitMember2019-11-012020-10-310000771497abm:SEIUNationalIndustryPensionFundMemberus-gaap:PensionPlansDefinedBenefitMember2018-11-012019-10-310000771497abm:SEIUNationalIndus</w:t>
      </w:r>
      <w:r>
        <w:rPr>
          <w:rFonts w:eastAsia="Times New Roman"/>
          <w:vanish/>
        </w:rPr>
        <w:t>tryPensionFundMemberus-gaap:PensionPlansDefinedBenefitMember2017-11-012018-10-310000771497abm:SEIUNationalIndustryPensionFundMembersrt:MinimumMemberus-gaap:PensionPlansDefinedBenefitMember2019-11-012020-10-310000771497srt:MaximumMemberabm:SEIUNationalIndus</w:t>
      </w:r>
      <w:r>
        <w:rPr>
          <w:rFonts w:eastAsia="Times New Roman"/>
          <w:vanish/>
        </w:rPr>
        <w:t>tryPensionFundMemberus-gaap:PensionPlansDefinedBenefitMember2019-11-012020-10-310000771497abm:CentralPensionFundOfTheIUOEAndParticipatingEmployersMemberus-gaap:PensionPlansDefinedBenefitMember2019-11-012020-10-310000771497abm:CentralPensionFundOfTheIUOEAnd</w:t>
      </w:r>
      <w:r>
        <w:rPr>
          <w:rFonts w:eastAsia="Times New Roman"/>
          <w:vanish/>
        </w:rPr>
        <w:t>ParticipatingEmployersMemberus-gaap:PensionPlansDefinedBenefitMember2018-11-012019-10-310000771497abm:CentralPensionFundOfTheIUOEAndParticipatingEmployersMemberus-gaap:PensionPlansDefinedBenefitMember2017-11-012018-10-310000771497abm:CentralPensionFundOfTh</w:t>
      </w:r>
      <w:r>
        <w:rPr>
          <w:rFonts w:eastAsia="Times New Roman"/>
          <w:vanish/>
        </w:rPr>
        <w:t>eIUOEAndParticipatingEmployersMembersrt:MinimumMemberus-gaap:PensionPlansDefinedBenefitMember2019-11-012020-10-310000771497abm:CentralPensionFundOfTheIUOEAndParticipatingEmployersMembersrt:MaximumMemberus-gaap:PensionPlansDefinedBenefitMember2019-11-012020</w:t>
      </w:r>
      <w:r>
        <w:rPr>
          <w:rFonts w:eastAsia="Times New Roman"/>
          <w:vanish/>
        </w:rPr>
        <w:t>-10-310000771497abm:SEIULocalOneAndParticipatingEmployersPensionTrustMemberus-gaap:PensionPlansDefinedBenefitMember2019-11-012020-10-310000771497abm:SEIULocalOneAndParticipatingEmployersPensionTrustMemberus-gaap:PensionPlansDefinedBenefitMember2018-11-0120</w:t>
      </w:r>
      <w:r>
        <w:rPr>
          <w:rFonts w:eastAsia="Times New Roman"/>
          <w:vanish/>
        </w:rPr>
        <w:t>19-10-310000771497abm:SEIULocalOneAndParticipatingEmployersPensionTrustMemberus-gaap:PensionPlansDefinedBenefitMember2017-11-012018-10-310000771497abm:IUOEStationaryEngineersLocalThirtyNinePensionFundMemberus-gaap:PensionPlansDefinedBenefitMember2019-11-01</w:t>
      </w:r>
      <w:r>
        <w:rPr>
          <w:rFonts w:eastAsia="Times New Roman"/>
          <w:vanish/>
        </w:rPr>
        <w:t>2020-10-310000771497abm:IUOEStationaryEngineersLocalThirtyNinePensionFundMemberus-gaap:PensionPlansDefinedBenefitMember2018-11-012019-10-310000771497abm:IUOEStationaryEngineersLocalThirtyNinePensionFundMemberus-gaap:PensionPlansDefinedBenefitMember2017-11-</w:t>
      </w:r>
      <w:r>
        <w:rPr>
          <w:rFonts w:eastAsia="Times New Roman"/>
          <w:vanish/>
        </w:rPr>
        <w:t>012018-10-310000771497abm:IUOEStationaryEngineersLocalThirtyNinePensionFundMembersrt:MinimumMemberus-gaap:PensionPlansDefinedBenefitMember2019-11-012020-10-310000771497abm:IUOEStationaryEngineersLocalThirtyNinePensionFundMembersrt:MaximumMemberus-gaap:Pens</w:t>
      </w:r>
      <w:r>
        <w:rPr>
          <w:rFonts w:eastAsia="Times New Roman"/>
          <w:vanish/>
        </w:rPr>
        <w:t>ionPlansDefinedBenefitMember2019-11-012020-10-310000771497abm:WesternConferenceofTeamstersPensionPlanMemberus-gaap:PensionPlansDefinedBenefitMember2019-11-012020-10-310000771497abm:WesternConferenceofTeamstersPensionPlanMemberus-gaap:PensionPlansDefinedBen</w:t>
      </w:r>
      <w:r>
        <w:rPr>
          <w:rFonts w:eastAsia="Times New Roman"/>
          <w:vanish/>
        </w:rPr>
        <w:t>efitMember2018-11-012019-10-310000771497abm:WesternConferenceofTeamstersPensionPlanMemberus-gaap:PensionPlansDefinedBenefitMember2017-11-012018-10-310000771497srt:MinimumMemberabm:WesternConferenceofTeamstersPensionPlanMemberus-gaap:PensionPlansDefinedBene</w:t>
      </w:r>
      <w:r>
        <w:rPr>
          <w:rFonts w:eastAsia="Times New Roman"/>
          <w:vanish/>
        </w:rPr>
        <w:t>fitMember2019-11-012020-10-310000771497srt:MaximumMemberabm:WesternConferenceofTeamstersPensionPlanMemberus-gaap:PensionPlansDefinedBenefitMember2019-11-012020-10-310000771497abm:OtherPlansMemberus-gaap:PensionPlansDefinedBenefitMember2019-11-012020-10-310</w:t>
      </w:r>
      <w:r>
        <w:rPr>
          <w:rFonts w:eastAsia="Times New Roman"/>
          <w:vanish/>
        </w:rPr>
        <w:t>000771497abm:OtherPlansMemberus-gaap:PensionPlansDefinedBenefitMember2018-11-012019-10-310000771497abm:OtherPlansMemberus-gaap:PensionPlansDefinedBenefitMember2017-11-012018-10-310000771497us-gaap:PensionPlansDefinedBenefitMember2019-11-012020-10-310000771</w:t>
      </w:r>
      <w:r>
        <w:rPr>
          <w:rFonts w:eastAsia="Times New Roman"/>
          <w:vanish/>
        </w:rPr>
        <w:t>497us-gaap:PensionPlansDefinedBenefitMember2018-11-012019-10-310000771497us-gaap:PensionPlansDefinedBenefitMember2017-11-012018-10-310000771497srt:MaximumMemberus-gaap:PensionPlansDefinedBenefitMember2019-11-012020-10-310000771497srt:MaximumMemberus-gaap:P</w:t>
      </w:r>
      <w:r>
        <w:rPr>
          <w:rFonts w:eastAsia="Times New Roman"/>
          <w:vanish/>
        </w:rPr>
        <w:t>ensionPlansDefinedBenefitMember2018-11-012019-10-310000771497srt:MinimumMemberus-gaap:PensionPlansDefinedBenefitMember2019-11-012020-10-310000771497srt:MinimumMemberus-gaap:PensionPlansDefinedBenefitMember2018-11-012019-10-310000771497abm:MultiemployerPlan</w:t>
      </w:r>
      <w:r>
        <w:rPr>
          <w:rFonts w:eastAsia="Times New Roman"/>
          <w:vanish/>
        </w:rPr>
        <w:t>sDefinedContributionPlansMemberus-gaap:PensionPlansDefinedBenefitMember2019-11-012020-10-310000771497abm:MultiemployerPlansDefinedContributionPlansMemberus-gaap:PensionPlansDefinedBenefitMember2018-11-012019-10-310000771497abm:MultiemployerPlansDefinedCont</w:t>
      </w:r>
      <w:r>
        <w:rPr>
          <w:rFonts w:eastAsia="Times New Roman"/>
          <w:vanish/>
        </w:rPr>
        <w:t>ributionPlansMemberus-gaap:PensionPlansDefinedBenefitMember2017-11-012018-10-310000771497us-gaap:OtherPostretirementBenefitPlansDefinedBenefitMember2019-11-012020-10-310000771497us-gaap:OtherPostretirementBenefitPlansDefinedBenefitMember2018-11-012019-10-3</w:t>
      </w:r>
      <w:r>
        <w:rPr>
          <w:rFonts w:eastAsia="Times New Roman"/>
          <w:vanish/>
        </w:rPr>
        <w:t>10000771497us-gaap:OtherPostretirementBenefitPlansDefinedBenefitMember2017-11-012018-10-310000771497abm:EnergySavingsContractsMember2020-10-310000771497abm:EnergySavingsContractsMember2019-10-310000771497us-gaap:PerformanceGuaranteeMemberus-gaap:CorporateJ</w:t>
      </w:r>
      <w:r>
        <w:rPr>
          <w:rFonts w:eastAsia="Times New Roman"/>
          <w:vanish/>
        </w:rPr>
        <w:t>ointVentureMember2020-10-310000771497us-gaap:PendingLitigationMember2020-10-31abm:subclass0000771497abm:BucioMember2018-09-202018-09-200000771497abm:A2019ShareRepurchaseProgramMember2019-12-180000771497abm:A2019ShareRepurchaseProgramMember2020-10-310000771</w:t>
      </w:r>
      <w:r>
        <w:rPr>
          <w:rFonts w:eastAsia="Times New Roman"/>
          <w:vanish/>
        </w:rPr>
        <w:t>497abm:TwoThousandSixEquityIncentivePlanMember2018-03-310000771497abm:TwoThousandSixEquityIncentivePlanMember2020-10-310000771497abm:TwoThousandFourEmployeeStockPurchasePlanMember2016-03-310000771497abm:TwoThousandFourEmployeeStockPurchasePlanMember2006-05</w:t>
      </w:r>
      <w:r>
        <w:rPr>
          <w:rFonts w:eastAsia="Times New Roman"/>
          <w:vanish/>
        </w:rPr>
        <w:t>-010000771497abm:TwoThousandFourEmployeeStockPurchasePlanMember2020-10-310000771497us-gaap:RestrictedStockUnitsRSUMember2019-10-310000771497us-gaap:RestrictedStockUnitsRSUMember2020-10-310000771497us-gaap:PerformanceSharesMembersrt:MinimumMember2019-11-012</w:t>
      </w:r>
      <w:r>
        <w:rPr>
          <w:rFonts w:eastAsia="Times New Roman"/>
          <w:vanish/>
        </w:rPr>
        <w:t>020-10-310000771497srt:MaximumMemberus-gaap:PerformanceSharesMember2019-11-012020-10-310000771497us-gaap:PerformanceSharesMember2019-10-310000771497us-gaap:PerformanceSharesMember2020-10-310000771497abm:EmployeeStockPurchasePlanMember2019-11-012020-10-3100</w:t>
      </w:r>
      <w:r>
        <w:rPr>
          <w:rFonts w:eastAsia="Times New Roman"/>
          <w:vanish/>
        </w:rPr>
        <w:t>00771497abm:EmployeeStockPurchasePlanMember2018-11-012019-10-310000771497abm:EmployeeStockPurchasePlanMember2017-11-012018-10-3100007714972019-08-012019-10-310000771497us-gaap:StateAndLocalJurisdictionMember2020-10-31abm:state0000771497us-gaap:OperatingSeg</w:t>
      </w:r>
      <w:r>
        <w:rPr>
          <w:rFonts w:eastAsia="Times New Roman"/>
          <w:vanish/>
        </w:rPr>
        <w:t>mentsMemberabm:BusinessandIndustryMember2017-11-012018-10-310000771497abm:TechnologyAndManufacturingMemberus-gaap:OperatingSegmentsMember2017-11-012018-10-310000771497abm:EducationMemberus-gaap:OperatingSegmentsMember2017-11-012018-10-310000771497us-gaap:O</w:t>
      </w:r>
      <w:r>
        <w:rPr>
          <w:rFonts w:eastAsia="Times New Roman"/>
          <w:vanish/>
        </w:rPr>
        <w:t>peratingSegmentsMemberabm:AviationMember2017-11-012018-10-310000771497us-gaap:OperatingSegmentsMemberabm:TechnicalSolutionsMember2017-11-012018-10-310000771497us-gaap:OperatingSegmentsMemberabm:EliminationofintersegmentrevenuesMember2019-11-012020-10-31000</w:t>
      </w:r>
      <w:r>
        <w:rPr>
          <w:rFonts w:eastAsia="Times New Roman"/>
          <w:vanish/>
        </w:rPr>
        <w:t>0771497us-gaap:OperatingSegmentsMemberabm:EliminationofintersegmentrevenuesMember2018-11-012019-10-310000771497us-gaap:OperatingSegmentsMemberabm:EliminationofintersegmentrevenuesMember2017-11-012018-10-310000771497us-gaap:OperatingSegmentsMemberabm:Govern</w:t>
      </w:r>
      <w:r>
        <w:rPr>
          <w:rFonts w:eastAsia="Times New Roman"/>
          <w:vanish/>
        </w:rPr>
        <w:t>mentServicesMember2019-11-012020-10-310000771497us-gaap:OperatingSegmentsMemberabm:GovernmentServicesMember2018-11-012019-10-310000771497us-gaap:OperatingSegmentsMemberabm:GovernmentServicesMember2017-11-012018-10-310000771497us-gaap:CorporateNonSegmentMem</w:t>
      </w:r>
      <w:r>
        <w:rPr>
          <w:rFonts w:eastAsia="Times New Roman"/>
          <w:vanish/>
        </w:rPr>
        <w:t>ber2019-11-012020-10-310000771497us-gaap:CorporateNonSegmentMember2018-11-012019-10-310000771497us-gaap:CorporateNonSegmentMember2017-11-012018-10-310000771497us-gaap:MaterialReconcilingItemsMember2019-11-012020-10-310000771497us-gaap:MaterialReconcilingIt</w:t>
      </w:r>
      <w:r>
        <w:rPr>
          <w:rFonts w:eastAsia="Times New Roman"/>
          <w:vanish/>
        </w:rPr>
        <w:t>emsMember2018-11-012019-10-310000771497us-gaap:MaterialReconcilingItemsMember2017-11-012018-10-310000771497country:US2019-11-012020-10-310000771497country:US2018-11-012019-10-310000771497country:US2017-11-012018-10-310000771497us-gaap:NonUsMember2019-11-01</w:t>
      </w:r>
      <w:r>
        <w:rPr>
          <w:rFonts w:eastAsia="Times New Roman"/>
          <w:vanish/>
        </w:rPr>
        <w:t>2020-10-310000771497us-gaap:NonUsMember2018-11-012019-10-310000771497us-gaap:NonUsMember2017-11-012018-10-3100007714972019-11-012020-01-3100007714972020-02-012020-04-3000007714972020-05-012020-07-3100007714972020-08-012020-10-3100007714972018-11-012019-01-</w:t>
      </w:r>
      <w:r>
        <w:rPr>
          <w:rFonts w:eastAsia="Times New Roman"/>
          <w:vanish/>
        </w:rPr>
        <w:t>3100007714972019-02-012019-04-3000007714972019-05-012019-07-310000771497us-gaap:AllowanceForCreditLossMember2019-10-310000771497us-gaap:AllowanceForCreditLossMember2019-11-012020-10-310000771497us-gaap:AllowanceForCreditLossMember2020-10-310000771497us-gaa</w:t>
      </w:r>
      <w:r>
        <w:rPr>
          <w:rFonts w:eastAsia="Times New Roman"/>
          <w:vanish/>
        </w:rPr>
        <w:t>p:AllowanceForCreditLossMember2018-10-310000771497us-gaap:AllowanceForCreditLossMember2018-11-012019-10-310000771497us-gaap:AllowanceForCreditLossMember2017-10-310000771497us-gaap:AllowanceForCreditLossMember2017-11-012018-10-31</w:t>
      </w:r>
    </w:p>
    <w:p w14:paraId="7645837A" w14:textId="77777777" w:rsidR="00000000" w:rsidRDefault="001D0688">
      <w:pPr>
        <w:jc w:val="center"/>
        <w:divId w:val="942882283"/>
        <w:rPr>
          <w:rFonts w:eastAsia="Times New Roman"/>
        </w:rPr>
      </w:pPr>
    </w:p>
    <w:p w14:paraId="63D1CA17" w14:textId="77777777" w:rsidR="00000000" w:rsidRDefault="001D0688">
      <w:pPr>
        <w:jc w:val="center"/>
        <w:divId w:val="183922968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EF680C4" w14:textId="77777777">
        <w:trPr>
          <w:divId w:val="469247134"/>
          <w:jc w:val="center"/>
        </w:trPr>
        <w:tc>
          <w:tcPr>
            <w:tcW w:w="50" w:type="pct"/>
            <w:vAlign w:val="center"/>
            <w:hideMark/>
          </w:tcPr>
          <w:p w14:paraId="0242CE6B" w14:textId="77777777" w:rsidR="00000000" w:rsidRDefault="001D0688">
            <w:pPr>
              <w:jc w:val="center"/>
              <w:rPr>
                <w:rFonts w:eastAsia="Times New Roman"/>
              </w:rPr>
            </w:pPr>
          </w:p>
        </w:tc>
        <w:tc>
          <w:tcPr>
            <w:tcW w:w="4945" w:type="pct"/>
            <w:vAlign w:val="center"/>
            <w:hideMark/>
          </w:tcPr>
          <w:p w14:paraId="57F58E3A" w14:textId="77777777" w:rsidR="00000000" w:rsidRDefault="001D0688">
            <w:pPr>
              <w:rPr>
                <w:rFonts w:eastAsia="Times New Roman"/>
                <w:sz w:val="20"/>
                <w:szCs w:val="20"/>
              </w:rPr>
            </w:pPr>
          </w:p>
        </w:tc>
        <w:tc>
          <w:tcPr>
            <w:tcW w:w="5" w:type="pct"/>
            <w:vAlign w:val="center"/>
            <w:hideMark/>
          </w:tcPr>
          <w:p w14:paraId="025E1920" w14:textId="77777777" w:rsidR="00000000" w:rsidRDefault="001D0688">
            <w:pPr>
              <w:rPr>
                <w:rFonts w:eastAsia="Times New Roman"/>
                <w:sz w:val="20"/>
                <w:szCs w:val="20"/>
              </w:rPr>
            </w:pPr>
          </w:p>
        </w:tc>
      </w:tr>
      <w:tr w:rsidR="00000000" w14:paraId="5F356693" w14:textId="77777777">
        <w:trPr>
          <w:divId w:val="46924713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01B6DC7D" w14:textId="77777777" w:rsidR="00000000" w:rsidRDefault="001D0688">
            <w:pPr>
              <w:rPr>
                <w:rFonts w:eastAsia="Times New Roman"/>
                <w:sz w:val="20"/>
                <w:szCs w:val="20"/>
              </w:rPr>
            </w:pPr>
          </w:p>
        </w:tc>
      </w:tr>
    </w:tbl>
    <w:p w14:paraId="1EACF3F7" w14:textId="77777777" w:rsidR="00000000" w:rsidRDefault="001D0688">
      <w:pPr>
        <w:jc w:val="center"/>
        <w:rPr>
          <w:rFonts w:eastAsia="Times New Roman"/>
        </w:rPr>
      </w:pPr>
      <w:r>
        <w:rPr>
          <w:rFonts w:eastAsia="Times New Roman"/>
          <w:b/>
          <w:bCs/>
          <w:color w:val="000000"/>
          <w:sz w:val="36"/>
          <w:szCs w:val="36"/>
        </w:rPr>
        <w:t xml:space="preserve">UNITED STATES </w:t>
      </w:r>
    </w:p>
    <w:p w14:paraId="6C181E0C" w14:textId="77777777" w:rsidR="00000000" w:rsidRDefault="001D0688">
      <w:pPr>
        <w:jc w:val="center"/>
        <w:rPr>
          <w:rFonts w:eastAsia="Times New Roman"/>
        </w:rPr>
      </w:pPr>
      <w:r>
        <w:rPr>
          <w:rFonts w:eastAsia="Times New Roman"/>
          <w:b/>
          <w:bCs/>
          <w:color w:val="000000"/>
          <w:sz w:val="36"/>
          <w:szCs w:val="36"/>
        </w:rPr>
        <w:t>SECURITIES AND EXCHANGE COMMISSION</w:t>
      </w:r>
    </w:p>
    <w:p w14:paraId="7445B1F6" w14:textId="77777777" w:rsidR="00000000" w:rsidRDefault="001D0688">
      <w:pPr>
        <w:jc w:val="center"/>
        <w:rPr>
          <w:rFonts w:eastAsia="Times New Roman"/>
        </w:rPr>
      </w:pPr>
      <w:r>
        <w:rPr>
          <w:rFonts w:eastAsia="Times New Roman"/>
          <w:b/>
          <w:bCs/>
          <w:color w:val="000000"/>
        </w:rPr>
        <w:t>Washington, D.C. 20549</w:t>
      </w:r>
    </w:p>
    <w:p w14:paraId="30C91118" w14:textId="77777777" w:rsidR="00000000" w:rsidRDefault="001D0688">
      <w:pPr>
        <w:jc w:val="center"/>
        <w:rPr>
          <w:rFonts w:eastAsia="Times New Roman"/>
        </w:rPr>
      </w:pPr>
      <w:r>
        <w:rPr>
          <w:rFonts w:ascii="Arial" w:eastAsia="Times New Roman" w:hAnsi="Arial" w:cs="Arial"/>
          <w:color w:val="000000"/>
          <w:sz w:val="20"/>
          <w:szCs w:val="20"/>
        </w:rPr>
        <w:t>__________________________</w:t>
      </w:r>
    </w:p>
    <w:p w14:paraId="2CA1A0C2" w14:textId="77777777" w:rsidR="00000000" w:rsidRDefault="001D0688">
      <w:pPr>
        <w:jc w:val="center"/>
        <w:rPr>
          <w:rFonts w:eastAsia="Times New Roman"/>
        </w:rPr>
      </w:pPr>
      <w:r>
        <w:rPr>
          <w:rFonts w:ascii="Arial" w:eastAsia="Times New Roman" w:hAnsi="Arial" w:cs="Arial"/>
          <w:b/>
          <w:bCs/>
          <w:color w:val="000000"/>
          <w:sz w:val="36"/>
          <w:szCs w:val="36"/>
        </w:rPr>
        <w:t xml:space="preserve">FORM 10-K </w:t>
      </w:r>
    </w:p>
    <w:p w14:paraId="4FA1008D" w14:textId="77777777" w:rsidR="00000000" w:rsidRDefault="001D0688">
      <w:pPr>
        <w:divId w:val="1603755654"/>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2DD62220" w14:textId="77777777">
        <w:trPr>
          <w:divId w:val="1846744488"/>
        </w:trPr>
        <w:tc>
          <w:tcPr>
            <w:tcW w:w="50" w:type="pct"/>
            <w:vAlign w:val="center"/>
            <w:hideMark/>
          </w:tcPr>
          <w:p w14:paraId="6E9F0566" w14:textId="77777777" w:rsidR="00000000" w:rsidRDefault="001D0688">
            <w:pPr>
              <w:rPr>
                <w:rFonts w:eastAsia="Times New Roman"/>
              </w:rPr>
            </w:pPr>
          </w:p>
        </w:tc>
        <w:tc>
          <w:tcPr>
            <w:tcW w:w="237" w:type="pct"/>
            <w:vAlign w:val="center"/>
            <w:hideMark/>
          </w:tcPr>
          <w:p w14:paraId="659F14A3" w14:textId="77777777" w:rsidR="00000000" w:rsidRDefault="001D0688">
            <w:pPr>
              <w:rPr>
                <w:rFonts w:eastAsia="Times New Roman"/>
                <w:sz w:val="20"/>
                <w:szCs w:val="20"/>
              </w:rPr>
            </w:pPr>
          </w:p>
        </w:tc>
        <w:tc>
          <w:tcPr>
            <w:tcW w:w="5" w:type="pct"/>
            <w:vAlign w:val="center"/>
            <w:hideMark/>
          </w:tcPr>
          <w:p w14:paraId="22E7915A" w14:textId="77777777" w:rsidR="00000000" w:rsidRDefault="001D0688">
            <w:pPr>
              <w:rPr>
                <w:rFonts w:eastAsia="Times New Roman"/>
                <w:sz w:val="20"/>
                <w:szCs w:val="20"/>
              </w:rPr>
            </w:pPr>
          </w:p>
        </w:tc>
        <w:tc>
          <w:tcPr>
            <w:tcW w:w="50" w:type="pct"/>
            <w:vAlign w:val="center"/>
            <w:hideMark/>
          </w:tcPr>
          <w:p w14:paraId="28BFDEE5" w14:textId="77777777" w:rsidR="00000000" w:rsidRDefault="001D0688">
            <w:pPr>
              <w:rPr>
                <w:rFonts w:eastAsia="Times New Roman"/>
                <w:sz w:val="20"/>
                <w:szCs w:val="20"/>
              </w:rPr>
            </w:pPr>
          </w:p>
        </w:tc>
        <w:tc>
          <w:tcPr>
            <w:tcW w:w="4652" w:type="pct"/>
            <w:vAlign w:val="center"/>
            <w:hideMark/>
          </w:tcPr>
          <w:p w14:paraId="63D6CFAE" w14:textId="77777777" w:rsidR="00000000" w:rsidRDefault="001D0688">
            <w:pPr>
              <w:rPr>
                <w:rFonts w:eastAsia="Times New Roman"/>
                <w:sz w:val="20"/>
                <w:szCs w:val="20"/>
              </w:rPr>
            </w:pPr>
          </w:p>
        </w:tc>
        <w:tc>
          <w:tcPr>
            <w:tcW w:w="5" w:type="pct"/>
            <w:vAlign w:val="center"/>
            <w:hideMark/>
          </w:tcPr>
          <w:p w14:paraId="42EA33E8" w14:textId="77777777" w:rsidR="00000000" w:rsidRDefault="001D0688">
            <w:pPr>
              <w:rPr>
                <w:rFonts w:eastAsia="Times New Roman"/>
                <w:sz w:val="20"/>
                <w:szCs w:val="20"/>
              </w:rPr>
            </w:pPr>
          </w:p>
        </w:tc>
      </w:tr>
      <w:tr w:rsidR="00000000" w14:paraId="10FCA519" w14:textId="77777777">
        <w:trPr>
          <w:divId w:val="1846744488"/>
        </w:trPr>
        <w:tc>
          <w:tcPr>
            <w:tcW w:w="0" w:type="auto"/>
            <w:gridSpan w:val="3"/>
            <w:tcMar>
              <w:top w:w="30" w:type="dxa"/>
              <w:left w:w="20" w:type="dxa"/>
              <w:bottom w:w="30" w:type="dxa"/>
              <w:right w:w="20" w:type="dxa"/>
            </w:tcMar>
            <w:hideMark/>
          </w:tcPr>
          <w:p w14:paraId="0AE7ED1C" w14:textId="77777777" w:rsidR="00000000" w:rsidRDefault="001D0688">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7E800995" w14:textId="77777777" w:rsidR="00000000" w:rsidRDefault="001D0688">
            <w:pPr>
              <w:jc w:val="both"/>
              <w:rPr>
                <w:rFonts w:eastAsia="Times New Roman"/>
              </w:rPr>
            </w:pPr>
            <w:r>
              <w:rPr>
                <w:rFonts w:ascii="Arial" w:eastAsia="Times New Roman" w:hAnsi="Arial" w:cs="Arial"/>
                <w:b/>
                <w:bCs/>
                <w:color w:val="000000"/>
              </w:rPr>
              <w:t>ANNUAL REPORT PURSUANT TO SECTION 13 OR 15(d) OF THE SECURITIES EXCHANGE ACT OF 1934</w:t>
            </w:r>
          </w:p>
        </w:tc>
      </w:tr>
    </w:tbl>
    <w:p w14:paraId="47566F3F" w14:textId="77777777" w:rsidR="00000000" w:rsidRDefault="001D0688">
      <w:pPr>
        <w:ind w:firstLine="630"/>
        <w:jc w:val="center"/>
        <w:rPr>
          <w:rFonts w:eastAsia="Times New Roman"/>
        </w:rPr>
      </w:pPr>
      <w:r>
        <w:rPr>
          <w:rFonts w:ascii="Arial" w:eastAsia="Times New Roman" w:hAnsi="Arial" w:cs="Arial"/>
          <w:b/>
          <w:bCs/>
          <w:color w:val="000000"/>
        </w:rPr>
        <w:t xml:space="preserve">For the fiscal year ended </w:t>
      </w:r>
      <w:r>
        <w:rPr>
          <w:rFonts w:ascii="Arial" w:eastAsia="Times New Roman" w:hAnsi="Arial" w:cs="Arial"/>
          <w:b/>
          <w:bCs/>
          <w:color w:val="000000"/>
          <w:u w:val="single"/>
        </w:rPr>
        <w:t xml:space="preserve">October 31, 2020 </w:t>
      </w:r>
    </w:p>
    <w:p w14:paraId="59F6A272" w14:textId="77777777" w:rsidR="00000000" w:rsidRDefault="001D0688">
      <w:pPr>
        <w:ind w:firstLine="630"/>
        <w:jc w:val="center"/>
        <w:rPr>
          <w:rFonts w:eastAsia="Times New Roman"/>
        </w:rPr>
      </w:pPr>
      <w:r>
        <w:rPr>
          <w:rFonts w:ascii="Arial" w:eastAsia="Times New Roman" w:hAnsi="Arial" w:cs="Arial"/>
          <w:color w:val="000000"/>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790521C3" w14:textId="77777777">
        <w:trPr>
          <w:divId w:val="2125541929"/>
          <w:jc w:val="center"/>
        </w:trPr>
        <w:tc>
          <w:tcPr>
            <w:tcW w:w="50" w:type="pct"/>
            <w:vAlign w:val="center"/>
            <w:hideMark/>
          </w:tcPr>
          <w:p w14:paraId="65C2D218" w14:textId="77777777" w:rsidR="00000000" w:rsidRDefault="001D0688">
            <w:pPr>
              <w:ind w:firstLine="630"/>
              <w:jc w:val="center"/>
              <w:rPr>
                <w:rFonts w:eastAsia="Times New Roman"/>
              </w:rPr>
            </w:pPr>
          </w:p>
        </w:tc>
        <w:tc>
          <w:tcPr>
            <w:tcW w:w="237" w:type="pct"/>
            <w:vAlign w:val="center"/>
            <w:hideMark/>
          </w:tcPr>
          <w:p w14:paraId="7E02C505" w14:textId="77777777" w:rsidR="00000000" w:rsidRDefault="001D0688">
            <w:pPr>
              <w:rPr>
                <w:rFonts w:eastAsia="Times New Roman"/>
                <w:sz w:val="20"/>
                <w:szCs w:val="20"/>
              </w:rPr>
            </w:pPr>
          </w:p>
        </w:tc>
        <w:tc>
          <w:tcPr>
            <w:tcW w:w="5" w:type="pct"/>
            <w:vAlign w:val="center"/>
            <w:hideMark/>
          </w:tcPr>
          <w:p w14:paraId="4B4D5D02" w14:textId="77777777" w:rsidR="00000000" w:rsidRDefault="001D0688">
            <w:pPr>
              <w:rPr>
                <w:rFonts w:eastAsia="Times New Roman"/>
                <w:sz w:val="20"/>
                <w:szCs w:val="20"/>
              </w:rPr>
            </w:pPr>
          </w:p>
        </w:tc>
        <w:tc>
          <w:tcPr>
            <w:tcW w:w="50" w:type="pct"/>
            <w:vAlign w:val="center"/>
            <w:hideMark/>
          </w:tcPr>
          <w:p w14:paraId="71F5E9DE" w14:textId="77777777" w:rsidR="00000000" w:rsidRDefault="001D0688">
            <w:pPr>
              <w:rPr>
                <w:rFonts w:eastAsia="Times New Roman"/>
                <w:sz w:val="20"/>
                <w:szCs w:val="20"/>
              </w:rPr>
            </w:pPr>
          </w:p>
        </w:tc>
        <w:tc>
          <w:tcPr>
            <w:tcW w:w="4652" w:type="pct"/>
            <w:vAlign w:val="center"/>
            <w:hideMark/>
          </w:tcPr>
          <w:p w14:paraId="0219E92E" w14:textId="77777777" w:rsidR="00000000" w:rsidRDefault="001D0688">
            <w:pPr>
              <w:rPr>
                <w:rFonts w:eastAsia="Times New Roman"/>
                <w:sz w:val="20"/>
                <w:szCs w:val="20"/>
              </w:rPr>
            </w:pPr>
          </w:p>
        </w:tc>
        <w:tc>
          <w:tcPr>
            <w:tcW w:w="5" w:type="pct"/>
            <w:vAlign w:val="center"/>
            <w:hideMark/>
          </w:tcPr>
          <w:p w14:paraId="3713432F" w14:textId="77777777" w:rsidR="00000000" w:rsidRDefault="001D0688">
            <w:pPr>
              <w:rPr>
                <w:rFonts w:eastAsia="Times New Roman"/>
                <w:sz w:val="20"/>
                <w:szCs w:val="20"/>
              </w:rPr>
            </w:pPr>
          </w:p>
        </w:tc>
      </w:tr>
      <w:tr w:rsidR="00000000" w14:paraId="635BDCD6" w14:textId="77777777">
        <w:trPr>
          <w:divId w:val="2125541929"/>
          <w:jc w:val="center"/>
        </w:trPr>
        <w:tc>
          <w:tcPr>
            <w:tcW w:w="0" w:type="auto"/>
            <w:gridSpan w:val="3"/>
            <w:tcMar>
              <w:top w:w="30" w:type="dxa"/>
              <w:left w:w="20" w:type="dxa"/>
              <w:bottom w:w="30" w:type="dxa"/>
              <w:right w:w="20" w:type="dxa"/>
            </w:tcMar>
            <w:hideMark/>
          </w:tcPr>
          <w:p w14:paraId="54ED35D1" w14:textId="77777777" w:rsidR="00000000" w:rsidRDefault="001D0688">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2B36760F" w14:textId="77777777" w:rsidR="00000000" w:rsidRDefault="001D0688">
            <w:pPr>
              <w:jc w:val="both"/>
              <w:rPr>
                <w:rFonts w:eastAsia="Times New Roman"/>
              </w:rPr>
            </w:pPr>
            <w:r>
              <w:rPr>
                <w:rFonts w:ascii="Arial" w:eastAsia="Times New Roman" w:hAnsi="Arial" w:cs="Arial"/>
                <w:b/>
                <w:bCs/>
                <w:color w:val="000000"/>
              </w:rPr>
              <w:t>TRANSITION REPORT PURSUANT TO SECTION 13 OR 15(d) OF THE SECURITIES EXCHANGE ACT OF 1934</w:t>
            </w:r>
          </w:p>
        </w:tc>
      </w:tr>
    </w:tbl>
    <w:p w14:paraId="5633F135" w14:textId="77777777" w:rsidR="00000000" w:rsidRDefault="001D0688">
      <w:pPr>
        <w:jc w:val="center"/>
        <w:divId w:val="1736971502"/>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14:paraId="21B95493" w14:textId="77777777" w:rsidR="00000000" w:rsidRDefault="001D0688">
      <w:pPr>
        <w:jc w:val="center"/>
        <w:divId w:val="2134597104"/>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14:paraId="5DEE4878" w14:textId="77777777" w:rsidR="00000000" w:rsidRDefault="001D0688">
      <w:pPr>
        <w:jc w:val="center"/>
        <w:divId w:val="1802764914"/>
        <w:rPr>
          <w:rFonts w:eastAsia="Times New Roman"/>
        </w:rPr>
      </w:pPr>
      <w:r>
        <w:rPr>
          <w:rFonts w:eastAsia="Times New Roman"/>
          <w:noProof/>
        </w:rPr>
        <w:drawing>
          <wp:inline distT="0" distB="0" distL="0" distR="0" wp14:anchorId="29DFA374" wp14:editId="038E65DF">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5EFEDC" w14:textId="77777777" w:rsidR="00000000" w:rsidRDefault="001D0688">
      <w:pPr>
        <w:jc w:val="center"/>
        <w:divId w:val="1326201112"/>
        <w:rPr>
          <w:rFonts w:eastAsia="Times New Roman"/>
        </w:rPr>
      </w:pPr>
      <w:r>
        <w:rPr>
          <w:rFonts w:ascii="Arial" w:eastAsia="Times New Roman" w:hAnsi="Arial" w:cs="Arial"/>
          <w:b/>
          <w:bCs/>
          <w:color w:val="000000"/>
          <w:sz w:val="48"/>
          <w:szCs w:val="48"/>
        </w:rPr>
        <w:t>ABM INDUSTRIES INCORPORATED</w:t>
      </w:r>
    </w:p>
    <w:p w14:paraId="6C63FA89" w14:textId="77777777" w:rsidR="00000000" w:rsidRDefault="001D0688">
      <w:pPr>
        <w:jc w:val="center"/>
        <w:divId w:val="1431776345"/>
        <w:rPr>
          <w:rFonts w:eastAsia="Times New Roman"/>
        </w:rPr>
      </w:pPr>
      <w:r>
        <w:rPr>
          <w:rFonts w:ascii="Arial" w:eastAsia="Times New Roman" w:hAnsi="Arial" w:cs="Arial"/>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47"/>
        <w:gridCol w:w="36"/>
        <w:gridCol w:w="70"/>
        <w:gridCol w:w="2166"/>
        <w:gridCol w:w="36"/>
      </w:tblGrid>
      <w:tr w:rsidR="00000000" w14:paraId="1CCD8A6D" w14:textId="77777777">
        <w:trPr>
          <w:divId w:val="537939139"/>
          <w:jc w:val="center"/>
        </w:trPr>
        <w:tc>
          <w:tcPr>
            <w:tcW w:w="50" w:type="pct"/>
            <w:vAlign w:val="center"/>
            <w:hideMark/>
          </w:tcPr>
          <w:p w14:paraId="528F57F3" w14:textId="77777777" w:rsidR="00000000" w:rsidRDefault="001D0688">
            <w:pPr>
              <w:jc w:val="center"/>
              <w:rPr>
                <w:rFonts w:eastAsia="Times New Roman"/>
              </w:rPr>
            </w:pPr>
          </w:p>
        </w:tc>
        <w:tc>
          <w:tcPr>
            <w:tcW w:w="1313" w:type="pct"/>
            <w:vAlign w:val="center"/>
            <w:hideMark/>
          </w:tcPr>
          <w:p w14:paraId="602DDA9E" w14:textId="77777777" w:rsidR="00000000" w:rsidRDefault="001D0688">
            <w:pPr>
              <w:rPr>
                <w:rFonts w:eastAsia="Times New Roman"/>
                <w:sz w:val="20"/>
                <w:szCs w:val="20"/>
              </w:rPr>
            </w:pPr>
          </w:p>
        </w:tc>
        <w:tc>
          <w:tcPr>
            <w:tcW w:w="5" w:type="pct"/>
            <w:vAlign w:val="center"/>
            <w:hideMark/>
          </w:tcPr>
          <w:p w14:paraId="5A28DB54" w14:textId="77777777" w:rsidR="00000000" w:rsidRDefault="001D0688">
            <w:pPr>
              <w:rPr>
                <w:rFonts w:eastAsia="Times New Roman"/>
                <w:sz w:val="20"/>
                <w:szCs w:val="20"/>
              </w:rPr>
            </w:pPr>
          </w:p>
        </w:tc>
        <w:tc>
          <w:tcPr>
            <w:tcW w:w="50" w:type="pct"/>
            <w:vAlign w:val="center"/>
            <w:hideMark/>
          </w:tcPr>
          <w:p w14:paraId="6C730FFD" w14:textId="77777777" w:rsidR="00000000" w:rsidRDefault="001D0688">
            <w:pPr>
              <w:rPr>
                <w:rFonts w:eastAsia="Times New Roman"/>
                <w:sz w:val="20"/>
                <w:szCs w:val="20"/>
              </w:rPr>
            </w:pPr>
          </w:p>
        </w:tc>
        <w:tc>
          <w:tcPr>
            <w:tcW w:w="2207" w:type="pct"/>
            <w:vAlign w:val="center"/>
            <w:hideMark/>
          </w:tcPr>
          <w:p w14:paraId="15393B06" w14:textId="77777777" w:rsidR="00000000" w:rsidRDefault="001D0688">
            <w:pPr>
              <w:rPr>
                <w:rFonts w:eastAsia="Times New Roman"/>
                <w:sz w:val="20"/>
                <w:szCs w:val="20"/>
              </w:rPr>
            </w:pPr>
          </w:p>
        </w:tc>
        <w:tc>
          <w:tcPr>
            <w:tcW w:w="5" w:type="pct"/>
            <w:vAlign w:val="center"/>
            <w:hideMark/>
          </w:tcPr>
          <w:p w14:paraId="4F9A0E0D" w14:textId="77777777" w:rsidR="00000000" w:rsidRDefault="001D0688">
            <w:pPr>
              <w:rPr>
                <w:rFonts w:eastAsia="Times New Roman"/>
                <w:sz w:val="20"/>
                <w:szCs w:val="20"/>
              </w:rPr>
            </w:pPr>
          </w:p>
        </w:tc>
        <w:tc>
          <w:tcPr>
            <w:tcW w:w="50" w:type="pct"/>
            <w:vAlign w:val="center"/>
            <w:hideMark/>
          </w:tcPr>
          <w:p w14:paraId="6419DD64" w14:textId="77777777" w:rsidR="00000000" w:rsidRDefault="001D0688">
            <w:pPr>
              <w:rPr>
                <w:rFonts w:eastAsia="Times New Roman"/>
                <w:sz w:val="20"/>
                <w:szCs w:val="20"/>
              </w:rPr>
            </w:pPr>
          </w:p>
        </w:tc>
        <w:tc>
          <w:tcPr>
            <w:tcW w:w="1314" w:type="pct"/>
            <w:vAlign w:val="center"/>
            <w:hideMark/>
          </w:tcPr>
          <w:p w14:paraId="4F4F28E8" w14:textId="77777777" w:rsidR="00000000" w:rsidRDefault="001D0688">
            <w:pPr>
              <w:rPr>
                <w:rFonts w:eastAsia="Times New Roman"/>
                <w:sz w:val="20"/>
                <w:szCs w:val="20"/>
              </w:rPr>
            </w:pPr>
          </w:p>
        </w:tc>
        <w:tc>
          <w:tcPr>
            <w:tcW w:w="5" w:type="pct"/>
            <w:vAlign w:val="center"/>
            <w:hideMark/>
          </w:tcPr>
          <w:p w14:paraId="2AE1357B" w14:textId="77777777" w:rsidR="00000000" w:rsidRDefault="001D0688">
            <w:pPr>
              <w:rPr>
                <w:rFonts w:eastAsia="Times New Roman"/>
                <w:sz w:val="20"/>
                <w:szCs w:val="20"/>
              </w:rPr>
            </w:pPr>
          </w:p>
        </w:tc>
      </w:tr>
      <w:tr w:rsidR="00000000" w14:paraId="29C09787" w14:textId="77777777">
        <w:trPr>
          <w:divId w:val="537939139"/>
          <w:trHeight w:val="600"/>
          <w:jc w:val="center"/>
        </w:trPr>
        <w:tc>
          <w:tcPr>
            <w:tcW w:w="0" w:type="auto"/>
            <w:gridSpan w:val="3"/>
            <w:tcMar>
              <w:top w:w="30" w:type="dxa"/>
              <w:left w:w="20" w:type="dxa"/>
              <w:bottom w:w="30" w:type="dxa"/>
              <w:right w:w="20" w:type="dxa"/>
            </w:tcMar>
            <w:vAlign w:val="bottom"/>
            <w:hideMark/>
          </w:tcPr>
          <w:p w14:paraId="144429CD" w14:textId="77777777" w:rsidR="00000000" w:rsidRDefault="001D0688">
            <w:pPr>
              <w:jc w:val="center"/>
              <w:rPr>
                <w:rFonts w:eastAsia="Times New Roman"/>
              </w:rPr>
            </w:pPr>
            <w:r>
              <w:rPr>
                <w:rFonts w:ascii="Arial" w:eastAsia="Times New Roman" w:hAnsi="Arial" w:cs="Arial"/>
                <w:b/>
                <w:bCs/>
                <w:color w:val="000000"/>
                <w:sz w:val="20"/>
                <w:szCs w:val="20"/>
              </w:rPr>
              <w:t>Delaware</w:t>
            </w:r>
          </w:p>
        </w:tc>
        <w:tc>
          <w:tcPr>
            <w:tcW w:w="0" w:type="auto"/>
            <w:gridSpan w:val="3"/>
            <w:vMerge w:val="restart"/>
            <w:tcMar>
              <w:top w:w="0" w:type="dxa"/>
              <w:left w:w="20" w:type="dxa"/>
              <w:bottom w:w="0" w:type="dxa"/>
              <w:right w:w="20" w:type="dxa"/>
            </w:tcMar>
            <w:vAlign w:val="center"/>
            <w:hideMark/>
          </w:tcPr>
          <w:p w14:paraId="16046BC7" w14:textId="77777777" w:rsidR="00000000" w:rsidRDefault="001D0688">
            <w:pPr>
              <w:jc w:val="center"/>
              <w:rPr>
                <w:rFonts w:eastAsia="Times New Roman"/>
              </w:rPr>
            </w:pPr>
            <w:r>
              <w:rPr>
                <w:rFonts w:eastAsia="Times New Roman"/>
                <w:noProof/>
              </w:rPr>
              <w:drawing>
                <wp:inline distT="0" distB="0" distL="0" distR="0" wp14:anchorId="08E6CF7E" wp14:editId="19B2C016">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vAlign w:val="bottom"/>
            <w:hideMark/>
          </w:tcPr>
          <w:p w14:paraId="42A75DA7" w14:textId="77777777" w:rsidR="00000000" w:rsidRDefault="001D0688">
            <w:pPr>
              <w:jc w:val="center"/>
              <w:rPr>
                <w:rFonts w:eastAsia="Times New Roman"/>
              </w:rPr>
            </w:pPr>
            <w:r>
              <w:rPr>
                <w:rFonts w:ascii="Arial" w:eastAsia="Times New Roman" w:hAnsi="Arial" w:cs="Arial"/>
                <w:b/>
                <w:bCs/>
                <w:color w:val="000000"/>
                <w:sz w:val="20"/>
                <w:szCs w:val="20"/>
              </w:rPr>
              <w:t>94-1369354</w:t>
            </w:r>
          </w:p>
        </w:tc>
      </w:tr>
      <w:tr w:rsidR="00000000" w14:paraId="25481746" w14:textId="77777777">
        <w:trPr>
          <w:divId w:val="537939139"/>
          <w:trHeight w:val="600"/>
          <w:jc w:val="center"/>
        </w:trPr>
        <w:tc>
          <w:tcPr>
            <w:tcW w:w="0" w:type="auto"/>
            <w:gridSpan w:val="3"/>
            <w:tcMar>
              <w:top w:w="30" w:type="dxa"/>
              <w:left w:w="20" w:type="dxa"/>
              <w:bottom w:w="30" w:type="dxa"/>
              <w:right w:w="20" w:type="dxa"/>
            </w:tcMar>
            <w:hideMark/>
          </w:tcPr>
          <w:p w14:paraId="5C81D0EF" w14:textId="77777777" w:rsidR="00000000" w:rsidRDefault="001D0688">
            <w:pPr>
              <w:jc w:val="center"/>
              <w:rPr>
                <w:rFonts w:eastAsia="Times New Roman"/>
              </w:rPr>
            </w:pPr>
            <w:r>
              <w:rPr>
                <w:rFonts w:ascii="Arial" w:eastAsia="Times New Roman" w:hAnsi="Arial" w:cs="Arial"/>
                <w:color w:val="000000"/>
                <w:sz w:val="20"/>
                <w:szCs w:val="20"/>
              </w:rPr>
              <w:t>(State or other jurisdiction of</w:t>
            </w:r>
            <w:r>
              <w:rPr>
                <w:rFonts w:ascii="Arial" w:eastAsia="Times New Roman" w:hAnsi="Arial" w:cs="Arial"/>
                <w:color w:val="000000"/>
                <w:sz w:val="20"/>
                <w:szCs w:val="20"/>
              </w:rPr>
              <w:br/>
            </w:r>
            <w:r>
              <w:rPr>
                <w:rFonts w:ascii="Arial" w:eastAsia="Times New Roman" w:hAnsi="Arial" w:cs="Arial"/>
                <w:color w:val="000000"/>
                <w:sz w:val="20"/>
                <w:szCs w:val="20"/>
              </w:rPr>
              <w:t>incorporation or organization)</w:t>
            </w:r>
          </w:p>
        </w:tc>
        <w:tc>
          <w:tcPr>
            <w:tcW w:w="0" w:type="auto"/>
            <w:gridSpan w:val="3"/>
            <w:vMerge/>
            <w:vAlign w:val="center"/>
            <w:hideMark/>
          </w:tcPr>
          <w:p w14:paraId="7B39582F" w14:textId="77777777" w:rsidR="00000000" w:rsidRDefault="001D0688">
            <w:pPr>
              <w:rPr>
                <w:rFonts w:eastAsia="Times New Roman"/>
              </w:rPr>
            </w:pPr>
          </w:p>
        </w:tc>
        <w:tc>
          <w:tcPr>
            <w:tcW w:w="0" w:type="auto"/>
            <w:gridSpan w:val="3"/>
            <w:tcMar>
              <w:top w:w="30" w:type="dxa"/>
              <w:left w:w="20" w:type="dxa"/>
              <w:bottom w:w="30" w:type="dxa"/>
              <w:right w:w="20" w:type="dxa"/>
            </w:tcMar>
            <w:hideMark/>
          </w:tcPr>
          <w:p w14:paraId="61F8EA79" w14:textId="77777777" w:rsidR="00000000" w:rsidRDefault="001D0688">
            <w:pPr>
              <w:jc w:val="center"/>
              <w:rPr>
                <w:rFonts w:eastAsia="Times New Roman"/>
              </w:rPr>
            </w:pPr>
            <w:r>
              <w:rPr>
                <w:rFonts w:ascii="Arial" w:eastAsia="Times New Roman" w:hAnsi="Arial" w:cs="Arial"/>
                <w:color w:val="000000"/>
                <w:sz w:val="20"/>
                <w:szCs w:val="20"/>
              </w:rPr>
              <w:t>(I.R.S. Employer</w:t>
            </w:r>
            <w:r>
              <w:rPr>
                <w:rFonts w:ascii="Arial" w:eastAsia="Times New Roman" w:hAnsi="Arial" w:cs="Arial"/>
                <w:color w:val="000000"/>
                <w:sz w:val="20"/>
                <w:szCs w:val="20"/>
              </w:rPr>
              <w:br/>
              <w:t>Identification No.)</w:t>
            </w:r>
          </w:p>
        </w:tc>
      </w:tr>
    </w:tbl>
    <w:p w14:paraId="59B1A0CF" w14:textId="77777777" w:rsidR="00000000" w:rsidRDefault="001D0688">
      <w:pPr>
        <w:jc w:val="center"/>
        <w:divId w:val="114181009"/>
        <w:rPr>
          <w:rFonts w:eastAsia="Times New Roman"/>
        </w:rPr>
      </w:pPr>
      <w:r>
        <w:rPr>
          <w:rFonts w:ascii="Arial" w:eastAsia="Times New Roman" w:hAnsi="Arial" w:cs="Arial"/>
          <w:color w:val="000000"/>
          <w:sz w:val="20"/>
          <w:szCs w:val="20"/>
        </w:rPr>
        <w:t>__________________________</w:t>
      </w:r>
    </w:p>
    <w:p w14:paraId="0E7310E0" w14:textId="77777777" w:rsidR="00000000" w:rsidRDefault="001D0688">
      <w:pPr>
        <w:jc w:val="center"/>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14:paraId="6F5B1586" w14:textId="77777777" w:rsidR="00000000" w:rsidRDefault="001D0688">
      <w:pPr>
        <w:jc w:val="center"/>
        <w:rPr>
          <w:rFonts w:eastAsia="Times New Roman"/>
        </w:rPr>
      </w:pPr>
      <w:r>
        <w:rPr>
          <w:rFonts w:ascii="Arial" w:eastAsia="Times New Roman" w:hAnsi="Arial" w:cs="Arial"/>
          <w:b/>
          <w:bCs/>
          <w:color w:val="000000"/>
          <w:sz w:val="20"/>
          <w:szCs w:val="20"/>
        </w:rPr>
        <w:t xml:space="preserve">New York, New York 10006 </w:t>
      </w:r>
    </w:p>
    <w:p w14:paraId="14559FB5" w14:textId="77777777" w:rsidR="00000000" w:rsidRDefault="001D0688">
      <w:pPr>
        <w:jc w:val="center"/>
        <w:divId w:val="543829115"/>
        <w:rPr>
          <w:rFonts w:eastAsia="Times New Roman"/>
        </w:rPr>
      </w:pPr>
      <w:r>
        <w:rPr>
          <w:rFonts w:ascii="Arial" w:eastAsia="Times New Roman" w:hAnsi="Arial" w:cs="Arial"/>
          <w:color w:val="000000"/>
          <w:sz w:val="20"/>
          <w:szCs w:val="20"/>
        </w:rPr>
        <w:t>(Address of principal executive offices)</w:t>
      </w:r>
    </w:p>
    <w:p w14:paraId="33DC9721" w14:textId="77777777" w:rsidR="00000000" w:rsidRDefault="001D0688">
      <w:pPr>
        <w:jc w:val="center"/>
        <w:divId w:val="114717490"/>
        <w:rPr>
          <w:rFonts w:eastAsia="Times New Roman"/>
        </w:rPr>
      </w:pPr>
    </w:p>
    <w:p w14:paraId="309EA58E" w14:textId="77777777" w:rsidR="00000000" w:rsidRDefault="001D0688">
      <w:pPr>
        <w:jc w:val="center"/>
        <w:divId w:val="1797135761"/>
        <w:rPr>
          <w:rFonts w:eastAsia="Times New Roman"/>
        </w:rPr>
      </w:pPr>
      <w:r>
        <w:rPr>
          <w:rFonts w:ascii="Arial" w:eastAsia="Times New Roman" w:hAnsi="Arial" w:cs="Arial"/>
          <w:b/>
          <w:bCs/>
          <w:color w:val="000000"/>
          <w:sz w:val="20"/>
          <w:szCs w:val="20"/>
          <w:u w:val="single"/>
        </w:rPr>
        <w:t xml:space="preserve">(212) 297-0200 </w:t>
      </w:r>
    </w:p>
    <w:p w14:paraId="514206E3" w14:textId="77777777" w:rsidR="00000000" w:rsidRDefault="001D0688">
      <w:pPr>
        <w:jc w:val="center"/>
        <w:rPr>
          <w:rFonts w:eastAsia="Times New Roman"/>
        </w:rPr>
      </w:pPr>
      <w:r>
        <w:rPr>
          <w:rFonts w:ascii="Arial" w:eastAsia="Times New Roman" w:hAnsi="Arial" w:cs="Arial"/>
          <w:color w:val="000000"/>
          <w:sz w:val="20"/>
          <w:szCs w:val="20"/>
        </w:rPr>
        <w:t>(Registrant’</w:t>
      </w:r>
      <w:r>
        <w:rPr>
          <w:rFonts w:ascii="Arial" w:eastAsia="Times New Roman" w:hAnsi="Arial" w:cs="Arial"/>
          <w:color w:val="000000"/>
          <w:sz w:val="20"/>
          <w:szCs w:val="20"/>
        </w:rPr>
        <w:t xml:space="preserve">s telephone number, including area code) </w:t>
      </w:r>
    </w:p>
    <w:p w14:paraId="6D0F052F" w14:textId="77777777" w:rsidR="00000000" w:rsidRDefault="001D0688">
      <w:pPr>
        <w:jc w:val="center"/>
        <w:divId w:val="1565289472"/>
        <w:rPr>
          <w:rFonts w:eastAsia="Times New Roman"/>
        </w:rPr>
      </w:pPr>
      <w:r>
        <w:rPr>
          <w:rFonts w:ascii="Arial" w:eastAsia="Times New Roman" w:hAnsi="Arial" w:cs="Arial"/>
          <w:color w:val="000000"/>
          <w:sz w:val="20"/>
          <w:szCs w:val="20"/>
        </w:rPr>
        <w:t>__________________</w:t>
      </w:r>
    </w:p>
    <w:p w14:paraId="7446CA4A" w14:textId="77777777" w:rsidR="00000000" w:rsidRDefault="001D0688">
      <w:pPr>
        <w:jc w:val="center"/>
        <w:divId w:val="1423188861"/>
        <w:rPr>
          <w:rFonts w:eastAsia="Times New Roman"/>
        </w:rPr>
      </w:pPr>
      <w:r>
        <w:rPr>
          <w:rFonts w:ascii="Arial" w:eastAsia="Times New Roman" w:hAnsi="Arial" w:cs="Arial"/>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592"/>
        <w:gridCol w:w="37"/>
        <w:gridCol w:w="36"/>
        <w:gridCol w:w="55"/>
        <w:gridCol w:w="36"/>
        <w:gridCol w:w="58"/>
        <w:gridCol w:w="1936"/>
        <w:gridCol w:w="36"/>
        <w:gridCol w:w="36"/>
        <w:gridCol w:w="44"/>
        <w:gridCol w:w="36"/>
        <w:gridCol w:w="59"/>
        <w:gridCol w:w="3237"/>
        <w:gridCol w:w="37"/>
      </w:tblGrid>
      <w:tr w:rsidR="00000000" w14:paraId="02E63A52" w14:textId="77777777">
        <w:trPr>
          <w:divId w:val="626859303"/>
          <w:jc w:val="center"/>
        </w:trPr>
        <w:tc>
          <w:tcPr>
            <w:tcW w:w="50" w:type="pct"/>
            <w:vAlign w:val="center"/>
            <w:hideMark/>
          </w:tcPr>
          <w:p w14:paraId="5ACB8094" w14:textId="77777777" w:rsidR="00000000" w:rsidRDefault="001D0688">
            <w:pPr>
              <w:jc w:val="center"/>
              <w:rPr>
                <w:rFonts w:eastAsia="Times New Roman"/>
              </w:rPr>
            </w:pPr>
          </w:p>
        </w:tc>
        <w:tc>
          <w:tcPr>
            <w:tcW w:w="1577" w:type="pct"/>
            <w:vAlign w:val="center"/>
            <w:hideMark/>
          </w:tcPr>
          <w:p w14:paraId="4C1085CE" w14:textId="77777777" w:rsidR="00000000" w:rsidRDefault="001D0688">
            <w:pPr>
              <w:rPr>
                <w:rFonts w:eastAsia="Times New Roman"/>
                <w:sz w:val="20"/>
                <w:szCs w:val="20"/>
              </w:rPr>
            </w:pPr>
          </w:p>
        </w:tc>
        <w:tc>
          <w:tcPr>
            <w:tcW w:w="5" w:type="pct"/>
            <w:vAlign w:val="center"/>
            <w:hideMark/>
          </w:tcPr>
          <w:p w14:paraId="30EA1A16" w14:textId="77777777" w:rsidR="00000000" w:rsidRDefault="001D0688">
            <w:pPr>
              <w:rPr>
                <w:rFonts w:eastAsia="Times New Roman"/>
                <w:sz w:val="20"/>
                <w:szCs w:val="20"/>
              </w:rPr>
            </w:pPr>
          </w:p>
        </w:tc>
        <w:tc>
          <w:tcPr>
            <w:tcW w:w="5" w:type="pct"/>
            <w:vAlign w:val="center"/>
            <w:hideMark/>
          </w:tcPr>
          <w:p w14:paraId="1FF78733" w14:textId="77777777" w:rsidR="00000000" w:rsidRDefault="001D0688">
            <w:pPr>
              <w:rPr>
                <w:rFonts w:eastAsia="Times New Roman"/>
                <w:sz w:val="20"/>
                <w:szCs w:val="20"/>
              </w:rPr>
            </w:pPr>
          </w:p>
        </w:tc>
        <w:tc>
          <w:tcPr>
            <w:tcW w:w="48" w:type="pct"/>
            <w:vAlign w:val="center"/>
            <w:hideMark/>
          </w:tcPr>
          <w:p w14:paraId="760A74C2" w14:textId="77777777" w:rsidR="00000000" w:rsidRDefault="001D0688">
            <w:pPr>
              <w:rPr>
                <w:rFonts w:eastAsia="Times New Roman"/>
                <w:sz w:val="20"/>
                <w:szCs w:val="20"/>
              </w:rPr>
            </w:pPr>
          </w:p>
        </w:tc>
        <w:tc>
          <w:tcPr>
            <w:tcW w:w="5" w:type="pct"/>
            <w:vAlign w:val="center"/>
            <w:hideMark/>
          </w:tcPr>
          <w:p w14:paraId="0A2E3063" w14:textId="77777777" w:rsidR="00000000" w:rsidRDefault="001D0688">
            <w:pPr>
              <w:rPr>
                <w:rFonts w:eastAsia="Times New Roman"/>
                <w:sz w:val="20"/>
                <w:szCs w:val="20"/>
              </w:rPr>
            </w:pPr>
          </w:p>
        </w:tc>
        <w:tc>
          <w:tcPr>
            <w:tcW w:w="50" w:type="pct"/>
            <w:vAlign w:val="center"/>
            <w:hideMark/>
          </w:tcPr>
          <w:p w14:paraId="29030DD3" w14:textId="77777777" w:rsidR="00000000" w:rsidRDefault="001D0688">
            <w:pPr>
              <w:rPr>
                <w:rFonts w:eastAsia="Times New Roman"/>
                <w:sz w:val="20"/>
                <w:szCs w:val="20"/>
              </w:rPr>
            </w:pPr>
          </w:p>
        </w:tc>
        <w:tc>
          <w:tcPr>
            <w:tcW w:w="1182" w:type="pct"/>
            <w:vAlign w:val="center"/>
            <w:hideMark/>
          </w:tcPr>
          <w:p w14:paraId="7536128B" w14:textId="77777777" w:rsidR="00000000" w:rsidRDefault="001D0688">
            <w:pPr>
              <w:rPr>
                <w:rFonts w:eastAsia="Times New Roman"/>
                <w:sz w:val="20"/>
                <w:szCs w:val="20"/>
              </w:rPr>
            </w:pPr>
          </w:p>
        </w:tc>
        <w:tc>
          <w:tcPr>
            <w:tcW w:w="5" w:type="pct"/>
            <w:vAlign w:val="center"/>
            <w:hideMark/>
          </w:tcPr>
          <w:p w14:paraId="367255DC" w14:textId="77777777" w:rsidR="00000000" w:rsidRDefault="001D0688">
            <w:pPr>
              <w:rPr>
                <w:rFonts w:eastAsia="Times New Roman"/>
                <w:sz w:val="20"/>
                <w:szCs w:val="20"/>
              </w:rPr>
            </w:pPr>
          </w:p>
        </w:tc>
        <w:tc>
          <w:tcPr>
            <w:tcW w:w="5" w:type="pct"/>
            <w:vAlign w:val="center"/>
            <w:hideMark/>
          </w:tcPr>
          <w:p w14:paraId="5B549A09" w14:textId="77777777" w:rsidR="00000000" w:rsidRDefault="001D0688">
            <w:pPr>
              <w:rPr>
                <w:rFonts w:eastAsia="Times New Roman"/>
                <w:sz w:val="20"/>
                <w:szCs w:val="20"/>
              </w:rPr>
            </w:pPr>
          </w:p>
        </w:tc>
        <w:tc>
          <w:tcPr>
            <w:tcW w:w="41" w:type="pct"/>
            <w:vAlign w:val="center"/>
            <w:hideMark/>
          </w:tcPr>
          <w:p w14:paraId="57A61F30" w14:textId="77777777" w:rsidR="00000000" w:rsidRDefault="001D0688">
            <w:pPr>
              <w:rPr>
                <w:rFonts w:eastAsia="Times New Roman"/>
                <w:sz w:val="20"/>
                <w:szCs w:val="20"/>
              </w:rPr>
            </w:pPr>
          </w:p>
        </w:tc>
        <w:tc>
          <w:tcPr>
            <w:tcW w:w="5" w:type="pct"/>
            <w:vAlign w:val="center"/>
            <w:hideMark/>
          </w:tcPr>
          <w:p w14:paraId="1B075F10" w14:textId="77777777" w:rsidR="00000000" w:rsidRDefault="001D0688">
            <w:pPr>
              <w:rPr>
                <w:rFonts w:eastAsia="Times New Roman"/>
                <w:sz w:val="20"/>
                <w:szCs w:val="20"/>
              </w:rPr>
            </w:pPr>
          </w:p>
        </w:tc>
        <w:tc>
          <w:tcPr>
            <w:tcW w:w="50" w:type="pct"/>
            <w:vAlign w:val="center"/>
            <w:hideMark/>
          </w:tcPr>
          <w:p w14:paraId="04D6AE80" w14:textId="77777777" w:rsidR="00000000" w:rsidRDefault="001D0688">
            <w:pPr>
              <w:rPr>
                <w:rFonts w:eastAsia="Times New Roman"/>
                <w:sz w:val="20"/>
                <w:szCs w:val="20"/>
              </w:rPr>
            </w:pPr>
          </w:p>
        </w:tc>
        <w:tc>
          <w:tcPr>
            <w:tcW w:w="1965" w:type="pct"/>
            <w:vAlign w:val="center"/>
            <w:hideMark/>
          </w:tcPr>
          <w:p w14:paraId="3AF11521" w14:textId="77777777" w:rsidR="00000000" w:rsidRDefault="001D0688">
            <w:pPr>
              <w:rPr>
                <w:rFonts w:eastAsia="Times New Roman"/>
                <w:sz w:val="20"/>
                <w:szCs w:val="20"/>
              </w:rPr>
            </w:pPr>
          </w:p>
        </w:tc>
        <w:tc>
          <w:tcPr>
            <w:tcW w:w="5" w:type="pct"/>
            <w:vAlign w:val="center"/>
            <w:hideMark/>
          </w:tcPr>
          <w:p w14:paraId="4DC46868" w14:textId="77777777" w:rsidR="00000000" w:rsidRDefault="001D0688">
            <w:pPr>
              <w:rPr>
                <w:rFonts w:eastAsia="Times New Roman"/>
                <w:sz w:val="20"/>
                <w:szCs w:val="20"/>
              </w:rPr>
            </w:pPr>
          </w:p>
        </w:tc>
      </w:tr>
      <w:tr w:rsidR="00000000" w14:paraId="5E89F196" w14:textId="77777777">
        <w:trPr>
          <w:divId w:val="626859303"/>
          <w:jc w:val="center"/>
        </w:trPr>
        <w:tc>
          <w:tcPr>
            <w:tcW w:w="0" w:type="auto"/>
            <w:gridSpan w:val="3"/>
            <w:tcMar>
              <w:top w:w="30" w:type="dxa"/>
              <w:left w:w="20" w:type="dxa"/>
              <w:bottom w:w="30" w:type="dxa"/>
              <w:right w:w="20" w:type="dxa"/>
            </w:tcMar>
            <w:vAlign w:val="bottom"/>
            <w:hideMark/>
          </w:tcPr>
          <w:p w14:paraId="55581BC7" w14:textId="77777777" w:rsidR="00000000" w:rsidRDefault="001D0688">
            <w:pPr>
              <w:jc w:val="center"/>
              <w:rPr>
                <w:rFonts w:eastAsia="Times New Roman"/>
              </w:rPr>
            </w:pPr>
            <w:r>
              <w:rPr>
                <w:rFonts w:ascii="Arial" w:eastAsia="Times New Roman" w:hAnsi="Arial" w:cs="Arial"/>
                <w:color w:val="000000"/>
                <w:sz w:val="20"/>
                <w:szCs w:val="20"/>
              </w:rPr>
              <w:t>Title of each class</w:t>
            </w:r>
          </w:p>
        </w:tc>
        <w:tc>
          <w:tcPr>
            <w:tcW w:w="0" w:type="auto"/>
            <w:gridSpan w:val="3"/>
            <w:tcMar>
              <w:top w:w="0" w:type="dxa"/>
              <w:left w:w="20" w:type="dxa"/>
              <w:bottom w:w="0" w:type="dxa"/>
              <w:right w:w="20" w:type="dxa"/>
            </w:tcMar>
            <w:vAlign w:val="center"/>
            <w:hideMark/>
          </w:tcPr>
          <w:p w14:paraId="302E7FC8"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2E8E803" w14:textId="77777777" w:rsidR="00000000" w:rsidRDefault="001D0688">
            <w:pPr>
              <w:jc w:val="center"/>
              <w:rPr>
                <w:rFonts w:eastAsia="Times New Roman"/>
              </w:rPr>
            </w:pPr>
            <w:r>
              <w:rPr>
                <w:rFonts w:ascii="Arial" w:eastAsia="Times New Roman" w:hAnsi="Arial" w:cs="Arial"/>
                <w:color w:val="000000"/>
                <w:sz w:val="20"/>
                <w:szCs w:val="20"/>
              </w:rPr>
              <w:t>Trading Symbol</w:t>
            </w:r>
          </w:p>
        </w:tc>
        <w:tc>
          <w:tcPr>
            <w:tcW w:w="0" w:type="auto"/>
            <w:gridSpan w:val="3"/>
            <w:tcMar>
              <w:top w:w="30" w:type="dxa"/>
              <w:left w:w="20" w:type="dxa"/>
              <w:bottom w:w="30" w:type="dxa"/>
              <w:right w:w="20" w:type="dxa"/>
            </w:tcMar>
            <w:vAlign w:val="bottom"/>
            <w:hideMark/>
          </w:tcPr>
          <w:p w14:paraId="3C197216"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14:paraId="373A9C46" w14:textId="77777777" w:rsidR="00000000" w:rsidRDefault="001D0688">
            <w:pPr>
              <w:jc w:val="center"/>
              <w:rPr>
                <w:rFonts w:eastAsia="Times New Roman"/>
              </w:rPr>
            </w:pPr>
            <w:r>
              <w:rPr>
                <w:rFonts w:ascii="Arial" w:eastAsia="Times New Roman" w:hAnsi="Arial" w:cs="Arial"/>
                <w:color w:val="000000"/>
                <w:sz w:val="20"/>
                <w:szCs w:val="20"/>
              </w:rPr>
              <w:t>Name of each exchange on which registered</w:t>
            </w:r>
          </w:p>
        </w:tc>
      </w:tr>
      <w:tr w:rsidR="00000000" w14:paraId="44F995BC" w14:textId="77777777">
        <w:trPr>
          <w:divId w:val="626859303"/>
          <w:jc w:val="center"/>
        </w:trPr>
        <w:tc>
          <w:tcPr>
            <w:tcW w:w="0" w:type="auto"/>
            <w:gridSpan w:val="3"/>
            <w:tcBorders>
              <w:top w:val="single" w:sz="8" w:space="0" w:color="000000"/>
            </w:tcBorders>
            <w:tcMar>
              <w:top w:w="30" w:type="dxa"/>
              <w:left w:w="20" w:type="dxa"/>
              <w:bottom w:w="30" w:type="dxa"/>
              <w:right w:w="20" w:type="dxa"/>
            </w:tcMar>
            <w:vAlign w:val="bottom"/>
            <w:hideMark/>
          </w:tcPr>
          <w:p w14:paraId="6D05DE42" w14:textId="77777777" w:rsidR="00000000" w:rsidRDefault="001D0688">
            <w:pPr>
              <w:jc w:val="center"/>
              <w:rPr>
                <w:rFonts w:eastAsia="Times New Roman"/>
              </w:rPr>
            </w:pPr>
            <w:r>
              <w:rPr>
                <w:rFonts w:ascii="Arial" w:eastAsia="Times New Roman" w:hAnsi="Arial" w:cs="Arial"/>
                <w:b/>
                <w:bCs/>
                <w:color w:val="000000"/>
                <w:sz w:val="20"/>
                <w:szCs w:val="20"/>
              </w:rPr>
              <w:lastRenderedPageBreak/>
              <w:t>Common Stock, $0.01 par value</w:t>
            </w:r>
          </w:p>
        </w:tc>
        <w:tc>
          <w:tcPr>
            <w:tcW w:w="0" w:type="auto"/>
            <w:gridSpan w:val="3"/>
            <w:tcMar>
              <w:top w:w="0" w:type="dxa"/>
              <w:left w:w="20" w:type="dxa"/>
              <w:bottom w:w="0" w:type="dxa"/>
              <w:right w:w="20" w:type="dxa"/>
            </w:tcMar>
            <w:vAlign w:val="center"/>
            <w:hideMark/>
          </w:tcPr>
          <w:p w14:paraId="152C70D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F2442B" w14:textId="77777777" w:rsidR="00000000" w:rsidRDefault="001D0688">
            <w:pPr>
              <w:jc w:val="center"/>
              <w:rPr>
                <w:rFonts w:eastAsia="Times New Roman"/>
              </w:rPr>
            </w:pPr>
            <w:r>
              <w:rPr>
                <w:rFonts w:ascii="Arial" w:eastAsia="Times New Roman" w:hAnsi="Arial" w:cs="Arial"/>
                <w:b/>
                <w:bCs/>
                <w:color w:val="000000"/>
                <w:sz w:val="20"/>
                <w:szCs w:val="20"/>
              </w:rPr>
              <w:t>ABM</w:t>
            </w:r>
          </w:p>
        </w:tc>
        <w:tc>
          <w:tcPr>
            <w:tcW w:w="0" w:type="auto"/>
            <w:gridSpan w:val="3"/>
            <w:tcMar>
              <w:top w:w="30" w:type="dxa"/>
              <w:left w:w="20" w:type="dxa"/>
              <w:bottom w:w="30" w:type="dxa"/>
              <w:right w:w="20" w:type="dxa"/>
            </w:tcMar>
            <w:vAlign w:val="bottom"/>
            <w:hideMark/>
          </w:tcPr>
          <w:p w14:paraId="3D2E11D1" w14:textId="77777777" w:rsidR="00000000" w:rsidRDefault="001D0688">
            <w:pPr>
              <w:rPr>
                <w:rFonts w:eastAsia="Times New Roman"/>
              </w:rPr>
            </w:pPr>
            <w:r>
              <w:rPr>
                <w:rFonts w:ascii="Arial" w:eastAsia="Times New Roman" w:hAnsi="Arial" w:cs="Arial"/>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2B6E63DB" w14:textId="77777777" w:rsidR="00000000" w:rsidRDefault="001D0688">
            <w:pPr>
              <w:jc w:val="center"/>
              <w:rPr>
                <w:rFonts w:eastAsia="Times New Roman"/>
              </w:rPr>
            </w:pPr>
            <w:r>
              <w:rPr>
                <w:rFonts w:ascii="Arial" w:eastAsia="Times New Roman" w:hAnsi="Arial" w:cs="Arial"/>
                <w:b/>
                <w:bCs/>
                <w:color w:val="000000"/>
                <w:sz w:val="20"/>
                <w:szCs w:val="20"/>
              </w:rPr>
              <w:t>New York Stock Exchange</w:t>
            </w:r>
          </w:p>
        </w:tc>
      </w:tr>
    </w:tbl>
    <w:p w14:paraId="35F22A95" w14:textId="77777777" w:rsidR="00000000" w:rsidRDefault="001D0688">
      <w:pPr>
        <w:jc w:val="center"/>
        <w:divId w:val="2091350190"/>
        <w:rPr>
          <w:rFonts w:eastAsia="Times New Roman"/>
        </w:rPr>
      </w:pPr>
      <w:r>
        <w:rPr>
          <w:rFonts w:ascii="Arial" w:eastAsia="Times New Roman" w:hAnsi="Arial" w:cs="Arial"/>
          <w:color w:val="000000"/>
          <w:sz w:val="20"/>
          <w:szCs w:val="20"/>
        </w:rPr>
        <w:t>__________________________</w:t>
      </w:r>
    </w:p>
    <w:p w14:paraId="26587571" w14:textId="77777777" w:rsidR="00000000" w:rsidRDefault="001D0688">
      <w:pPr>
        <w:divId w:val="1278440296"/>
        <w:rPr>
          <w:rFonts w:eastAsia="Times New Roman"/>
        </w:rPr>
      </w:pPr>
    </w:p>
    <w:p w14:paraId="2A9E2554" w14:textId="77777777" w:rsidR="00000000" w:rsidRDefault="001D0688">
      <w:pPr>
        <w:rPr>
          <w:rFonts w:eastAsia="Times New Roman"/>
        </w:rPr>
      </w:pPr>
      <w:r>
        <w:rPr>
          <w:rFonts w:eastAsia="Times New Roman"/>
        </w:rPr>
        <w:pict w14:anchorId="797FBF04">
          <v:rect id="_x0000_i1027" style="width:0;height:1.5pt" o:hralign="center" o:hrstd="t" o:hr="t" fillcolor="#a0a0a0" stroked="f"/>
        </w:pict>
      </w:r>
    </w:p>
    <w:p w14:paraId="100AC09D" w14:textId="77777777" w:rsidR="00000000" w:rsidRDefault="001D0688">
      <w:pPr>
        <w:divId w:val="145897403"/>
        <w:rPr>
          <w:rFonts w:eastAsia="Times New Roman"/>
        </w:rPr>
      </w:pPr>
    </w:p>
    <w:p w14:paraId="078C0A40" w14:textId="77777777" w:rsidR="00000000" w:rsidRDefault="001D0688">
      <w:pPr>
        <w:jc w:val="center"/>
        <w:divId w:val="1119373638"/>
        <w:rPr>
          <w:rFonts w:eastAsia="Times New Roman"/>
        </w:rPr>
      </w:pPr>
      <w:r>
        <w:rPr>
          <w:rFonts w:ascii="Arial" w:eastAsia="Times New Roman" w:hAnsi="Arial" w:cs="Arial"/>
          <w:color w:val="000000"/>
          <w:sz w:val="20"/>
          <w:szCs w:val="20"/>
        </w:rPr>
        <w:t>Securities registered pursuant to Section 12(g) of the Act: None</w:t>
      </w:r>
    </w:p>
    <w:p w14:paraId="2271EA1B" w14:textId="77777777" w:rsidR="00000000" w:rsidRDefault="001D0688">
      <w:pPr>
        <w:jc w:val="center"/>
        <w:divId w:val="417289151"/>
        <w:rPr>
          <w:rFonts w:eastAsia="Times New Roman"/>
        </w:rPr>
      </w:pPr>
    </w:p>
    <w:p w14:paraId="072ED1C6" w14:textId="77777777" w:rsidR="00000000" w:rsidRDefault="001D0688">
      <w:pPr>
        <w:jc w:val="both"/>
        <w:rPr>
          <w:rFonts w:eastAsia="Times New Roman"/>
        </w:rPr>
      </w:pPr>
      <w:r>
        <w:rPr>
          <w:rFonts w:ascii="Arial" w:eastAsia="Times New Roman" w:hAnsi="Arial" w:cs="Arial"/>
          <w:color w:val="000000"/>
          <w:sz w:val="20"/>
          <w:szCs w:val="20"/>
        </w:rPr>
        <w:t>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2A3242BE" w14:textId="77777777" w:rsidR="00000000" w:rsidRDefault="001D0688">
      <w:pPr>
        <w:jc w:val="both"/>
        <w:rPr>
          <w:rFonts w:eastAsia="Times New Roman"/>
        </w:rPr>
      </w:pPr>
    </w:p>
    <w:p w14:paraId="65373422" w14:textId="77777777" w:rsidR="00000000" w:rsidRDefault="001D0688">
      <w:pPr>
        <w:jc w:val="both"/>
        <w:rPr>
          <w:rFonts w:eastAsia="Times New Roman"/>
        </w:rPr>
      </w:pPr>
      <w:r>
        <w:rPr>
          <w:rFonts w:ascii="Arial" w:eastAsia="Times New Roman" w:hAnsi="Arial" w:cs="Arial"/>
          <w:color w:val="000000"/>
          <w:sz w:val="20"/>
          <w:szCs w:val="20"/>
        </w:rPr>
        <w:t>Indicate by check mark if the registrant is not required to file reports pursuant to Section 13 or Section 15(d)</w:t>
      </w:r>
      <w:r>
        <w:rPr>
          <w:rFonts w:ascii="Arial" w:eastAsia="Times New Roman" w:hAnsi="Arial" w:cs="Arial"/>
          <w:color w:val="000000"/>
          <w:sz w:val="20"/>
          <w:szCs w:val="20"/>
        </w:rPr>
        <w:t xml:space="preserve">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w:t>
      </w:r>
      <w:r>
        <w:rPr>
          <w:rFonts w:ascii="Arial" w:eastAsia="Times New Roman" w:hAnsi="Arial" w:cs="Arial"/>
          <w:color w:val="000000"/>
          <w:sz w:val="20"/>
          <w:szCs w:val="20"/>
        </w:rPr>
        <w:t>No  </w:t>
      </w:r>
      <w:r>
        <w:rPr>
          <w:rFonts w:ascii="Segoe UI Emoji" w:eastAsia="Times New Roman" w:hAnsi="Segoe UI Emoji" w:cs="Segoe UI Emoji"/>
          <w:color w:val="000000"/>
          <w:sz w:val="20"/>
          <w:szCs w:val="20"/>
        </w:rPr>
        <w:t>☑</w:t>
      </w:r>
    </w:p>
    <w:p w14:paraId="11D7F6A3" w14:textId="77777777" w:rsidR="00000000" w:rsidRDefault="001D0688">
      <w:pPr>
        <w:jc w:val="both"/>
        <w:rPr>
          <w:rFonts w:eastAsia="Times New Roman"/>
        </w:rPr>
      </w:pPr>
    </w:p>
    <w:p w14:paraId="251D8F7A" w14:textId="77777777" w:rsidR="00000000" w:rsidRDefault="001D0688">
      <w:pPr>
        <w:jc w:val="both"/>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 the</w:t>
      </w:r>
      <w:r>
        <w:rPr>
          <w:rFonts w:ascii="Arial" w:eastAsia="Times New Roman" w:hAnsi="Arial" w:cs="Arial"/>
          <w:color w:val="000000"/>
          <w:sz w:val="20"/>
          <w:szCs w:val="20"/>
        </w:rPr>
        <w:t xml:space="preserv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7A160100" w14:textId="77777777" w:rsidR="00000000" w:rsidRDefault="001D0688">
      <w:pPr>
        <w:jc w:val="both"/>
        <w:rPr>
          <w:rFonts w:eastAsia="Times New Roman"/>
        </w:rPr>
      </w:pPr>
    </w:p>
    <w:p w14:paraId="39315A5B" w14:textId="77777777" w:rsidR="00000000" w:rsidRDefault="001D0688">
      <w:pPr>
        <w:jc w:val="both"/>
        <w:rPr>
          <w:rFonts w:eastAsia="Times New Roman"/>
        </w:rPr>
      </w:pPr>
      <w:r>
        <w:rPr>
          <w:rFonts w:ascii="Arial" w:eastAsia="Times New Roman" w:hAnsi="Arial" w:cs="Arial"/>
          <w:color w:val="000000"/>
          <w:sz w:val="20"/>
          <w:szCs w:val="20"/>
        </w:rPr>
        <w:t xml:space="preserve">Indicate by check mark whether the registrant has submitted electronically every Interactive Data File required </w:t>
      </w:r>
      <w:r>
        <w:rPr>
          <w:rFonts w:ascii="Arial" w:eastAsia="Times New Roman" w:hAnsi="Arial" w:cs="Arial"/>
          <w:color w:val="000000"/>
          <w:sz w:val="20"/>
          <w:szCs w:val="20"/>
        </w:rPr>
        <w:t>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14:paraId="35642A8E" w14:textId="77777777" w:rsidR="00000000" w:rsidRDefault="001D0688">
      <w:pPr>
        <w:jc w:val="both"/>
        <w:rPr>
          <w:rFonts w:eastAsia="Times New Roman"/>
        </w:rPr>
      </w:pPr>
    </w:p>
    <w:p w14:paraId="5EC146BA" w14:textId="77777777" w:rsidR="00000000" w:rsidRDefault="001D0688">
      <w:pPr>
        <w:jc w:val="both"/>
        <w:rPr>
          <w:rFonts w:eastAsia="Times New Roman"/>
        </w:rPr>
      </w:pPr>
      <w:r>
        <w:rPr>
          <w:rFonts w:ascii="Arial" w:eastAsia="Times New Roman" w:hAnsi="Arial" w:cs="Arial"/>
          <w:color w:val="000000"/>
          <w:sz w:val="20"/>
          <w:szCs w:val="20"/>
        </w:rPr>
        <w:t>Indicate by check mark whether the re</w:t>
      </w:r>
      <w:r>
        <w:rPr>
          <w:rFonts w:ascii="Arial" w:eastAsia="Times New Roman" w:hAnsi="Arial" w:cs="Arial"/>
          <w:color w:val="000000"/>
          <w:sz w:val="20"/>
          <w:szCs w:val="20"/>
        </w:rPr>
        <w:t>gistrant is a large accelerated filer, an accelerated filer, a non-accelerated filer, a smaller reporting company, or an emerging growth company. See the definitions of “large accelerated filer,” “accelerated filer,” “smaller reporting company,” and “emerg</w:t>
      </w:r>
      <w:r>
        <w:rPr>
          <w:rFonts w:ascii="Arial" w:eastAsia="Times New Roman" w:hAnsi="Arial" w:cs="Arial"/>
          <w:color w:val="000000"/>
          <w:sz w:val="20"/>
          <w:szCs w:val="20"/>
        </w:rPr>
        <w:t>ing growth company” in Rule 12b-2 of the Exchange Act.</w:t>
      </w:r>
    </w:p>
    <w:tbl>
      <w:tblPr>
        <w:tblW w:w="4978" w:type="pct"/>
        <w:tblCellMar>
          <w:top w:w="15" w:type="dxa"/>
          <w:left w:w="15" w:type="dxa"/>
          <w:bottom w:w="15" w:type="dxa"/>
          <w:right w:w="15" w:type="dxa"/>
        </w:tblCellMar>
        <w:tblLook w:val="04A0" w:firstRow="1" w:lastRow="0" w:firstColumn="1" w:lastColumn="0" w:noHBand="0" w:noVBand="1"/>
      </w:tblPr>
      <w:tblGrid>
        <w:gridCol w:w="61"/>
        <w:gridCol w:w="1289"/>
        <w:gridCol w:w="36"/>
        <w:gridCol w:w="37"/>
        <w:gridCol w:w="292"/>
        <w:gridCol w:w="36"/>
        <w:gridCol w:w="86"/>
        <w:gridCol w:w="1003"/>
        <w:gridCol w:w="36"/>
        <w:gridCol w:w="37"/>
        <w:gridCol w:w="198"/>
        <w:gridCol w:w="36"/>
        <w:gridCol w:w="69"/>
        <w:gridCol w:w="1093"/>
        <w:gridCol w:w="36"/>
        <w:gridCol w:w="37"/>
        <w:gridCol w:w="198"/>
        <w:gridCol w:w="36"/>
        <w:gridCol w:w="81"/>
        <w:gridCol w:w="1530"/>
        <w:gridCol w:w="36"/>
        <w:gridCol w:w="37"/>
        <w:gridCol w:w="198"/>
        <w:gridCol w:w="36"/>
        <w:gridCol w:w="46"/>
        <w:gridCol w:w="1382"/>
        <w:gridCol w:w="36"/>
        <w:gridCol w:w="37"/>
        <w:gridCol w:w="198"/>
        <w:gridCol w:w="36"/>
      </w:tblGrid>
      <w:tr w:rsidR="00000000" w14:paraId="3A13B98F" w14:textId="77777777">
        <w:trPr>
          <w:divId w:val="572812208"/>
        </w:trPr>
        <w:tc>
          <w:tcPr>
            <w:tcW w:w="50" w:type="pct"/>
            <w:vAlign w:val="center"/>
            <w:hideMark/>
          </w:tcPr>
          <w:p w14:paraId="37C32FCD" w14:textId="77777777" w:rsidR="00000000" w:rsidRDefault="001D0688">
            <w:pPr>
              <w:jc w:val="both"/>
              <w:rPr>
                <w:rFonts w:eastAsia="Times New Roman"/>
              </w:rPr>
            </w:pPr>
          </w:p>
        </w:tc>
        <w:tc>
          <w:tcPr>
            <w:tcW w:w="826" w:type="pct"/>
            <w:vAlign w:val="center"/>
            <w:hideMark/>
          </w:tcPr>
          <w:p w14:paraId="560DAA55" w14:textId="77777777" w:rsidR="00000000" w:rsidRDefault="001D0688">
            <w:pPr>
              <w:rPr>
                <w:rFonts w:eastAsia="Times New Roman"/>
                <w:sz w:val="20"/>
                <w:szCs w:val="20"/>
              </w:rPr>
            </w:pPr>
          </w:p>
        </w:tc>
        <w:tc>
          <w:tcPr>
            <w:tcW w:w="5" w:type="pct"/>
            <w:vAlign w:val="center"/>
            <w:hideMark/>
          </w:tcPr>
          <w:p w14:paraId="654C5711" w14:textId="77777777" w:rsidR="00000000" w:rsidRDefault="001D0688">
            <w:pPr>
              <w:rPr>
                <w:rFonts w:eastAsia="Times New Roman"/>
                <w:sz w:val="20"/>
                <w:szCs w:val="20"/>
              </w:rPr>
            </w:pPr>
          </w:p>
        </w:tc>
        <w:tc>
          <w:tcPr>
            <w:tcW w:w="5" w:type="pct"/>
            <w:vAlign w:val="center"/>
            <w:hideMark/>
          </w:tcPr>
          <w:p w14:paraId="3CB51F5C" w14:textId="77777777" w:rsidR="00000000" w:rsidRDefault="001D0688">
            <w:pPr>
              <w:rPr>
                <w:rFonts w:eastAsia="Times New Roman"/>
                <w:sz w:val="20"/>
                <w:szCs w:val="20"/>
              </w:rPr>
            </w:pPr>
          </w:p>
        </w:tc>
        <w:tc>
          <w:tcPr>
            <w:tcW w:w="129" w:type="pct"/>
            <w:vAlign w:val="center"/>
            <w:hideMark/>
          </w:tcPr>
          <w:p w14:paraId="0B80F3C0" w14:textId="77777777" w:rsidR="00000000" w:rsidRDefault="001D0688">
            <w:pPr>
              <w:rPr>
                <w:rFonts w:eastAsia="Times New Roman"/>
                <w:sz w:val="20"/>
                <w:szCs w:val="20"/>
              </w:rPr>
            </w:pPr>
          </w:p>
        </w:tc>
        <w:tc>
          <w:tcPr>
            <w:tcW w:w="5" w:type="pct"/>
            <w:vAlign w:val="center"/>
            <w:hideMark/>
          </w:tcPr>
          <w:p w14:paraId="6D13D2BB" w14:textId="77777777" w:rsidR="00000000" w:rsidRDefault="001D0688">
            <w:pPr>
              <w:rPr>
                <w:rFonts w:eastAsia="Times New Roman"/>
                <w:sz w:val="20"/>
                <w:szCs w:val="20"/>
              </w:rPr>
            </w:pPr>
          </w:p>
        </w:tc>
        <w:tc>
          <w:tcPr>
            <w:tcW w:w="50" w:type="pct"/>
            <w:vAlign w:val="center"/>
            <w:hideMark/>
          </w:tcPr>
          <w:p w14:paraId="2C8842CD" w14:textId="77777777" w:rsidR="00000000" w:rsidRDefault="001D0688">
            <w:pPr>
              <w:rPr>
                <w:rFonts w:eastAsia="Times New Roman"/>
                <w:sz w:val="20"/>
                <w:szCs w:val="20"/>
              </w:rPr>
            </w:pPr>
          </w:p>
        </w:tc>
        <w:tc>
          <w:tcPr>
            <w:tcW w:w="583" w:type="pct"/>
            <w:vAlign w:val="center"/>
            <w:hideMark/>
          </w:tcPr>
          <w:p w14:paraId="0277777C" w14:textId="77777777" w:rsidR="00000000" w:rsidRDefault="001D0688">
            <w:pPr>
              <w:rPr>
                <w:rFonts w:eastAsia="Times New Roman"/>
                <w:sz w:val="20"/>
                <w:szCs w:val="20"/>
              </w:rPr>
            </w:pPr>
          </w:p>
        </w:tc>
        <w:tc>
          <w:tcPr>
            <w:tcW w:w="5" w:type="pct"/>
            <w:vAlign w:val="center"/>
            <w:hideMark/>
          </w:tcPr>
          <w:p w14:paraId="3C2F8EB0" w14:textId="77777777" w:rsidR="00000000" w:rsidRDefault="001D0688">
            <w:pPr>
              <w:rPr>
                <w:rFonts w:eastAsia="Times New Roman"/>
                <w:sz w:val="20"/>
                <w:szCs w:val="20"/>
              </w:rPr>
            </w:pPr>
          </w:p>
        </w:tc>
        <w:tc>
          <w:tcPr>
            <w:tcW w:w="5" w:type="pct"/>
            <w:vAlign w:val="center"/>
            <w:hideMark/>
          </w:tcPr>
          <w:p w14:paraId="0781CA17" w14:textId="77777777" w:rsidR="00000000" w:rsidRDefault="001D0688">
            <w:pPr>
              <w:rPr>
                <w:rFonts w:eastAsia="Times New Roman"/>
                <w:sz w:val="20"/>
                <w:szCs w:val="20"/>
              </w:rPr>
            </w:pPr>
          </w:p>
        </w:tc>
        <w:tc>
          <w:tcPr>
            <w:tcW w:w="129" w:type="pct"/>
            <w:vAlign w:val="center"/>
            <w:hideMark/>
          </w:tcPr>
          <w:p w14:paraId="193277CD" w14:textId="77777777" w:rsidR="00000000" w:rsidRDefault="001D0688">
            <w:pPr>
              <w:rPr>
                <w:rFonts w:eastAsia="Times New Roman"/>
                <w:sz w:val="20"/>
                <w:szCs w:val="20"/>
              </w:rPr>
            </w:pPr>
          </w:p>
        </w:tc>
        <w:tc>
          <w:tcPr>
            <w:tcW w:w="5" w:type="pct"/>
            <w:vAlign w:val="center"/>
            <w:hideMark/>
          </w:tcPr>
          <w:p w14:paraId="402AA3BA" w14:textId="77777777" w:rsidR="00000000" w:rsidRDefault="001D0688">
            <w:pPr>
              <w:rPr>
                <w:rFonts w:eastAsia="Times New Roman"/>
                <w:sz w:val="20"/>
                <w:szCs w:val="20"/>
              </w:rPr>
            </w:pPr>
          </w:p>
        </w:tc>
        <w:tc>
          <w:tcPr>
            <w:tcW w:w="50" w:type="pct"/>
            <w:vAlign w:val="center"/>
            <w:hideMark/>
          </w:tcPr>
          <w:p w14:paraId="3ED7EF83" w14:textId="77777777" w:rsidR="00000000" w:rsidRDefault="001D0688">
            <w:pPr>
              <w:rPr>
                <w:rFonts w:eastAsia="Times New Roman"/>
                <w:sz w:val="20"/>
                <w:szCs w:val="20"/>
              </w:rPr>
            </w:pPr>
          </w:p>
        </w:tc>
        <w:tc>
          <w:tcPr>
            <w:tcW w:w="730" w:type="pct"/>
            <w:vAlign w:val="center"/>
            <w:hideMark/>
          </w:tcPr>
          <w:p w14:paraId="7D0C3F5D" w14:textId="77777777" w:rsidR="00000000" w:rsidRDefault="001D0688">
            <w:pPr>
              <w:rPr>
                <w:rFonts w:eastAsia="Times New Roman"/>
                <w:sz w:val="20"/>
                <w:szCs w:val="20"/>
              </w:rPr>
            </w:pPr>
          </w:p>
        </w:tc>
        <w:tc>
          <w:tcPr>
            <w:tcW w:w="5" w:type="pct"/>
            <w:vAlign w:val="center"/>
            <w:hideMark/>
          </w:tcPr>
          <w:p w14:paraId="59E7DDA0" w14:textId="77777777" w:rsidR="00000000" w:rsidRDefault="001D0688">
            <w:pPr>
              <w:rPr>
                <w:rFonts w:eastAsia="Times New Roman"/>
                <w:sz w:val="20"/>
                <w:szCs w:val="20"/>
              </w:rPr>
            </w:pPr>
          </w:p>
        </w:tc>
        <w:tc>
          <w:tcPr>
            <w:tcW w:w="5" w:type="pct"/>
            <w:vAlign w:val="center"/>
            <w:hideMark/>
          </w:tcPr>
          <w:p w14:paraId="2F2E334B" w14:textId="77777777" w:rsidR="00000000" w:rsidRDefault="001D0688">
            <w:pPr>
              <w:rPr>
                <w:rFonts w:eastAsia="Times New Roman"/>
                <w:sz w:val="20"/>
                <w:szCs w:val="20"/>
              </w:rPr>
            </w:pPr>
          </w:p>
        </w:tc>
        <w:tc>
          <w:tcPr>
            <w:tcW w:w="129" w:type="pct"/>
            <w:vAlign w:val="center"/>
            <w:hideMark/>
          </w:tcPr>
          <w:p w14:paraId="1A729ADE" w14:textId="77777777" w:rsidR="00000000" w:rsidRDefault="001D0688">
            <w:pPr>
              <w:rPr>
                <w:rFonts w:eastAsia="Times New Roman"/>
                <w:sz w:val="20"/>
                <w:szCs w:val="20"/>
              </w:rPr>
            </w:pPr>
          </w:p>
        </w:tc>
        <w:tc>
          <w:tcPr>
            <w:tcW w:w="5" w:type="pct"/>
            <w:vAlign w:val="center"/>
            <w:hideMark/>
          </w:tcPr>
          <w:p w14:paraId="39ABE93A" w14:textId="77777777" w:rsidR="00000000" w:rsidRDefault="001D0688">
            <w:pPr>
              <w:rPr>
                <w:rFonts w:eastAsia="Times New Roman"/>
                <w:sz w:val="20"/>
                <w:szCs w:val="20"/>
              </w:rPr>
            </w:pPr>
          </w:p>
        </w:tc>
        <w:tc>
          <w:tcPr>
            <w:tcW w:w="50" w:type="pct"/>
            <w:vAlign w:val="center"/>
            <w:hideMark/>
          </w:tcPr>
          <w:p w14:paraId="131F20DA" w14:textId="77777777" w:rsidR="00000000" w:rsidRDefault="001D0688">
            <w:pPr>
              <w:rPr>
                <w:rFonts w:eastAsia="Times New Roman"/>
                <w:sz w:val="20"/>
                <w:szCs w:val="20"/>
              </w:rPr>
            </w:pPr>
          </w:p>
        </w:tc>
        <w:tc>
          <w:tcPr>
            <w:tcW w:w="950" w:type="pct"/>
            <w:vAlign w:val="center"/>
            <w:hideMark/>
          </w:tcPr>
          <w:p w14:paraId="2C3C0950" w14:textId="77777777" w:rsidR="00000000" w:rsidRDefault="001D0688">
            <w:pPr>
              <w:rPr>
                <w:rFonts w:eastAsia="Times New Roman"/>
                <w:sz w:val="20"/>
                <w:szCs w:val="20"/>
              </w:rPr>
            </w:pPr>
          </w:p>
        </w:tc>
        <w:tc>
          <w:tcPr>
            <w:tcW w:w="5" w:type="pct"/>
            <w:vAlign w:val="center"/>
            <w:hideMark/>
          </w:tcPr>
          <w:p w14:paraId="163E0BCB" w14:textId="77777777" w:rsidR="00000000" w:rsidRDefault="001D0688">
            <w:pPr>
              <w:rPr>
                <w:rFonts w:eastAsia="Times New Roman"/>
                <w:sz w:val="20"/>
                <w:szCs w:val="20"/>
              </w:rPr>
            </w:pPr>
          </w:p>
        </w:tc>
        <w:tc>
          <w:tcPr>
            <w:tcW w:w="5" w:type="pct"/>
            <w:vAlign w:val="center"/>
            <w:hideMark/>
          </w:tcPr>
          <w:p w14:paraId="65573A65" w14:textId="77777777" w:rsidR="00000000" w:rsidRDefault="001D0688">
            <w:pPr>
              <w:rPr>
                <w:rFonts w:eastAsia="Times New Roman"/>
                <w:sz w:val="20"/>
                <w:szCs w:val="20"/>
              </w:rPr>
            </w:pPr>
          </w:p>
        </w:tc>
        <w:tc>
          <w:tcPr>
            <w:tcW w:w="129" w:type="pct"/>
            <w:vAlign w:val="center"/>
            <w:hideMark/>
          </w:tcPr>
          <w:p w14:paraId="5E6811C0" w14:textId="77777777" w:rsidR="00000000" w:rsidRDefault="001D0688">
            <w:pPr>
              <w:rPr>
                <w:rFonts w:eastAsia="Times New Roman"/>
                <w:sz w:val="20"/>
                <w:szCs w:val="20"/>
              </w:rPr>
            </w:pPr>
          </w:p>
        </w:tc>
        <w:tc>
          <w:tcPr>
            <w:tcW w:w="5" w:type="pct"/>
            <w:vAlign w:val="center"/>
            <w:hideMark/>
          </w:tcPr>
          <w:p w14:paraId="597DE384" w14:textId="77777777" w:rsidR="00000000" w:rsidRDefault="001D0688">
            <w:pPr>
              <w:rPr>
                <w:rFonts w:eastAsia="Times New Roman"/>
                <w:sz w:val="20"/>
                <w:szCs w:val="20"/>
              </w:rPr>
            </w:pPr>
          </w:p>
        </w:tc>
        <w:tc>
          <w:tcPr>
            <w:tcW w:w="50" w:type="pct"/>
            <w:vAlign w:val="center"/>
            <w:hideMark/>
          </w:tcPr>
          <w:p w14:paraId="4D8E26F4" w14:textId="77777777" w:rsidR="00000000" w:rsidRDefault="001D0688">
            <w:pPr>
              <w:rPr>
                <w:rFonts w:eastAsia="Times New Roman"/>
                <w:sz w:val="20"/>
                <w:szCs w:val="20"/>
              </w:rPr>
            </w:pPr>
          </w:p>
        </w:tc>
        <w:tc>
          <w:tcPr>
            <w:tcW w:w="936" w:type="pct"/>
            <w:vAlign w:val="center"/>
            <w:hideMark/>
          </w:tcPr>
          <w:p w14:paraId="61793CF9" w14:textId="77777777" w:rsidR="00000000" w:rsidRDefault="001D0688">
            <w:pPr>
              <w:rPr>
                <w:rFonts w:eastAsia="Times New Roman"/>
                <w:sz w:val="20"/>
                <w:szCs w:val="20"/>
              </w:rPr>
            </w:pPr>
          </w:p>
        </w:tc>
        <w:tc>
          <w:tcPr>
            <w:tcW w:w="5" w:type="pct"/>
            <w:vAlign w:val="center"/>
            <w:hideMark/>
          </w:tcPr>
          <w:p w14:paraId="0325109A" w14:textId="77777777" w:rsidR="00000000" w:rsidRDefault="001D0688">
            <w:pPr>
              <w:rPr>
                <w:rFonts w:eastAsia="Times New Roman"/>
                <w:sz w:val="20"/>
                <w:szCs w:val="20"/>
              </w:rPr>
            </w:pPr>
          </w:p>
        </w:tc>
        <w:tc>
          <w:tcPr>
            <w:tcW w:w="5" w:type="pct"/>
            <w:vAlign w:val="center"/>
            <w:hideMark/>
          </w:tcPr>
          <w:p w14:paraId="3FFA85E3" w14:textId="77777777" w:rsidR="00000000" w:rsidRDefault="001D0688">
            <w:pPr>
              <w:rPr>
                <w:rFonts w:eastAsia="Times New Roman"/>
                <w:sz w:val="20"/>
                <w:szCs w:val="20"/>
              </w:rPr>
            </w:pPr>
          </w:p>
        </w:tc>
        <w:tc>
          <w:tcPr>
            <w:tcW w:w="129" w:type="pct"/>
            <w:vAlign w:val="center"/>
            <w:hideMark/>
          </w:tcPr>
          <w:p w14:paraId="08EF3A2D" w14:textId="77777777" w:rsidR="00000000" w:rsidRDefault="001D0688">
            <w:pPr>
              <w:rPr>
                <w:rFonts w:eastAsia="Times New Roman"/>
                <w:sz w:val="20"/>
                <w:szCs w:val="20"/>
              </w:rPr>
            </w:pPr>
          </w:p>
        </w:tc>
        <w:tc>
          <w:tcPr>
            <w:tcW w:w="5" w:type="pct"/>
            <w:vAlign w:val="center"/>
            <w:hideMark/>
          </w:tcPr>
          <w:p w14:paraId="5C977942" w14:textId="77777777" w:rsidR="00000000" w:rsidRDefault="001D0688">
            <w:pPr>
              <w:rPr>
                <w:rFonts w:eastAsia="Times New Roman"/>
                <w:sz w:val="20"/>
                <w:szCs w:val="20"/>
              </w:rPr>
            </w:pPr>
          </w:p>
        </w:tc>
      </w:tr>
      <w:tr w:rsidR="00000000" w14:paraId="4EE99F00" w14:textId="77777777">
        <w:trPr>
          <w:divId w:val="572812208"/>
        </w:trPr>
        <w:tc>
          <w:tcPr>
            <w:tcW w:w="0" w:type="auto"/>
            <w:gridSpan w:val="3"/>
            <w:tcMar>
              <w:top w:w="30" w:type="dxa"/>
              <w:left w:w="20" w:type="dxa"/>
              <w:bottom w:w="30" w:type="dxa"/>
              <w:right w:w="20" w:type="dxa"/>
            </w:tcMar>
            <w:vAlign w:val="center"/>
            <w:hideMark/>
          </w:tcPr>
          <w:p w14:paraId="21C281F6" w14:textId="77777777" w:rsidR="00000000" w:rsidRDefault="001D0688">
            <w:pPr>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14:paraId="3E007A22" w14:textId="77777777" w:rsidR="00000000" w:rsidRDefault="001D0688">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14:paraId="335A33EF" w14:textId="77777777" w:rsidR="00000000" w:rsidRDefault="001D0688">
            <w:pPr>
              <w:jc w:val="center"/>
              <w:rPr>
                <w:rFonts w:eastAsia="Times New Roman"/>
              </w:rPr>
            </w:pPr>
            <w:r>
              <w:rPr>
                <w:rFonts w:ascii="Arial" w:eastAsia="Times New Roman" w:hAnsi="Arial" w:cs="Arial"/>
                <w:color w:val="000000"/>
                <w:sz w:val="20"/>
                <w:szCs w:val="20"/>
              </w:rPr>
              <w:t>Accelerated</w:t>
            </w:r>
            <w:r>
              <w:rPr>
                <w:rFonts w:ascii="Arial" w:eastAsia="Times New Roman" w:hAnsi="Arial" w:cs="Arial"/>
                <w:color w:val="000000"/>
                <w:sz w:val="20"/>
                <w:szCs w:val="20"/>
              </w:rPr>
              <w:br/>
              <w:t>filer</w:t>
            </w:r>
          </w:p>
        </w:tc>
        <w:tc>
          <w:tcPr>
            <w:tcW w:w="0" w:type="auto"/>
            <w:gridSpan w:val="3"/>
            <w:tcMar>
              <w:top w:w="30" w:type="dxa"/>
              <w:left w:w="20" w:type="dxa"/>
              <w:bottom w:w="30" w:type="dxa"/>
              <w:right w:w="20" w:type="dxa"/>
            </w:tcMar>
            <w:vAlign w:val="center"/>
            <w:hideMark/>
          </w:tcPr>
          <w:p w14:paraId="2687198A" w14:textId="77777777" w:rsidR="00000000" w:rsidRDefault="001D0688">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27EB8213" w14:textId="77777777" w:rsidR="00000000" w:rsidRDefault="001D0688">
            <w:pPr>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14:paraId="10E9DC8F" w14:textId="77777777" w:rsidR="00000000" w:rsidRDefault="001D0688">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76BF22A0" w14:textId="77777777" w:rsidR="00000000" w:rsidRDefault="001D0688">
            <w:pPr>
              <w:jc w:val="center"/>
              <w:rPr>
                <w:rFonts w:eastAsia="Times New Roman"/>
              </w:rPr>
            </w:pPr>
            <w:r>
              <w:rPr>
                <w:rFonts w:ascii="Arial" w:eastAsia="Times New Roman" w:hAnsi="Arial" w:cs="Arial"/>
                <w:color w:val="000000"/>
                <w:sz w:val="20"/>
                <w:szCs w:val="20"/>
              </w:rPr>
              <w:t>Smaller reporting </w:t>
            </w:r>
            <w:r>
              <w:rPr>
                <w:rFonts w:ascii="Arial" w:eastAsia="Times New Roman" w:hAnsi="Arial" w:cs="Arial"/>
                <w:color w:val="000000"/>
                <w:sz w:val="20"/>
                <w:szCs w:val="20"/>
              </w:rPr>
              <w:br/>
              <w:t>company</w:t>
            </w:r>
          </w:p>
        </w:tc>
        <w:tc>
          <w:tcPr>
            <w:tcW w:w="0" w:type="auto"/>
            <w:gridSpan w:val="3"/>
            <w:tcMar>
              <w:top w:w="30" w:type="dxa"/>
              <w:left w:w="20" w:type="dxa"/>
              <w:bottom w:w="30" w:type="dxa"/>
              <w:right w:w="20" w:type="dxa"/>
            </w:tcMar>
            <w:vAlign w:val="center"/>
            <w:hideMark/>
          </w:tcPr>
          <w:p w14:paraId="1DA05BAC" w14:textId="77777777" w:rsidR="00000000" w:rsidRDefault="001D0688">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14:paraId="2BE99F97" w14:textId="77777777" w:rsidR="00000000" w:rsidRDefault="001D0688">
            <w:pPr>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14:paraId="3C9C2FFC" w14:textId="77777777" w:rsidR="00000000" w:rsidRDefault="001D0688">
            <w:pPr>
              <w:jc w:val="center"/>
              <w:rPr>
                <w:rFonts w:eastAsia="Times New Roman"/>
              </w:rPr>
            </w:pPr>
            <w:r>
              <w:rPr>
                <w:rFonts w:ascii="Segoe UI Symbol" w:eastAsia="Times New Roman" w:hAnsi="Segoe UI Symbol" w:cs="Segoe UI Symbol"/>
                <w:color w:val="000000"/>
                <w:sz w:val="20"/>
                <w:szCs w:val="20"/>
              </w:rPr>
              <w:t>☐</w:t>
            </w:r>
          </w:p>
        </w:tc>
      </w:tr>
    </w:tbl>
    <w:p w14:paraId="7385B5A3" w14:textId="77777777" w:rsidR="00000000" w:rsidRDefault="001D0688">
      <w:pPr>
        <w:jc w:val="both"/>
        <w:divId w:val="1519152598"/>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6B962AF8" w14:textId="77777777" w:rsidR="00000000" w:rsidRDefault="001D0688">
      <w:pPr>
        <w:jc w:val="both"/>
        <w:divId w:val="1469594507"/>
        <w:rPr>
          <w:rFonts w:eastAsia="Times New Roman"/>
        </w:rPr>
      </w:pPr>
      <w:r>
        <w:rPr>
          <w:rFonts w:ascii="Arial" w:eastAsia="Times New Roman" w:hAnsi="Arial" w:cs="Arial"/>
          <w:color w:val="000000"/>
          <w:sz w:val="20"/>
          <w:szCs w:val="20"/>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Arial" w:eastAsia="Times New Roman" w:hAnsi="Arial" w:cs="Arial"/>
          <w:color w:val="000000"/>
          <w:sz w:val="20"/>
          <w:szCs w:val="20"/>
        </w:rPr>
        <w:t xml:space="preserve">he registered public accounting firm that prepared or issued its audit report. </w:t>
      </w:r>
      <w:r>
        <w:rPr>
          <w:rFonts w:ascii="Segoe UI Emoji" w:eastAsia="Times New Roman" w:hAnsi="Segoe UI Emoji" w:cs="Segoe UI Emoji"/>
          <w:color w:val="000000"/>
          <w:sz w:val="20"/>
          <w:szCs w:val="20"/>
        </w:rPr>
        <w:t>☑</w:t>
      </w:r>
    </w:p>
    <w:p w14:paraId="7AFB5690" w14:textId="77777777" w:rsidR="00000000" w:rsidRDefault="001D0688">
      <w:pPr>
        <w:jc w:val="both"/>
        <w:rPr>
          <w:rFonts w:eastAsia="Times New Roman"/>
        </w:rPr>
      </w:pPr>
    </w:p>
    <w:p w14:paraId="1734D6DD" w14:textId="77777777" w:rsidR="00000000" w:rsidRDefault="001D0688">
      <w:pPr>
        <w:jc w:val="both"/>
        <w:rPr>
          <w:rFonts w:eastAsia="Times New Roman"/>
        </w:rPr>
      </w:pPr>
      <w:r>
        <w:rPr>
          <w:rFonts w:ascii="Arial" w:eastAsia="Times New Roman" w:hAnsi="Arial" w:cs="Arial"/>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  </w:t>
      </w:r>
      <w:r>
        <w:rPr>
          <w:rFonts w:ascii="Segoe UI Emoji" w:eastAsia="Times New Roman" w:hAnsi="Segoe UI Emoji" w:cs="Segoe UI Emoji"/>
          <w:color w:val="000000"/>
          <w:sz w:val="20"/>
          <w:szCs w:val="20"/>
        </w:rPr>
        <w:t>☑</w:t>
      </w:r>
    </w:p>
    <w:p w14:paraId="61239C33" w14:textId="77777777" w:rsidR="00000000" w:rsidRDefault="001D0688">
      <w:pPr>
        <w:jc w:val="both"/>
        <w:rPr>
          <w:rFonts w:eastAsia="Times New Roman"/>
        </w:rPr>
      </w:pPr>
    </w:p>
    <w:p w14:paraId="2E2C280C" w14:textId="77777777" w:rsidR="00000000" w:rsidRDefault="001D0688">
      <w:pPr>
        <w:jc w:val="both"/>
        <w:rPr>
          <w:rFonts w:eastAsia="Times New Roman"/>
        </w:rPr>
      </w:pPr>
      <w:r>
        <w:rPr>
          <w:rFonts w:ascii="Arial" w:eastAsia="Times New Roman" w:hAnsi="Arial" w:cs="Arial"/>
          <w:color w:val="000000"/>
          <w:sz w:val="20"/>
          <w:szCs w:val="20"/>
        </w:rPr>
        <w:t>Aggregate market value of the registrant’s common sto</w:t>
      </w:r>
      <w:r>
        <w:rPr>
          <w:rFonts w:ascii="Arial" w:eastAsia="Times New Roman" w:hAnsi="Arial" w:cs="Arial"/>
          <w:color w:val="000000"/>
          <w:sz w:val="20"/>
          <w:szCs w:val="20"/>
        </w:rPr>
        <w:t>ck held by non-affiliates of the registrant, based upon the closing price of a share of the registrant’s common stock on April 30, 2020 as reported on the New York Stock Exchange on that date: $2,277,588,018</w:t>
      </w:r>
    </w:p>
    <w:p w14:paraId="6F090DD4" w14:textId="77777777" w:rsidR="00000000" w:rsidRDefault="001D0688">
      <w:pPr>
        <w:divId w:val="1313371594"/>
        <w:rPr>
          <w:rFonts w:eastAsia="Times New Roman"/>
        </w:rPr>
      </w:pPr>
    </w:p>
    <w:p w14:paraId="49646411" w14:textId="77777777" w:rsidR="00000000" w:rsidRDefault="001D0688">
      <w:pPr>
        <w:divId w:val="2050761780"/>
        <w:rPr>
          <w:rFonts w:eastAsia="Times New Roman"/>
        </w:rPr>
      </w:pPr>
      <w:r>
        <w:rPr>
          <w:rFonts w:ascii="Arial" w:eastAsia="Times New Roman" w:hAnsi="Arial" w:cs="Arial"/>
          <w:color w:val="000000"/>
          <w:sz w:val="20"/>
          <w:szCs w:val="20"/>
        </w:rPr>
        <w:t>Number of shares of the registrant’s common st</w:t>
      </w:r>
      <w:r>
        <w:rPr>
          <w:rFonts w:ascii="Arial" w:eastAsia="Times New Roman" w:hAnsi="Arial" w:cs="Arial"/>
          <w:color w:val="000000"/>
          <w:sz w:val="20"/>
          <w:szCs w:val="20"/>
        </w:rPr>
        <w:t>ock outstanding as of December 15, 2020: 66,758,670</w:t>
      </w:r>
    </w:p>
    <w:p w14:paraId="2B5FC94D" w14:textId="77777777" w:rsidR="00000000" w:rsidRDefault="001D0688">
      <w:pPr>
        <w:jc w:val="center"/>
        <w:rPr>
          <w:rFonts w:eastAsia="Times New Roman"/>
        </w:rPr>
      </w:pPr>
      <w:r>
        <w:rPr>
          <w:rFonts w:ascii="Arial" w:eastAsia="Times New Roman" w:hAnsi="Arial" w:cs="Arial"/>
          <w:color w:val="000000"/>
          <w:sz w:val="20"/>
          <w:szCs w:val="20"/>
        </w:rPr>
        <w:t>_______________________________________________ </w:t>
      </w:r>
    </w:p>
    <w:p w14:paraId="14BA62BF" w14:textId="77777777" w:rsidR="00000000" w:rsidRDefault="001D0688">
      <w:pPr>
        <w:jc w:val="center"/>
        <w:divId w:val="2086412053"/>
        <w:rPr>
          <w:rFonts w:eastAsia="Times New Roman"/>
        </w:rPr>
      </w:pPr>
      <w:r>
        <w:rPr>
          <w:rFonts w:ascii="Arial" w:eastAsia="Times New Roman" w:hAnsi="Arial" w:cs="Arial"/>
          <w:b/>
          <w:bCs/>
          <w:color w:val="000000"/>
          <w:sz w:val="20"/>
          <w:szCs w:val="20"/>
        </w:rPr>
        <w:lastRenderedPageBreak/>
        <w:t>DOCUMENTS INCORPORATED BY REFERENCE</w:t>
      </w:r>
    </w:p>
    <w:p w14:paraId="4D6AEFB6" w14:textId="77777777" w:rsidR="00000000" w:rsidRDefault="001D0688">
      <w:pPr>
        <w:jc w:val="both"/>
        <w:divId w:val="142043502"/>
        <w:rPr>
          <w:rFonts w:eastAsia="Times New Roman"/>
        </w:rPr>
      </w:pPr>
      <w:r>
        <w:rPr>
          <w:rFonts w:ascii="Arial" w:eastAsia="Times New Roman" w:hAnsi="Arial" w:cs="Arial"/>
          <w:color w:val="000000"/>
          <w:sz w:val="20"/>
          <w:szCs w:val="20"/>
        </w:rPr>
        <w:t>Certain parts of the registrant’s Definitive Proxy Statement relating to the registrant’s 2021 Annual Meeting of Stockh</w:t>
      </w:r>
      <w:r>
        <w:rPr>
          <w:rFonts w:ascii="Arial" w:eastAsia="Times New Roman" w:hAnsi="Arial" w:cs="Arial"/>
          <w:color w:val="000000"/>
          <w:sz w:val="20"/>
          <w:szCs w:val="20"/>
        </w:rPr>
        <w:t>olders are incorporated by reference into Part III of this Annual Report on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17EC924C" w14:textId="77777777">
        <w:trPr>
          <w:divId w:val="1633748351"/>
          <w:jc w:val="center"/>
        </w:trPr>
        <w:tc>
          <w:tcPr>
            <w:tcW w:w="50" w:type="pct"/>
            <w:vAlign w:val="center"/>
            <w:hideMark/>
          </w:tcPr>
          <w:p w14:paraId="1A7AE70C" w14:textId="77777777" w:rsidR="00000000" w:rsidRDefault="001D0688">
            <w:pPr>
              <w:jc w:val="both"/>
              <w:rPr>
                <w:rFonts w:eastAsia="Times New Roman"/>
              </w:rPr>
            </w:pPr>
          </w:p>
        </w:tc>
        <w:tc>
          <w:tcPr>
            <w:tcW w:w="4945" w:type="pct"/>
            <w:vAlign w:val="center"/>
            <w:hideMark/>
          </w:tcPr>
          <w:p w14:paraId="77FE673C" w14:textId="77777777" w:rsidR="00000000" w:rsidRDefault="001D0688">
            <w:pPr>
              <w:rPr>
                <w:rFonts w:eastAsia="Times New Roman"/>
                <w:sz w:val="20"/>
                <w:szCs w:val="20"/>
              </w:rPr>
            </w:pPr>
          </w:p>
        </w:tc>
        <w:tc>
          <w:tcPr>
            <w:tcW w:w="5" w:type="pct"/>
            <w:vAlign w:val="center"/>
            <w:hideMark/>
          </w:tcPr>
          <w:p w14:paraId="75CB6B9E" w14:textId="77777777" w:rsidR="00000000" w:rsidRDefault="001D0688">
            <w:pPr>
              <w:rPr>
                <w:rFonts w:eastAsia="Times New Roman"/>
                <w:sz w:val="20"/>
                <w:szCs w:val="20"/>
              </w:rPr>
            </w:pPr>
          </w:p>
        </w:tc>
      </w:tr>
      <w:tr w:rsidR="00000000" w14:paraId="682CF359" w14:textId="77777777">
        <w:trPr>
          <w:divId w:val="1633748351"/>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69B537DC" w14:textId="77777777" w:rsidR="00000000" w:rsidRDefault="001D0688">
            <w:pPr>
              <w:rPr>
                <w:rFonts w:eastAsia="Times New Roman"/>
                <w:sz w:val="20"/>
                <w:szCs w:val="20"/>
              </w:rPr>
            </w:pPr>
          </w:p>
        </w:tc>
      </w:tr>
    </w:tbl>
    <w:p w14:paraId="1F8083E9" w14:textId="77777777" w:rsidR="00000000" w:rsidRDefault="001D0688">
      <w:pPr>
        <w:jc w:val="center"/>
        <w:divId w:val="1586066046"/>
        <w:rPr>
          <w:rFonts w:eastAsia="Times New Roman"/>
        </w:rPr>
      </w:pPr>
    </w:p>
    <w:p w14:paraId="20514EAC" w14:textId="77777777" w:rsidR="00000000" w:rsidRDefault="001D0688">
      <w:pPr>
        <w:divId w:val="1921332063"/>
        <w:rPr>
          <w:rFonts w:eastAsia="Times New Roman"/>
        </w:rPr>
      </w:pPr>
    </w:p>
    <w:p w14:paraId="6A43EBD5" w14:textId="77777777" w:rsidR="00000000" w:rsidRDefault="001D0688">
      <w:pPr>
        <w:rPr>
          <w:rFonts w:eastAsia="Times New Roman"/>
        </w:rPr>
      </w:pPr>
      <w:r>
        <w:rPr>
          <w:rFonts w:eastAsia="Times New Roman"/>
        </w:rPr>
        <w:pict w14:anchorId="34CFF10B">
          <v:rect id="_x0000_i1028" style="width:0;height:1.5pt" o:hralign="center" o:hrstd="t" o:hr="t" fillcolor="#a0a0a0" stroked="f"/>
        </w:pict>
      </w:r>
    </w:p>
    <w:p w14:paraId="4ABB31EE" w14:textId="77777777" w:rsidR="00000000" w:rsidRDefault="001D0688">
      <w:pPr>
        <w:divId w:val="684525794"/>
        <w:rPr>
          <w:rFonts w:eastAsia="Times New Roman"/>
        </w:rPr>
      </w:pPr>
    </w:p>
    <w:p w14:paraId="0A77525A" w14:textId="77777777" w:rsidR="00000000" w:rsidRDefault="001D0688">
      <w:pPr>
        <w:jc w:val="center"/>
        <w:divId w:val="1237284732"/>
        <w:rPr>
          <w:rFonts w:eastAsia="Times New Roman"/>
        </w:rPr>
      </w:pPr>
      <w:r>
        <w:rPr>
          <w:rFonts w:ascii="Arial" w:eastAsia="Times New Roman" w:hAnsi="Arial" w:cs="Arial"/>
          <w:b/>
          <w:bCs/>
          <w:color w:val="000000"/>
          <w:sz w:val="20"/>
          <w:szCs w:val="20"/>
        </w:rPr>
        <w:t>ABM INDUSTRIES INCORPORATED AND SUBSIDIARIES</w:t>
      </w:r>
    </w:p>
    <w:p w14:paraId="1E9F06D6" w14:textId="77777777" w:rsidR="00000000" w:rsidRDefault="001D0688">
      <w:pPr>
        <w:jc w:val="center"/>
        <w:divId w:val="124934269"/>
        <w:rPr>
          <w:rFonts w:eastAsia="Times New Roman"/>
        </w:rPr>
      </w:pPr>
      <w:r>
        <w:rPr>
          <w:rFonts w:ascii="Arial" w:eastAsia="Times New Roman" w:hAnsi="Arial" w:cs="Arial"/>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9"/>
        <w:gridCol w:w="7277"/>
        <w:gridCol w:w="36"/>
        <w:gridCol w:w="69"/>
        <w:gridCol w:w="806"/>
        <w:gridCol w:w="36"/>
      </w:tblGrid>
      <w:tr w:rsidR="00000000" w14:paraId="1B8A4EF8" w14:textId="77777777">
        <w:trPr>
          <w:divId w:val="508763907"/>
        </w:trPr>
        <w:tc>
          <w:tcPr>
            <w:tcW w:w="50" w:type="pct"/>
            <w:vAlign w:val="center"/>
            <w:hideMark/>
          </w:tcPr>
          <w:p w14:paraId="55D605CD" w14:textId="77777777" w:rsidR="00000000" w:rsidRDefault="001D0688">
            <w:pPr>
              <w:jc w:val="center"/>
              <w:rPr>
                <w:rFonts w:eastAsia="Times New Roman"/>
              </w:rPr>
            </w:pPr>
          </w:p>
        </w:tc>
        <w:tc>
          <w:tcPr>
            <w:tcW w:w="4395" w:type="pct"/>
            <w:vAlign w:val="center"/>
            <w:hideMark/>
          </w:tcPr>
          <w:p w14:paraId="0EA95CF2" w14:textId="77777777" w:rsidR="00000000" w:rsidRDefault="001D0688">
            <w:pPr>
              <w:rPr>
                <w:rFonts w:eastAsia="Times New Roman"/>
                <w:sz w:val="20"/>
                <w:szCs w:val="20"/>
              </w:rPr>
            </w:pPr>
          </w:p>
        </w:tc>
        <w:tc>
          <w:tcPr>
            <w:tcW w:w="5" w:type="pct"/>
            <w:vAlign w:val="center"/>
            <w:hideMark/>
          </w:tcPr>
          <w:p w14:paraId="125F70BB" w14:textId="77777777" w:rsidR="00000000" w:rsidRDefault="001D0688">
            <w:pPr>
              <w:rPr>
                <w:rFonts w:eastAsia="Times New Roman"/>
                <w:sz w:val="20"/>
                <w:szCs w:val="20"/>
              </w:rPr>
            </w:pPr>
          </w:p>
        </w:tc>
        <w:tc>
          <w:tcPr>
            <w:tcW w:w="50" w:type="pct"/>
            <w:vAlign w:val="center"/>
            <w:hideMark/>
          </w:tcPr>
          <w:p w14:paraId="72746DFA" w14:textId="77777777" w:rsidR="00000000" w:rsidRDefault="001D0688">
            <w:pPr>
              <w:rPr>
                <w:rFonts w:eastAsia="Times New Roman"/>
                <w:sz w:val="20"/>
                <w:szCs w:val="20"/>
              </w:rPr>
            </w:pPr>
          </w:p>
        </w:tc>
        <w:tc>
          <w:tcPr>
            <w:tcW w:w="494" w:type="pct"/>
            <w:vAlign w:val="center"/>
            <w:hideMark/>
          </w:tcPr>
          <w:p w14:paraId="77AC0AED" w14:textId="77777777" w:rsidR="00000000" w:rsidRDefault="001D0688">
            <w:pPr>
              <w:rPr>
                <w:rFonts w:eastAsia="Times New Roman"/>
                <w:sz w:val="20"/>
                <w:szCs w:val="20"/>
              </w:rPr>
            </w:pPr>
          </w:p>
        </w:tc>
        <w:tc>
          <w:tcPr>
            <w:tcW w:w="5" w:type="pct"/>
            <w:vAlign w:val="center"/>
            <w:hideMark/>
          </w:tcPr>
          <w:p w14:paraId="1E2C10B9" w14:textId="77777777" w:rsidR="00000000" w:rsidRDefault="001D0688">
            <w:pPr>
              <w:rPr>
                <w:rFonts w:eastAsia="Times New Roman"/>
                <w:sz w:val="20"/>
                <w:szCs w:val="20"/>
              </w:rPr>
            </w:pPr>
          </w:p>
        </w:tc>
      </w:tr>
      <w:tr w:rsidR="00000000" w14:paraId="3C42947E" w14:textId="77777777">
        <w:trPr>
          <w:divId w:val="508763907"/>
        </w:trPr>
        <w:tc>
          <w:tcPr>
            <w:tcW w:w="0" w:type="auto"/>
            <w:gridSpan w:val="3"/>
            <w:tcMar>
              <w:top w:w="30" w:type="dxa"/>
              <w:left w:w="20" w:type="dxa"/>
              <w:bottom w:w="30" w:type="dxa"/>
              <w:right w:w="20" w:type="dxa"/>
            </w:tcMar>
            <w:vAlign w:val="bottom"/>
            <w:hideMark/>
          </w:tcPr>
          <w:p w14:paraId="240437B1" w14:textId="77777777" w:rsidR="00000000" w:rsidRDefault="001D0688">
            <w:pPr>
              <w:divId w:val="1563831728"/>
              <w:rPr>
                <w:rFonts w:eastAsia="Times New Roman"/>
              </w:rPr>
            </w:pPr>
            <w:hyperlink w:anchor="ifefa58cec8564209b9c0a3ca41dbda61_10" w:history="1">
              <w:r>
                <w:rPr>
                  <w:rStyle w:val="a3"/>
                  <w:rFonts w:ascii="Arial" w:eastAsia="Times New Roman" w:hAnsi="Arial" w:cs="Arial"/>
                  <w:b/>
                  <w:bCs/>
                  <w:sz w:val="16"/>
                  <w:szCs w:val="16"/>
                  <w:u w:val="none"/>
                </w:rPr>
                <w:t>FORWARD-LOOKING STATEMENTS</w:t>
              </w:r>
            </w:hyperlink>
          </w:p>
        </w:tc>
        <w:tc>
          <w:tcPr>
            <w:tcW w:w="0" w:type="auto"/>
            <w:gridSpan w:val="3"/>
            <w:tcMar>
              <w:top w:w="30" w:type="dxa"/>
              <w:left w:w="20" w:type="dxa"/>
              <w:bottom w:w="30" w:type="dxa"/>
              <w:right w:w="20" w:type="dxa"/>
            </w:tcMar>
            <w:vAlign w:val="bottom"/>
            <w:hideMark/>
          </w:tcPr>
          <w:p w14:paraId="50D95299" w14:textId="77777777" w:rsidR="00000000" w:rsidRDefault="001D0688">
            <w:pPr>
              <w:jc w:val="right"/>
              <w:rPr>
                <w:rFonts w:eastAsia="Times New Roman"/>
              </w:rPr>
            </w:pPr>
            <w:hyperlink w:anchor="ifefa58cec8564209b9c0a3ca41dbda61_10" w:history="1">
              <w:r>
                <w:rPr>
                  <w:rStyle w:val="a3"/>
                  <w:rFonts w:ascii="Arial" w:eastAsia="Times New Roman" w:hAnsi="Arial" w:cs="Arial"/>
                  <w:sz w:val="17"/>
                  <w:szCs w:val="17"/>
                </w:rPr>
                <w:t>1</w:t>
              </w:r>
            </w:hyperlink>
          </w:p>
        </w:tc>
      </w:tr>
      <w:tr w:rsidR="00000000" w14:paraId="78534B05" w14:textId="77777777">
        <w:trPr>
          <w:divId w:val="508763907"/>
        </w:trPr>
        <w:tc>
          <w:tcPr>
            <w:tcW w:w="0" w:type="auto"/>
            <w:gridSpan w:val="3"/>
            <w:tcMar>
              <w:top w:w="30" w:type="dxa"/>
              <w:left w:w="20" w:type="dxa"/>
              <w:bottom w:w="30" w:type="dxa"/>
              <w:right w:w="20" w:type="dxa"/>
            </w:tcMar>
            <w:vAlign w:val="bottom"/>
            <w:hideMark/>
          </w:tcPr>
          <w:p w14:paraId="6147889A" w14:textId="77777777" w:rsidR="00000000" w:rsidRDefault="001D0688">
            <w:pPr>
              <w:divId w:val="1492138741"/>
              <w:rPr>
                <w:rFonts w:eastAsia="Times New Roman"/>
              </w:rPr>
            </w:pPr>
            <w:hyperlink w:anchor="ifefa58cec8564209b9c0a3ca41dbda61_16" w:history="1">
              <w:r>
                <w:rPr>
                  <w:rStyle w:val="a3"/>
                  <w:rFonts w:ascii="Arial" w:eastAsia="Times New Roman" w:hAnsi="Arial" w:cs="Arial"/>
                  <w:b/>
                  <w:bCs/>
                  <w:sz w:val="16"/>
                  <w:szCs w:val="16"/>
                  <w:u w:val="none"/>
                </w:rPr>
                <w:t>PART I</w:t>
              </w:r>
            </w:hyperlink>
          </w:p>
        </w:tc>
        <w:tc>
          <w:tcPr>
            <w:tcW w:w="0" w:type="auto"/>
            <w:gridSpan w:val="3"/>
            <w:tcMar>
              <w:top w:w="30" w:type="dxa"/>
              <w:left w:w="20" w:type="dxa"/>
              <w:bottom w:w="30" w:type="dxa"/>
              <w:right w:w="20" w:type="dxa"/>
            </w:tcMar>
            <w:vAlign w:val="bottom"/>
            <w:hideMark/>
          </w:tcPr>
          <w:p w14:paraId="10506C31" w14:textId="77777777" w:rsidR="00000000" w:rsidRDefault="001D0688">
            <w:pPr>
              <w:jc w:val="right"/>
              <w:rPr>
                <w:rFonts w:eastAsia="Times New Roman"/>
              </w:rPr>
            </w:pPr>
            <w:hyperlink w:anchor="ifefa58cec8564209b9c0a3ca41dbda61_16" w:history="1">
              <w:r>
                <w:rPr>
                  <w:rStyle w:val="a3"/>
                  <w:rFonts w:ascii="Arial" w:eastAsia="Times New Roman" w:hAnsi="Arial" w:cs="Arial"/>
                  <w:sz w:val="17"/>
                  <w:szCs w:val="17"/>
                </w:rPr>
                <w:t>2</w:t>
              </w:r>
            </w:hyperlink>
          </w:p>
        </w:tc>
      </w:tr>
      <w:tr w:rsidR="00000000" w14:paraId="77E9C21F" w14:textId="77777777">
        <w:trPr>
          <w:divId w:val="508763907"/>
        </w:trPr>
        <w:tc>
          <w:tcPr>
            <w:tcW w:w="0" w:type="auto"/>
            <w:gridSpan w:val="3"/>
            <w:tcMar>
              <w:top w:w="30" w:type="dxa"/>
              <w:left w:w="20" w:type="dxa"/>
              <w:bottom w:w="30" w:type="dxa"/>
              <w:right w:w="20" w:type="dxa"/>
            </w:tcMar>
            <w:vAlign w:val="bottom"/>
            <w:hideMark/>
          </w:tcPr>
          <w:p w14:paraId="2E71FA00" w14:textId="77777777" w:rsidR="00000000" w:rsidRDefault="001D0688">
            <w:pPr>
              <w:divId w:val="1974554778"/>
              <w:rPr>
                <w:rFonts w:eastAsia="Times New Roman"/>
              </w:rPr>
            </w:pPr>
            <w:hyperlink w:anchor="ifefa58cec8564209b9c0a3ca41dbda61_19" w:history="1">
              <w:r>
                <w:rPr>
                  <w:rStyle w:val="a3"/>
                  <w:rFonts w:ascii="Arial" w:eastAsia="Times New Roman" w:hAnsi="Arial" w:cs="Arial"/>
                  <w:sz w:val="16"/>
                  <w:szCs w:val="16"/>
                  <w:u w:val="none"/>
                </w:rPr>
                <w:t>Item 1. Business.</w:t>
              </w:r>
            </w:hyperlink>
          </w:p>
        </w:tc>
        <w:tc>
          <w:tcPr>
            <w:tcW w:w="0" w:type="auto"/>
            <w:gridSpan w:val="3"/>
            <w:tcMar>
              <w:top w:w="30" w:type="dxa"/>
              <w:left w:w="20" w:type="dxa"/>
              <w:bottom w:w="30" w:type="dxa"/>
              <w:right w:w="20" w:type="dxa"/>
            </w:tcMar>
            <w:vAlign w:val="bottom"/>
            <w:hideMark/>
          </w:tcPr>
          <w:p w14:paraId="65909D27" w14:textId="77777777" w:rsidR="00000000" w:rsidRDefault="001D0688">
            <w:pPr>
              <w:jc w:val="right"/>
              <w:rPr>
                <w:rFonts w:eastAsia="Times New Roman"/>
              </w:rPr>
            </w:pPr>
            <w:hyperlink w:anchor="ifefa58cec8564209b9c0a3ca41dbda61_19" w:history="1">
              <w:r>
                <w:rPr>
                  <w:rStyle w:val="a3"/>
                  <w:rFonts w:ascii="Arial" w:eastAsia="Times New Roman" w:hAnsi="Arial" w:cs="Arial"/>
                  <w:sz w:val="17"/>
                  <w:szCs w:val="17"/>
                </w:rPr>
                <w:t>2</w:t>
              </w:r>
            </w:hyperlink>
          </w:p>
        </w:tc>
      </w:tr>
      <w:tr w:rsidR="00000000" w14:paraId="3BD215C6" w14:textId="77777777">
        <w:trPr>
          <w:divId w:val="508763907"/>
        </w:trPr>
        <w:tc>
          <w:tcPr>
            <w:tcW w:w="0" w:type="auto"/>
            <w:gridSpan w:val="3"/>
            <w:tcMar>
              <w:top w:w="30" w:type="dxa"/>
              <w:left w:w="20" w:type="dxa"/>
              <w:bottom w:w="30" w:type="dxa"/>
              <w:right w:w="20" w:type="dxa"/>
            </w:tcMar>
            <w:vAlign w:val="bottom"/>
            <w:hideMark/>
          </w:tcPr>
          <w:p w14:paraId="5DC9211C" w14:textId="77777777" w:rsidR="00000000" w:rsidRDefault="001D0688">
            <w:pPr>
              <w:divId w:val="1242329828"/>
              <w:rPr>
                <w:rFonts w:eastAsia="Times New Roman"/>
              </w:rPr>
            </w:pPr>
            <w:hyperlink w:anchor="ifefa58cec8564209b9c0a3ca41dbda61_22" w:history="1">
              <w:r>
                <w:rPr>
                  <w:rStyle w:val="a3"/>
                  <w:rFonts w:ascii="Arial" w:eastAsia="Times New Roman" w:hAnsi="Arial" w:cs="Arial"/>
                  <w:sz w:val="16"/>
                  <w:szCs w:val="16"/>
                  <w:u w:val="none"/>
                </w:rPr>
                <w:t>Item 1A. Risk Factors.</w:t>
              </w:r>
            </w:hyperlink>
          </w:p>
        </w:tc>
        <w:tc>
          <w:tcPr>
            <w:tcW w:w="0" w:type="auto"/>
            <w:gridSpan w:val="3"/>
            <w:tcMar>
              <w:top w:w="30" w:type="dxa"/>
              <w:left w:w="20" w:type="dxa"/>
              <w:bottom w:w="30" w:type="dxa"/>
              <w:right w:w="20" w:type="dxa"/>
            </w:tcMar>
            <w:vAlign w:val="bottom"/>
            <w:hideMark/>
          </w:tcPr>
          <w:p w14:paraId="08082723" w14:textId="77777777" w:rsidR="00000000" w:rsidRDefault="001D0688">
            <w:pPr>
              <w:jc w:val="right"/>
              <w:rPr>
                <w:rFonts w:eastAsia="Times New Roman"/>
              </w:rPr>
            </w:pPr>
            <w:hyperlink w:anchor="ifefa58cec8564209b9c0a3ca41dbda61_22" w:history="1">
              <w:r>
                <w:rPr>
                  <w:rStyle w:val="a3"/>
                  <w:rFonts w:ascii="Arial" w:eastAsia="Times New Roman" w:hAnsi="Arial" w:cs="Arial"/>
                  <w:sz w:val="17"/>
                  <w:szCs w:val="17"/>
                </w:rPr>
                <w:t>8</w:t>
              </w:r>
            </w:hyperlink>
          </w:p>
        </w:tc>
      </w:tr>
      <w:tr w:rsidR="00000000" w14:paraId="3CF6117C" w14:textId="77777777">
        <w:trPr>
          <w:divId w:val="508763907"/>
        </w:trPr>
        <w:tc>
          <w:tcPr>
            <w:tcW w:w="0" w:type="auto"/>
            <w:gridSpan w:val="3"/>
            <w:tcMar>
              <w:top w:w="30" w:type="dxa"/>
              <w:left w:w="20" w:type="dxa"/>
              <w:bottom w:w="30" w:type="dxa"/>
              <w:right w:w="20" w:type="dxa"/>
            </w:tcMar>
            <w:vAlign w:val="bottom"/>
            <w:hideMark/>
          </w:tcPr>
          <w:p w14:paraId="059A1F48" w14:textId="77777777" w:rsidR="00000000" w:rsidRDefault="001D0688">
            <w:pPr>
              <w:divId w:val="903565097"/>
              <w:rPr>
                <w:rFonts w:eastAsia="Times New Roman"/>
              </w:rPr>
            </w:pPr>
            <w:hyperlink w:anchor="ifefa58cec8564209b9c0a3ca41dbda61_25" w:history="1">
              <w:r>
                <w:rPr>
                  <w:rStyle w:val="a3"/>
                  <w:rFonts w:ascii="Arial" w:eastAsia="Times New Roman" w:hAnsi="Arial" w:cs="Arial"/>
                  <w:sz w:val="16"/>
                  <w:szCs w:val="16"/>
                  <w:u w:val="none"/>
                </w:rPr>
                <w:t>Item 1B. Unresolved Staff Comments.</w:t>
              </w:r>
            </w:hyperlink>
          </w:p>
        </w:tc>
        <w:tc>
          <w:tcPr>
            <w:tcW w:w="0" w:type="auto"/>
            <w:gridSpan w:val="3"/>
            <w:tcMar>
              <w:top w:w="30" w:type="dxa"/>
              <w:left w:w="20" w:type="dxa"/>
              <w:bottom w:w="30" w:type="dxa"/>
              <w:right w:w="20" w:type="dxa"/>
            </w:tcMar>
            <w:vAlign w:val="bottom"/>
            <w:hideMark/>
          </w:tcPr>
          <w:p w14:paraId="04AEB22D" w14:textId="77777777" w:rsidR="00000000" w:rsidRDefault="001D0688">
            <w:pPr>
              <w:jc w:val="right"/>
              <w:rPr>
                <w:rFonts w:eastAsia="Times New Roman"/>
              </w:rPr>
            </w:pPr>
            <w:hyperlink w:anchor="ifefa58cec8564209b9c0a3ca41dbda61_25" w:history="1">
              <w:r>
                <w:rPr>
                  <w:rStyle w:val="a3"/>
                  <w:rFonts w:ascii="Arial" w:eastAsia="Times New Roman" w:hAnsi="Arial" w:cs="Arial"/>
                  <w:sz w:val="17"/>
                  <w:szCs w:val="17"/>
                </w:rPr>
                <w:t>15</w:t>
              </w:r>
            </w:hyperlink>
          </w:p>
        </w:tc>
      </w:tr>
      <w:tr w:rsidR="00000000" w14:paraId="587E62BD" w14:textId="77777777">
        <w:trPr>
          <w:divId w:val="508763907"/>
        </w:trPr>
        <w:tc>
          <w:tcPr>
            <w:tcW w:w="0" w:type="auto"/>
            <w:gridSpan w:val="3"/>
            <w:tcMar>
              <w:top w:w="30" w:type="dxa"/>
              <w:left w:w="20" w:type="dxa"/>
              <w:bottom w:w="30" w:type="dxa"/>
              <w:right w:w="20" w:type="dxa"/>
            </w:tcMar>
            <w:vAlign w:val="bottom"/>
            <w:hideMark/>
          </w:tcPr>
          <w:p w14:paraId="4709912C" w14:textId="77777777" w:rsidR="00000000" w:rsidRDefault="001D0688">
            <w:pPr>
              <w:divId w:val="2141268491"/>
              <w:rPr>
                <w:rFonts w:eastAsia="Times New Roman"/>
              </w:rPr>
            </w:pPr>
            <w:hyperlink w:anchor="ifefa58cec8564209b9c0a3ca41dbda61_28" w:history="1">
              <w:r>
                <w:rPr>
                  <w:rStyle w:val="a3"/>
                  <w:rFonts w:ascii="Arial" w:eastAsia="Times New Roman" w:hAnsi="Arial" w:cs="Arial"/>
                  <w:sz w:val="16"/>
                  <w:szCs w:val="16"/>
                  <w:u w:val="none"/>
                </w:rPr>
                <w:t>Item 2. Properties.</w:t>
              </w:r>
            </w:hyperlink>
          </w:p>
        </w:tc>
        <w:tc>
          <w:tcPr>
            <w:tcW w:w="0" w:type="auto"/>
            <w:gridSpan w:val="3"/>
            <w:tcMar>
              <w:top w:w="30" w:type="dxa"/>
              <w:left w:w="20" w:type="dxa"/>
              <w:bottom w:w="30" w:type="dxa"/>
              <w:right w:w="20" w:type="dxa"/>
            </w:tcMar>
            <w:vAlign w:val="bottom"/>
            <w:hideMark/>
          </w:tcPr>
          <w:p w14:paraId="551317A1" w14:textId="77777777" w:rsidR="00000000" w:rsidRDefault="001D0688">
            <w:pPr>
              <w:jc w:val="right"/>
              <w:rPr>
                <w:rFonts w:eastAsia="Times New Roman"/>
              </w:rPr>
            </w:pPr>
            <w:hyperlink w:anchor="ifefa58cec8564209b9c0a3ca41dbda61_28" w:history="1">
              <w:r>
                <w:rPr>
                  <w:rStyle w:val="a3"/>
                  <w:rFonts w:ascii="Arial" w:eastAsia="Times New Roman" w:hAnsi="Arial" w:cs="Arial"/>
                  <w:sz w:val="17"/>
                  <w:szCs w:val="17"/>
                </w:rPr>
                <w:t>16</w:t>
              </w:r>
            </w:hyperlink>
          </w:p>
        </w:tc>
      </w:tr>
      <w:tr w:rsidR="00000000" w14:paraId="55E69A89" w14:textId="77777777">
        <w:trPr>
          <w:divId w:val="508763907"/>
        </w:trPr>
        <w:tc>
          <w:tcPr>
            <w:tcW w:w="0" w:type="auto"/>
            <w:gridSpan w:val="3"/>
            <w:tcMar>
              <w:top w:w="30" w:type="dxa"/>
              <w:left w:w="20" w:type="dxa"/>
              <w:bottom w:w="30" w:type="dxa"/>
              <w:right w:w="20" w:type="dxa"/>
            </w:tcMar>
            <w:vAlign w:val="bottom"/>
            <w:hideMark/>
          </w:tcPr>
          <w:p w14:paraId="039ED20B" w14:textId="77777777" w:rsidR="00000000" w:rsidRDefault="001D0688">
            <w:pPr>
              <w:divId w:val="73085869"/>
              <w:rPr>
                <w:rFonts w:eastAsia="Times New Roman"/>
              </w:rPr>
            </w:pPr>
            <w:hyperlink w:anchor="ifefa58cec8564209b9c0a3ca41dbda61_31" w:history="1">
              <w:r>
                <w:rPr>
                  <w:rStyle w:val="a3"/>
                  <w:rFonts w:ascii="Arial" w:eastAsia="Times New Roman" w:hAnsi="Arial" w:cs="Arial"/>
                  <w:sz w:val="16"/>
                  <w:szCs w:val="16"/>
                  <w:u w:val="none"/>
                </w:rPr>
                <w:t>Item 3. Legal Proceedings.</w:t>
              </w:r>
            </w:hyperlink>
          </w:p>
        </w:tc>
        <w:tc>
          <w:tcPr>
            <w:tcW w:w="0" w:type="auto"/>
            <w:gridSpan w:val="3"/>
            <w:tcMar>
              <w:top w:w="30" w:type="dxa"/>
              <w:left w:w="20" w:type="dxa"/>
              <w:bottom w:w="30" w:type="dxa"/>
              <w:right w:w="20" w:type="dxa"/>
            </w:tcMar>
            <w:vAlign w:val="bottom"/>
            <w:hideMark/>
          </w:tcPr>
          <w:p w14:paraId="7EEC9A41" w14:textId="77777777" w:rsidR="00000000" w:rsidRDefault="001D0688">
            <w:pPr>
              <w:jc w:val="right"/>
              <w:rPr>
                <w:rFonts w:eastAsia="Times New Roman"/>
              </w:rPr>
            </w:pPr>
            <w:hyperlink w:anchor="ifefa58cec8564209b9c0a3ca41dbda61_31" w:history="1">
              <w:r>
                <w:rPr>
                  <w:rStyle w:val="a3"/>
                  <w:rFonts w:ascii="Arial" w:eastAsia="Times New Roman" w:hAnsi="Arial" w:cs="Arial"/>
                  <w:sz w:val="17"/>
                  <w:szCs w:val="17"/>
                </w:rPr>
                <w:t>16</w:t>
              </w:r>
            </w:hyperlink>
          </w:p>
        </w:tc>
      </w:tr>
      <w:tr w:rsidR="00000000" w14:paraId="37EA62FD" w14:textId="77777777">
        <w:trPr>
          <w:divId w:val="508763907"/>
        </w:trPr>
        <w:tc>
          <w:tcPr>
            <w:tcW w:w="0" w:type="auto"/>
            <w:gridSpan w:val="3"/>
            <w:tcMar>
              <w:top w:w="30" w:type="dxa"/>
              <w:left w:w="20" w:type="dxa"/>
              <w:bottom w:w="30" w:type="dxa"/>
              <w:right w:w="20" w:type="dxa"/>
            </w:tcMar>
            <w:vAlign w:val="bottom"/>
            <w:hideMark/>
          </w:tcPr>
          <w:p w14:paraId="0AC35B68" w14:textId="77777777" w:rsidR="00000000" w:rsidRDefault="001D0688">
            <w:pPr>
              <w:divId w:val="303972231"/>
              <w:rPr>
                <w:rFonts w:eastAsia="Times New Roman"/>
              </w:rPr>
            </w:pPr>
            <w:hyperlink w:anchor="ifefa58cec8564209b9c0a3ca41dbda61_34" w:history="1">
              <w:r>
                <w:rPr>
                  <w:rStyle w:val="a3"/>
                  <w:rFonts w:ascii="Arial" w:eastAsia="Times New Roman" w:hAnsi="Arial" w:cs="Arial"/>
                  <w:sz w:val="16"/>
                  <w:szCs w:val="16"/>
                  <w:u w:val="none"/>
                </w:rPr>
                <w:t>Item 4. Mine Safety Disclosures.</w:t>
              </w:r>
            </w:hyperlink>
          </w:p>
        </w:tc>
        <w:tc>
          <w:tcPr>
            <w:tcW w:w="0" w:type="auto"/>
            <w:gridSpan w:val="3"/>
            <w:tcMar>
              <w:top w:w="30" w:type="dxa"/>
              <w:left w:w="20" w:type="dxa"/>
              <w:bottom w:w="30" w:type="dxa"/>
              <w:right w:w="20" w:type="dxa"/>
            </w:tcMar>
            <w:vAlign w:val="bottom"/>
            <w:hideMark/>
          </w:tcPr>
          <w:p w14:paraId="03964BE6" w14:textId="77777777" w:rsidR="00000000" w:rsidRDefault="001D0688">
            <w:pPr>
              <w:jc w:val="right"/>
              <w:rPr>
                <w:rFonts w:eastAsia="Times New Roman"/>
              </w:rPr>
            </w:pPr>
            <w:hyperlink w:anchor="ifefa58cec8564209b9c0a3ca41dbda61_34" w:history="1">
              <w:r>
                <w:rPr>
                  <w:rStyle w:val="a3"/>
                  <w:rFonts w:ascii="Arial" w:eastAsia="Times New Roman" w:hAnsi="Arial" w:cs="Arial"/>
                  <w:sz w:val="17"/>
                  <w:szCs w:val="17"/>
                </w:rPr>
                <w:t>16</w:t>
              </w:r>
            </w:hyperlink>
          </w:p>
        </w:tc>
      </w:tr>
      <w:tr w:rsidR="00000000" w14:paraId="1F2A1AB3" w14:textId="77777777">
        <w:trPr>
          <w:divId w:val="508763907"/>
        </w:trPr>
        <w:tc>
          <w:tcPr>
            <w:tcW w:w="0" w:type="auto"/>
            <w:gridSpan w:val="3"/>
            <w:tcMar>
              <w:top w:w="30" w:type="dxa"/>
              <w:left w:w="20" w:type="dxa"/>
              <w:bottom w:w="30" w:type="dxa"/>
              <w:right w:w="20" w:type="dxa"/>
            </w:tcMar>
            <w:vAlign w:val="bottom"/>
            <w:hideMark/>
          </w:tcPr>
          <w:p w14:paraId="35E452BC" w14:textId="77777777" w:rsidR="00000000" w:rsidRDefault="001D0688">
            <w:pPr>
              <w:divId w:val="733893173"/>
              <w:rPr>
                <w:rFonts w:eastAsia="Times New Roman"/>
              </w:rPr>
            </w:pPr>
            <w:hyperlink w:anchor="ifefa58cec8564209b9c0a3ca41dbda61_37" w:history="1">
              <w:r>
                <w:rPr>
                  <w:rStyle w:val="a3"/>
                  <w:rFonts w:ascii="Arial" w:eastAsia="Times New Roman" w:hAnsi="Arial" w:cs="Arial"/>
                  <w:b/>
                  <w:bCs/>
                  <w:sz w:val="16"/>
                  <w:szCs w:val="16"/>
                  <w:u w:val="none"/>
                </w:rPr>
                <w:t>PART II</w:t>
              </w:r>
            </w:hyperlink>
          </w:p>
        </w:tc>
        <w:tc>
          <w:tcPr>
            <w:tcW w:w="0" w:type="auto"/>
            <w:gridSpan w:val="3"/>
            <w:tcMar>
              <w:top w:w="30" w:type="dxa"/>
              <w:left w:w="20" w:type="dxa"/>
              <w:bottom w:w="30" w:type="dxa"/>
              <w:right w:w="20" w:type="dxa"/>
            </w:tcMar>
            <w:vAlign w:val="bottom"/>
            <w:hideMark/>
          </w:tcPr>
          <w:p w14:paraId="1346D370" w14:textId="77777777" w:rsidR="00000000" w:rsidRDefault="001D0688">
            <w:pPr>
              <w:jc w:val="right"/>
              <w:rPr>
                <w:rFonts w:eastAsia="Times New Roman"/>
              </w:rPr>
            </w:pPr>
            <w:hyperlink w:anchor="ifefa58cec8564209b9c0a3ca41dbda61_37" w:history="1">
              <w:r>
                <w:rPr>
                  <w:rStyle w:val="a3"/>
                  <w:rFonts w:ascii="Arial" w:eastAsia="Times New Roman" w:hAnsi="Arial" w:cs="Arial"/>
                  <w:sz w:val="17"/>
                  <w:szCs w:val="17"/>
                </w:rPr>
                <w:t>17</w:t>
              </w:r>
            </w:hyperlink>
          </w:p>
        </w:tc>
      </w:tr>
      <w:tr w:rsidR="00000000" w14:paraId="5C675482" w14:textId="77777777">
        <w:trPr>
          <w:divId w:val="508763907"/>
        </w:trPr>
        <w:tc>
          <w:tcPr>
            <w:tcW w:w="0" w:type="auto"/>
            <w:gridSpan w:val="3"/>
            <w:tcMar>
              <w:top w:w="30" w:type="dxa"/>
              <w:left w:w="20" w:type="dxa"/>
              <w:bottom w:w="30" w:type="dxa"/>
              <w:right w:w="20" w:type="dxa"/>
            </w:tcMar>
            <w:vAlign w:val="bottom"/>
            <w:hideMark/>
          </w:tcPr>
          <w:p w14:paraId="2D4F028C" w14:textId="77777777" w:rsidR="00000000" w:rsidRDefault="001D0688">
            <w:pPr>
              <w:divId w:val="1392658056"/>
              <w:rPr>
                <w:rFonts w:eastAsia="Times New Roman"/>
              </w:rPr>
            </w:pPr>
            <w:hyperlink w:anchor="ifefa58cec8564209b9c0a3ca41dbda61_40" w:history="1">
              <w:r>
                <w:rPr>
                  <w:rStyle w:val="a3"/>
                  <w:rFonts w:ascii="Arial" w:eastAsia="Times New Roman" w:hAnsi="Arial" w:cs="Arial"/>
                  <w:sz w:val="16"/>
                  <w:szCs w:val="16"/>
                  <w:u w:val="none"/>
                </w:rPr>
                <w:t>Item 5. Market for Registrant’</w:t>
              </w:r>
              <w:r>
                <w:rPr>
                  <w:rStyle w:val="a3"/>
                  <w:rFonts w:ascii="Arial" w:eastAsia="Times New Roman" w:hAnsi="Arial" w:cs="Arial"/>
                  <w:sz w:val="16"/>
                  <w:szCs w:val="16"/>
                  <w:u w:val="none"/>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14:paraId="4B216D35" w14:textId="77777777" w:rsidR="00000000" w:rsidRDefault="001D0688">
            <w:pPr>
              <w:jc w:val="right"/>
              <w:rPr>
                <w:rFonts w:eastAsia="Times New Roman"/>
              </w:rPr>
            </w:pPr>
            <w:hyperlink w:anchor="ifefa58cec8564209b9c0a3ca41dbda61_40" w:history="1">
              <w:r>
                <w:rPr>
                  <w:rStyle w:val="a3"/>
                  <w:rFonts w:ascii="Arial" w:eastAsia="Times New Roman" w:hAnsi="Arial" w:cs="Arial"/>
                  <w:sz w:val="17"/>
                  <w:szCs w:val="17"/>
                </w:rPr>
                <w:t>17</w:t>
              </w:r>
            </w:hyperlink>
          </w:p>
        </w:tc>
      </w:tr>
      <w:tr w:rsidR="00000000" w14:paraId="5C2BC5E5" w14:textId="77777777">
        <w:trPr>
          <w:divId w:val="508763907"/>
        </w:trPr>
        <w:tc>
          <w:tcPr>
            <w:tcW w:w="0" w:type="auto"/>
            <w:gridSpan w:val="3"/>
            <w:tcMar>
              <w:top w:w="30" w:type="dxa"/>
              <w:left w:w="20" w:type="dxa"/>
              <w:bottom w:w="30" w:type="dxa"/>
              <w:right w:w="20" w:type="dxa"/>
            </w:tcMar>
            <w:vAlign w:val="bottom"/>
            <w:hideMark/>
          </w:tcPr>
          <w:p w14:paraId="0321D94B" w14:textId="77777777" w:rsidR="00000000" w:rsidRDefault="001D0688">
            <w:pPr>
              <w:divId w:val="1685937974"/>
              <w:rPr>
                <w:rFonts w:eastAsia="Times New Roman"/>
              </w:rPr>
            </w:pPr>
            <w:hyperlink w:anchor="ifefa58cec8564209b9c0a3ca41dbda61_43" w:history="1">
              <w:r>
                <w:rPr>
                  <w:rStyle w:val="a3"/>
                  <w:rFonts w:ascii="Arial" w:eastAsia="Times New Roman" w:hAnsi="Arial" w:cs="Arial"/>
                  <w:sz w:val="16"/>
                  <w:szCs w:val="16"/>
                  <w:u w:val="none"/>
                </w:rPr>
                <w:t>Item 6. Selected Financial Data.</w:t>
              </w:r>
            </w:hyperlink>
          </w:p>
        </w:tc>
        <w:tc>
          <w:tcPr>
            <w:tcW w:w="0" w:type="auto"/>
            <w:gridSpan w:val="3"/>
            <w:tcMar>
              <w:top w:w="30" w:type="dxa"/>
              <w:left w:w="20" w:type="dxa"/>
              <w:bottom w:w="30" w:type="dxa"/>
              <w:right w:w="20" w:type="dxa"/>
            </w:tcMar>
            <w:vAlign w:val="bottom"/>
            <w:hideMark/>
          </w:tcPr>
          <w:p w14:paraId="4499D276" w14:textId="77777777" w:rsidR="00000000" w:rsidRDefault="001D0688">
            <w:pPr>
              <w:jc w:val="right"/>
              <w:rPr>
                <w:rFonts w:eastAsia="Times New Roman"/>
              </w:rPr>
            </w:pPr>
            <w:hyperlink w:anchor="ifefa58cec8564209b9c0a3ca41dbda61_43" w:history="1">
              <w:r>
                <w:rPr>
                  <w:rStyle w:val="a3"/>
                  <w:rFonts w:ascii="Arial" w:eastAsia="Times New Roman" w:hAnsi="Arial" w:cs="Arial"/>
                  <w:sz w:val="17"/>
                  <w:szCs w:val="17"/>
                </w:rPr>
                <w:t>19</w:t>
              </w:r>
            </w:hyperlink>
          </w:p>
        </w:tc>
      </w:tr>
      <w:tr w:rsidR="00000000" w14:paraId="114C2AE6" w14:textId="77777777">
        <w:trPr>
          <w:divId w:val="508763907"/>
        </w:trPr>
        <w:tc>
          <w:tcPr>
            <w:tcW w:w="0" w:type="auto"/>
            <w:gridSpan w:val="3"/>
            <w:tcMar>
              <w:top w:w="30" w:type="dxa"/>
              <w:left w:w="20" w:type="dxa"/>
              <w:bottom w:w="30" w:type="dxa"/>
              <w:right w:w="20" w:type="dxa"/>
            </w:tcMar>
            <w:vAlign w:val="bottom"/>
            <w:hideMark/>
          </w:tcPr>
          <w:p w14:paraId="1653C88C" w14:textId="77777777" w:rsidR="00000000" w:rsidRDefault="001D0688">
            <w:pPr>
              <w:divId w:val="1100175080"/>
              <w:rPr>
                <w:rFonts w:eastAsia="Times New Roman"/>
              </w:rPr>
            </w:pPr>
            <w:hyperlink w:anchor="ifefa58cec8564209b9c0a3ca41dbda61_46" w:history="1">
              <w:r>
                <w:rPr>
                  <w:rStyle w:val="a3"/>
                  <w:rFonts w:ascii="Arial" w:eastAsia="Times New Roman" w:hAnsi="Arial" w:cs="Arial"/>
                  <w:sz w:val="16"/>
                  <w:szCs w:val="16"/>
                  <w:u w:val="none"/>
                </w:rPr>
                <w:t>Item 7. Management’s Discussion and An</w:t>
              </w:r>
              <w:r>
                <w:rPr>
                  <w:rStyle w:val="a3"/>
                  <w:rFonts w:ascii="Arial" w:eastAsia="Times New Roman" w:hAnsi="Arial" w:cs="Arial"/>
                  <w:sz w:val="16"/>
                  <w:szCs w:val="16"/>
                  <w:u w:val="none"/>
                </w:rPr>
                <w:t>alysis of Financial Condition and Results of Operations.</w:t>
              </w:r>
            </w:hyperlink>
          </w:p>
        </w:tc>
        <w:tc>
          <w:tcPr>
            <w:tcW w:w="0" w:type="auto"/>
            <w:gridSpan w:val="3"/>
            <w:tcMar>
              <w:top w:w="30" w:type="dxa"/>
              <w:left w:w="20" w:type="dxa"/>
              <w:bottom w:w="30" w:type="dxa"/>
              <w:right w:w="20" w:type="dxa"/>
            </w:tcMar>
            <w:vAlign w:val="bottom"/>
            <w:hideMark/>
          </w:tcPr>
          <w:p w14:paraId="27415AFC" w14:textId="77777777" w:rsidR="00000000" w:rsidRDefault="001D0688">
            <w:pPr>
              <w:jc w:val="right"/>
              <w:rPr>
                <w:rFonts w:eastAsia="Times New Roman"/>
              </w:rPr>
            </w:pPr>
            <w:hyperlink w:anchor="ifefa58cec8564209b9c0a3ca41dbda61_46" w:history="1">
              <w:r>
                <w:rPr>
                  <w:rStyle w:val="a3"/>
                  <w:rFonts w:ascii="Arial" w:eastAsia="Times New Roman" w:hAnsi="Arial" w:cs="Arial"/>
                  <w:sz w:val="17"/>
                  <w:szCs w:val="17"/>
                </w:rPr>
                <w:t>21</w:t>
              </w:r>
            </w:hyperlink>
          </w:p>
        </w:tc>
      </w:tr>
      <w:tr w:rsidR="00000000" w14:paraId="171C8DCA" w14:textId="77777777">
        <w:trPr>
          <w:divId w:val="508763907"/>
        </w:trPr>
        <w:tc>
          <w:tcPr>
            <w:tcW w:w="0" w:type="auto"/>
            <w:gridSpan w:val="3"/>
            <w:tcMar>
              <w:top w:w="30" w:type="dxa"/>
              <w:left w:w="20" w:type="dxa"/>
              <w:bottom w:w="30" w:type="dxa"/>
              <w:right w:w="20" w:type="dxa"/>
            </w:tcMar>
            <w:vAlign w:val="bottom"/>
            <w:hideMark/>
          </w:tcPr>
          <w:p w14:paraId="3216799F" w14:textId="77777777" w:rsidR="00000000" w:rsidRDefault="001D0688">
            <w:pPr>
              <w:divId w:val="636255238"/>
              <w:rPr>
                <w:rFonts w:eastAsia="Times New Roman"/>
              </w:rPr>
            </w:pPr>
            <w:hyperlink w:anchor="ifefa58cec8564209b9c0a3ca41dbda61_82" w:history="1">
              <w:r>
                <w:rPr>
                  <w:rStyle w:val="a3"/>
                  <w:rFonts w:ascii="Arial" w:eastAsia="Times New Roman" w:hAnsi="Arial" w:cs="Arial"/>
                  <w:sz w:val="16"/>
                  <w:szCs w:val="16"/>
                  <w:u w:val="none"/>
                </w:rPr>
                <w:t>Item </w:t>
              </w:r>
              <w:r>
                <w:rPr>
                  <w:rStyle w:val="a3"/>
                  <w:rFonts w:ascii="Arial" w:eastAsia="Times New Roman" w:hAnsi="Arial" w:cs="Arial"/>
                  <w:sz w:val="16"/>
                  <w:szCs w:val="16"/>
                  <w:u w:val="none"/>
                </w:rPr>
                <w:t>7A. Quantitative and Qualitative Disclosures About Market Risk.</w:t>
              </w:r>
            </w:hyperlink>
          </w:p>
        </w:tc>
        <w:tc>
          <w:tcPr>
            <w:tcW w:w="0" w:type="auto"/>
            <w:gridSpan w:val="3"/>
            <w:tcMar>
              <w:top w:w="30" w:type="dxa"/>
              <w:left w:w="20" w:type="dxa"/>
              <w:bottom w:w="30" w:type="dxa"/>
              <w:right w:w="20" w:type="dxa"/>
            </w:tcMar>
            <w:vAlign w:val="bottom"/>
            <w:hideMark/>
          </w:tcPr>
          <w:p w14:paraId="234487DA" w14:textId="77777777" w:rsidR="00000000" w:rsidRDefault="001D0688">
            <w:pPr>
              <w:jc w:val="right"/>
              <w:rPr>
                <w:rFonts w:eastAsia="Times New Roman"/>
              </w:rPr>
            </w:pPr>
            <w:hyperlink w:anchor="ifefa58cec8564209b9c0a3ca41dbda61_82" w:history="1">
              <w:r>
                <w:rPr>
                  <w:rStyle w:val="a3"/>
                  <w:rFonts w:ascii="Arial" w:eastAsia="Times New Roman" w:hAnsi="Arial" w:cs="Arial"/>
                  <w:sz w:val="17"/>
                  <w:szCs w:val="17"/>
                </w:rPr>
                <w:t>44</w:t>
              </w:r>
            </w:hyperlink>
          </w:p>
        </w:tc>
      </w:tr>
      <w:tr w:rsidR="00000000" w14:paraId="5ABCADB1" w14:textId="77777777">
        <w:trPr>
          <w:divId w:val="508763907"/>
        </w:trPr>
        <w:tc>
          <w:tcPr>
            <w:tcW w:w="0" w:type="auto"/>
            <w:gridSpan w:val="3"/>
            <w:tcMar>
              <w:top w:w="30" w:type="dxa"/>
              <w:left w:w="20" w:type="dxa"/>
              <w:bottom w:w="30" w:type="dxa"/>
              <w:right w:w="20" w:type="dxa"/>
            </w:tcMar>
            <w:vAlign w:val="bottom"/>
            <w:hideMark/>
          </w:tcPr>
          <w:p w14:paraId="3D783ED2" w14:textId="77777777" w:rsidR="00000000" w:rsidRDefault="001D0688">
            <w:pPr>
              <w:divId w:val="594288803"/>
              <w:rPr>
                <w:rFonts w:eastAsia="Times New Roman"/>
              </w:rPr>
            </w:pPr>
            <w:hyperlink w:anchor="ifefa58cec8564209b9c0a3ca41dbda61_85" w:history="1">
              <w:r>
                <w:rPr>
                  <w:rStyle w:val="a3"/>
                  <w:rFonts w:ascii="Arial" w:eastAsia="Times New Roman" w:hAnsi="Arial" w:cs="Arial"/>
                  <w:sz w:val="16"/>
                  <w:szCs w:val="16"/>
                  <w:u w:val="none"/>
                </w:rPr>
                <w:t>Item </w:t>
              </w:r>
              <w:r>
                <w:rPr>
                  <w:rStyle w:val="a3"/>
                  <w:rFonts w:ascii="Arial" w:eastAsia="Times New Roman" w:hAnsi="Arial" w:cs="Arial"/>
                  <w:sz w:val="16"/>
                  <w:szCs w:val="16"/>
                  <w:u w:val="none"/>
                </w:rPr>
                <w:t>8. Financial Statements and Supplementary Data.</w:t>
              </w:r>
            </w:hyperlink>
          </w:p>
        </w:tc>
        <w:tc>
          <w:tcPr>
            <w:tcW w:w="0" w:type="auto"/>
            <w:gridSpan w:val="3"/>
            <w:tcMar>
              <w:top w:w="30" w:type="dxa"/>
              <w:left w:w="20" w:type="dxa"/>
              <w:bottom w:w="30" w:type="dxa"/>
              <w:right w:w="20" w:type="dxa"/>
            </w:tcMar>
            <w:vAlign w:val="bottom"/>
            <w:hideMark/>
          </w:tcPr>
          <w:p w14:paraId="490EE038" w14:textId="77777777" w:rsidR="00000000" w:rsidRDefault="001D0688">
            <w:pPr>
              <w:jc w:val="right"/>
              <w:rPr>
                <w:rFonts w:eastAsia="Times New Roman"/>
              </w:rPr>
            </w:pPr>
            <w:hyperlink w:anchor="ifefa58cec8564209b9c0a3ca41dbda61_85" w:history="1">
              <w:r>
                <w:rPr>
                  <w:rStyle w:val="a3"/>
                  <w:rFonts w:ascii="Arial" w:eastAsia="Times New Roman" w:hAnsi="Arial" w:cs="Arial"/>
                  <w:sz w:val="17"/>
                  <w:szCs w:val="17"/>
                </w:rPr>
                <w:t>45</w:t>
              </w:r>
            </w:hyperlink>
          </w:p>
        </w:tc>
      </w:tr>
      <w:tr w:rsidR="00000000" w14:paraId="36E2E47E" w14:textId="77777777">
        <w:trPr>
          <w:divId w:val="508763907"/>
        </w:trPr>
        <w:tc>
          <w:tcPr>
            <w:tcW w:w="0" w:type="auto"/>
            <w:gridSpan w:val="3"/>
            <w:vAlign w:val="center"/>
            <w:hideMark/>
          </w:tcPr>
          <w:p w14:paraId="136047FB" w14:textId="77777777" w:rsidR="00000000" w:rsidRDefault="001D0688">
            <w:pPr>
              <w:jc w:val="right"/>
              <w:rPr>
                <w:rFonts w:eastAsia="Times New Roman"/>
              </w:rPr>
            </w:pPr>
          </w:p>
        </w:tc>
        <w:tc>
          <w:tcPr>
            <w:tcW w:w="0" w:type="auto"/>
            <w:gridSpan w:val="3"/>
            <w:vAlign w:val="center"/>
            <w:hideMark/>
          </w:tcPr>
          <w:p w14:paraId="6FB61224" w14:textId="77777777" w:rsidR="00000000" w:rsidRDefault="001D0688">
            <w:pPr>
              <w:rPr>
                <w:rFonts w:eastAsia="Times New Roman"/>
                <w:sz w:val="20"/>
                <w:szCs w:val="20"/>
              </w:rPr>
            </w:pPr>
          </w:p>
        </w:tc>
      </w:tr>
      <w:tr w:rsidR="00000000" w14:paraId="5F3D74B2" w14:textId="77777777">
        <w:trPr>
          <w:divId w:val="508763907"/>
        </w:trPr>
        <w:tc>
          <w:tcPr>
            <w:tcW w:w="0" w:type="auto"/>
            <w:gridSpan w:val="3"/>
            <w:vAlign w:val="center"/>
            <w:hideMark/>
          </w:tcPr>
          <w:p w14:paraId="39648187" w14:textId="77777777" w:rsidR="00000000" w:rsidRDefault="001D0688">
            <w:pPr>
              <w:rPr>
                <w:rFonts w:eastAsia="Times New Roman"/>
                <w:sz w:val="20"/>
                <w:szCs w:val="20"/>
              </w:rPr>
            </w:pPr>
          </w:p>
        </w:tc>
        <w:tc>
          <w:tcPr>
            <w:tcW w:w="0" w:type="auto"/>
            <w:gridSpan w:val="3"/>
            <w:vAlign w:val="center"/>
            <w:hideMark/>
          </w:tcPr>
          <w:p w14:paraId="5FC9E405" w14:textId="77777777" w:rsidR="00000000" w:rsidRDefault="001D0688">
            <w:pPr>
              <w:rPr>
                <w:rFonts w:eastAsia="Times New Roman"/>
                <w:sz w:val="20"/>
                <w:szCs w:val="20"/>
              </w:rPr>
            </w:pPr>
          </w:p>
        </w:tc>
      </w:tr>
      <w:tr w:rsidR="00000000" w14:paraId="278912F1" w14:textId="77777777">
        <w:trPr>
          <w:divId w:val="508763907"/>
        </w:trPr>
        <w:tc>
          <w:tcPr>
            <w:tcW w:w="0" w:type="auto"/>
            <w:gridSpan w:val="3"/>
            <w:vAlign w:val="center"/>
            <w:hideMark/>
          </w:tcPr>
          <w:p w14:paraId="53B2CB8C" w14:textId="77777777" w:rsidR="00000000" w:rsidRDefault="001D0688">
            <w:pPr>
              <w:rPr>
                <w:rFonts w:eastAsia="Times New Roman"/>
                <w:sz w:val="20"/>
                <w:szCs w:val="20"/>
              </w:rPr>
            </w:pPr>
          </w:p>
        </w:tc>
        <w:tc>
          <w:tcPr>
            <w:tcW w:w="0" w:type="auto"/>
            <w:gridSpan w:val="3"/>
            <w:vAlign w:val="center"/>
            <w:hideMark/>
          </w:tcPr>
          <w:p w14:paraId="0D378F81" w14:textId="77777777" w:rsidR="00000000" w:rsidRDefault="001D0688">
            <w:pPr>
              <w:rPr>
                <w:rFonts w:eastAsia="Times New Roman"/>
                <w:sz w:val="20"/>
                <w:szCs w:val="20"/>
              </w:rPr>
            </w:pPr>
          </w:p>
        </w:tc>
      </w:tr>
      <w:tr w:rsidR="00000000" w14:paraId="6BD1CC2B" w14:textId="77777777">
        <w:trPr>
          <w:divId w:val="508763907"/>
        </w:trPr>
        <w:tc>
          <w:tcPr>
            <w:tcW w:w="0" w:type="auto"/>
            <w:gridSpan w:val="3"/>
            <w:vAlign w:val="center"/>
            <w:hideMark/>
          </w:tcPr>
          <w:p w14:paraId="50A8818A" w14:textId="77777777" w:rsidR="00000000" w:rsidRDefault="001D0688">
            <w:pPr>
              <w:rPr>
                <w:rFonts w:eastAsia="Times New Roman"/>
                <w:sz w:val="20"/>
                <w:szCs w:val="20"/>
              </w:rPr>
            </w:pPr>
          </w:p>
        </w:tc>
        <w:tc>
          <w:tcPr>
            <w:tcW w:w="0" w:type="auto"/>
            <w:gridSpan w:val="3"/>
            <w:vAlign w:val="center"/>
            <w:hideMark/>
          </w:tcPr>
          <w:p w14:paraId="6B7E6ABD" w14:textId="77777777" w:rsidR="00000000" w:rsidRDefault="001D0688">
            <w:pPr>
              <w:rPr>
                <w:rFonts w:eastAsia="Times New Roman"/>
                <w:sz w:val="20"/>
                <w:szCs w:val="20"/>
              </w:rPr>
            </w:pPr>
          </w:p>
        </w:tc>
      </w:tr>
      <w:tr w:rsidR="00000000" w14:paraId="1D6EFE29" w14:textId="77777777">
        <w:trPr>
          <w:divId w:val="508763907"/>
        </w:trPr>
        <w:tc>
          <w:tcPr>
            <w:tcW w:w="0" w:type="auto"/>
            <w:gridSpan w:val="3"/>
            <w:vAlign w:val="center"/>
            <w:hideMark/>
          </w:tcPr>
          <w:p w14:paraId="6A928308" w14:textId="77777777" w:rsidR="00000000" w:rsidRDefault="001D0688">
            <w:pPr>
              <w:rPr>
                <w:rFonts w:eastAsia="Times New Roman"/>
                <w:sz w:val="20"/>
                <w:szCs w:val="20"/>
              </w:rPr>
            </w:pPr>
          </w:p>
        </w:tc>
        <w:tc>
          <w:tcPr>
            <w:tcW w:w="0" w:type="auto"/>
            <w:gridSpan w:val="3"/>
            <w:vAlign w:val="center"/>
            <w:hideMark/>
          </w:tcPr>
          <w:p w14:paraId="11B9BC06" w14:textId="77777777" w:rsidR="00000000" w:rsidRDefault="001D0688">
            <w:pPr>
              <w:rPr>
                <w:rFonts w:eastAsia="Times New Roman"/>
                <w:sz w:val="20"/>
                <w:szCs w:val="20"/>
              </w:rPr>
            </w:pPr>
          </w:p>
        </w:tc>
      </w:tr>
      <w:tr w:rsidR="00000000" w14:paraId="6CB56A2F" w14:textId="77777777">
        <w:trPr>
          <w:divId w:val="508763907"/>
        </w:trPr>
        <w:tc>
          <w:tcPr>
            <w:tcW w:w="0" w:type="auto"/>
            <w:gridSpan w:val="3"/>
            <w:tcMar>
              <w:top w:w="30" w:type="dxa"/>
              <w:left w:w="20" w:type="dxa"/>
              <w:bottom w:w="30" w:type="dxa"/>
              <w:right w:w="20" w:type="dxa"/>
            </w:tcMar>
            <w:vAlign w:val="bottom"/>
            <w:hideMark/>
          </w:tcPr>
          <w:p w14:paraId="4619256A" w14:textId="77777777" w:rsidR="00000000" w:rsidRDefault="001D0688">
            <w:pPr>
              <w:divId w:val="561791828"/>
              <w:rPr>
                <w:rFonts w:eastAsia="Times New Roman"/>
              </w:rPr>
            </w:pPr>
            <w:hyperlink w:anchor="ifefa58cec8564209b9c0a3ca41dbda61_217" w:history="1">
              <w:r>
                <w:rPr>
                  <w:rStyle w:val="a3"/>
                  <w:rFonts w:ascii="Arial" w:eastAsia="Times New Roman" w:hAnsi="Arial" w:cs="Arial"/>
                  <w:sz w:val="16"/>
                  <w:szCs w:val="16"/>
                  <w:u w:val="none"/>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14:paraId="4DBD2807" w14:textId="77777777" w:rsidR="00000000" w:rsidRDefault="001D0688">
            <w:pPr>
              <w:jc w:val="right"/>
              <w:rPr>
                <w:rFonts w:eastAsia="Times New Roman"/>
              </w:rPr>
            </w:pPr>
            <w:hyperlink w:anchor="ifefa58cec8564209b9c0a3ca41dbda61_217" w:history="1">
              <w:r>
                <w:rPr>
                  <w:rStyle w:val="a3"/>
                  <w:rFonts w:ascii="Arial" w:eastAsia="Times New Roman" w:hAnsi="Arial" w:cs="Arial"/>
                  <w:sz w:val="17"/>
                  <w:szCs w:val="17"/>
                </w:rPr>
                <w:t>97</w:t>
              </w:r>
            </w:hyperlink>
          </w:p>
        </w:tc>
      </w:tr>
      <w:tr w:rsidR="00000000" w14:paraId="0E0F27E7" w14:textId="77777777">
        <w:trPr>
          <w:divId w:val="508763907"/>
        </w:trPr>
        <w:tc>
          <w:tcPr>
            <w:tcW w:w="0" w:type="auto"/>
            <w:gridSpan w:val="3"/>
            <w:tcMar>
              <w:top w:w="30" w:type="dxa"/>
              <w:left w:w="20" w:type="dxa"/>
              <w:bottom w:w="30" w:type="dxa"/>
              <w:right w:w="20" w:type="dxa"/>
            </w:tcMar>
            <w:vAlign w:val="bottom"/>
            <w:hideMark/>
          </w:tcPr>
          <w:p w14:paraId="06B77E85" w14:textId="77777777" w:rsidR="00000000" w:rsidRDefault="001D0688">
            <w:pPr>
              <w:divId w:val="185943018"/>
              <w:rPr>
                <w:rFonts w:eastAsia="Times New Roman"/>
              </w:rPr>
            </w:pPr>
            <w:hyperlink w:anchor="ifefa58cec8564209b9c0a3ca41dbda61_220" w:history="1">
              <w:r>
                <w:rPr>
                  <w:rStyle w:val="a3"/>
                  <w:rFonts w:ascii="Arial" w:eastAsia="Times New Roman" w:hAnsi="Arial" w:cs="Arial"/>
                  <w:sz w:val="16"/>
                  <w:szCs w:val="16"/>
                  <w:u w:val="none"/>
                </w:rPr>
                <w:t>Item 9A. Controls and Procedures.</w:t>
              </w:r>
            </w:hyperlink>
          </w:p>
        </w:tc>
        <w:tc>
          <w:tcPr>
            <w:tcW w:w="0" w:type="auto"/>
            <w:gridSpan w:val="3"/>
            <w:tcMar>
              <w:top w:w="30" w:type="dxa"/>
              <w:left w:w="20" w:type="dxa"/>
              <w:bottom w:w="30" w:type="dxa"/>
              <w:right w:w="20" w:type="dxa"/>
            </w:tcMar>
            <w:vAlign w:val="bottom"/>
            <w:hideMark/>
          </w:tcPr>
          <w:p w14:paraId="487D6817" w14:textId="77777777" w:rsidR="00000000" w:rsidRDefault="001D0688">
            <w:pPr>
              <w:jc w:val="right"/>
              <w:rPr>
                <w:rFonts w:eastAsia="Times New Roman"/>
              </w:rPr>
            </w:pPr>
            <w:hyperlink w:anchor="ifefa58cec8564209b9c0a3ca41dbda61_220" w:history="1">
              <w:r>
                <w:rPr>
                  <w:rStyle w:val="a3"/>
                  <w:rFonts w:ascii="Arial" w:eastAsia="Times New Roman" w:hAnsi="Arial" w:cs="Arial"/>
                  <w:sz w:val="17"/>
                  <w:szCs w:val="17"/>
                </w:rPr>
                <w:t>97</w:t>
              </w:r>
            </w:hyperlink>
          </w:p>
        </w:tc>
      </w:tr>
      <w:tr w:rsidR="00000000" w14:paraId="44DC15E8" w14:textId="77777777">
        <w:trPr>
          <w:divId w:val="508763907"/>
        </w:trPr>
        <w:tc>
          <w:tcPr>
            <w:tcW w:w="0" w:type="auto"/>
            <w:gridSpan w:val="3"/>
            <w:tcMar>
              <w:top w:w="30" w:type="dxa"/>
              <w:left w:w="20" w:type="dxa"/>
              <w:bottom w:w="30" w:type="dxa"/>
              <w:right w:w="20" w:type="dxa"/>
            </w:tcMar>
            <w:vAlign w:val="bottom"/>
            <w:hideMark/>
          </w:tcPr>
          <w:p w14:paraId="767A91D2" w14:textId="77777777" w:rsidR="00000000" w:rsidRDefault="001D0688">
            <w:pPr>
              <w:divId w:val="2042003101"/>
              <w:rPr>
                <w:rFonts w:eastAsia="Times New Roman"/>
              </w:rPr>
            </w:pPr>
            <w:hyperlink w:anchor="ifefa58cec8564209b9c0a3ca41dbda61_223" w:history="1">
              <w:r>
                <w:rPr>
                  <w:rStyle w:val="a3"/>
                  <w:rFonts w:ascii="Arial" w:eastAsia="Times New Roman" w:hAnsi="Arial" w:cs="Arial"/>
                  <w:sz w:val="16"/>
                  <w:szCs w:val="16"/>
                  <w:u w:val="none"/>
                </w:rPr>
                <w:t>Item 9B. Other Information.</w:t>
              </w:r>
            </w:hyperlink>
          </w:p>
        </w:tc>
        <w:tc>
          <w:tcPr>
            <w:tcW w:w="0" w:type="auto"/>
            <w:gridSpan w:val="3"/>
            <w:tcMar>
              <w:top w:w="30" w:type="dxa"/>
              <w:left w:w="20" w:type="dxa"/>
              <w:bottom w:w="30" w:type="dxa"/>
              <w:right w:w="20" w:type="dxa"/>
            </w:tcMar>
            <w:vAlign w:val="bottom"/>
            <w:hideMark/>
          </w:tcPr>
          <w:p w14:paraId="57391B60" w14:textId="77777777" w:rsidR="00000000" w:rsidRDefault="001D0688">
            <w:pPr>
              <w:jc w:val="right"/>
              <w:rPr>
                <w:rFonts w:eastAsia="Times New Roman"/>
              </w:rPr>
            </w:pPr>
            <w:hyperlink w:anchor="ifefa58cec8564209b9c0a3ca41dbda61_223" w:history="1">
              <w:r>
                <w:rPr>
                  <w:rStyle w:val="a3"/>
                  <w:rFonts w:ascii="Arial" w:eastAsia="Times New Roman" w:hAnsi="Arial" w:cs="Arial"/>
                  <w:sz w:val="17"/>
                  <w:szCs w:val="17"/>
                </w:rPr>
                <w:t>97</w:t>
              </w:r>
            </w:hyperlink>
          </w:p>
        </w:tc>
      </w:tr>
      <w:tr w:rsidR="00000000" w14:paraId="140009C1" w14:textId="77777777">
        <w:trPr>
          <w:divId w:val="508763907"/>
        </w:trPr>
        <w:tc>
          <w:tcPr>
            <w:tcW w:w="0" w:type="auto"/>
            <w:gridSpan w:val="3"/>
            <w:tcMar>
              <w:top w:w="30" w:type="dxa"/>
              <w:left w:w="20" w:type="dxa"/>
              <w:bottom w:w="30" w:type="dxa"/>
              <w:right w:w="20" w:type="dxa"/>
            </w:tcMar>
            <w:vAlign w:val="bottom"/>
            <w:hideMark/>
          </w:tcPr>
          <w:p w14:paraId="4A412B90" w14:textId="77777777" w:rsidR="00000000" w:rsidRDefault="001D0688">
            <w:pPr>
              <w:divId w:val="65341760"/>
              <w:rPr>
                <w:rFonts w:eastAsia="Times New Roman"/>
              </w:rPr>
            </w:pPr>
            <w:hyperlink w:anchor="ifefa58cec8564209b9c0a3ca41dbda61_226" w:history="1">
              <w:r>
                <w:rPr>
                  <w:rStyle w:val="a3"/>
                  <w:rFonts w:ascii="Arial" w:eastAsia="Times New Roman" w:hAnsi="Arial" w:cs="Arial"/>
                  <w:b/>
                  <w:bCs/>
                  <w:sz w:val="16"/>
                  <w:szCs w:val="16"/>
                  <w:u w:val="none"/>
                </w:rPr>
                <w:t>PART III</w:t>
              </w:r>
            </w:hyperlink>
          </w:p>
        </w:tc>
        <w:tc>
          <w:tcPr>
            <w:tcW w:w="0" w:type="auto"/>
            <w:gridSpan w:val="3"/>
            <w:tcMar>
              <w:top w:w="30" w:type="dxa"/>
              <w:left w:w="20" w:type="dxa"/>
              <w:bottom w:w="30" w:type="dxa"/>
              <w:right w:w="20" w:type="dxa"/>
            </w:tcMar>
            <w:vAlign w:val="bottom"/>
            <w:hideMark/>
          </w:tcPr>
          <w:p w14:paraId="41311BB0" w14:textId="77777777" w:rsidR="00000000" w:rsidRDefault="001D0688">
            <w:pPr>
              <w:jc w:val="right"/>
              <w:rPr>
                <w:rFonts w:eastAsia="Times New Roman"/>
              </w:rPr>
            </w:pPr>
            <w:hyperlink w:anchor="ifefa58cec8564209b9c0a3ca41dbda61_226" w:history="1">
              <w:r>
                <w:rPr>
                  <w:rStyle w:val="a3"/>
                  <w:rFonts w:ascii="Arial" w:eastAsia="Times New Roman" w:hAnsi="Arial" w:cs="Arial"/>
                  <w:sz w:val="17"/>
                  <w:szCs w:val="17"/>
                </w:rPr>
                <w:t>98</w:t>
              </w:r>
            </w:hyperlink>
          </w:p>
        </w:tc>
      </w:tr>
      <w:tr w:rsidR="00000000" w14:paraId="7BEDF21F" w14:textId="77777777">
        <w:trPr>
          <w:divId w:val="508763907"/>
        </w:trPr>
        <w:tc>
          <w:tcPr>
            <w:tcW w:w="0" w:type="auto"/>
            <w:gridSpan w:val="3"/>
            <w:tcMar>
              <w:top w:w="30" w:type="dxa"/>
              <w:left w:w="20" w:type="dxa"/>
              <w:bottom w:w="30" w:type="dxa"/>
              <w:right w:w="20" w:type="dxa"/>
            </w:tcMar>
            <w:vAlign w:val="bottom"/>
            <w:hideMark/>
          </w:tcPr>
          <w:p w14:paraId="6082EA48" w14:textId="77777777" w:rsidR="00000000" w:rsidRDefault="001D0688">
            <w:pPr>
              <w:divId w:val="1507401562"/>
              <w:rPr>
                <w:rFonts w:eastAsia="Times New Roman"/>
              </w:rPr>
            </w:pPr>
            <w:hyperlink w:anchor="ifefa58cec8564209b9c0a3ca41dbda61_229" w:history="1">
              <w:r>
                <w:rPr>
                  <w:rStyle w:val="a3"/>
                  <w:rFonts w:ascii="Arial" w:eastAsia="Times New Roman" w:hAnsi="Arial" w:cs="Arial"/>
                  <w:sz w:val="16"/>
                  <w:szCs w:val="16"/>
                  <w:u w:val="none"/>
                </w:rPr>
                <w:t>Item 10. Directors, Executive Officers and Corporate Governance.</w:t>
              </w:r>
            </w:hyperlink>
          </w:p>
        </w:tc>
        <w:tc>
          <w:tcPr>
            <w:tcW w:w="0" w:type="auto"/>
            <w:gridSpan w:val="3"/>
            <w:tcMar>
              <w:top w:w="30" w:type="dxa"/>
              <w:left w:w="20" w:type="dxa"/>
              <w:bottom w:w="30" w:type="dxa"/>
              <w:right w:w="20" w:type="dxa"/>
            </w:tcMar>
            <w:vAlign w:val="bottom"/>
            <w:hideMark/>
          </w:tcPr>
          <w:p w14:paraId="1962BCB4" w14:textId="77777777" w:rsidR="00000000" w:rsidRDefault="001D0688">
            <w:pPr>
              <w:jc w:val="right"/>
              <w:rPr>
                <w:rFonts w:eastAsia="Times New Roman"/>
              </w:rPr>
            </w:pPr>
            <w:hyperlink w:anchor="ifefa58cec8564209b9c0a3ca41dbda61_229" w:history="1">
              <w:r>
                <w:rPr>
                  <w:rStyle w:val="a3"/>
                  <w:rFonts w:ascii="Arial" w:eastAsia="Times New Roman" w:hAnsi="Arial" w:cs="Arial"/>
                  <w:sz w:val="17"/>
                  <w:szCs w:val="17"/>
                </w:rPr>
                <w:t>98</w:t>
              </w:r>
            </w:hyperlink>
          </w:p>
        </w:tc>
      </w:tr>
      <w:tr w:rsidR="00000000" w14:paraId="0A6655C4" w14:textId="77777777">
        <w:trPr>
          <w:divId w:val="508763907"/>
        </w:trPr>
        <w:tc>
          <w:tcPr>
            <w:tcW w:w="0" w:type="auto"/>
            <w:gridSpan w:val="3"/>
            <w:tcMar>
              <w:top w:w="30" w:type="dxa"/>
              <w:left w:w="20" w:type="dxa"/>
              <w:bottom w:w="30" w:type="dxa"/>
              <w:right w:w="20" w:type="dxa"/>
            </w:tcMar>
            <w:vAlign w:val="bottom"/>
            <w:hideMark/>
          </w:tcPr>
          <w:p w14:paraId="726E79F5" w14:textId="77777777" w:rsidR="00000000" w:rsidRDefault="001D0688">
            <w:pPr>
              <w:divId w:val="1575118494"/>
              <w:rPr>
                <w:rFonts w:eastAsia="Times New Roman"/>
              </w:rPr>
            </w:pPr>
            <w:hyperlink w:anchor="ifefa58cec8564209b9c0a3ca41dbda61_232" w:history="1">
              <w:r>
                <w:rPr>
                  <w:rStyle w:val="a3"/>
                  <w:rFonts w:ascii="Arial" w:eastAsia="Times New Roman" w:hAnsi="Arial" w:cs="Arial"/>
                  <w:sz w:val="16"/>
                  <w:szCs w:val="16"/>
                  <w:u w:val="none"/>
                </w:rPr>
                <w:t>Item 11. Executive Compensation.</w:t>
              </w:r>
            </w:hyperlink>
          </w:p>
        </w:tc>
        <w:tc>
          <w:tcPr>
            <w:tcW w:w="0" w:type="auto"/>
            <w:gridSpan w:val="3"/>
            <w:tcMar>
              <w:top w:w="30" w:type="dxa"/>
              <w:left w:w="20" w:type="dxa"/>
              <w:bottom w:w="30" w:type="dxa"/>
              <w:right w:w="20" w:type="dxa"/>
            </w:tcMar>
            <w:vAlign w:val="bottom"/>
            <w:hideMark/>
          </w:tcPr>
          <w:p w14:paraId="13499F06" w14:textId="77777777" w:rsidR="00000000" w:rsidRDefault="001D0688">
            <w:pPr>
              <w:jc w:val="right"/>
              <w:rPr>
                <w:rFonts w:eastAsia="Times New Roman"/>
              </w:rPr>
            </w:pPr>
            <w:hyperlink w:anchor="ifefa58cec8564209b9c0a3ca41dbda61_232" w:history="1">
              <w:r>
                <w:rPr>
                  <w:rStyle w:val="a3"/>
                  <w:rFonts w:ascii="Arial" w:eastAsia="Times New Roman" w:hAnsi="Arial" w:cs="Arial"/>
                  <w:sz w:val="17"/>
                  <w:szCs w:val="17"/>
                </w:rPr>
                <w:t>98</w:t>
              </w:r>
            </w:hyperlink>
          </w:p>
        </w:tc>
      </w:tr>
      <w:tr w:rsidR="00000000" w14:paraId="119B783B" w14:textId="77777777">
        <w:trPr>
          <w:divId w:val="508763907"/>
        </w:trPr>
        <w:tc>
          <w:tcPr>
            <w:tcW w:w="0" w:type="auto"/>
            <w:gridSpan w:val="3"/>
            <w:tcMar>
              <w:top w:w="30" w:type="dxa"/>
              <w:left w:w="20" w:type="dxa"/>
              <w:bottom w:w="30" w:type="dxa"/>
              <w:right w:w="20" w:type="dxa"/>
            </w:tcMar>
            <w:vAlign w:val="bottom"/>
            <w:hideMark/>
          </w:tcPr>
          <w:p w14:paraId="12F4F69B" w14:textId="77777777" w:rsidR="00000000" w:rsidRDefault="001D0688">
            <w:pPr>
              <w:divId w:val="1529491008"/>
              <w:rPr>
                <w:rFonts w:eastAsia="Times New Roman"/>
              </w:rPr>
            </w:pPr>
            <w:hyperlink w:anchor="ifefa58cec8564209b9c0a3ca41dbda61_235" w:history="1">
              <w:r>
                <w:rPr>
                  <w:rStyle w:val="a3"/>
                  <w:rFonts w:ascii="Arial" w:eastAsia="Times New Roman" w:hAnsi="Arial" w:cs="Arial"/>
                  <w:sz w:val="16"/>
                  <w:szCs w:val="16"/>
                  <w:u w:val="none"/>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5AA546D6" w14:textId="77777777" w:rsidR="00000000" w:rsidRDefault="001D0688">
            <w:pPr>
              <w:jc w:val="right"/>
              <w:rPr>
                <w:rFonts w:eastAsia="Times New Roman"/>
              </w:rPr>
            </w:pPr>
            <w:hyperlink w:anchor="ifefa58cec8564209b9c0a3ca41dbda61_235" w:history="1">
              <w:r>
                <w:rPr>
                  <w:rStyle w:val="a3"/>
                  <w:rFonts w:ascii="Arial" w:eastAsia="Times New Roman" w:hAnsi="Arial" w:cs="Arial"/>
                  <w:sz w:val="17"/>
                  <w:szCs w:val="17"/>
                </w:rPr>
                <w:t>98</w:t>
              </w:r>
            </w:hyperlink>
          </w:p>
        </w:tc>
      </w:tr>
      <w:tr w:rsidR="00000000" w14:paraId="22ED8672" w14:textId="77777777">
        <w:trPr>
          <w:divId w:val="508763907"/>
        </w:trPr>
        <w:tc>
          <w:tcPr>
            <w:tcW w:w="0" w:type="auto"/>
            <w:gridSpan w:val="3"/>
            <w:tcMar>
              <w:top w:w="30" w:type="dxa"/>
              <w:left w:w="20" w:type="dxa"/>
              <w:bottom w:w="30" w:type="dxa"/>
              <w:right w:w="20" w:type="dxa"/>
            </w:tcMar>
            <w:vAlign w:val="bottom"/>
            <w:hideMark/>
          </w:tcPr>
          <w:p w14:paraId="146025E9" w14:textId="77777777" w:rsidR="00000000" w:rsidRDefault="001D0688">
            <w:pPr>
              <w:divId w:val="1524398606"/>
              <w:rPr>
                <w:rFonts w:eastAsia="Times New Roman"/>
              </w:rPr>
            </w:pPr>
            <w:hyperlink w:anchor="ifefa58cec8564209b9c0a3ca41dbda61_238" w:history="1">
              <w:r>
                <w:rPr>
                  <w:rStyle w:val="a3"/>
                  <w:rFonts w:ascii="Arial" w:eastAsia="Times New Roman" w:hAnsi="Arial" w:cs="Arial"/>
                  <w:sz w:val="16"/>
                  <w:szCs w:val="16"/>
                  <w:u w:val="none"/>
                </w:rPr>
                <w:t>Item 13. 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479B1125" w14:textId="77777777" w:rsidR="00000000" w:rsidRDefault="001D0688">
            <w:pPr>
              <w:jc w:val="right"/>
              <w:rPr>
                <w:rFonts w:eastAsia="Times New Roman"/>
              </w:rPr>
            </w:pPr>
            <w:hyperlink w:anchor="ifefa58cec8564209b9c0a3ca41dbda61_238" w:history="1">
              <w:r>
                <w:rPr>
                  <w:rStyle w:val="a3"/>
                  <w:rFonts w:ascii="Arial" w:eastAsia="Times New Roman" w:hAnsi="Arial" w:cs="Arial"/>
                  <w:sz w:val="17"/>
                  <w:szCs w:val="17"/>
                </w:rPr>
                <w:t>98</w:t>
              </w:r>
            </w:hyperlink>
          </w:p>
        </w:tc>
      </w:tr>
      <w:tr w:rsidR="00000000" w14:paraId="0757D6F9" w14:textId="77777777">
        <w:trPr>
          <w:divId w:val="508763907"/>
        </w:trPr>
        <w:tc>
          <w:tcPr>
            <w:tcW w:w="0" w:type="auto"/>
            <w:gridSpan w:val="3"/>
            <w:tcMar>
              <w:top w:w="30" w:type="dxa"/>
              <w:left w:w="20" w:type="dxa"/>
              <w:bottom w:w="30" w:type="dxa"/>
              <w:right w:w="20" w:type="dxa"/>
            </w:tcMar>
            <w:vAlign w:val="bottom"/>
            <w:hideMark/>
          </w:tcPr>
          <w:p w14:paraId="0D4B7A44" w14:textId="77777777" w:rsidR="00000000" w:rsidRDefault="001D0688">
            <w:pPr>
              <w:divId w:val="102655782"/>
              <w:rPr>
                <w:rFonts w:eastAsia="Times New Roman"/>
              </w:rPr>
            </w:pPr>
            <w:hyperlink w:anchor="ifefa58cec8564209b9c0a3ca41dbda61_241" w:history="1">
              <w:r>
                <w:rPr>
                  <w:rStyle w:val="a3"/>
                  <w:rFonts w:ascii="Arial" w:eastAsia="Times New Roman" w:hAnsi="Arial" w:cs="Arial"/>
                  <w:sz w:val="16"/>
                  <w:szCs w:val="16"/>
                  <w:u w:val="none"/>
                </w:rPr>
                <w:t>Item 14. Principal Accounting Fees and Services.</w:t>
              </w:r>
            </w:hyperlink>
          </w:p>
        </w:tc>
        <w:tc>
          <w:tcPr>
            <w:tcW w:w="0" w:type="auto"/>
            <w:gridSpan w:val="3"/>
            <w:tcMar>
              <w:top w:w="30" w:type="dxa"/>
              <w:left w:w="20" w:type="dxa"/>
              <w:bottom w:w="30" w:type="dxa"/>
              <w:right w:w="20" w:type="dxa"/>
            </w:tcMar>
            <w:vAlign w:val="bottom"/>
            <w:hideMark/>
          </w:tcPr>
          <w:p w14:paraId="239E34AF" w14:textId="77777777" w:rsidR="00000000" w:rsidRDefault="001D0688">
            <w:pPr>
              <w:jc w:val="right"/>
              <w:rPr>
                <w:rFonts w:eastAsia="Times New Roman"/>
              </w:rPr>
            </w:pPr>
            <w:hyperlink w:anchor="ifefa58cec8564209b9c0a3ca41dbda61_241" w:history="1">
              <w:r>
                <w:rPr>
                  <w:rStyle w:val="a3"/>
                  <w:rFonts w:ascii="Arial" w:eastAsia="Times New Roman" w:hAnsi="Arial" w:cs="Arial"/>
                  <w:sz w:val="17"/>
                  <w:szCs w:val="17"/>
                </w:rPr>
                <w:t>98</w:t>
              </w:r>
            </w:hyperlink>
          </w:p>
        </w:tc>
      </w:tr>
      <w:tr w:rsidR="00000000" w14:paraId="047A38E0" w14:textId="77777777">
        <w:trPr>
          <w:divId w:val="508763907"/>
        </w:trPr>
        <w:tc>
          <w:tcPr>
            <w:tcW w:w="0" w:type="auto"/>
            <w:gridSpan w:val="3"/>
            <w:tcMar>
              <w:top w:w="30" w:type="dxa"/>
              <w:left w:w="20" w:type="dxa"/>
              <w:bottom w:w="30" w:type="dxa"/>
              <w:right w:w="20" w:type="dxa"/>
            </w:tcMar>
            <w:vAlign w:val="bottom"/>
            <w:hideMark/>
          </w:tcPr>
          <w:p w14:paraId="4FDEC72D" w14:textId="77777777" w:rsidR="00000000" w:rsidRDefault="001D0688">
            <w:pPr>
              <w:divId w:val="1074861563"/>
              <w:rPr>
                <w:rFonts w:eastAsia="Times New Roman"/>
              </w:rPr>
            </w:pPr>
            <w:hyperlink w:anchor="ifefa58cec8564209b9c0a3ca41dbda61_244" w:history="1">
              <w:r>
                <w:rPr>
                  <w:rStyle w:val="a3"/>
                  <w:rFonts w:ascii="Arial" w:eastAsia="Times New Roman" w:hAnsi="Arial" w:cs="Arial"/>
                  <w:b/>
                  <w:bCs/>
                  <w:sz w:val="16"/>
                  <w:szCs w:val="16"/>
                  <w:u w:val="none"/>
                </w:rPr>
                <w:t>PART IV</w:t>
              </w:r>
            </w:hyperlink>
          </w:p>
        </w:tc>
        <w:tc>
          <w:tcPr>
            <w:tcW w:w="0" w:type="auto"/>
            <w:gridSpan w:val="3"/>
            <w:tcMar>
              <w:top w:w="30" w:type="dxa"/>
              <w:left w:w="20" w:type="dxa"/>
              <w:bottom w:w="30" w:type="dxa"/>
              <w:right w:w="20" w:type="dxa"/>
            </w:tcMar>
            <w:vAlign w:val="bottom"/>
            <w:hideMark/>
          </w:tcPr>
          <w:p w14:paraId="308BF672" w14:textId="77777777" w:rsidR="00000000" w:rsidRDefault="001D0688">
            <w:pPr>
              <w:jc w:val="right"/>
              <w:rPr>
                <w:rFonts w:eastAsia="Times New Roman"/>
              </w:rPr>
            </w:pPr>
            <w:hyperlink w:anchor="ifefa58cec8564209b9c0a3ca41dbda61_244" w:history="1">
              <w:r>
                <w:rPr>
                  <w:rStyle w:val="a3"/>
                  <w:rFonts w:ascii="Arial" w:eastAsia="Times New Roman" w:hAnsi="Arial" w:cs="Arial"/>
                  <w:sz w:val="17"/>
                  <w:szCs w:val="17"/>
                </w:rPr>
                <w:t>99</w:t>
              </w:r>
            </w:hyperlink>
          </w:p>
        </w:tc>
      </w:tr>
      <w:tr w:rsidR="00000000" w14:paraId="30694EB8" w14:textId="77777777">
        <w:trPr>
          <w:divId w:val="508763907"/>
        </w:trPr>
        <w:tc>
          <w:tcPr>
            <w:tcW w:w="0" w:type="auto"/>
            <w:gridSpan w:val="3"/>
            <w:tcMar>
              <w:top w:w="30" w:type="dxa"/>
              <w:left w:w="20" w:type="dxa"/>
              <w:bottom w:w="30" w:type="dxa"/>
              <w:right w:w="20" w:type="dxa"/>
            </w:tcMar>
            <w:vAlign w:val="bottom"/>
            <w:hideMark/>
          </w:tcPr>
          <w:p w14:paraId="5FE4AB76" w14:textId="77777777" w:rsidR="00000000" w:rsidRDefault="001D0688">
            <w:pPr>
              <w:divId w:val="1234660404"/>
              <w:rPr>
                <w:rFonts w:eastAsia="Times New Roman"/>
              </w:rPr>
            </w:pPr>
            <w:hyperlink w:anchor="ifefa58cec8564209b9c0a3ca41dbda61_247" w:history="1">
              <w:r>
                <w:rPr>
                  <w:rStyle w:val="a3"/>
                  <w:rFonts w:ascii="Arial" w:eastAsia="Times New Roman" w:hAnsi="Arial" w:cs="Arial"/>
                  <w:sz w:val="16"/>
                  <w:szCs w:val="16"/>
                  <w:u w:val="none"/>
                </w:rPr>
                <w:t>Item 15. Exhibits, Financial Statement Schedules.</w:t>
              </w:r>
            </w:hyperlink>
          </w:p>
        </w:tc>
        <w:tc>
          <w:tcPr>
            <w:tcW w:w="0" w:type="auto"/>
            <w:gridSpan w:val="3"/>
            <w:tcMar>
              <w:top w:w="30" w:type="dxa"/>
              <w:left w:w="20" w:type="dxa"/>
              <w:bottom w:w="30" w:type="dxa"/>
              <w:right w:w="20" w:type="dxa"/>
            </w:tcMar>
            <w:vAlign w:val="bottom"/>
            <w:hideMark/>
          </w:tcPr>
          <w:p w14:paraId="6292AFA6" w14:textId="77777777" w:rsidR="00000000" w:rsidRDefault="001D0688">
            <w:pPr>
              <w:jc w:val="right"/>
              <w:rPr>
                <w:rFonts w:eastAsia="Times New Roman"/>
              </w:rPr>
            </w:pPr>
            <w:hyperlink w:anchor="ifefa58cec8564209b9c0a3ca41dbda61_247" w:history="1">
              <w:r>
                <w:rPr>
                  <w:rStyle w:val="a3"/>
                  <w:rFonts w:ascii="Arial" w:eastAsia="Times New Roman" w:hAnsi="Arial" w:cs="Arial"/>
                  <w:sz w:val="17"/>
                  <w:szCs w:val="17"/>
                </w:rPr>
                <w:t>99</w:t>
              </w:r>
            </w:hyperlink>
          </w:p>
        </w:tc>
      </w:tr>
      <w:tr w:rsidR="00000000" w14:paraId="23423995" w14:textId="77777777">
        <w:trPr>
          <w:divId w:val="508763907"/>
        </w:trPr>
        <w:tc>
          <w:tcPr>
            <w:tcW w:w="0" w:type="auto"/>
            <w:gridSpan w:val="3"/>
            <w:tcMar>
              <w:top w:w="30" w:type="dxa"/>
              <w:left w:w="20" w:type="dxa"/>
              <w:bottom w:w="30" w:type="dxa"/>
              <w:right w:w="20" w:type="dxa"/>
            </w:tcMar>
            <w:vAlign w:val="bottom"/>
            <w:hideMark/>
          </w:tcPr>
          <w:p w14:paraId="52FDB366" w14:textId="77777777" w:rsidR="00000000" w:rsidRDefault="001D0688">
            <w:pPr>
              <w:divId w:val="666708178"/>
              <w:rPr>
                <w:rFonts w:eastAsia="Times New Roman"/>
              </w:rPr>
            </w:pPr>
            <w:hyperlink w:anchor="ifefa58cec8564209b9c0a3ca41dbda61_256" w:history="1">
              <w:r>
                <w:rPr>
                  <w:rStyle w:val="a3"/>
                  <w:rFonts w:ascii="Arial" w:eastAsia="Times New Roman" w:hAnsi="Arial" w:cs="Arial"/>
                  <w:b/>
                  <w:bCs/>
                  <w:sz w:val="16"/>
                  <w:szCs w:val="16"/>
                  <w:u w:val="none"/>
                </w:rPr>
                <w:t>SIGNATURES</w:t>
              </w:r>
            </w:hyperlink>
          </w:p>
        </w:tc>
        <w:tc>
          <w:tcPr>
            <w:tcW w:w="0" w:type="auto"/>
            <w:gridSpan w:val="3"/>
            <w:tcMar>
              <w:top w:w="30" w:type="dxa"/>
              <w:left w:w="20" w:type="dxa"/>
              <w:bottom w:w="30" w:type="dxa"/>
              <w:right w:w="20" w:type="dxa"/>
            </w:tcMar>
            <w:vAlign w:val="bottom"/>
            <w:hideMark/>
          </w:tcPr>
          <w:p w14:paraId="69D81FA0" w14:textId="77777777" w:rsidR="00000000" w:rsidRDefault="001D0688">
            <w:pPr>
              <w:jc w:val="right"/>
              <w:rPr>
                <w:rFonts w:eastAsia="Times New Roman"/>
              </w:rPr>
            </w:pPr>
            <w:hyperlink w:anchor="ifefa58cec8564209b9c0a3ca41dbda61_256" w:history="1">
              <w:r>
                <w:rPr>
                  <w:rStyle w:val="a3"/>
                  <w:rFonts w:ascii="Arial" w:eastAsia="Times New Roman" w:hAnsi="Arial" w:cs="Arial"/>
                  <w:sz w:val="17"/>
                  <w:szCs w:val="17"/>
                </w:rPr>
                <w:t>105</w:t>
              </w:r>
            </w:hyperlink>
          </w:p>
        </w:tc>
      </w:tr>
    </w:tbl>
    <w:p w14:paraId="3EA7D7A7" w14:textId="77777777" w:rsidR="00000000" w:rsidRDefault="001D0688">
      <w:pPr>
        <w:divId w:val="1066881029"/>
        <w:rPr>
          <w:rFonts w:eastAsia="Times New Roman"/>
        </w:rPr>
      </w:pPr>
    </w:p>
    <w:p w14:paraId="4809094B" w14:textId="77777777" w:rsidR="00000000" w:rsidRDefault="001D0688">
      <w:pPr>
        <w:divId w:val="1825194328"/>
        <w:rPr>
          <w:rFonts w:eastAsia="Times New Roman"/>
        </w:rPr>
      </w:pPr>
    </w:p>
    <w:p w14:paraId="1DB6641B" w14:textId="77777777" w:rsidR="00000000" w:rsidRDefault="001D0688">
      <w:pPr>
        <w:rPr>
          <w:rFonts w:eastAsia="Times New Roman"/>
        </w:rPr>
      </w:pPr>
      <w:r>
        <w:rPr>
          <w:rFonts w:eastAsia="Times New Roman"/>
        </w:rPr>
        <w:pict w14:anchorId="285EFEC0">
          <v:rect id="_x0000_i1029" style="width:0;height:1.5pt" o:hralign="center" o:hrstd="t" o:hr="t" fillcolor="#a0a0a0" stroked="f"/>
        </w:pict>
      </w:r>
    </w:p>
    <w:p w14:paraId="792B1BD3" w14:textId="77777777" w:rsidR="00000000" w:rsidRDefault="001D0688">
      <w:pPr>
        <w:divId w:val="754594895"/>
        <w:rPr>
          <w:rFonts w:eastAsia="Times New Roman"/>
        </w:rPr>
      </w:pPr>
    </w:p>
    <w:p w14:paraId="05D75A74" w14:textId="77777777" w:rsidR="00000000" w:rsidRDefault="001D0688">
      <w:pPr>
        <w:divId w:val="1067846487"/>
        <w:rPr>
          <w:rFonts w:eastAsia="Times New Roman"/>
        </w:rPr>
      </w:pPr>
      <w:r>
        <w:rPr>
          <w:rFonts w:ascii="Arial" w:eastAsia="Times New Roman" w:hAnsi="Arial" w:cs="Arial"/>
          <w:b/>
          <w:bCs/>
          <w:color w:val="0046AD"/>
          <w:sz w:val="20"/>
          <w:szCs w:val="20"/>
        </w:rPr>
        <w:t>FORWARD-LOOKING STATEMENTS</w:t>
      </w:r>
    </w:p>
    <w:p w14:paraId="31B5BDBA" w14:textId="77777777" w:rsidR="00000000" w:rsidRDefault="001D0688">
      <w:pPr>
        <w:ind w:firstLine="720"/>
        <w:jc w:val="both"/>
        <w:divId w:val="350617705"/>
        <w:rPr>
          <w:rFonts w:eastAsia="Times New Roman"/>
        </w:rPr>
      </w:pPr>
      <w:r>
        <w:rPr>
          <w:rFonts w:ascii="Arial" w:eastAsia="Times New Roman" w:hAnsi="Arial" w:cs="Arial"/>
          <w:color w:val="000000"/>
          <w:sz w:val="20"/>
          <w:szCs w:val="20"/>
        </w:rPr>
        <w:lastRenderedPageBreak/>
        <w:t>This Annual Report on Form 10-K for ABM Industries Incorporated and its subsidiaries (collectively referred to as “ABM,” “we,” “us,” “our,” or the “Company”) contains both historical and forw</w:t>
      </w:r>
      <w:r>
        <w:rPr>
          <w:rFonts w:ascii="Arial" w:eastAsia="Times New Roman" w:hAnsi="Arial" w:cs="Arial"/>
          <w:color w:val="000000"/>
          <w:sz w:val="20"/>
          <w:szCs w:val="20"/>
        </w:rPr>
        <w:t>ard-looking statements, within the meaning of the Private Securities Litigation Reform Act of 1995, that involve risks and uncertainties. We make forward-looking statements related to future expectations, estimates, and projections that are uncertain and o</w:t>
      </w:r>
      <w:r>
        <w:rPr>
          <w:rFonts w:ascii="Arial" w:eastAsia="Times New Roman" w:hAnsi="Arial" w:cs="Arial"/>
          <w:color w:val="000000"/>
          <w:sz w:val="20"/>
          <w:szCs w:val="20"/>
        </w:rPr>
        <w:t>ften contain words such as “anticipate,” “believe,” “could,” “estimate,” “expect,” “forecast,” “intend,” “likely,” “may,” “outlook,” “plan,” “predict,” “should,” “target,” or other similar words or phrases. These statements are not guarantees of future per</w:t>
      </w:r>
      <w:r>
        <w:rPr>
          <w:rFonts w:ascii="Arial" w:eastAsia="Times New Roman" w:hAnsi="Arial" w:cs="Arial"/>
          <w:color w:val="000000"/>
          <w:sz w:val="20"/>
          <w:szCs w:val="20"/>
        </w:rPr>
        <w:t xml:space="preserve">formance and are subject to known and unknown risks, uncertainties, and assumptions that are difficult to predict. Factors that might cause such differences include, but are not limited to, those discussed in Part 1 of this Form 10-K under Item 1A., “Risk </w:t>
      </w:r>
      <w:r>
        <w:rPr>
          <w:rFonts w:ascii="Arial" w:eastAsia="Times New Roman" w:hAnsi="Arial" w:cs="Arial"/>
          <w:color w:val="000000"/>
          <w:sz w:val="20"/>
          <w:szCs w:val="20"/>
        </w:rPr>
        <w:t>Factors,” and we urge readers to consider these risks and uncertainties in evaluating our forward-looking statements. We caution readers not to place undue reliance upon any such forward-looking statements, which speak only as of the date made. We undertak</w:t>
      </w:r>
      <w:r>
        <w:rPr>
          <w:rFonts w:ascii="Arial" w:eastAsia="Times New Roman" w:hAnsi="Arial" w:cs="Arial"/>
          <w:color w:val="000000"/>
          <w:sz w:val="20"/>
          <w:szCs w:val="20"/>
        </w:rPr>
        <w:t xml:space="preserve">e no obligation to publicly update any forward-looking statements, whether as a result of new information, future events, or otherwise, except as required by law. </w:t>
      </w:r>
    </w:p>
    <w:p w14:paraId="243C5B25" w14:textId="77777777" w:rsidR="00000000" w:rsidRDefault="001D0688">
      <w:pPr>
        <w:jc w:val="both"/>
        <w:divId w:val="846598700"/>
        <w:rPr>
          <w:rFonts w:eastAsia="Times New Roman"/>
        </w:rPr>
      </w:pPr>
    </w:p>
    <w:p w14:paraId="3A81545D" w14:textId="77777777" w:rsidR="00000000" w:rsidRDefault="001D0688">
      <w:pPr>
        <w:jc w:val="both"/>
        <w:divId w:val="870610920"/>
        <w:rPr>
          <w:rFonts w:eastAsia="Times New Roman"/>
        </w:rPr>
      </w:pPr>
    </w:p>
    <w:p w14:paraId="0E8E36ED" w14:textId="77777777" w:rsidR="00000000" w:rsidRDefault="001D0688">
      <w:pPr>
        <w:jc w:val="center"/>
        <w:divId w:val="591089615"/>
        <w:rPr>
          <w:rFonts w:eastAsia="Times New Roman"/>
        </w:rPr>
      </w:pPr>
      <w:r>
        <w:rPr>
          <w:rFonts w:ascii="Arial" w:eastAsia="Times New Roman" w:hAnsi="Arial" w:cs="Arial"/>
          <w:color w:val="000000"/>
          <w:sz w:val="20"/>
          <w:szCs w:val="20"/>
        </w:rPr>
        <w:t>1</w:t>
      </w:r>
    </w:p>
    <w:p w14:paraId="00DDCBFD" w14:textId="77777777" w:rsidR="00000000" w:rsidRDefault="001D0688">
      <w:pPr>
        <w:rPr>
          <w:rFonts w:eastAsia="Times New Roman"/>
        </w:rPr>
      </w:pPr>
      <w:r>
        <w:rPr>
          <w:rFonts w:eastAsia="Times New Roman"/>
        </w:rPr>
        <w:pict w14:anchorId="5F5FD7BA">
          <v:rect id="_x0000_i1030" style="width:0;height:1.5pt" o:hralign="center" o:hrstd="t" o:hr="t" fillcolor="#a0a0a0" stroked="f"/>
        </w:pict>
      </w:r>
    </w:p>
    <w:p w14:paraId="57E74AA0" w14:textId="77777777" w:rsidR="00000000" w:rsidRDefault="001D0688">
      <w:pPr>
        <w:divId w:val="1751192117"/>
        <w:rPr>
          <w:rFonts w:eastAsia="Times New Roman"/>
        </w:rPr>
      </w:pPr>
    </w:p>
    <w:p w14:paraId="5F26D249" w14:textId="77777777" w:rsidR="00000000" w:rsidRDefault="001D0688">
      <w:pPr>
        <w:jc w:val="center"/>
        <w:divId w:val="1426994546"/>
        <w:rPr>
          <w:rFonts w:eastAsia="Times New Roman"/>
        </w:rPr>
      </w:pPr>
      <w:r>
        <w:rPr>
          <w:rFonts w:ascii="Arial" w:eastAsia="Times New Roman" w:hAnsi="Arial" w:cs="Arial"/>
          <w:b/>
          <w:bCs/>
          <w:color w:val="0046AD"/>
          <w:sz w:val="20"/>
          <w:szCs w:val="20"/>
        </w:rPr>
        <w:t>PART I</w:t>
      </w:r>
    </w:p>
    <w:p w14:paraId="6F5E30FB" w14:textId="77777777" w:rsidR="00000000" w:rsidRDefault="001D0688">
      <w:pPr>
        <w:divId w:val="2143575053"/>
        <w:rPr>
          <w:rFonts w:eastAsia="Times New Roman"/>
        </w:rPr>
      </w:pPr>
      <w:r>
        <w:rPr>
          <w:rFonts w:ascii="Arial" w:eastAsia="Times New Roman" w:hAnsi="Arial" w:cs="Arial"/>
          <w:b/>
          <w:bCs/>
          <w:color w:val="0046AD"/>
          <w:sz w:val="20"/>
          <w:szCs w:val="20"/>
        </w:rPr>
        <w:t>ITEM 1. BUSINESS.</w:t>
      </w:r>
    </w:p>
    <w:p w14:paraId="0B89EDB2" w14:textId="77777777" w:rsidR="00000000" w:rsidRDefault="001D0688">
      <w:pPr>
        <w:divId w:val="164982409"/>
        <w:rPr>
          <w:rFonts w:eastAsia="Times New Roman"/>
        </w:rPr>
      </w:pPr>
      <w:r>
        <w:rPr>
          <w:rFonts w:ascii="Arial" w:eastAsia="Times New Roman" w:hAnsi="Arial" w:cs="Arial"/>
          <w:b/>
          <w:bCs/>
          <w:color w:val="0046AD"/>
          <w:sz w:val="20"/>
          <w:szCs w:val="20"/>
        </w:rPr>
        <w:t xml:space="preserve">General </w:t>
      </w:r>
    </w:p>
    <w:p w14:paraId="45707757" w14:textId="77777777" w:rsidR="00000000" w:rsidRDefault="001D0688">
      <w:pPr>
        <w:ind w:firstLine="720"/>
        <w:jc w:val="both"/>
        <w:divId w:val="716706536"/>
        <w:rPr>
          <w:rFonts w:eastAsia="Times New Roman"/>
        </w:rPr>
      </w:pPr>
      <w:r>
        <w:rPr>
          <w:rFonts w:ascii="Arial" w:eastAsia="Times New Roman" w:hAnsi="Arial" w:cs="Arial"/>
          <w:color w:val="000000"/>
          <w:sz w:val="20"/>
          <w:szCs w:val="20"/>
        </w:rPr>
        <w:t xml:space="preserve">ABM Industries Incorporated, which operates through its subsidiaries (collectively referred to as “ABM,” “we,” “us,” “our,” or the “Company”), is a leading provider of integrated facility solutions with a mission to </w:t>
      </w:r>
      <w:r>
        <w:rPr>
          <w:rFonts w:ascii="Arial" w:eastAsia="Times New Roman" w:hAnsi="Arial" w:cs="Arial"/>
          <w:b/>
          <w:bCs/>
          <w:color w:val="326ABD"/>
          <w:sz w:val="20"/>
          <w:szCs w:val="20"/>
        </w:rPr>
        <w:t>make a difference, every person, every d</w:t>
      </w:r>
      <w:r>
        <w:rPr>
          <w:rFonts w:ascii="Arial" w:eastAsia="Times New Roman" w:hAnsi="Arial" w:cs="Arial"/>
          <w:b/>
          <w:bCs/>
          <w:color w:val="326ABD"/>
          <w:sz w:val="20"/>
          <w:szCs w:val="20"/>
        </w:rPr>
        <w:t>ay</w:t>
      </w:r>
      <w:r>
        <w:rPr>
          <w:rFonts w:ascii="Arial" w:eastAsia="Times New Roman" w:hAnsi="Arial" w:cs="Arial"/>
          <w:color w:val="000000"/>
          <w:sz w:val="20"/>
          <w:szCs w:val="20"/>
        </w:rPr>
        <w:t>. Our history dates back to 1909, when American Building Maintenance Company began as a window washing company in San Francisco with one employee. In 1985, we were incorporated in Delaware under the name American Building Maintenance Industries, Inc., as</w:t>
      </w:r>
      <w:r>
        <w:rPr>
          <w:rFonts w:ascii="Arial" w:eastAsia="Times New Roman" w:hAnsi="Arial" w:cs="Arial"/>
          <w:color w:val="000000"/>
          <w:sz w:val="20"/>
          <w:szCs w:val="20"/>
        </w:rPr>
        <w:t xml:space="preserve"> the successor to the business originally founded in 1909. In 1994, we changed our name to ABM Industries Incorporated. Over the past thirteen years, we have grown into a multi-segment facility solutions company, primarily through strategic acquisitions an</w:t>
      </w:r>
      <w:r>
        <w:rPr>
          <w:rFonts w:ascii="Arial" w:eastAsia="Times New Roman" w:hAnsi="Arial" w:cs="Arial"/>
          <w:color w:val="000000"/>
          <w:sz w:val="20"/>
          <w:szCs w:val="20"/>
        </w:rPr>
        <w:t>d new service offerings, increasing our revenue from $3 billion to more than $6 billion.</w:t>
      </w:r>
    </w:p>
    <w:p w14:paraId="069F2EDC" w14:textId="77777777" w:rsidR="00000000" w:rsidRDefault="001D0688">
      <w:pPr>
        <w:jc w:val="center"/>
        <w:divId w:val="1302151674"/>
        <w:rPr>
          <w:rFonts w:eastAsia="Times New Roman"/>
        </w:rPr>
      </w:pPr>
      <w:r>
        <w:rPr>
          <w:rFonts w:eastAsia="Times New Roman"/>
          <w:noProof/>
        </w:rPr>
        <w:drawing>
          <wp:inline distT="0" distB="0" distL="0" distR="0" wp14:anchorId="7AE3DB73" wp14:editId="1266C5AA">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D550C4" w14:textId="77777777" w:rsidR="00000000" w:rsidRDefault="001D0688">
      <w:pPr>
        <w:ind w:firstLine="720"/>
        <w:jc w:val="both"/>
        <w:divId w:val="1044329705"/>
        <w:rPr>
          <w:rFonts w:eastAsia="Times New Roman"/>
        </w:rPr>
      </w:pPr>
      <w:r>
        <w:rPr>
          <w:rFonts w:ascii="Arial" w:eastAsia="Times New Roman" w:hAnsi="Arial" w:cs="Arial"/>
          <w:color w:val="000000"/>
          <w:sz w:val="20"/>
          <w:szCs w:val="20"/>
        </w:rPr>
        <w:t>The acquisition of OneSource in 2007 b</w:t>
      </w:r>
      <w:r>
        <w:rPr>
          <w:rFonts w:ascii="Arial" w:eastAsia="Times New Roman" w:hAnsi="Arial" w:cs="Arial"/>
          <w:color w:val="000000"/>
          <w:sz w:val="20"/>
          <w:szCs w:val="20"/>
        </w:rPr>
        <w:t>olstered ABM as a leader in the janitorial market, while the Linc Group acquisition in 2010 established ABM as a “facility solutions” company with new service offerings, including lighting, mechanical, and electrical “technical solutions.” With demand incr</w:t>
      </w:r>
      <w:r>
        <w:rPr>
          <w:rFonts w:ascii="Arial" w:eastAsia="Times New Roman" w:hAnsi="Arial" w:cs="Arial"/>
          <w:color w:val="000000"/>
          <w:sz w:val="20"/>
          <w:szCs w:val="20"/>
        </w:rPr>
        <w:t>easing for industry-specific service providers, in 2012 we purchased Air Serv and established our first industry group, “aviation.” In recent years, we have strategically acquired companies in the United Kingdom, particularly with the GBM and Westway acqui</w:t>
      </w:r>
      <w:r>
        <w:rPr>
          <w:rFonts w:ascii="Arial" w:eastAsia="Times New Roman" w:hAnsi="Arial" w:cs="Arial"/>
          <w:color w:val="000000"/>
          <w:sz w:val="20"/>
          <w:szCs w:val="20"/>
        </w:rPr>
        <w:t>sitions, which expanded our janitorial and technical solutions businesses overseas. In 2017, we acquired GCA Services Group (“GCA”), a provider of integrated facility services to educational institutions and commercial facilities, for approximately $1.3 bi</w:t>
      </w:r>
      <w:r>
        <w:rPr>
          <w:rFonts w:ascii="Arial" w:eastAsia="Times New Roman" w:hAnsi="Arial" w:cs="Arial"/>
          <w:color w:val="000000"/>
          <w:sz w:val="20"/>
          <w:szCs w:val="20"/>
        </w:rPr>
        <w:t>llion, the largest acquisition in ABM history. As a result of this acquisition, we are now a leading facility solutions provider in the education market. In recent years, we also evaluated all of our service offerings and sold our Security and Government S</w:t>
      </w:r>
      <w:r>
        <w:rPr>
          <w:rFonts w:ascii="Arial" w:eastAsia="Times New Roman" w:hAnsi="Arial" w:cs="Arial"/>
          <w:color w:val="000000"/>
          <w:sz w:val="20"/>
          <w:szCs w:val="20"/>
        </w:rPr>
        <w:t>ervices businesses, which did not align with our long-term focus on industry groups.</w:t>
      </w:r>
    </w:p>
    <w:p w14:paraId="49883470" w14:textId="77777777" w:rsidR="00000000" w:rsidRDefault="001D0688">
      <w:pPr>
        <w:ind w:firstLine="720"/>
        <w:jc w:val="both"/>
        <w:divId w:val="1867714318"/>
        <w:rPr>
          <w:rFonts w:eastAsia="Times New Roman"/>
        </w:rPr>
      </w:pPr>
      <w:r>
        <w:rPr>
          <w:rFonts w:ascii="Arial" w:eastAsia="Times New Roman" w:hAnsi="Arial" w:cs="Arial"/>
          <w:color w:val="000000"/>
          <w:sz w:val="20"/>
          <w:szCs w:val="20"/>
        </w:rPr>
        <w:t>Additionally, in 2015 we began a comprehensive transformational initiative (“</w:t>
      </w:r>
      <w:r>
        <w:rPr>
          <w:rFonts w:ascii="Arial" w:eastAsia="Times New Roman" w:hAnsi="Arial" w:cs="Arial"/>
          <w:b/>
          <w:bCs/>
          <w:color w:val="FF9C1D"/>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326ABD"/>
          <w:sz w:val="20"/>
          <w:szCs w:val="20"/>
        </w:rPr>
        <w:t>Vision</w:t>
      </w:r>
      <w:r>
        <w:rPr>
          <w:rFonts w:ascii="Arial" w:eastAsia="Times New Roman" w:hAnsi="Arial" w:cs="Arial"/>
          <w:color w:val="000000"/>
          <w:sz w:val="20"/>
          <w:szCs w:val="20"/>
        </w:rPr>
        <w:t>”) to drive long-term, profitable growth through an industry-based go-to-market app</w:t>
      </w:r>
      <w:r>
        <w:rPr>
          <w:rFonts w:ascii="Arial" w:eastAsia="Times New Roman" w:hAnsi="Arial" w:cs="Arial"/>
          <w:color w:val="000000"/>
          <w:sz w:val="20"/>
          <w:szCs w:val="20"/>
        </w:rPr>
        <w:t xml:space="preserve">roach. As part of this initiative, we centralized key functional areas, strengthened our sales capabilities, </w:t>
      </w:r>
      <w:r>
        <w:rPr>
          <w:rFonts w:ascii="Arial" w:eastAsia="Times New Roman" w:hAnsi="Arial" w:cs="Arial"/>
          <w:color w:val="000000"/>
          <w:sz w:val="20"/>
          <w:szCs w:val="20"/>
        </w:rPr>
        <w:lastRenderedPageBreak/>
        <w:t xml:space="preserve">and initiated investments in service delivery tools and processes to help support standard operating practices that we believe are foundational to </w:t>
      </w:r>
      <w:r>
        <w:rPr>
          <w:rFonts w:ascii="Arial" w:eastAsia="Times New Roman" w:hAnsi="Arial" w:cs="Arial"/>
          <w:color w:val="000000"/>
          <w:sz w:val="20"/>
          <w:szCs w:val="20"/>
        </w:rPr>
        <w:t xml:space="preserve">our long-term success. </w:t>
      </w:r>
    </w:p>
    <w:p w14:paraId="0950803C" w14:textId="77777777" w:rsidR="00000000" w:rsidRDefault="001D0688">
      <w:pPr>
        <w:ind w:firstLine="720"/>
        <w:jc w:val="both"/>
        <w:divId w:val="418985186"/>
        <w:rPr>
          <w:rFonts w:eastAsia="Times New Roman"/>
        </w:rPr>
      </w:pPr>
      <w:r>
        <w:rPr>
          <w:rFonts w:ascii="Arial" w:eastAsia="Times New Roman" w:hAnsi="Arial" w:cs="Arial"/>
          <w:color w:val="000000"/>
          <w:sz w:val="20"/>
          <w:szCs w:val="20"/>
        </w:rPr>
        <w:t>As a result of these strategic changes, we have strengthened our ability to offer Janitorial, Parking, Facilities Services, Building &amp; Energy Solutions, and Airline Services, on a standalone basis or in combination, and positioned o</w:t>
      </w:r>
      <w:r>
        <w:rPr>
          <w:rFonts w:ascii="Arial" w:eastAsia="Times New Roman" w:hAnsi="Arial" w:cs="Arial"/>
          <w:color w:val="000000"/>
          <w:sz w:val="20"/>
          <w:szCs w:val="20"/>
        </w:rPr>
        <w:t>urselves as a leading integrated facilities management company.</w:t>
      </w:r>
    </w:p>
    <w:p w14:paraId="70544593" w14:textId="77777777" w:rsidR="00000000" w:rsidRDefault="001D0688">
      <w:pPr>
        <w:ind w:firstLine="720"/>
        <w:jc w:val="both"/>
        <w:divId w:val="1749500101"/>
        <w:rPr>
          <w:rFonts w:eastAsia="Times New Roman"/>
        </w:rPr>
      </w:pPr>
      <w:r>
        <w:rPr>
          <w:rFonts w:ascii="Arial" w:eastAsia="Times New Roman" w:hAnsi="Arial" w:cs="Arial"/>
          <w:color w:val="000000"/>
          <w:sz w:val="20"/>
          <w:szCs w:val="20"/>
        </w:rPr>
        <w:t>Unless otherwise indicated, all references to years are to our fiscal year, which ends on October 31.</w:t>
      </w:r>
    </w:p>
    <w:p w14:paraId="6BFE190D" w14:textId="77777777" w:rsidR="00000000" w:rsidRDefault="001D0688">
      <w:pPr>
        <w:jc w:val="both"/>
        <w:divId w:val="1699501501"/>
        <w:rPr>
          <w:rFonts w:eastAsia="Times New Roman"/>
        </w:rPr>
      </w:pPr>
    </w:p>
    <w:p w14:paraId="0E140348" w14:textId="77777777" w:rsidR="00000000" w:rsidRDefault="001D0688">
      <w:pPr>
        <w:jc w:val="center"/>
        <w:divId w:val="1743485657"/>
        <w:rPr>
          <w:rFonts w:eastAsia="Times New Roman"/>
        </w:rPr>
      </w:pPr>
      <w:r>
        <w:rPr>
          <w:rFonts w:ascii="Arial" w:eastAsia="Times New Roman" w:hAnsi="Arial" w:cs="Arial"/>
          <w:color w:val="000000"/>
          <w:sz w:val="20"/>
          <w:szCs w:val="20"/>
        </w:rPr>
        <w:t>2</w:t>
      </w:r>
    </w:p>
    <w:p w14:paraId="30CEA8DD" w14:textId="77777777" w:rsidR="00000000" w:rsidRDefault="001D0688">
      <w:pPr>
        <w:rPr>
          <w:rFonts w:eastAsia="Times New Roman"/>
        </w:rPr>
      </w:pPr>
      <w:r>
        <w:rPr>
          <w:rFonts w:eastAsia="Times New Roman"/>
        </w:rPr>
        <w:pict w14:anchorId="0BB9BA0B">
          <v:rect id="_x0000_i1032" style="width:0;height:1.5pt" o:hralign="center" o:hrstd="t" o:hr="t" fillcolor="#a0a0a0" stroked="f"/>
        </w:pict>
      </w:r>
    </w:p>
    <w:p w14:paraId="0330F99C" w14:textId="77777777" w:rsidR="00000000" w:rsidRDefault="001D0688">
      <w:pPr>
        <w:divId w:val="944966388"/>
        <w:rPr>
          <w:rFonts w:eastAsia="Times New Roman"/>
        </w:rPr>
      </w:pPr>
    </w:p>
    <w:p w14:paraId="08E4888D" w14:textId="77777777" w:rsidR="00000000" w:rsidRDefault="001D0688">
      <w:pPr>
        <w:divId w:val="574123156"/>
        <w:rPr>
          <w:rFonts w:eastAsia="Times New Roman"/>
        </w:rPr>
      </w:pPr>
      <w:r>
        <w:rPr>
          <w:rFonts w:ascii="Arial" w:eastAsia="Times New Roman" w:hAnsi="Arial" w:cs="Arial"/>
          <w:b/>
          <w:bCs/>
          <w:color w:val="0046AD"/>
          <w:sz w:val="20"/>
          <w:szCs w:val="20"/>
        </w:rPr>
        <w:t>Contract Types</w:t>
      </w:r>
    </w:p>
    <w:p w14:paraId="42574983" w14:textId="77777777" w:rsidR="00000000" w:rsidRDefault="001D0688">
      <w:pPr>
        <w:ind w:firstLine="720"/>
        <w:jc w:val="both"/>
        <w:divId w:val="594556774"/>
        <w:rPr>
          <w:rFonts w:eastAsia="Times New Roman"/>
        </w:rPr>
      </w:pPr>
      <w:r>
        <w:rPr>
          <w:rFonts w:ascii="Arial" w:eastAsia="Times New Roman" w:hAnsi="Arial" w:cs="Arial"/>
          <w:color w:val="000000"/>
          <w:sz w:val="20"/>
          <w:szCs w:val="20"/>
        </w:rPr>
        <w:t>We generate revenues under severa</w:t>
      </w:r>
      <w:r>
        <w:rPr>
          <w:rFonts w:ascii="Arial" w:eastAsia="Times New Roman" w:hAnsi="Arial" w:cs="Arial"/>
          <w:color w:val="000000"/>
          <w:sz w:val="20"/>
          <w:szCs w:val="20"/>
        </w:rPr>
        <w:t>l types of contracts, as explained below. Generally, the type of contract is determined by the nature of the services. Although many of our service agreements are cancelable on short notice, we have historically had a high rate of client retention and expe</w:t>
      </w:r>
      <w:r>
        <w:rPr>
          <w:rFonts w:ascii="Arial" w:eastAsia="Times New Roman" w:hAnsi="Arial" w:cs="Arial"/>
          <w:color w:val="000000"/>
          <w:sz w:val="20"/>
          <w:szCs w:val="20"/>
        </w:rPr>
        <w:t>ct to continue maintaining long-term relationships with our clients. See Note 2, “Basis of Presentation and Significant Accounting Policies,” in the Notes to consolidated financial statements for additional information regarding the contract types that are</w:t>
      </w:r>
      <w:r>
        <w:rPr>
          <w:rFonts w:ascii="Arial" w:eastAsia="Times New Roman" w:hAnsi="Arial" w:cs="Arial"/>
          <w:color w:val="000000"/>
          <w:sz w:val="20"/>
          <w:szCs w:val="20"/>
        </w:rPr>
        <w:t xml:space="preserve"> most common in each of our service lines. </w:t>
      </w:r>
    </w:p>
    <w:tbl>
      <w:tblPr>
        <w:tblW w:w="4992" w:type="pct"/>
        <w:tblCellMar>
          <w:top w:w="15" w:type="dxa"/>
          <w:left w:w="15" w:type="dxa"/>
          <w:bottom w:w="15" w:type="dxa"/>
          <w:right w:w="15" w:type="dxa"/>
        </w:tblCellMar>
        <w:tblLook w:val="04A0" w:firstRow="1" w:lastRow="0" w:firstColumn="1" w:lastColumn="0" w:noHBand="0" w:noVBand="1"/>
      </w:tblPr>
      <w:tblGrid>
        <w:gridCol w:w="93"/>
        <w:gridCol w:w="1351"/>
        <w:gridCol w:w="38"/>
        <w:gridCol w:w="36"/>
        <w:gridCol w:w="38"/>
        <w:gridCol w:w="6701"/>
        <w:gridCol w:w="36"/>
      </w:tblGrid>
      <w:tr w:rsidR="00000000" w14:paraId="6F1C3681" w14:textId="77777777">
        <w:trPr>
          <w:divId w:val="722489667"/>
        </w:trPr>
        <w:tc>
          <w:tcPr>
            <w:tcW w:w="50" w:type="pct"/>
            <w:vAlign w:val="center"/>
            <w:hideMark/>
          </w:tcPr>
          <w:p w14:paraId="29AC1194" w14:textId="77777777" w:rsidR="00000000" w:rsidRDefault="001D0688">
            <w:pPr>
              <w:ind w:firstLine="720"/>
              <w:jc w:val="both"/>
              <w:rPr>
                <w:rFonts w:eastAsia="Times New Roman"/>
              </w:rPr>
            </w:pPr>
          </w:p>
        </w:tc>
        <w:tc>
          <w:tcPr>
            <w:tcW w:w="728" w:type="pct"/>
            <w:vAlign w:val="center"/>
            <w:hideMark/>
          </w:tcPr>
          <w:p w14:paraId="492B3401" w14:textId="77777777" w:rsidR="00000000" w:rsidRDefault="001D0688">
            <w:pPr>
              <w:rPr>
                <w:rFonts w:eastAsia="Times New Roman"/>
                <w:sz w:val="20"/>
                <w:szCs w:val="20"/>
              </w:rPr>
            </w:pPr>
          </w:p>
        </w:tc>
        <w:tc>
          <w:tcPr>
            <w:tcW w:w="5" w:type="pct"/>
            <w:vAlign w:val="center"/>
            <w:hideMark/>
          </w:tcPr>
          <w:p w14:paraId="1976F105" w14:textId="77777777" w:rsidR="00000000" w:rsidRDefault="001D0688">
            <w:pPr>
              <w:rPr>
                <w:rFonts w:eastAsia="Times New Roman"/>
                <w:sz w:val="20"/>
                <w:szCs w:val="20"/>
              </w:rPr>
            </w:pPr>
          </w:p>
        </w:tc>
        <w:tc>
          <w:tcPr>
            <w:tcW w:w="0" w:type="auto"/>
            <w:vAlign w:val="center"/>
            <w:hideMark/>
          </w:tcPr>
          <w:p w14:paraId="0308FA74" w14:textId="77777777" w:rsidR="00000000" w:rsidRDefault="001D0688">
            <w:pPr>
              <w:rPr>
                <w:rFonts w:eastAsia="Times New Roman"/>
                <w:sz w:val="20"/>
                <w:szCs w:val="20"/>
              </w:rPr>
            </w:pPr>
          </w:p>
        </w:tc>
        <w:tc>
          <w:tcPr>
            <w:tcW w:w="50" w:type="pct"/>
            <w:vAlign w:val="center"/>
            <w:hideMark/>
          </w:tcPr>
          <w:p w14:paraId="0A7CD902" w14:textId="77777777" w:rsidR="00000000" w:rsidRDefault="001D0688">
            <w:pPr>
              <w:rPr>
                <w:rFonts w:eastAsia="Times New Roman"/>
                <w:sz w:val="20"/>
                <w:szCs w:val="20"/>
              </w:rPr>
            </w:pPr>
          </w:p>
        </w:tc>
        <w:tc>
          <w:tcPr>
            <w:tcW w:w="4161" w:type="pct"/>
            <w:vAlign w:val="center"/>
            <w:hideMark/>
          </w:tcPr>
          <w:p w14:paraId="729DE34A" w14:textId="77777777" w:rsidR="00000000" w:rsidRDefault="001D0688">
            <w:pPr>
              <w:rPr>
                <w:rFonts w:eastAsia="Times New Roman"/>
                <w:sz w:val="20"/>
                <w:szCs w:val="20"/>
              </w:rPr>
            </w:pPr>
          </w:p>
        </w:tc>
        <w:tc>
          <w:tcPr>
            <w:tcW w:w="5" w:type="pct"/>
            <w:vAlign w:val="center"/>
            <w:hideMark/>
          </w:tcPr>
          <w:p w14:paraId="2E257C3F" w14:textId="77777777" w:rsidR="00000000" w:rsidRDefault="001D0688">
            <w:pPr>
              <w:rPr>
                <w:rFonts w:eastAsia="Times New Roman"/>
                <w:sz w:val="20"/>
                <w:szCs w:val="20"/>
              </w:rPr>
            </w:pPr>
          </w:p>
        </w:tc>
      </w:tr>
      <w:tr w:rsidR="00000000" w14:paraId="3F7231E2" w14:textId="77777777">
        <w:trPr>
          <w:divId w:val="722489667"/>
        </w:trPr>
        <w:tc>
          <w:tcPr>
            <w:tcW w:w="0" w:type="auto"/>
            <w:gridSpan w:val="3"/>
            <w:tcBorders>
              <w:top w:val="single" w:sz="8" w:space="0" w:color="000000"/>
              <w:left w:val="single" w:sz="8" w:space="0" w:color="000000"/>
            </w:tcBorders>
            <w:shd w:val="clear" w:color="auto" w:fill="DCE2EF"/>
            <w:tcMar>
              <w:top w:w="30" w:type="dxa"/>
              <w:left w:w="20" w:type="dxa"/>
              <w:bottom w:w="30" w:type="dxa"/>
              <w:right w:w="20" w:type="dxa"/>
            </w:tcMar>
            <w:vAlign w:val="bottom"/>
            <w:hideMark/>
          </w:tcPr>
          <w:p w14:paraId="2863E6DB" w14:textId="77777777" w:rsidR="00000000" w:rsidRDefault="001D0688">
            <w:pPr>
              <w:jc w:val="center"/>
              <w:rPr>
                <w:rFonts w:eastAsia="Times New Roman"/>
              </w:rPr>
            </w:pPr>
            <w:r>
              <w:rPr>
                <w:rFonts w:ascii="Arial" w:eastAsia="Times New Roman" w:hAnsi="Arial" w:cs="Arial"/>
                <w:b/>
                <w:bCs/>
                <w:color w:val="0046AD"/>
                <w:sz w:val="20"/>
                <w:szCs w:val="20"/>
              </w:rPr>
              <w:t>Contract Type</w:t>
            </w:r>
          </w:p>
        </w:tc>
        <w:tc>
          <w:tcPr>
            <w:tcW w:w="0" w:type="auto"/>
            <w:vAlign w:val="center"/>
            <w:hideMark/>
          </w:tcPr>
          <w:p w14:paraId="1B9C19EE"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4E9B860B" w14:textId="77777777" w:rsidR="00000000" w:rsidRDefault="001D0688">
            <w:pPr>
              <w:jc w:val="center"/>
              <w:rPr>
                <w:rFonts w:eastAsia="Times New Roman"/>
              </w:rPr>
            </w:pPr>
            <w:r>
              <w:rPr>
                <w:rFonts w:ascii="Arial" w:eastAsia="Times New Roman" w:hAnsi="Arial" w:cs="Arial"/>
                <w:b/>
                <w:bCs/>
                <w:color w:val="0046AD"/>
                <w:sz w:val="20"/>
                <w:szCs w:val="20"/>
              </w:rPr>
              <w:t>Description</w:t>
            </w:r>
          </w:p>
        </w:tc>
      </w:tr>
      <w:tr w:rsidR="00000000" w14:paraId="78AA4255"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1AF0756F" w14:textId="77777777" w:rsidR="00000000" w:rsidRDefault="001D0688">
            <w:pPr>
              <w:jc w:val="center"/>
              <w:rPr>
                <w:rFonts w:eastAsia="Times New Roman"/>
              </w:rPr>
            </w:pPr>
            <w:r>
              <w:rPr>
                <w:rFonts w:ascii="Arial" w:eastAsia="Times New Roman" w:hAnsi="Arial" w:cs="Arial"/>
                <w:color w:val="000000"/>
                <w:sz w:val="20"/>
                <w:szCs w:val="20"/>
              </w:rPr>
              <w:t>Monthly Fixed-Price</w:t>
            </w:r>
          </w:p>
        </w:tc>
        <w:tc>
          <w:tcPr>
            <w:tcW w:w="0" w:type="auto"/>
            <w:vAlign w:val="center"/>
            <w:hideMark/>
          </w:tcPr>
          <w:p w14:paraId="15D5DDFF"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8B23BBB" w14:textId="77777777" w:rsidR="00000000" w:rsidRDefault="001D0688">
            <w:pPr>
              <w:jc w:val="both"/>
              <w:rPr>
                <w:rFonts w:eastAsia="Times New Roman"/>
              </w:rPr>
            </w:pPr>
            <w:r>
              <w:rPr>
                <w:rFonts w:ascii="Arial" w:eastAsia="Times New Roman" w:hAnsi="Arial" w:cs="Arial"/>
                <w:color w:val="000000"/>
                <w:sz w:val="20"/>
                <w:szCs w:val="20"/>
              </w:rPr>
              <w:t>These arrangements are contracts in which the client agrees to pay a fixed fee every month over a specified contract term.</w:t>
            </w:r>
          </w:p>
        </w:tc>
      </w:tr>
      <w:tr w:rsidR="00000000" w14:paraId="2884A13F"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36BFA912" w14:textId="77777777" w:rsidR="00000000" w:rsidRDefault="001D0688">
            <w:pPr>
              <w:jc w:val="center"/>
              <w:rPr>
                <w:rFonts w:eastAsia="Times New Roman"/>
              </w:rPr>
            </w:pPr>
            <w:r>
              <w:rPr>
                <w:rFonts w:ascii="Arial" w:eastAsia="Times New Roman" w:hAnsi="Arial" w:cs="Arial"/>
                <w:color w:val="000000"/>
                <w:sz w:val="20"/>
                <w:szCs w:val="20"/>
              </w:rPr>
              <w:t>Square-Foot</w:t>
            </w:r>
          </w:p>
        </w:tc>
        <w:tc>
          <w:tcPr>
            <w:tcW w:w="0" w:type="auto"/>
            <w:vAlign w:val="center"/>
            <w:hideMark/>
          </w:tcPr>
          <w:p w14:paraId="71C5EA7B"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50C173CF" w14:textId="77777777" w:rsidR="00000000" w:rsidRDefault="001D0688">
            <w:pPr>
              <w:jc w:val="both"/>
              <w:rPr>
                <w:rFonts w:eastAsia="Times New Roman"/>
              </w:rPr>
            </w:pPr>
            <w:r>
              <w:rPr>
                <w:rFonts w:ascii="Arial" w:eastAsia="Times New Roman" w:hAnsi="Arial" w:cs="Arial"/>
                <w:color w:val="000000"/>
                <w:sz w:val="20"/>
                <w:szCs w:val="20"/>
              </w:rPr>
              <w:t>Square-foot arrangements are contracts in which the client agrees to pay a fixed fee every month based on the act</w:t>
            </w:r>
            <w:r>
              <w:rPr>
                <w:rFonts w:ascii="Arial" w:eastAsia="Times New Roman" w:hAnsi="Arial" w:cs="Arial"/>
                <w:color w:val="000000"/>
                <w:sz w:val="20"/>
                <w:szCs w:val="20"/>
              </w:rPr>
              <w:t xml:space="preserve">ual square footage serviced over a specified contract term. </w:t>
            </w:r>
          </w:p>
        </w:tc>
      </w:tr>
      <w:tr w:rsidR="00000000" w14:paraId="21782240"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032AA796" w14:textId="77777777" w:rsidR="00000000" w:rsidRDefault="001D0688">
            <w:pPr>
              <w:jc w:val="center"/>
              <w:rPr>
                <w:rFonts w:eastAsia="Times New Roman"/>
              </w:rPr>
            </w:pPr>
            <w:r>
              <w:rPr>
                <w:rFonts w:ascii="Arial" w:eastAsia="Times New Roman" w:hAnsi="Arial" w:cs="Arial"/>
                <w:color w:val="000000"/>
                <w:sz w:val="20"/>
                <w:szCs w:val="20"/>
              </w:rPr>
              <w:t>Cost-Plus</w:t>
            </w:r>
          </w:p>
        </w:tc>
        <w:tc>
          <w:tcPr>
            <w:tcW w:w="0" w:type="auto"/>
            <w:vAlign w:val="center"/>
            <w:hideMark/>
          </w:tcPr>
          <w:p w14:paraId="166BD3BA"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1A63CD2" w14:textId="77777777" w:rsidR="00000000" w:rsidRDefault="001D0688">
            <w:pPr>
              <w:jc w:val="both"/>
              <w:rPr>
                <w:rFonts w:eastAsia="Times New Roman"/>
              </w:rPr>
            </w:pPr>
            <w:r>
              <w:rPr>
                <w:rFonts w:ascii="Arial" w:eastAsia="Times New Roman" w:hAnsi="Arial" w:cs="Arial"/>
                <w:color w:val="000000"/>
                <w:sz w:val="20"/>
                <w:szCs w:val="20"/>
              </w:rPr>
              <w:t xml:space="preserve">These arrangements are contracts in which the clients reimburse us for the agreed-upon amount of wages and benefits, payroll taxes, insurance charges, and other expenses associated with the contracted work, plus a profit margin. </w:t>
            </w:r>
          </w:p>
        </w:tc>
      </w:tr>
      <w:tr w:rsidR="00000000" w14:paraId="20B273F0"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18C6C28D" w14:textId="77777777" w:rsidR="00000000" w:rsidRDefault="001D0688">
            <w:pPr>
              <w:jc w:val="center"/>
              <w:rPr>
                <w:rFonts w:eastAsia="Times New Roman"/>
              </w:rPr>
            </w:pPr>
            <w:r>
              <w:rPr>
                <w:rFonts w:ascii="Arial" w:eastAsia="Times New Roman" w:hAnsi="Arial" w:cs="Arial"/>
                <w:color w:val="000000"/>
                <w:sz w:val="20"/>
                <w:szCs w:val="20"/>
              </w:rPr>
              <w:t>Work Orders</w:t>
            </w:r>
          </w:p>
        </w:tc>
        <w:tc>
          <w:tcPr>
            <w:tcW w:w="0" w:type="auto"/>
            <w:vAlign w:val="center"/>
            <w:hideMark/>
          </w:tcPr>
          <w:p w14:paraId="1C2251C6"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BA7D565" w14:textId="77777777" w:rsidR="00000000" w:rsidRDefault="001D0688">
            <w:pPr>
              <w:jc w:val="both"/>
              <w:rPr>
                <w:rFonts w:eastAsia="Times New Roman"/>
              </w:rPr>
            </w:pPr>
            <w:r>
              <w:rPr>
                <w:rFonts w:ascii="Arial" w:eastAsia="Times New Roman" w:hAnsi="Arial" w:cs="Arial"/>
                <w:color w:val="000000"/>
                <w:sz w:val="20"/>
                <w:szCs w:val="20"/>
              </w:rPr>
              <w:t>Work o</w:t>
            </w:r>
            <w:r>
              <w:rPr>
                <w:rFonts w:ascii="Arial" w:eastAsia="Times New Roman" w:hAnsi="Arial" w:cs="Arial"/>
                <w:color w:val="000000"/>
                <w:sz w:val="20"/>
                <w:szCs w:val="20"/>
              </w:rPr>
              <w:t xml:space="preserve">rders generally consist of supplemental services requested by clients outside of the standard service specification and include cleanup after tenant moves, construction cleanup, flood cleanup, snow removal, and high touchpoint disinfecting services. </w:t>
            </w:r>
          </w:p>
        </w:tc>
      </w:tr>
      <w:tr w:rsidR="00000000" w14:paraId="0F0E4E49"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7916758E" w14:textId="77777777" w:rsidR="00000000" w:rsidRDefault="001D0688">
            <w:pPr>
              <w:jc w:val="center"/>
              <w:rPr>
                <w:rFonts w:eastAsia="Times New Roman"/>
              </w:rPr>
            </w:pPr>
            <w:r>
              <w:rPr>
                <w:rFonts w:ascii="Arial" w:eastAsia="Times New Roman" w:hAnsi="Arial" w:cs="Arial"/>
                <w:color w:val="000000"/>
                <w:sz w:val="20"/>
                <w:szCs w:val="20"/>
              </w:rPr>
              <w:t>Tr</w:t>
            </w:r>
            <w:r>
              <w:rPr>
                <w:rFonts w:ascii="Arial" w:eastAsia="Times New Roman" w:hAnsi="Arial" w:cs="Arial"/>
                <w:color w:val="000000"/>
                <w:sz w:val="20"/>
                <w:szCs w:val="20"/>
              </w:rPr>
              <w:t>ansaction-Price</w:t>
            </w:r>
          </w:p>
        </w:tc>
        <w:tc>
          <w:tcPr>
            <w:tcW w:w="0" w:type="auto"/>
            <w:vAlign w:val="center"/>
            <w:hideMark/>
          </w:tcPr>
          <w:p w14:paraId="6DA8D1B4"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0081CFD2" w14:textId="77777777" w:rsidR="00000000" w:rsidRDefault="001D0688">
            <w:pPr>
              <w:jc w:val="both"/>
              <w:rPr>
                <w:rFonts w:eastAsia="Times New Roman"/>
              </w:rPr>
            </w:pPr>
            <w:r>
              <w:rPr>
                <w:rFonts w:ascii="Arial" w:eastAsia="Times New Roman" w:hAnsi="Arial" w:cs="Arial"/>
                <w:color w:val="000000"/>
                <w:sz w:val="20"/>
                <w:szCs w:val="20"/>
              </w:rPr>
              <w:t xml:space="preserve">These are arrangements in which customers are billed a fixed price for each transaction performed on a monthly basis (e.g., wheelchair passengers served or airplane cabins cleaned). </w:t>
            </w:r>
          </w:p>
        </w:tc>
      </w:tr>
      <w:tr w:rsidR="00000000" w14:paraId="3AAFF1C0"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32DDF354" w14:textId="77777777" w:rsidR="00000000" w:rsidRDefault="001D0688">
            <w:pPr>
              <w:jc w:val="center"/>
              <w:rPr>
                <w:rFonts w:eastAsia="Times New Roman"/>
              </w:rPr>
            </w:pPr>
            <w:r>
              <w:rPr>
                <w:rFonts w:ascii="Arial" w:eastAsia="Times New Roman" w:hAnsi="Arial" w:cs="Arial"/>
                <w:color w:val="000000"/>
                <w:sz w:val="20"/>
                <w:szCs w:val="20"/>
              </w:rPr>
              <w:t>Hourly</w:t>
            </w:r>
          </w:p>
        </w:tc>
        <w:tc>
          <w:tcPr>
            <w:tcW w:w="0" w:type="auto"/>
            <w:vAlign w:val="center"/>
            <w:hideMark/>
          </w:tcPr>
          <w:p w14:paraId="07CCB453"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532E84F8" w14:textId="77777777" w:rsidR="00000000" w:rsidRDefault="001D0688">
            <w:pPr>
              <w:jc w:val="both"/>
              <w:rPr>
                <w:rFonts w:eastAsia="Times New Roman"/>
              </w:rPr>
            </w:pPr>
            <w:r>
              <w:rPr>
                <w:rFonts w:ascii="Arial" w:eastAsia="Times New Roman" w:hAnsi="Arial" w:cs="Arial"/>
                <w:color w:val="000000"/>
                <w:sz w:val="20"/>
                <w:szCs w:val="20"/>
              </w:rPr>
              <w:t xml:space="preserve">In hourly arrangements, the client is billed a fixed hourly rate for each labor hour provided. </w:t>
            </w:r>
          </w:p>
        </w:tc>
      </w:tr>
      <w:tr w:rsidR="00000000" w14:paraId="52EFA1FA"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0ADA3835" w14:textId="77777777" w:rsidR="00000000" w:rsidRDefault="001D0688">
            <w:pPr>
              <w:jc w:val="center"/>
              <w:rPr>
                <w:rFonts w:eastAsia="Times New Roman"/>
              </w:rPr>
            </w:pPr>
            <w:r>
              <w:rPr>
                <w:rFonts w:ascii="Arial" w:eastAsia="Times New Roman" w:hAnsi="Arial" w:cs="Arial"/>
                <w:color w:val="000000"/>
                <w:sz w:val="20"/>
                <w:szCs w:val="20"/>
              </w:rPr>
              <w:t>Management Reimbursement</w:t>
            </w:r>
          </w:p>
        </w:tc>
        <w:tc>
          <w:tcPr>
            <w:tcW w:w="0" w:type="auto"/>
            <w:vAlign w:val="center"/>
            <w:hideMark/>
          </w:tcPr>
          <w:p w14:paraId="70AAFA7B"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A58277C" w14:textId="77777777" w:rsidR="00000000" w:rsidRDefault="001D0688">
            <w:pPr>
              <w:jc w:val="both"/>
              <w:rPr>
                <w:rFonts w:eastAsia="Times New Roman"/>
              </w:rPr>
            </w:pPr>
            <w:r>
              <w:rPr>
                <w:rFonts w:ascii="Arial" w:eastAsia="Times New Roman" w:hAnsi="Arial" w:cs="Arial"/>
                <w:color w:val="000000"/>
                <w:sz w:val="20"/>
                <w:szCs w:val="20"/>
              </w:rPr>
              <w:t>Under these parking arrangements, we manage a parking facility for a management fee and pass through the revenue and expenses a</w:t>
            </w:r>
            <w:r>
              <w:rPr>
                <w:rFonts w:ascii="Arial" w:eastAsia="Times New Roman" w:hAnsi="Arial" w:cs="Arial"/>
                <w:color w:val="000000"/>
                <w:sz w:val="20"/>
                <w:szCs w:val="20"/>
              </w:rPr>
              <w:t>ssociated with the facility to the owner.</w:t>
            </w:r>
          </w:p>
        </w:tc>
      </w:tr>
      <w:tr w:rsidR="00000000" w14:paraId="7E9621DF"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4E25DD2B" w14:textId="77777777" w:rsidR="00000000" w:rsidRDefault="001D0688">
            <w:pPr>
              <w:jc w:val="center"/>
              <w:rPr>
                <w:rFonts w:eastAsia="Times New Roman"/>
              </w:rPr>
            </w:pPr>
            <w:r>
              <w:rPr>
                <w:rFonts w:ascii="Arial" w:eastAsia="Times New Roman" w:hAnsi="Arial" w:cs="Arial"/>
                <w:color w:val="000000"/>
                <w:sz w:val="20"/>
                <w:szCs w:val="20"/>
              </w:rPr>
              <w:t>Leased Location</w:t>
            </w:r>
          </w:p>
        </w:tc>
        <w:tc>
          <w:tcPr>
            <w:tcW w:w="0" w:type="auto"/>
            <w:vAlign w:val="center"/>
            <w:hideMark/>
          </w:tcPr>
          <w:p w14:paraId="1DA2A34C"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035F6AF0" w14:textId="77777777" w:rsidR="00000000" w:rsidRDefault="001D0688">
            <w:pPr>
              <w:jc w:val="both"/>
              <w:rPr>
                <w:rFonts w:eastAsia="Times New Roman"/>
              </w:rPr>
            </w:pPr>
            <w:r>
              <w:rPr>
                <w:rFonts w:ascii="Arial" w:eastAsia="Times New Roman" w:hAnsi="Arial" w:cs="Arial"/>
                <w:color w:val="000000"/>
                <w:sz w:val="20"/>
                <w:szCs w:val="20"/>
              </w:rPr>
              <w:t>Under these parking arrangements, we pay a fixed amount of rent plus a percentage of revenues derived from monthly and transient parkers to the property owner. We retain all revenues received and are responsible for most operating expenses incurred.</w:t>
            </w:r>
          </w:p>
        </w:tc>
      </w:tr>
      <w:tr w:rsidR="00000000" w14:paraId="613ADA22"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609E5A0D" w14:textId="77777777" w:rsidR="00000000" w:rsidRDefault="001D0688">
            <w:pPr>
              <w:jc w:val="center"/>
              <w:rPr>
                <w:rFonts w:eastAsia="Times New Roman"/>
              </w:rPr>
            </w:pPr>
            <w:r>
              <w:rPr>
                <w:rFonts w:ascii="Arial" w:eastAsia="Times New Roman" w:hAnsi="Arial" w:cs="Arial"/>
                <w:color w:val="000000"/>
                <w:sz w:val="20"/>
                <w:szCs w:val="20"/>
              </w:rPr>
              <w:t>All</w:t>
            </w:r>
            <w:r>
              <w:rPr>
                <w:rFonts w:ascii="Arial" w:eastAsia="Times New Roman" w:hAnsi="Arial" w:cs="Arial"/>
                <w:color w:val="000000"/>
                <w:sz w:val="20"/>
                <w:szCs w:val="20"/>
              </w:rPr>
              <w:t>owance</w:t>
            </w:r>
          </w:p>
        </w:tc>
        <w:tc>
          <w:tcPr>
            <w:tcW w:w="0" w:type="auto"/>
            <w:vAlign w:val="center"/>
            <w:hideMark/>
          </w:tcPr>
          <w:p w14:paraId="35F1903F"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0F378D77" w14:textId="77777777" w:rsidR="00000000" w:rsidRDefault="001D0688">
            <w:pPr>
              <w:jc w:val="both"/>
              <w:rPr>
                <w:rFonts w:eastAsia="Times New Roman"/>
              </w:rPr>
            </w:pPr>
            <w:r>
              <w:rPr>
                <w:rFonts w:ascii="Arial" w:eastAsia="Times New Roman" w:hAnsi="Arial" w:cs="Arial"/>
                <w:color w:val="000000"/>
                <w:sz w:val="20"/>
                <w:szCs w:val="20"/>
              </w:rPr>
              <w:t>Under these parking arrangements, we are paid a fixed amount or hourly fee to provide parking services, and we are responsible for certain operating expenses, as specified in the contract.</w:t>
            </w:r>
          </w:p>
        </w:tc>
      </w:tr>
      <w:tr w:rsidR="00000000" w14:paraId="1F2E88C3" w14:textId="77777777">
        <w:trPr>
          <w:divId w:val="72248966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29CF2444" w14:textId="77777777" w:rsidR="00000000" w:rsidRDefault="001D0688">
            <w:pPr>
              <w:jc w:val="center"/>
              <w:rPr>
                <w:rFonts w:eastAsia="Times New Roman"/>
              </w:rPr>
            </w:pPr>
            <w:r>
              <w:rPr>
                <w:rFonts w:ascii="Arial" w:eastAsia="Times New Roman" w:hAnsi="Arial" w:cs="Arial"/>
                <w:color w:val="000000"/>
                <w:sz w:val="20"/>
                <w:szCs w:val="20"/>
              </w:rPr>
              <w:lastRenderedPageBreak/>
              <w:t xml:space="preserve">Energy Savings Contracts and Fixed-Price Repair and </w:t>
            </w:r>
            <w:r>
              <w:rPr>
                <w:rFonts w:ascii="Arial" w:eastAsia="Times New Roman" w:hAnsi="Arial" w:cs="Arial"/>
                <w:color w:val="000000"/>
                <w:sz w:val="20"/>
                <w:szCs w:val="20"/>
              </w:rPr>
              <w:t>Refurbishment</w:t>
            </w:r>
          </w:p>
        </w:tc>
        <w:tc>
          <w:tcPr>
            <w:tcW w:w="0" w:type="auto"/>
            <w:vAlign w:val="center"/>
            <w:hideMark/>
          </w:tcPr>
          <w:p w14:paraId="0AAF1D59" w14:textId="77777777" w:rsidR="00000000" w:rsidRDefault="001D0688">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B058E3C" w14:textId="77777777" w:rsidR="00000000" w:rsidRDefault="001D0688">
            <w:pPr>
              <w:jc w:val="both"/>
              <w:rPr>
                <w:rFonts w:eastAsia="Times New Roman"/>
              </w:rPr>
            </w:pPr>
            <w:r>
              <w:rPr>
                <w:rFonts w:ascii="Arial" w:eastAsia="Times New Roman" w:hAnsi="Arial" w:cs="Arial"/>
                <w:color w:val="000000"/>
                <w:sz w:val="20"/>
                <w:szCs w:val="20"/>
              </w:rPr>
              <w:t>Under these arrangements, we agree to develop, design, engineer, and construct a project. Additionally, as part of bundled energy solutions arrangements, we guarantee the project will satisfy agreed-upon performance standards.</w:t>
            </w:r>
          </w:p>
        </w:tc>
      </w:tr>
      <w:tr w:rsidR="00000000" w14:paraId="73F5418C" w14:textId="77777777">
        <w:trPr>
          <w:divId w:val="72248966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14:paraId="57416925" w14:textId="77777777" w:rsidR="00000000" w:rsidRDefault="001D0688">
            <w:pPr>
              <w:jc w:val="center"/>
              <w:rPr>
                <w:rFonts w:eastAsia="Times New Roman"/>
              </w:rPr>
            </w:pPr>
            <w:r>
              <w:rPr>
                <w:rFonts w:ascii="Arial" w:eastAsia="Times New Roman" w:hAnsi="Arial" w:cs="Arial"/>
                <w:color w:val="000000"/>
                <w:sz w:val="20"/>
                <w:szCs w:val="20"/>
              </w:rPr>
              <w:t>Franchise</w:t>
            </w:r>
          </w:p>
        </w:tc>
        <w:tc>
          <w:tcPr>
            <w:tcW w:w="0" w:type="auto"/>
            <w:vAlign w:val="center"/>
            <w:hideMark/>
          </w:tcPr>
          <w:p w14:paraId="036B9526" w14:textId="77777777" w:rsidR="00000000" w:rsidRDefault="001D0688">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51458B13" w14:textId="77777777" w:rsidR="00000000" w:rsidRDefault="001D0688">
            <w:pPr>
              <w:jc w:val="both"/>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TEGG brands, which are part of ABM Technical Solutions.</w:t>
            </w:r>
          </w:p>
        </w:tc>
      </w:tr>
    </w:tbl>
    <w:p w14:paraId="22E09C69" w14:textId="77777777" w:rsidR="00000000" w:rsidRDefault="001D0688">
      <w:pPr>
        <w:divId w:val="679356560"/>
        <w:rPr>
          <w:rFonts w:eastAsia="Times New Roman"/>
        </w:rPr>
      </w:pPr>
    </w:p>
    <w:p w14:paraId="1DDD2810" w14:textId="77777777" w:rsidR="00000000" w:rsidRDefault="001D0688">
      <w:pPr>
        <w:jc w:val="center"/>
        <w:divId w:val="1056513334"/>
        <w:rPr>
          <w:rFonts w:eastAsia="Times New Roman"/>
        </w:rPr>
      </w:pPr>
      <w:r>
        <w:rPr>
          <w:rFonts w:ascii="Arial" w:eastAsia="Times New Roman" w:hAnsi="Arial" w:cs="Arial"/>
          <w:color w:val="000000"/>
          <w:sz w:val="20"/>
          <w:szCs w:val="20"/>
        </w:rPr>
        <w:t>3</w:t>
      </w:r>
    </w:p>
    <w:p w14:paraId="48569EF7" w14:textId="77777777" w:rsidR="00000000" w:rsidRDefault="001D0688">
      <w:pPr>
        <w:rPr>
          <w:rFonts w:eastAsia="Times New Roman"/>
        </w:rPr>
      </w:pPr>
      <w:r>
        <w:rPr>
          <w:rFonts w:eastAsia="Times New Roman"/>
        </w:rPr>
        <w:pict w14:anchorId="6F22DCB5">
          <v:rect id="_x0000_i1033" style="width:0;height:1.5pt" o:hralign="center" o:hrstd="t" o:hr="t" fillcolor="#a0a0a0" stroked="f"/>
        </w:pict>
      </w:r>
    </w:p>
    <w:p w14:paraId="3E1D4990" w14:textId="77777777" w:rsidR="00000000" w:rsidRDefault="001D0688">
      <w:pPr>
        <w:divId w:val="1368220412"/>
        <w:rPr>
          <w:rFonts w:eastAsia="Times New Roman"/>
        </w:rPr>
      </w:pPr>
    </w:p>
    <w:p w14:paraId="049BFF5E" w14:textId="77777777" w:rsidR="00000000" w:rsidRDefault="001D0688">
      <w:pPr>
        <w:divId w:val="1854495828"/>
        <w:rPr>
          <w:rFonts w:eastAsia="Times New Roman"/>
        </w:rPr>
      </w:pPr>
      <w:r>
        <w:rPr>
          <w:rFonts w:ascii="Arial" w:eastAsia="Times New Roman" w:hAnsi="Arial" w:cs="Arial"/>
          <w:b/>
          <w:bCs/>
          <w:color w:val="0046AD"/>
          <w:sz w:val="20"/>
          <w:szCs w:val="20"/>
        </w:rPr>
        <w:t>Segment and Geographic Financial Information</w:t>
      </w:r>
    </w:p>
    <w:p w14:paraId="6FA07BC2" w14:textId="77777777" w:rsidR="00000000" w:rsidRDefault="001D0688">
      <w:pPr>
        <w:ind w:firstLine="720"/>
        <w:jc w:val="both"/>
        <w:divId w:val="511918364"/>
        <w:rPr>
          <w:rFonts w:eastAsia="Times New Roman"/>
        </w:rPr>
      </w:pPr>
      <w:r>
        <w:rPr>
          <w:rFonts w:ascii="Arial" w:eastAsia="Times New Roman" w:hAnsi="Arial" w:cs="Arial"/>
          <w:color w:val="000000"/>
          <w:sz w:val="20"/>
          <w:szCs w:val="20"/>
        </w:rPr>
        <w:t>Our current reportable segments consist of Business &amp; Industry (“B&amp;I”), Technology &amp; Manufacturing (“T&amp;M”</w:t>
      </w:r>
      <w:r>
        <w:rPr>
          <w:rFonts w:ascii="Arial" w:eastAsia="Times New Roman" w:hAnsi="Arial" w:cs="Arial"/>
          <w:color w:val="000000"/>
          <w:sz w:val="20"/>
          <w:szCs w:val="20"/>
        </w:rPr>
        <w:t xml:space="preserve">), Education, Aviation, and Technical Solutions. For segment and geographic financial information, see Note 17, “Segment and Geographic Information,” in the Notes to consolidated financial statements. </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2723"/>
        <w:gridCol w:w="37"/>
        <w:gridCol w:w="69"/>
        <w:gridCol w:w="5347"/>
        <w:gridCol w:w="37"/>
      </w:tblGrid>
      <w:tr w:rsidR="00000000" w14:paraId="112D7406" w14:textId="77777777">
        <w:trPr>
          <w:divId w:val="1340426369"/>
          <w:jc w:val="center"/>
        </w:trPr>
        <w:tc>
          <w:tcPr>
            <w:tcW w:w="50" w:type="pct"/>
            <w:vAlign w:val="center"/>
            <w:hideMark/>
          </w:tcPr>
          <w:p w14:paraId="7AB8ADAB" w14:textId="77777777" w:rsidR="00000000" w:rsidRDefault="001D0688">
            <w:pPr>
              <w:ind w:firstLine="720"/>
              <w:jc w:val="both"/>
              <w:rPr>
                <w:rFonts w:eastAsia="Times New Roman"/>
              </w:rPr>
            </w:pPr>
          </w:p>
        </w:tc>
        <w:tc>
          <w:tcPr>
            <w:tcW w:w="1653" w:type="pct"/>
            <w:vAlign w:val="center"/>
            <w:hideMark/>
          </w:tcPr>
          <w:p w14:paraId="19EB846A" w14:textId="77777777" w:rsidR="00000000" w:rsidRDefault="001D0688">
            <w:pPr>
              <w:rPr>
                <w:rFonts w:eastAsia="Times New Roman"/>
                <w:sz w:val="20"/>
                <w:szCs w:val="20"/>
              </w:rPr>
            </w:pPr>
          </w:p>
        </w:tc>
        <w:tc>
          <w:tcPr>
            <w:tcW w:w="5" w:type="pct"/>
            <w:vAlign w:val="center"/>
            <w:hideMark/>
          </w:tcPr>
          <w:p w14:paraId="7B43A3C1" w14:textId="77777777" w:rsidR="00000000" w:rsidRDefault="001D0688">
            <w:pPr>
              <w:rPr>
                <w:rFonts w:eastAsia="Times New Roman"/>
                <w:sz w:val="20"/>
                <w:szCs w:val="20"/>
              </w:rPr>
            </w:pPr>
          </w:p>
        </w:tc>
        <w:tc>
          <w:tcPr>
            <w:tcW w:w="50" w:type="pct"/>
            <w:vAlign w:val="center"/>
            <w:hideMark/>
          </w:tcPr>
          <w:p w14:paraId="6CEE2DBA" w14:textId="77777777" w:rsidR="00000000" w:rsidRDefault="001D0688">
            <w:pPr>
              <w:rPr>
                <w:rFonts w:eastAsia="Times New Roman"/>
                <w:sz w:val="20"/>
                <w:szCs w:val="20"/>
              </w:rPr>
            </w:pPr>
          </w:p>
        </w:tc>
        <w:tc>
          <w:tcPr>
            <w:tcW w:w="3236" w:type="pct"/>
            <w:vAlign w:val="center"/>
            <w:hideMark/>
          </w:tcPr>
          <w:p w14:paraId="085D3A46" w14:textId="77777777" w:rsidR="00000000" w:rsidRDefault="001D0688">
            <w:pPr>
              <w:rPr>
                <w:rFonts w:eastAsia="Times New Roman"/>
                <w:sz w:val="20"/>
                <w:szCs w:val="20"/>
              </w:rPr>
            </w:pPr>
          </w:p>
        </w:tc>
        <w:tc>
          <w:tcPr>
            <w:tcW w:w="5" w:type="pct"/>
            <w:vAlign w:val="center"/>
            <w:hideMark/>
          </w:tcPr>
          <w:p w14:paraId="7B915316" w14:textId="77777777" w:rsidR="00000000" w:rsidRDefault="001D0688">
            <w:pPr>
              <w:rPr>
                <w:rFonts w:eastAsia="Times New Roman"/>
                <w:sz w:val="20"/>
                <w:szCs w:val="20"/>
              </w:rPr>
            </w:pPr>
          </w:p>
        </w:tc>
      </w:tr>
      <w:tr w:rsidR="00000000" w14:paraId="09EA35AD" w14:textId="77777777">
        <w:trPr>
          <w:divId w:val="1340426369"/>
          <w:jc w:val="center"/>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center"/>
            <w:hideMark/>
          </w:tcPr>
          <w:p w14:paraId="17C8B591" w14:textId="77777777" w:rsidR="00000000" w:rsidRDefault="001D0688">
            <w:pPr>
              <w:jc w:val="center"/>
              <w:rPr>
                <w:rFonts w:eastAsia="Times New Roman"/>
              </w:rPr>
            </w:pPr>
            <w:r>
              <w:rPr>
                <w:rFonts w:ascii="Arial" w:eastAsia="Times New Roman" w:hAnsi="Arial" w:cs="Arial"/>
                <w:b/>
                <w:bCs/>
                <w:color w:val="0046AD"/>
                <w:sz w:val="20"/>
                <w:szCs w:val="20"/>
              </w:rPr>
              <w:t> REPORTABLE SEGMENTS AND DESCRIPTIONS</w:t>
            </w:r>
          </w:p>
        </w:tc>
      </w:tr>
      <w:tr w:rsidR="00000000" w14:paraId="4CAAE101" w14:textId="77777777">
        <w:trPr>
          <w:divId w:val="1340426369"/>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7919D196" w14:textId="77777777" w:rsidR="00000000" w:rsidRDefault="001D0688">
            <w:pPr>
              <w:jc w:val="center"/>
              <w:rPr>
                <w:rFonts w:eastAsia="Times New Roman"/>
              </w:rPr>
            </w:pPr>
            <w:r>
              <w:rPr>
                <w:rFonts w:eastAsia="Times New Roman"/>
                <w:noProof/>
              </w:rPr>
              <w:drawing>
                <wp:inline distT="0" distB="0" distL="0" distR="0" wp14:anchorId="277A0C1C" wp14:editId="102F477F">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E8A59FB" w14:textId="77777777" w:rsidR="00000000" w:rsidRDefault="001D0688">
            <w:pPr>
              <w:jc w:val="both"/>
              <w:divId w:val="1493255763"/>
              <w:rPr>
                <w:rFonts w:eastAsia="Times New Roman"/>
              </w:rPr>
            </w:pPr>
            <w:r>
              <w:rPr>
                <w:rFonts w:ascii="Arial" w:eastAsia="Times New Roman" w:hAnsi="Arial" w:cs="Arial"/>
                <w:color w:val="000000"/>
                <w:sz w:val="20"/>
                <w:szCs w:val="20"/>
              </w:rPr>
              <w:t>B&amp;I, our largest reportable segment, encompasses janitorial, facilities engineering, and parking services for commercial rea</w:t>
            </w:r>
            <w:r>
              <w:rPr>
                <w:rFonts w:ascii="Arial" w:eastAsia="Times New Roman" w:hAnsi="Arial" w:cs="Arial"/>
                <w:color w:val="000000"/>
                <w:sz w:val="20"/>
                <w:szCs w:val="20"/>
              </w:rPr>
              <w:t>l estate properties, sports and entertainment venues, and traditional hospitals and non-acute healthcare facilities. B&amp;I also provides vehicle maintenance and other services to rental car providers. We typically provide services in this segment pursuant to</w:t>
            </w:r>
            <w:r>
              <w:rPr>
                <w:rFonts w:ascii="Arial" w:eastAsia="Times New Roman" w:hAnsi="Arial" w:cs="Arial"/>
                <w:color w:val="000000"/>
                <w:sz w:val="20"/>
                <w:szCs w:val="20"/>
              </w:rPr>
              <w:t xml:space="preserve"> monthly fixed-price, square-foot, cost-plus, and parking arrangements (i.e., management reimbursement, leased location, or allowance) that are obtained through a competitive bid process as well as pursuant to work orders.</w:t>
            </w:r>
          </w:p>
        </w:tc>
      </w:tr>
      <w:tr w:rsidR="00000000" w14:paraId="3F980A62" w14:textId="77777777">
        <w:trPr>
          <w:divId w:val="1340426369"/>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5286AFB7" w14:textId="77777777" w:rsidR="00000000" w:rsidRDefault="001D0688">
            <w:pPr>
              <w:jc w:val="center"/>
              <w:rPr>
                <w:rFonts w:eastAsia="Times New Roman"/>
              </w:rPr>
            </w:pPr>
            <w:r>
              <w:rPr>
                <w:rFonts w:eastAsia="Times New Roman"/>
                <w:noProof/>
              </w:rPr>
              <w:drawing>
                <wp:inline distT="0" distB="0" distL="0" distR="0" wp14:anchorId="00D684E5" wp14:editId="40B4E9AF">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40FDCD8" w14:textId="77777777" w:rsidR="00000000" w:rsidRDefault="001D0688">
            <w:pPr>
              <w:jc w:val="both"/>
              <w:divId w:val="139932167"/>
              <w:rPr>
                <w:rFonts w:eastAsia="Times New Roman"/>
              </w:rPr>
            </w:pPr>
            <w:r>
              <w:rPr>
                <w:rFonts w:ascii="Arial" w:eastAsia="Times New Roman" w:hAnsi="Arial" w:cs="Arial"/>
                <w:color w:val="000000"/>
                <w:sz w:val="20"/>
                <w:szCs w:val="20"/>
              </w:rPr>
              <w:t xml:space="preserve">T&amp;M provides janitorial, facilities engineering, and parking services to industrial and high-tech manufacturing facilities. </w:t>
            </w:r>
            <w:r>
              <w:rPr>
                <w:rFonts w:ascii="Arial" w:eastAsia="Times New Roman" w:hAnsi="Arial" w:cs="Arial"/>
                <w:color w:val="000000"/>
                <w:sz w:val="20"/>
                <w:szCs w:val="20"/>
              </w:rPr>
              <w:t>We typically provide these services pursuant to monthly fixed-price, square-foot, cost-plus, and parking arrangements that are obtained through a competitive bid process as well as pursuant to work orders.</w:t>
            </w:r>
          </w:p>
        </w:tc>
      </w:tr>
      <w:tr w:rsidR="00000000" w14:paraId="1C7C42FD" w14:textId="77777777">
        <w:trPr>
          <w:divId w:val="1340426369"/>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46D3291E" w14:textId="77777777" w:rsidR="00000000" w:rsidRDefault="001D0688">
            <w:pPr>
              <w:jc w:val="center"/>
              <w:rPr>
                <w:rFonts w:eastAsia="Times New Roman"/>
              </w:rPr>
            </w:pPr>
            <w:r>
              <w:rPr>
                <w:rFonts w:eastAsia="Times New Roman"/>
                <w:noProof/>
              </w:rPr>
              <w:drawing>
                <wp:inline distT="0" distB="0" distL="0" distR="0" wp14:anchorId="7775A3A8" wp14:editId="77145B77">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2DDD43BC" w14:textId="77777777" w:rsidR="00000000" w:rsidRDefault="001D0688">
            <w:pPr>
              <w:jc w:val="both"/>
              <w:divId w:val="1497376216"/>
              <w:rPr>
                <w:rFonts w:eastAsia="Times New Roman"/>
              </w:rPr>
            </w:pPr>
            <w:r>
              <w:rPr>
                <w:rFonts w:ascii="Arial" w:eastAsia="Times New Roman" w:hAnsi="Arial" w:cs="Arial"/>
                <w:color w:val="000000"/>
                <w:sz w:val="20"/>
                <w:szCs w:val="20"/>
              </w:rPr>
              <w:t>Education delivers janitorial, custodial, landscaping and grounds, facilities engineering, and parking services for public school districts, private schools, colleges, and universiti</w:t>
            </w:r>
            <w:r>
              <w:rPr>
                <w:rFonts w:ascii="Arial" w:eastAsia="Times New Roman" w:hAnsi="Arial" w:cs="Arial"/>
                <w:color w:val="000000"/>
                <w:sz w:val="20"/>
                <w:szCs w:val="20"/>
              </w:rPr>
              <w:t>es. These services are typically provided pursuant to monthly fixed-price, square-foot, and cost-plus arrangements that are obtained through either a competitive bid process or re-bid upon renewal as well as pursuant to work orders.</w:t>
            </w:r>
          </w:p>
        </w:tc>
      </w:tr>
      <w:tr w:rsidR="00000000" w14:paraId="762E0E84" w14:textId="77777777">
        <w:trPr>
          <w:divId w:val="1340426369"/>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6622A685" w14:textId="77777777" w:rsidR="00000000" w:rsidRDefault="001D0688">
            <w:pPr>
              <w:jc w:val="center"/>
              <w:rPr>
                <w:rFonts w:eastAsia="Times New Roman"/>
              </w:rPr>
            </w:pPr>
            <w:r>
              <w:rPr>
                <w:rFonts w:eastAsia="Times New Roman"/>
                <w:noProof/>
              </w:rPr>
              <w:drawing>
                <wp:inline distT="0" distB="0" distL="0" distR="0" wp14:anchorId="6305D2BF" wp14:editId="7172E697">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5A5B2883" w14:textId="77777777" w:rsidR="00000000" w:rsidRDefault="001D0688">
            <w:pPr>
              <w:jc w:val="both"/>
              <w:divId w:val="1489705657"/>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 air cabin</w:t>
            </w:r>
            <w:r>
              <w:rPr>
                <w:rFonts w:ascii="Arial" w:eastAsia="Times New Roman" w:hAnsi="Arial" w:cs="Arial"/>
                <w:color w:val="000000"/>
                <w:sz w:val="20"/>
                <w:szCs w:val="20"/>
              </w:rPr>
              <w:t xml:space="preserve"> maintenance, and transportation. We typically provide services to clients in this segment under master services agreements. These agreements are typically re-bid upon renewal and are generally structured as monthly fixed-price, square-foot, cost-plus, par</w:t>
            </w:r>
            <w:r>
              <w:rPr>
                <w:rFonts w:ascii="Arial" w:eastAsia="Times New Roman" w:hAnsi="Arial" w:cs="Arial"/>
                <w:color w:val="000000"/>
                <w:sz w:val="20"/>
                <w:szCs w:val="20"/>
              </w:rPr>
              <w:t>king, transaction-price, and hourly arrangements. One client accounted for approximately 15% of revenues for this segment in 2020.</w:t>
            </w:r>
          </w:p>
        </w:tc>
      </w:tr>
      <w:tr w:rsidR="00000000" w14:paraId="7B8F5A7F" w14:textId="77777777">
        <w:trPr>
          <w:divId w:val="1340426369"/>
          <w:jc w:val="center"/>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14:paraId="5FEFD17E" w14:textId="77777777" w:rsidR="00000000" w:rsidRDefault="001D0688">
            <w:pPr>
              <w:jc w:val="center"/>
              <w:rPr>
                <w:rFonts w:eastAsia="Times New Roman"/>
              </w:rPr>
            </w:pPr>
            <w:r>
              <w:rPr>
                <w:rFonts w:eastAsia="Times New Roman"/>
                <w:noProof/>
              </w:rPr>
              <w:drawing>
                <wp:inline distT="0" distB="0" distL="0" distR="0" wp14:anchorId="60051CB3" wp14:editId="3F2AE3F5">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0E44AC36" w14:textId="77777777" w:rsidR="00000000" w:rsidRDefault="001D0688">
            <w:pPr>
              <w:jc w:val="both"/>
              <w:divId w:val="1129281518"/>
              <w:rPr>
                <w:rFonts w:eastAsia="Times New Roman"/>
              </w:rPr>
            </w:pPr>
            <w:r>
              <w:rPr>
                <w:rFonts w:ascii="Arial" w:eastAsia="Times New Roman" w:hAnsi="Arial" w:cs="Arial"/>
                <w:color w:val="000000"/>
                <w:sz w:val="20"/>
                <w:szCs w:val="20"/>
              </w:rPr>
              <w:t>Technical Solutions specializes in mechanical and electrical services. These services can also be leveraged for cross-selling across all of our industry groups, both domest</w:t>
            </w:r>
            <w:r>
              <w:rPr>
                <w:rFonts w:ascii="Arial" w:eastAsia="Times New Roman" w:hAnsi="Arial" w:cs="Arial"/>
                <w:color w:val="000000"/>
                <w:sz w:val="20"/>
                <w:szCs w:val="20"/>
              </w:rPr>
              <w:t>ically and internationally. Contracts for this segment are generally structured as energy savings, fixed-price repair, refurbishment contracts, and franchise arrangements.</w:t>
            </w:r>
          </w:p>
        </w:tc>
      </w:tr>
    </w:tbl>
    <w:p w14:paraId="458FB3E5" w14:textId="77777777" w:rsidR="00000000" w:rsidRDefault="001D0688">
      <w:pPr>
        <w:jc w:val="center"/>
        <w:divId w:val="373508531"/>
        <w:rPr>
          <w:rFonts w:eastAsia="Times New Roman"/>
        </w:rPr>
      </w:pPr>
    </w:p>
    <w:p w14:paraId="34F5387A" w14:textId="77777777" w:rsidR="00000000" w:rsidRDefault="001D0688">
      <w:pPr>
        <w:jc w:val="center"/>
        <w:divId w:val="1679888140"/>
        <w:rPr>
          <w:rFonts w:eastAsia="Times New Roman"/>
        </w:rPr>
      </w:pPr>
      <w:r>
        <w:rPr>
          <w:rFonts w:ascii="Arial" w:eastAsia="Times New Roman" w:hAnsi="Arial" w:cs="Arial"/>
          <w:color w:val="000000"/>
          <w:sz w:val="20"/>
          <w:szCs w:val="20"/>
        </w:rPr>
        <w:t>4</w:t>
      </w:r>
    </w:p>
    <w:p w14:paraId="3E846375" w14:textId="77777777" w:rsidR="00000000" w:rsidRDefault="001D0688">
      <w:pPr>
        <w:rPr>
          <w:rFonts w:eastAsia="Times New Roman"/>
        </w:rPr>
      </w:pPr>
      <w:r>
        <w:rPr>
          <w:rFonts w:eastAsia="Times New Roman"/>
        </w:rPr>
        <w:pict w14:anchorId="6B77FB2D">
          <v:rect id="_x0000_i1039" style="width:0;height:1.5pt" o:hralign="center" o:hrstd="t" o:hr="t" fillcolor="#a0a0a0" stroked="f"/>
        </w:pict>
      </w:r>
    </w:p>
    <w:p w14:paraId="77E84FC0" w14:textId="77777777" w:rsidR="00000000" w:rsidRDefault="001D0688">
      <w:pPr>
        <w:divId w:val="122160998"/>
        <w:rPr>
          <w:rFonts w:eastAsia="Times New Roman"/>
        </w:rPr>
      </w:pPr>
    </w:p>
    <w:p w14:paraId="26486732" w14:textId="77777777" w:rsidR="00000000" w:rsidRDefault="001D0688">
      <w:pPr>
        <w:divId w:val="1636137117"/>
        <w:rPr>
          <w:rFonts w:eastAsia="Times New Roman"/>
        </w:rPr>
      </w:pPr>
      <w:r>
        <w:rPr>
          <w:rFonts w:ascii="Arial" w:eastAsia="Times New Roman" w:hAnsi="Arial" w:cs="Arial"/>
          <w:b/>
          <w:bCs/>
          <w:color w:val="0046AD"/>
          <w:sz w:val="20"/>
          <w:szCs w:val="20"/>
        </w:rPr>
        <w:t>Service Marks, Trademarks, and Trade Names</w:t>
      </w:r>
    </w:p>
    <w:p w14:paraId="42ABB91D" w14:textId="77777777" w:rsidR="00000000" w:rsidRDefault="001D0688">
      <w:pPr>
        <w:ind w:firstLine="720"/>
        <w:jc w:val="both"/>
        <w:divId w:val="1208109478"/>
        <w:rPr>
          <w:rFonts w:eastAsia="Times New Roman"/>
        </w:rPr>
      </w:pPr>
      <w:r>
        <w:rPr>
          <w:rFonts w:ascii="Arial" w:eastAsia="Times New Roman" w:hAnsi="Arial" w:cs="Arial"/>
          <w:color w:val="000000"/>
          <w:sz w:val="20"/>
          <w:szCs w:val="20"/>
        </w:rPr>
        <w:t>We hold various service marks, trademarks, and trade names, such as “ABM,” “ABM Building Value,” “ABM Greencare,” “EnhancedClean,” “EnhancedFacility,” “</w:t>
      </w:r>
      <w:r>
        <w:rPr>
          <w:rFonts w:ascii="Arial" w:eastAsia="Times New Roman" w:hAnsi="Arial" w:cs="Arial"/>
          <w:color w:val="000000"/>
          <w:sz w:val="20"/>
          <w:szCs w:val="20"/>
        </w:rPr>
        <w:t>Linc Service,” “MPower,” and “TEGG,” which we deem important to our marketing activities, to our business, and, in some cases, to the franchising activities conducted by our Technical Solutions segment.</w:t>
      </w:r>
    </w:p>
    <w:p w14:paraId="50E9601B" w14:textId="77777777" w:rsidR="00000000" w:rsidRDefault="001D0688">
      <w:pPr>
        <w:divId w:val="126625634"/>
        <w:rPr>
          <w:rFonts w:eastAsia="Times New Roman"/>
        </w:rPr>
      </w:pPr>
      <w:r>
        <w:rPr>
          <w:rFonts w:ascii="Arial" w:eastAsia="Times New Roman" w:hAnsi="Arial" w:cs="Arial"/>
          <w:b/>
          <w:bCs/>
          <w:color w:val="0046AD"/>
          <w:sz w:val="20"/>
          <w:szCs w:val="20"/>
        </w:rPr>
        <w:t>Dependence on Significant Client</w:t>
      </w:r>
    </w:p>
    <w:p w14:paraId="2418CC18" w14:textId="77777777" w:rsidR="00000000" w:rsidRDefault="001D0688">
      <w:pPr>
        <w:ind w:firstLine="720"/>
        <w:jc w:val="both"/>
        <w:divId w:val="1902592228"/>
        <w:rPr>
          <w:rFonts w:eastAsia="Times New Roman"/>
        </w:rPr>
      </w:pPr>
      <w:r>
        <w:rPr>
          <w:rFonts w:ascii="Arial" w:eastAsia="Times New Roman" w:hAnsi="Arial" w:cs="Arial"/>
          <w:color w:val="000000"/>
          <w:sz w:val="20"/>
          <w:szCs w:val="20"/>
        </w:rPr>
        <w:t xml:space="preserve">No client accounted </w:t>
      </w:r>
      <w:r>
        <w:rPr>
          <w:rFonts w:ascii="Arial" w:eastAsia="Times New Roman" w:hAnsi="Arial" w:cs="Arial"/>
          <w:color w:val="000000"/>
          <w:sz w:val="20"/>
          <w:szCs w:val="20"/>
        </w:rPr>
        <w:t>for more than 10% of our consolidated revenues during 2020, 2019, or 2018.</w:t>
      </w:r>
    </w:p>
    <w:p w14:paraId="665A77DA" w14:textId="77777777" w:rsidR="00000000" w:rsidRDefault="001D0688">
      <w:pPr>
        <w:jc w:val="both"/>
        <w:divId w:val="1928952890"/>
        <w:rPr>
          <w:rFonts w:eastAsia="Times New Roman"/>
        </w:rPr>
      </w:pPr>
      <w:r>
        <w:rPr>
          <w:rFonts w:ascii="Arial" w:eastAsia="Times New Roman" w:hAnsi="Arial" w:cs="Arial"/>
          <w:b/>
          <w:bCs/>
          <w:color w:val="0046AD"/>
          <w:sz w:val="20"/>
          <w:szCs w:val="20"/>
        </w:rPr>
        <w:t>Competition</w:t>
      </w:r>
    </w:p>
    <w:p w14:paraId="37B4DCCF" w14:textId="77777777" w:rsidR="00000000" w:rsidRDefault="001D0688">
      <w:pPr>
        <w:ind w:firstLine="720"/>
        <w:jc w:val="both"/>
        <w:divId w:val="1599485186"/>
        <w:rPr>
          <w:rFonts w:eastAsia="Times New Roman"/>
        </w:rPr>
      </w:pPr>
      <w:r>
        <w:rPr>
          <w:rFonts w:ascii="Arial" w:eastAsia="Times New Roman" w:hAnsi="Arial" w:cs="Arial"/>
          <w:color w:val="000000"/>
          <w:sz w:val="20"/>
          <w:szCs w:val="20"/>
        </w:rPr>
        <w:t>We believe that each aspect of our business is highly competitive and that such competition is based primarily on price, quality of service, efficiency enhancements, ada</w:t>
      </w:r>
      <w:r>
        <w:rPr>
          <w:rFonts w:ascii="Arial" w:eastAsia="Times New Roman" w:hAnsi="Arial" w:cs="Arial"/>
          <w:color w:val="000000"/>
          <w:sz w:val="20"/>
          <w:szCs w:val="20"/>
        </w:rPr>
        <w:t>pting to changing workplace conditions, and ability to anticipate and respond to industry changes. A majority of our revenue is derived from projects requiring competitive bids; however, an invitation to bid is often conditioned upon prior experience, indu</w:t>
      </w:r>
      <w:r>
        <w:rPr>
          <w:rFonts w:ascii="Arial" w:eastAsia="Times New Roman" w:hAnsi="Arial" w:cs="Arial"/>
          <w:color w:val="000000"/>
          <w:sz w:val="20"/>
          <w:szCs w:val="20"/>
        </w:rPr>
        <w:t xml:space="preserve">stry expertise, and financial strength. The low cost of entry in the facility services business results in a very competitive market. We mainly compete with regional and local owner-operated companies that may have more acute vision into local markets and </w:t>
      </w:r>
      <w:r>
        <w:rPr>
          <w:rFonts w:ascii="Arial" w:eastAsia="Times New Roman" w:hAnsi="Arial" w:cs="Arial"/>
          <w:color w:val="000000"/>
          <w:sz w:val="20"/>
          <w:szCs w:val="20"/>
        </w:rPr>
        <w:t xml:space="preserve">significantly lower labor and overhead costs, providing them with competitive advantages in those regards. We also compete indirectly with companies that can perform for themselves one or more of the services we provide. </w:t>
      </w:r>
    </w:p>
    <w:p w14:paraId="3087B948" w14:textId="77777777" w:rsidR="00000000" w:rsidRDefault="001D0688">
      <w:pPr>
        <w:jc w:val="both"/>
        <w:divId w:val="924190991"/>
        <w:rPr>
          <w:rFonts w:eastAsia="Times New Roman"/>
        </w:rPr>
      </w:pPr>
      <w:r>
        <w:rPr>
          <w:rFonts w:ascii="Arial" w:eastAsia="Times New Roman" w:hAnsi="Arial" w:cs="Arial"/>
          <w:b/>
          <w:bCs/>
          <w:color w:val="0046AD"/>
          <w:sz w:val="20"/>
          <w:szCs w:val="20"/>
        </w:rPr>
        <w:t>Sales and Marketing</w:t>
      </w:r>
    </w:p>
    <w:p w14:paraId="61DBCEF4" w14:textId="77777777" w:rsidR="00000000" w:rsidRDefault="001D0688">
      <w:pPr>
        <w:ind w:firstLine="720"/>
        <w:jc w:val="both"/>
        <w:divId w:val="310788509"/>
        <w:rPr>
          <w:rFonts w:eastAsia="Times New Roman"/>
        </w:rPr>
      </w:pPr>
      <w:r>
        <w:rPr>
          <w:rFonts w:ascii="Arial" w:eastAsia="Times New Roman" w:hAnsi="Arial" w:cs="Arial"/>
          <w:color w:val="000000"/>
          <w:sz w:val="20"/>
          <w:szCs w:val="20"/>
        </w:rPr>
        <w:t xml:space="preserve">Our sales and </w:t>
      </w:r>
      <w:r>
        <w:rPr>
          <w:rFonts w:ascii="Arial" w:eastAsia="Times New Roman" w:hAnsi="Arial" w:cs="Arial"/>
          <w:color w:val="000000"/>
          <w:sz w:val="20"/>
          <w:szCs w:val="20"/>
        </w:rPr>
        <w:t>marketing activities include digital engagement and direct interactions with prospective and existing clients, pricing, proposal management, and customer relationship management by dedicated business development teams, operations personnel, and management.</w:t>
      </w:r>
      <w:r>
        <w:rPr>
          <w:rFonts w:ascii="Arial" w:eastAsia="Times New Roman" w:hAnsi="Arial" w:cs="Arial"/>
          <w:color w:val="000000"/>
          <w:sz w:val="20"/>
          <w:szCs w:val="20"/>
        </w:rPr>
        <w:t xml:space="preserve"> These activities are executed by branch and regional sales, marketing, and operations teams assigned to our industry groups and are supported by centralized sales support teams, inside sales teams, and marketing personnel. The sales and marketing teams ac</w:t>
      </w:r>
      <w:r>
        <w:rPr>
          <w:rFonts w:ascii="Arial" w:eastAsia="Times New Roman" w:hAnsi="Arial" w:cs="Arial"/>
          <w:color w:val="000000"/>
          <w:sz w:val="20"/>
          <w:szCs w:val="20"/>
        </w:rPr>
        <w:t xml:space="preserve">quire, nurture, and manage leads through the sales buying process, as well as train personnel on product offerings, sales tools, and proposal systems, all governed by standard operating procedures. </w:t>
      </w:r>
    </w:p>
    <w:p w14:paraId="489F51A3" w14:textId="77777777" w:rsidR="00000000" w:rsidRDefault="001D0688">
      <w:pPr>
        <w:jc w:val="both"/>
        <w:divId w:val="987395281"/>
        <w:rPr>
          <w:rFonts w:eastAsia="Times New Roman"/>
        </w:rPr>
      </w:pPr>
      <w:r>
        <w:rPr>
          <w:rFonts w:ascii="Arial" w:eastAsia="Times New Roman" w:hAnsi="Arial" w:cs="Arial"/>
          <w:b/>
          <w:bCs/>
          <w:color w:val="0046AD"/>
          <w:sz w:val="20"/>
          <w:szCs w:val="20"/>
        </w:rPr>
        <w:t>Regulatory Environment</w:t>
      </w:r>
    </w:p>
    <w:p w14:paraId="230BC2BE" w14:textId="77777777" w:rsidR="00000000" w:rsidRDefault="001D0688">
      <w:pPr>
        <w:ind w:firstLine="720"/>
        <w:jc w:val="both"/>
        <w:divId w:val="240678445"/>
        <w:rPr>
          <w:rFonts w:eastAsia="Times New Roman"/>
        </w:rPr>
      </w:pPr>
      <w:r>
        <w:rPr>
          <w:rFonts w:ascii="Arial" w:eastAsia="Times New Roman" w:hAnsi="Arial" w:cs="Arial"/>
          <w:color w:val="000000"/>
          <w:sz w:val="20"/>
          <w:szCs w:val="20"/>
        </w:rPr>
        <w:t>Our operations are subject to vari</w:t>
      </w:r>
      <w:r>
        <w:rPr>
          <w:rFonts w:ascii="Arial" w:eastAsia="Times New Roman" w:hAnsi="Arial" w:cs="Arial"/>
          <w:color w:val="000000"/>
          <w:sz w:val="20"/>
          <w:szCs w:val="20"/>
        </w:rPr>
        <w:t>ous federal, state, and/or local laws, rules, and regulations regulating the discharge of materials into the environment or otherwise relating to the protection of the environment, as well as laws and regulations relating to, among other things, labor, wag</w:t>
      </w:r>
      <w:r>
        <w:rPr>
          <w:rFonts w:ascii="Arial" w:eastAsia="Times New Roman" w:hAnsi="Arial" w:cs="Arial"/>
          <w:color w:val="000000"/>
          <w:sz w:val="20"/>
          <w:szCs w:val="20"/>
        </w:rPr>
        <w:t xml:space="preserve">es, and health and safety matters. Historically, the cost of complying with these laws, rules, and regulations has not had a material adverse effect on our financial position, results of operations, or cash flows. </w:t>
      </w:r>
    </w:p>
    <w:p w14:paraId="153AB56A" w14:textId="77777777" w:rsidR="00000000" w:rsidRDefault="001D0688">
      <w:pPr>
        <w:jc w:val="both"/>
        <w:divId w:val="1159007096"/>
        <w:rPr>
          <w:rFonts w:eastAsia="Times New Roman"/>
        </w:rPr>
      </w:pPr>
      <w:r>
        <w:rPr>
          <w:rFonts w:ascii="Arial" w:eastAsia="Times New Roman" w:hAnsi="Arial" w:cs="Arial"/>
          <w:b/>
          <w:bCs/>
          <w:color w:val="0046AD"/>
          <w:sz w:val="20"/>
          <w:szCs w:val="20"/>
        </w:rPr>
        <w:t>Corporate Responsibility and Sustainabili</w:t>
      </w:r>
      <w:r>
        <w:rPr>
          <w:rFonts w:ascii="Arial" w:eastAsia="Times New Roman" w:hAnsi="Arial" w:cs="Arial"/>
          <w:b/>
          <w:bCs/>
          <w:color w:val="0046AD"/>
          <w:sz w:val="20"/>
          <w:szCs w:val="20"/>
        </w:rPr>
        <w:t>ty</w:t>
      </w:r>
    </w:p>
    <w:p w14:paraId="084E5471" w14:textId="77777777" w:rsidR="00000000" w:rsidRDefault="001D0688">
      <w:pPr>
        <w:ind w:firstLine="720"/>
        <w:jc w:val="both"/>
        <w:divId w:val="348290097"/>
        <w:rPr>
          <w:rFonts w:eastAsia="Times New Roman"/>
        </w:rPr>
      </w:pPr>
      <w:r>
        <w:rPr>
          <w:rFonts w:ascii="Arial" w:eastAsia="Times New Roman" w:hAnsi="Arial" w:cs="Arial"/>
          <w:color w:val="000000"/>
          <w:sz w:val="20"/>
          <w:szCs w:val="20"/>
        </w:rPr>
        <w:t xml:space="preserve">As a company with more than 110 years’ experience, we understand the need to embed corporate responsibility into our business practices to create value and support the long-term success of our business, shareholders, employees, and clients. </w:t>
      </w:r>
    </w:p>
    <w:p w14:paraId="400A179E" w14:textId="77777777" w:rsidR="00000000" w:rsidRDefault="001D0688">
      <w:pPr>
        <w:ind w:firstLine="720"/>
        <w:jc w:val="both"/>
        <w:divId w:val="340470996"/>
        <w:rPr>
          <w:rFonts w:eastAsia="Times New Roman"/>
        </w:rPr>
      </w:pPr>
      <w:r>
        <w:rPr>
          <w:rFonts w:ascii="Arial" w:eastAsia="Times New Roman" w:hAnsi="Arial" w:cs="Arial"/>
          <w:color w:val="000000"/>
          <w:sz w:val="20"/>
          <w:szCs w:val="20"/>
        </w:rPr>
        <w:t>Our strateg</w:t>
      </w:r>
      <w:r>
        <w:rPr>
          <w:rFonts w:ascii="Arial" w:eastAsia="Times New Roman" w:hAnsi="Arial" w:cs="Arial"/>
          <w:color w:val="000000"/>
          <w:sz w:val="20"/>
          <w:szCs w:val="20"/>
        </w:rPr>
        <w:t>y has evolved over the years to align with our stakeholders’ expectations regarding environmental, social, and governance policies. Recently, we have established three strategic axes of our sustainability strategy based on the topics that are most material</w:t>
      </w:r>
      <w:r>
        <w:rPr>
          <w:rFonts w:ascii="Arial" w:eastAsia="Times New Roman" w:hAnsi="Arial" w:cs="Arial"/>
          <w:color w:val="000000"/>
          <w:sz w:val="20"/>
          <w:szCs w:val="20"/>
        </w:rPr>
        <w:t xml:space="preserve"> to our business: doing business in a responsible way, ensuring our employees’ well-being, and managing our environmental footprint. </w:t>
      </w:r>
    </w:p>
    <w:p w14:paraId="5E38D473" w14:textId="77777777" w:rsidR="00000000" w:rsidRDefault="001D0688">
      <w:pPr>
        <w:ind w:firstLine="720"/>
        <w:jc w:val="both"/>
        <w:divId w:val="1709182396"/>
        <w:rPr>
          <w:rFonts w:eastAsia="Times New Roman"/>
        </w:rPr>
      </w:pPr>
      <w:r>
        <w:rPr>
          <w:rFonts w:ascii="Arial" w:eastAsia="Times New Roman" w:hAnsi="Arial" w:cs="Arial"/>
          <w:color w:val="000000"/>
          <w:sz w:val="20"/>
          <w:szCs w:val="20"/>
        </w:rPr>
        <w:t>Since 2011, we have voluntarily published a Sustainability Report on an annual basis in alignment with the Global Reportin</w:t>
      </w:r>
      <w:r>
        <w:rPr>
          <w:rFonts w:ascii="Arial" w:eastAsia="Times New Roman" w:hAnsi="Arial" w:cs="Arial"/>
          <w:color w:val="000000"/>
          <w:sz w:val="20"/>
          <w:szCs w:val="20"/>
        </w:rPr>
        <w:t xml:space="preserve">g Initiative framework to address our business, our employees, and the environment. More information can be found in the corporate sustainability section of our corporate website. </w:t>
      </w:r>
    </w:p>
    <w:p w14:paraId="453B27A1" w14:textId="77777777" w:rsidR="00000000" w:rsidRDefault="001D0688">
      <w:pPr>
        <w:jc w:val="both"/>
        <w:divId w:val="1889563308"/>
        <w:rPr>
          <w:rFonts w:eastAsia="Times New Roman"/>
        </w:rPr>
      </w:pPr>
    </w:p>
    <w:p w14:paraId="096C1BE4" w14:textId="77777777" w:rsidR="00000000" w:rsidRDefault="001D0688">
      <w:pPr>
        <w:jc w:val="both"/>
        <w:divId w:val="1635403044"/>
        <w:rPr>
          <w:rFonts w:eastAsia="Times New Roman"/>
        </w:rPr>
      </w:pPr>
    </w:p>
    <w:p w14:paraId="1376A97C" w14:textId="77777777" w:rsidR="00000000" w:rsidRDefault="001D0688">
      <w:pPr>
        <w:jc w:val="both"/>
        <w:divId w:val="2140802984"/>
        <w:rPr>
          <w:rFonts w:eastAsia="Times New Roman"/>
        </w:rPr>
      </w:pPr>
    </w:p>
    <w:p w14:paraId="4A50C19A" w14:textId="77777777" w:rsidR="00000000" w:rsidRDefault="001D0688">
      <w:pPr>
        <w:jc w:val="both"/>
        <w:divId w:val="994256973"/>
        <w:rPr>
          <w:rFonts w:eastAsia="Times New Roman"/>
        </w:rPr>
      </w:pPr>
    </w:p>
    <w:p w14:paraId="17201CB2" w14:textId="77777777" w:rsidR="00000000" w:rsidRDefault="001D0688">
      <w:pPr>
        <w:jc w:val="center"/>
        <w:divId w:val="479466660"/>
        <w:rPr>
          <w:rFonts w:eastAsia="Times New Roman"/>
        </w:rPr>
      </w:pPr>
      <w:r>
        <w:rPr>
          <w:rFonts w:ascii="Arial" w:eastAsia="Times New Roman" w:hAnsi="Arial" w:cs="Arial"/>
          <w:color w:val="000000"/>
          <w:sz w:val="20"/>
          <w:szCs w:val="20"/>
        </w:rPr>
        <w:t>5</w:t>
      </w:r>
    </w:p>
    <w:p w14:paraId="45F993C8" w14:textId="77777777" w:rsidR="00000000" w:rsidRDefault="001D0688">
      <w:pPr>
        <w:rPr>
          <w:rFonts w:eastAsia="Times New Roman"/>
        </w:rPr>
      </w:pPr>
      <w:r>
        <w:rPr>
          <w:rFonts w:eastAsia="Times New Roman"/>
        </w:rPr>
        <w:pict w14:anchorId="74EBF0FE">
          <v:rect id="_x0000_i1040" style="width:0;height:1.5pt" o:hralign="center" o:hrstd="t" o:hr="t" fillcolor="#a0a0a0" stroked="f"/>
        </w:pict>
      </w:r>
    </w:p>
    <w:p w14:paraId="12A74590" w14:textId="77777777" w:rsidR="00000000" w:rsidRDefault="001D0688">
      <w:pPr>
        <w:divId w:val="112332065"/>
        <w:rPr>
          <w:rFonts w:eastAsia="Times New Roman"/>
        </w:rPr>
      </w:pPr>
    </w:p>
    <w:p w14:paraId="362459FD" w14:textId="77777777" w:rsidR="00000000" w:rsidRDefault="001D0688">
      <w:pPr>
        <w:divId w:val="683868693"/>
        <w:rPr>
          <w:rFonts w:eastAsia="Times New Roman"/>
        </w:rPr>
      </w:pPr>
      <w:r>
        <w:rPr>
          <w:rFonts w:ascii="Arial" w:eastAsia="Times New Roman" w:hAnsi="Arial" w:cs="Arial"/>
          <w:b/>
          <w:bCs/>
          <w:color w:val="0046AD"/>
          <w:sz w:val="20"/>
          <w:szCs w:val="20"/>
        </w:rPr>
        <w:t>Human Capital</w:t>
      </w:r>
    </w:p>
    <w:p w14:paraId="2B9D0CFD" w14:textId="77777777" w:rsidR="00000000" w:rsidRDefault="001D0688">
      <w:pPr>
        <w:ind w:firstLine="720"/>
        <w:jc w:val="both"/>
        <w:divId w:val="1949849363"/>
        <w:rPr>
          <w:rFonts w:eastAsia="Times New Roman"/>
        </w:rPr>
      </w:pPr>
      <w:r>
        <w:rPr>
          <w:rFonts w:ascii="Arial" w:eastAsia="Times New Roman" w:hAnsi="Arial" w:cs="Arial"/>
          <w:color w:val="000000"/>
          <w:sz w:val="20"/>
          <w:szCs w:val="20"/>
        </w:rPr>
        <w:t>Our employee</w:t>
      </w:r>
      <w:r>
        <w:rPr>
          <w:rFonts w:ascii="Arial" w:eastAsia="Times New Roman" w:hAnsi="Arial" w:cs="Arial"/>
          <w:color w:val="000000"/>
          <w:sz w:val="20"/>
          <w:szCs w:val="20"/>
        </w:rPr>
        <w:t>s are the driving force behind everything we do, and supporting our employees is a foundational value for the Company. Direct labor costs represented 68% of our total revenue for fiscal year 2020. As of October 31, 2020, we employed approximately 114,000 e</w:t>
      </w:r>
      <w:r>
        <w:rPr>
          <w:rFonts w:ascii="Arial" w:eastAsia="Times New Roman" w:hAnsi="Arial" w:cs="Arial"/>
          <w:color w:val="000000"/>
          <w:sz w:val="20"/>
          <w:szCs w:val="20"/>
        </w:rPr>
        <w:t>mployees, of whom approximately 36,000, or 32%, were subject to various local collective bargaining agreements. As of October 31, 2020, our front line employees represented 95% of our total workforce, while staff and management employees represented the ot</w:t>
      </w:r>
      <w:r>
        <w:rPr>
          <w:rFonts w:ascii="Arial" w:eastAsia="Times New Roman" w:hAnsi="Arial" w:cs="Arial"/>
          <w:color w:val="000000"/>
          <w:sz w:val="20"/>
          <w:szCs w:val="20"/>
        </w:rPr>
        <w:t>her 5%.</w:t>
      </w:r>
    </w:p>
    <w:p w14:paraId="430803BA" w14:textId="77777777" w:rsidR="00000000" w:rsidRDefault="001D0688">
      <w:pPr>
        <w:ind w:firstLine="720"/>
        <w:jc w:val="both"/>
        <w:divId w:val="385375488"/>
        <w:rPr>
          <w:rFonts w:eastAsia="Times New Roman"/>
        </w:rPr>
      </w:pPr>
      <w:r>
        <w:rPr>
          <w:rFonts w:ascii="Arial" w:eastAsia="Times New Roman" w:hAnsi="Arial" w:cs="Arial"/>
          <w:color w:val="000000"/>
          <w:sz w:val="20"/>
          <w:szCs w:val="20"/>
        </w:rPr>
        <w:t>Our human capital strategy is grounded by our values and our employees; we prioritize our human capital development in order to do business in a responsible way and ensure our employees’ success. The execution of this strategy is overseen at the hi</w:t>
      </w:r>
      <w:r>
        <w:rPr>
          <w:rFonts w:ascii="Arial" w:eastAsia="Times New Roman" w:hAnsi="Arial" w:cs="Arial"/>
          <w:color w:val="000000"/>
          <w:sz w:val="20"/>
          <w:szCs w:val="20"/>
        </w:rPr>
        <w:t>ghest levels of our organization, from our Board of Directors, our Board of Directors’ Stakeholder and Enterprise Risk Committee, and across our senior management</w:t>
      </w:r>
      <w:r>
        <w:rPr>
          <w:rFonts w:ascii="Arial" w:eastAsia="Times New Roman" w:hAnsi="Arial" w:cs="Arial"/>
          <w:i/>
          <w:iCs/>
          <w:color w:val="0046AD"/>
          <w:sz w:val="20"/>
          <w:szCs w:val="20"/>
        </w:rPr>
        <w:t xml:space="preserve">. </w:t>
      </w:r>
    </w:p>
    <w:p w14:paraId="2583CACB" w14:textId="77777777" w:rsidR="00000000" w:rsidRDefault="001D0688">
      <w:pPr>
        <w:jc w:val="both"/>
        <w:divId w:val="1811896246"/>
        <w:rPr>
          <w:rFonts w:eastAsia="Times New Roman"/>
        </w:rPr>
      </w:pPr>
      <w:r>
        <w:rPr>
          <w:rFonts w:ascii="Arial" w:eastAsia="Times New Roman" w:hAnsi="Arial" w:cs="Arial"/>
          <w:i/>
          <w:iCs/>
          <w:color w:val="0046AD"/>
          <w:sz w:val="20"/>
          <w:szCs w:val="20"/>
        </w:rPr>
        <w:t>Business ethics</w:t>
      </w:r>
    </w:p>
    <w:p w14:paraId="4C078784" w14:textId="77777777" w:rsidR="00000000" w:rsidRDefault="001D0688">
      <w:pPr>
        <w:ind w:firstLine="720"/>
        <w:jc w:val="both"/>
        <w:divId w:val="214128664"/>
        <w:rPr>
          <w:rFonts w:eastAsia="Times New Roman"/>
        </w:rPr>
      </w:pPr>
      <w:r>
        <w:rPr>
          <w:rFonts w:ascii="Arial" w:eastAsia="Times New Roman" w:hAnsi="Arial" w:cs="Arial"/>
          <w:color w:val="000000"/>
          <w:sz w:val="20"/>
          <w:szCs w:val="20"/>
        </w:rPr>
        <w:t>Our Code of Business Conduct ensures that our core values of respect, integ</w:t>
      </w:r>
      <w:r>
        <w:rPr>
          <w:rFonts w:ascii="Arial" w:eastAsia="Times New Roman" w:hAnsi="Arial" w:cs="Arial"/>
          <w:color w:val="000000"/>
          <w:sz w:val="20"/>
          <w:szCs w:val="20"/>
        </w:rPr>
        <w:t>rity, collaboration, innovation, trust, and excellence are applied throughout our operations. Our Code of Business Conduct serves as a critical tool to help all of us recognize and report unethical conduct, while preserving and nurturing our culture of hon</w:t>
      </w:r>
      <w:r>
        <w:rPr>
          <w:rFonts w:ascii="Arial" w:eastAsia="Times New Roman" w:hAnsi="Arial" w:cs="Arial"/>
          <w:color w:val="000000"/>
          <w:sz w:val="20"/>
          <w:szCs w:val="20"/>
        </w:rPr>
        <w:t xml:space="preserve">esty and accountability. We provide a comprehensive training and certification program on our Code of Business Conduct for our Board of Directors and all of our staff and management employees annually. </w:t>
      </w:r>
    </w:p>
    <w:p w14:paraId="57E6AE84" w14:textId="77777777" w:rsidR="00000000" w:rsidRDefault="001D0688">
      <w:pPr>
        <w:divId w:val="590162563"/>
        <w:rPr>
          <w:rFonts w:eastAsia="Times New Roman"/>
        </w:rPr>
      </w:pPr>
      <w:r>
        <w:rPr>
          <w:rFonts w:ascii="Arial" w:eastAsia="Times New Roman" w:hAnsi="Arial" w:cs="Arial"/>
          <w:i/>
          <w:iCs/>
          <w:color w:val="0046AD"/>
          <w:sz w:val="20"/>
          <w:szCs w:val="20"/>
        </w:rPr>
        <w:t>Human resources, hiring, and training</w:t>
      </w:r>
    </w:p>
    <w:p w14:paraId="47C1D671" w14:textId="77777777" w:rsidR="00000000" w:rsidRDefault="001D0688">
      <w:pPr>
        <w:ind w:firstLine="720"/>
        <w:jc w:val="both"/>
        <w:divId w:val="1724140712"/>
        <w:rPr>
          <w:rFonts w:eastAsia="Times New Roman"/>
        </w:rPr>
      </w:pPr>
      <w:r>
        <w:rPr>
          <w:rFonts w:ascii="Arial" w:eastAsia="Times New Roman" w:hAnsi="Arial" w:cs="Arial"/>
          <w:color w:val="000000"/>
          <w:sz w:val="20"/>
          <w:szCs w:val="20"/>
        </w:rPr>
        <w:t>Over the past few years, we have made investments to our human resources (“HR”) organization and structure that centralized and standardized hiring and training practices, including upgrades to our cloud-based human ca</w:t>
      </w:r>
      <w:r>
        <w:rPr>
          <w:rFonts w:ascii="Arial" w:eastAsia="Times New Roman" w:hAnsi="Arial" w:cs="Arial"/>
          <w:color w:val="000000"/>
          <w:sz w:val="20"/>
          <w:szCs w:val="20"/>
        </w:rPr>
        <w:t>pital management system. We have also introduced new tools to help our operators manage labor more efficiently, and we continue to invest in attracting, developing, and retaining talent.</w:t>
      </w:r>
    </w:p>
    <w:p w14:paraId="724C9ABE" w14:textId="77777777" w:rsidR="00000000" w:rsidRDefault="001D0688">
      <w:pPr>
        <w:ind w:firstLine="720"/>
        <w:jc w:val="both"/>
        <w:divId w:val="1884171427"/>
        <w:rPr>
          <w:rFonts w:eastAsia="Times New Roman"/>
        </w:rPr>
      </w:pPr>
      <w:r>
        <w:rPr>
          <w:rFonts w:ascii="Arial" w:eastAsia="Times New Roman" w:hAnsi="Arial" w:cs="Arial"/>
          <w:color w:val="000000"/>
          <w:sz w:val="20"/>
          <w:szCs w:val="20"/>
        </w:rPr>
        <w:t>Our online training platform, ABM University, provides our staff and management employees with access to a multitude of training courses, videos, reference material, and other tools. Outside of ABM University our front line employees receive on-the-job tra</w:t>
      </w:r>
      <w:r>
        <w:rPr>
          <w:rFonts w:ascii="Arial" w:eastAsia="Times New Roman" w:hAnsi="Arial" w:cs="Arial"/>
          <w:color w:val="000000"/>
          <w:sz w:val="20"/>
          <w:szCs w:val="20"/>
        </w:rPr>
        <w:t>ining to ensure we are executing for our clients.</w:t>
      </w:r>
    </w:p>
    <w:p w14:paraId="7FD9683A" w14:textId="77777777" w:rsidR="00000000" w:rsidRDefault="001D0688">
      <w:pPr>
        <w:jc w:val="both"/>
        <w:divId w:val="76556334"/>
        <w:rPr>
          <w:rFonts w:eastAsia="Times New Roman"/>
        </w:rPr>
      </w:pPr>
      <w:r>
        <w:rPr>
          <w:rFonts w:ascii="Arial" w:eastAsia="Times New Roman" w:hAnsi="Arial" w:cs="Arial"/>
          <w:i/>
          <w:iCs/>
          <w:color w:val="0046AD"/>
          <w:sz w:val="20"/>
          <w:szCs w:val="20"/>
        </w:rPr>
        <w:t>Labor relations</w:t>
      </w:r>
    </w:p>
    <w:p w14:paraId="528066FD" w14:textId="77777777" w:rsidR="00000000" w:rsidRDefault="001D0688">
      <w:pPr>
        <w:ind w:firstLine="720"/>
        <w:jc w:val="both"/>
        <w:divId w:val="272132721"/>
        <w:rPr>
          <w:rFonts w:eastAsia="Times New Roman"/>
        </w:rPr>
      </w:pPr>
      <w:r>
        <w:rPr>
          <w:rFonts w:ascii="Arial" w:eastAsia="Times New Roman" w:hAnsi="Arial" w:cs="Arial"/>
          <w:color w:val="000000"/>
          <w:sz w:val="20"/>
          <w:szCs w:val="20"/>
        </w:rPr>
        <w:t>With approximately 36,000 union-represented employees, we are party to more than 250 collective bargaining agreements nationwide, with more than 20 major labor unions. Our collective bargain</w:t>
      </w:r>
      <w:r>
        <w:rPr>
          <w:rFonts w:ascii="Arial" w:eastAsia="Times New Roman" w:hAnsi="Arial" w:cs="Arial"/>
          <w:color w:val="000000"/>
          <w:sz w:val="20"/>
          <w:szCs w:val="20"/>
        </w:rPr>
        <w:t>ing agreements include regional multiemployer agreements covering thousands of employees as well as localized site agreements covering smaller groups. We strive to interact with our labor partners in an atmosphere of mutual respect, and we always seek to r</w:t>
      </w:r>
      <w:r>
        <w:rPr>
          <w:rFonts w:ascii="Arial" w:eastAsia="Times New Roman" w:hAnsi="Arial" w:cs="Arial"/>
          <w:color w:val="000000"/>
          <w:sz w:val="20"/>
          <w:szCs w:val="20"/>
        </w:rPr>
        <w:t xml:space="preserve">esolve any dispute in an equitable manner. </w:t>
      </w:r>
    </w:p>
    <w:p w14:paraId="22FBE3BC" w14:textId="77777777" w:rsidR="00000000" w:rsidRDefault="001D0688">
      <w:pPr>
        <w:jc w:val="both"/>
        <w:divId w:val="438644261"/>
        <w:rPr>
          <w:rFonts w:eastAsia="Times New Roman"/>
        </w:rPr>
      </w:pPr>
      <w:r>
        <w:rPr>
          <w:rFonts w:ascii="Arial" w:eastAsia="Times New Roman" w:hAnsi="Arial" w:cs="Arial"/>
          <w:i/>
          <w:iCs/>
          <w:color w:val="0046AD"/>
          <w:sz w:val="20"/>
          <w:szCs w:val="20"/>
        </w:rPr>
        <w:t>Safe working environment</w:t>
      </w:r>
    </w:p>
    <w:p w14:paraId="345C6562" w14:textId="77777777" w:rsidR="00000000" w:rsidRDefault="001D0688">
      <w:pPr>
        <w:ind w:firstLine="720"/>
        <w:jc w:val="both"/>
        <w:divId w:val="1671134048"/>
        <w:rPr>
          <w:rFonts w:eastAsia="Times New Roman"/>
        </w:rPr>
      </w:pPr>
      <w:r>
        <w:rPr>
          <w:rFonts w:ascii="Arial" w:eastAsia="Times New Roman" w:hAnsi="Arial" w:cs="Arial"/>
          <w:color w:val="000000"/>
          <w:sz w:val="20"/>
          <w:szCs w:val="20"/>
        </w:rPr>
        <w:t>The cornerstone of our comprehensive risk management and safety program is safety awareness. We have established a “safety-first” culture through various programs and initiatives includin</w:t>
      </w:r>
      <w:r>
        <w:rPr>
          <w:rFonts w:ascii="Arial" w:eastAsia="Times New Roman" w:hAnsi="Arial" w:cs="Arial"/>
          <w:color w:val="000000"/>
          <w:sz w:val="20"/>
          <w:szCs w:val="20"/>
        </w:rPr>
        <w:t>g, but not limited to, incorporation into our daily shift protocols, training, and alignment with our corporate incentive plans. Our safety programs for fiscal year 2020 helped produce the fifth consecutive year of claim frequency reductions.</w:t>
      </w:r>
    </w:p>
    <w:p w14:paraId="57AA4262" w14:textId="77777777" w:rsidR="00000000" w:rsidRDefault="001D0688">
      <w:pPr>
        <w:divId w:val="1210651986"/>
        <w:rPr>
          <w:rFonts w:eastAsia="Times New Roman"/>
        </w:rPr>
      </w:pPr>
      <w:r>
        <w:rPr>
          <w:rFonts w:ascii="Arial" w:eastAsia="Times New Roman" w:hAnsi="Arial" w:cs="Arial"/>
          <w:i/>
          <w:iCs/>
          <w:color w:val="0046AD"/>
          <w:sz w:val="20"/>
          <w:szCs w:val="20"/>
        </w:rPr>
        <w:t>Culture and i</w:t>
      </w:r>
      <w:r>
        <w:rPr>
          <w:rFonts w:ascii="Arial" w:eastAsia="Times New Roman" w:hAnsi="Arial" w:cs="Arial"/>
          <w:i/>
          <w:iCs/>
          <w:color w:val="0046AD"/>
          <w:sz w:val="20"/>
          <w:szCs w:val="20"/>
        </w:rPr>
        <w:t>nclusion</w:t>
      </w:r>
    </w:p>
    <w:p w14:paraId="39C18504" w14:textId="77777777" w:rsidR="00000000" w:rsidRDefault="001D0688">
      <w:pPr>
        <w:ind w:firstLine="720"/>
        <w:jc w:val="both"/>
        <w:divId w:val="54470028"/>
        <w:rPr>
          <w:rFonts w:eastAsia="Times New Roman"/>
        </w:rPr>
      </w:pPr>
      <w:r>
        <w:rPr>
          <w:rFonts w:ascii="Arial" w:eastAsia="Times New Roman" w:hAnsi="Arial" w:cs="Arial"/>
          <w:color w:val="000000"/>
          <w:sz w:val="20"/>
          <w:szCs w:val="20"/>
        </w:rPr>
        <w:t>We are an Equal Opportunity and Affirmative Action employer in compliance with the requirements of the Executive Order 11246 of the Rehabilitation Act of 1973 and the Vietnam Era Veterans’ Readjustment Assistance Act. We pride ourselves on our com</w:t>
      </w:r>
      <w:r>
        <w:rPr>
          <w:rFonts w:ascii="Arial" w:eastAsia="Times New Roman" w:hAnsi="Arial" w:cs="Arial"/>
          <w:color w:val="000000"/>
          <w:sz w:val="20"/>
          <w:szCs w:val="20"/>
        </w:rPr>
        <w:t>mitment to fostering a diverse, inclusive, and empowered workforce. In 2020, we established the Company’s Culture and Inclusion Leadership Council, which seeks to obtain feedback from our employees and focuses on matters related to corporate culture at ABM</w:t>
      </w:r>
      <w:r>
        <w:rPr>
          <w:rFonts w:ascii="Arial" w:eastAsia="Times New Roman" w:hAnsi="Arial" w:cs="Arial"/>
          <w:color w:val="000000"/>
          <w:sz w:val="20"/>
          <w:szCs w:val="20"/>
        </w:rPr>
        <w:t xml:space="preserve">, specifically related to diversity, inclusion, and social justice. </w:t>
      </w:r>
    </w:p>
    <w:p w14:paraId="5018B502" w14:textId="77777777" w:rsidR="00000000" w:rsidRDefault="001D0688">
      <w:pPr>
        <w:divId w:val="2058313259"/>
        <w:rPr>
          <w:rFonts w:eastAsia="Times New Roman"/>
        </w:rPr>
      </w:pPr>
    </w:p>
    <w:p w14:paraId="5EE4DD4D" w14:textId="77777777" w:rsidR="00000000" w:rsidRDefault="001D0688">
      <w:pPr>
        <w:jc w:val="center"/>
        <w:divId w:val="1135945394"/>
        <w:rPr>
          <w:rFonts w:eastAsia="Times New Roman"/>
        </w:rPr>
      </w:pPr>
      <w:r>
        <w:rPr>
          <w:rFonts w:ascii="Arial" w:eastAsia="Times New Roman" w:hAnsi="Arial" w:cs="Arial"/>
          <w:color w:val="000000"/>
          <w:sz w:val="20"/>
          <w:szCs w:val="20"/>
        </w:rPr>
        <w:t>6</w:t>
      </w:r>
    </w:p>
    <w:p w14:paraId="0D0AA912" w14:textId="77777777" w:rsidR="00000000" w:rsidRDefault="001D0688">
      <w:pPr>
        <w:rPr>
          <w:rFonts w:eastAsia="Times New Roman"/>
        </w:rPr>
      </w:pPr>
      <w:r>
        <w:rPr>
          <w:rFonts w:eastAsia="Times New Roman"/>
        </w:rPr>
        <w:pict w14:anchorId="1A894606">
          <v:rect id="_x0000_i1041" style="width:0;height:1.5pt" o:hralign="center" o:hrstd="t" o:hr="t" fillcolor="#a0a0a0" stroked="f"/>
        </w:pict>
      </w:r>
    </w:p>
    <w:p w14:paraId="6D04BFB3" w14:textId="77777777" w:rsidR="00000000" w:rsidRDefault="001D0688">
      <w:pPr>
        <w:divId w:val="1370107715"/>
        <w:rPr>
          <w:rFonts w:eastAsia="Times New Roman"/>
        </w:rPr>
      </w:pPr>
    </w:p>
    <w:p w14:paraId="6A3B1DA7" w14:textId="77777777" w:rsidR="00000000" w:rsidRDefault="001D0688">
      <w:pPr>
        <w:divId w:val="1280262777"/>
        <w:rPr>
          <w:rFonts w:eastAsia="Times New Roman"/>
        </w:rPr>
      </w:pPr>
      <w:r>
        <w:rPr>
          <w:rFonts w:ascii="Arial" w:eastAsia="Times New Roman" w:hAnsi="Arial" w:cs="Arial"/>
          <w:b/>
          <w:bCs/>
          <w:color w:val="0046AD"/>
          <w:sz w:val="20"/>
          <w:szCs w:val="20"/>
        </w:rPr>
        <w:t>Available Information</w:t>
      </w:r>
    </w:p>
    <w:p w14:paraId="78ED7199" w14:textId="77777777" w:rsidR="00000000" w:rsidRDefault="001D0688">
      <w:pPr>
        <w:ind w:firstLine="720"/>
        <w:jc w:val="both"/>
        <w:divId w:val="841237736"/>
        <w:rPr>
          <w:rFonts w:eastAsia="Times New Roman"/>
        </w:rPr>
      </w:pPr>
      <w:r>
        <w:rPr>
          <w:rFonts w:ascii="Arial" w:eastAsia="Times New Roman" w:hAnsi="Arial" w:cs="Arial"/>
          <w:color w:val="000000"/>
          <w:sz w:val="20"/>
          <w:szCs w:val="20"/>
        </w:rPr>
        <w:t>Our corporate website is www.abm.com. The content on any website referred to in this filing does not constitute, and shoul</w:t>
      </w:r>
      <w:r>
        <w:rPr>
          <w:rFonts w:ascii="Arial" w:eastAsia="Times New Roman" w:hAnsi="Arial" w:cs="Arial"/>
          <w:color w:val="000000"/>
          <w:sz w:val="20"/>
          <w:szCs w:val="20"/>
        </w:rPr>
        <w:t>d not be viewed as, a part of this Annual Report, and our website is not incorporated into this or any of our other filings with the Securities and Exchange Commission (“SEC”). We make available free of charge through our website our Annual Reports on Form</w:t>
      </w:r>
      <w:r>
        <w:rPr>
          <w:rFonts w:ascii="Arial" w:eastAsia="Times New Roman" w:hAnsi="Arial" w:cs="Arial"/>
          <w:color w:val="000000"/>
          <w:sz w:val="20"/>
          <w:szCs w:val="20"/>
        </w:rPr>
        <w:t xml:space="preserve"> 10-K, Quarterly Reports on Form 10-Q, Current Reports on Form 8-K, proxy statements, and amendments to those reports filed or furnished pursuant to Section 13(a) or 15(d) of the Securities Exchange Act of 1934 as soon as reasonably practicable after such </w:t>
      </w:r>
      <w:r>
        <w:rPr>
          <w:rFonts w:ascii="Arial" w:eastAsia="Times New Roman" w:hAnsi="Arial" w:cs="Arial"/>
          <w:color w:val="000000"/>
          <w:sz w:val="20"/>
          <w:szCs w:val="20"/>
        </w:rPr>
        <w:t xml:space="preserve">reports are electronically filed with or furnished to the SEC. Additionally, the SEC maintains a website at www.sec.gov that contains reports, proxy and information statements, and other information regarding issuers that file electronically with the SEC. </w:t>
      </w:r>
    </w:p>
    <w:p w14:paraId="482BE3EE" w14:textId="77777777" w:rsidR="00000000" w:rsidRDefault="001D0688">
      <w:pPr>
        <w:jc w:val="both"/>
        <w:divId w:val="162359471"/>
        <w:rPr>
          <w:rFonts w:eastAsia="Times New Roman"/>
        </w:rPr>
      </w:pPr>
      <w:r>
        <w:rPr>
          <w:rFonts w:ascii="Arial" w:eastAsia="Times New Roman" w:hAnsi="Arial" w:cs="Arial"/>
          <w:b/>
          <w:bCs/>
          <w:color w:val="0046AD"/>
          <w:sz w:val="20"/>
          <w:szCs w:val="20"/>
        </w:rPr>
        <w:t>Executive Officers of Registrant</w:t>
      </w:r>
    </w:p>
    <w:p w14:paraId="56D40A49" w14:textId="77777777" w:rsidR="00000000" w:rsidRDefault="001D0688">
      <w:pPr>
        <w:divId w:val="816918836"/>
        <w:rPr>
          <w:rFonts w:eastAsia="Times New Roman"/>
        </w:rPr>
      </w:pPr>
      <w:r>
        <w:rPr>
          <w:rFonts w:ascii="Arial" w:eastAsia="Times New Roman" w:hAnsi="Arial" w:cs="Arial"/>
          <w:b/>
          <w:bCs/>
          <w:i/>
          <w:iCs/>
          <w:color w:val="0046AD"/>
          <w:sz w:val="20"/>
          <w:szCs w:val="20"/>
        </w:rPr>
        <w:t>Executive Officers on December 17, 2020</w:t>
      </w:r>
      <w:r>
        <w:rPr>
          <w:rFonts w:ascii="Arial" w:eastAsia="Times New Roman" w:hAnsi="Arial" w:cs="Arial"/>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8"/>
        <w:gridCol w:w="2107"/>
        <w:gridCol w:w="38"/>
        <w:gridCol w:w="36"/>
        <w:gridCol w:w="36"/>
        <w:gridCol w:w="36"/>
        <w:gridCol w:w="42"/>
        <w:gridCol w:w="718"/>
        <w:gridCol w:w="36"/>
        <w:gridCol w:w="36"/>
        <w:gridCol w:w="36"/>
        <w:gridCol w:w="36"/>
        <w:gridCol w:w="42"/>
        <w:gridCol w:w="4988"/>
        <w:gridCol w:w="36"/>
      </w:tblGrid>
      <w:tr w:rsidR="00000000" w14:paraId="3B6AE0B2" w14:textId="77777777">
        <w:trPr>
          <w:divId w:val="775832167"/>
        </w:trPr>
        <w:tc>
          <w:tcPr>
            <w:tcW w:w="50" w:type="pct"/>
            <w:vAlign w:val="center"/>
            <w:hideMark/>
          </w:tcPr>
          <w:p w14:paraId="1F9B70C8" w14:textId="77777777" w:rsidR="00000000" w:rsidRDefault="001D0688">
            <w:pPr>
              <w:rPr>
                <w:rFonts w:eastAsia="Times New Roman"/>
              </w:rPr>
            </w:pPr>
          </w:p>
        </w:tc>
        <w:tc>
          <w:tcPr>
            <w:tcW w:w="1286" w:type="pct"/>
            <w:vAlign w:val="center"/>
            <w:hideMark/>
          </w:tcPr>
          <w:p w14:paraId="29426F77" w14:textId="77777777" w:rsidR="00000000" w:rsidRDefault="001D0688">
            <w:pPr>
              <w:rPr>
                <w:rFonts w:eastAsia="Times New Roman"/>
                <w:sz w:val="20"/>
                <w:szCs w:val="20"/>
              </w:rPr>
            </w:pPr>
          </w:p>
        </w:tc>
        <w:tc>
          <w:tcPr>
            <w:tcW w:w="5" w:type="pct"/>
            <w:vAlign w:val="center"/>
            <w:hideMark/>
          </w:tcPr>
          <w:p w14:paraId="74BAF4A8" w14:textId="77777777" w:rsidR="00000000" w:rsidRDefault="001D0688">
            <w:pPr>
              <w:rPr>
                <w:rFonts w:eastAsia="Times New Roman"/>
                <w:sz w:val="20"/>
                <w:szCs w:val="20"/>
              </w:rPr>
            </w:pPr>
          </w:p>
        </w:tc>
        <w:tc>
          <w:tcPr>
            <w:tcW w:w="5" w:type="pct"/>
            <w:vAlign w:val="center"/>
            <w:hideMark/>
          </w:tcPr>
          <w:p w14:paraId="4348B55C" w14:textId="77777777" w:rsidR="00000000" w:rsidRDefault="001D0688">
            <w:pPr>
              <w:rPr>
                <w:rFonts w:eastAsia="Times New Roman"/>
                <w:sz w:val="20"/>
                <w:szCs w:val="20"/>
              </w:rPr>
            </w:pPr>
          </w:p>
        </w:tc>
        <w:tc>
          <w:tcPr>
            <w:tcW w:w="26" w:type="pct"/>
            <w:vAlign w:val="center"/>
            <w:hideMark/>
          </w:tcPr>
          <w:p w14:paraId="57626CA7" w14:textId="77777777" w:rsidR="00000000" w:rsidRDefault="001D0688">
            <w:pPr>
              <w:rPr>
                <w:rFonts w:eastAsia="Times New Roman"/>
                <w:sz w:val="20"/>
                <w:szCs w:val="20"/>
              </w:rPr>
            </w:pPr>
          </w:p>
        </w:tc>
        <w:tc>
          <w:tcPr>
            <w:tcW w:w="5" w:type="pct"/>
            <w:vAlign w:val="center"/>
            <w:hideMark/>
          </w:tcPr>
          <w:p w14:paraId="75EF2186" w14:textId="77777777" w:rsidR="00000000" w:rsidRDefault="001D0688">
            <w:pPr>
              <w:rPr>
                <w:rFonts w:eastAsia="Times New Roman"/>
                <w:sz w:val="20"/>
                <w:szCs w:val="20"/>
              </w:rPr>
            </w:pPr>
          </w:p>
        </w:tc>
        <w:tc>
          <w:tcPr>
            <w:tcW w:w="50" w:type="pct"/>
            <w:vAlign w:val="center"/>
            <w:hideMark/>
          </w:tcPr>
          <w:p w14:paraId="71E6103B" w14:textId="77777777" w:rsidR="00000000" w:rsidRDefault="001D0688">
            <w:pPr>
              <w:rPr>
                <w:rFonts w:eastAsia="Times New Roman"/>
                <w:sz w:val="20"/>
                <w:szCs w:val="20"/>
              </w:rPr>
            </w:pPr>
          </w:p>
        </w:tc>
        <w:tc>
          <w:tcPr>
            <w:tcW w:w="450" w:type="pct"/>
            <w:vAlign w:val="center"/>
            <w:hideMark/>
          </w:tcPr>
          <w:p w14:paraId="22099FB2" w14:textId="77777777" w:rsidR="00000000" w:rsidRDefault="001D0688">
            <w:pPr>
              <w:rPr>
                <w:rFonts w:eastAsia="Times New Roman"/>
                <w:sz w:val="20"/>
                <w:szCs w:val="20"/>
              </w:rPr>
            </w:pPr>
          </w:p>
        </w:tc>
        <w:tc>
          <w:tcPr>
            <w:tcW w:w="5" w:type="pct"/>
            <w:vAlign w:val="center"/>
            <w:hideMark/>
          </w:tcPr>
          <w:p w14:paraId="664037AB" w14:textId="77777777" w:rsidR="00000000" w:rsidRDefault="001D0688">
            <w:pPr>
              <w:rPr>
                <w:rFonts w:eastAsia="Times New Roman"/>
                <w:sz w:val="20"/>
                <w:szCs w:val="20"/>
              </w:rPr>
            </w:pPr>
          </w:p>
        </w:tc>
        <w:tc>
          <w:tcPr>
            <w:tcW w:w="5" w:type="pct"/>
            <w:vAlign w:val="center"/>
            <w:hideMark/>
          </w:tcPr>
          <w:p w14:paraId="48A48A51" w14:textId="77777777" w:rsidR="00000000" w:rsidRDefault="001D0688">
            <w:pPr>
              <w:rPr>
                <w:rFonts w:eastAsia="Times New Roman"/>
                <w:sz w:val="20"/>
                <w:szCs w:val="20"/>
              </w:rPr>
            </w:pPr>
          </w:p>
        </w:tc>
        <w:tc>
          <w:tcPr>
            <w:tcW w:w="26" w:type="pct"/>
            <w:vAlign w:val="center"/>
            <w:hideMark/>
          </w:tcPr>
          <w:p w14:paraId="6B5B0E2E" w14:textId="77777777" w:rsidR="00000000" w:rsidRDefault="001D0688">
            <w:pPr>
              <w:rPr>
                <w:rFonts w:eastAsia="Times New Roman"/>
                <w:sz w:val="20"/>
                <w:szCs w:val="20"/>
              </w:rPr>
            </w:pPr>
          </w:p>
        </w:tc>
        <w:tc>
          <w:tcPr>
            <w:tcW w:w="5" w:type="pct"/>
            <w:vAlign w:val="center"/>
            <w:hideMark/>
          </w:tcPr>
          <w:p w14:paraId="1F3BE2DD" w14:textId="77777777" w:rsidR="00000000" w:rsidRDefault="001D0688">
            <w:pPr>
              <w:rPr>
                <w:rFonts w:eastAsia="Times New Roman"/>
                <w:sz w:val="20"/>
                <w:szCs w:val="20"/>
              </w:rPr>
            </w:pPr>
          </w:p>
        </w:tc>
        <w:tc>
          <w:tcPr>
            <w:tcW w:w="50" w:type="pct"/>
            <w:vAlign w:val="center"/>
            <w:hideMark/>
          </w:tcPr>
          <w:p w14:paraId="577AFE58" w14:textId="77777777" w:rsidR="00000000" w:rsidRDefault="001D0688">
            <w:pPr>
              <w:rPr>
                <w:rFonts w:eastAsia="Times New Roman"/>
                <w:sz w:val="20"/>
                <w:szCs w:val="20"/>
              </w:rPr>
            </w:pPr>
          </w:p>
        </w:tc>
        <w:tc>
          <w:tcPr>
            <w:tcW w:w="3024" w:type="pct"/>
            <w:vAlign w:val="center"/>
            <w:hideMark/>
          </w:tcPr>
          <w:p w14:paraId="247C4971" w14:textId="77777777" w:rsidR="00000000" w:rsidRDefault="001D0688">
            <w:pPr>
              <w:rPr>
                <w:rFonts w:eastAsia="Times New Roman"/>
                <w:sz w:val="20"/>
                <w:szCs w:val="20"/>
              </w:rPr>
            </w:pPr>
          </w:p>
        </w:tc>
        <w:tc>
          <w:tcPr>
            <w:tcW w:w="5" w:type="pct"/>
            <w:vAlign w:val="center"/>
            <w:hideMark/>
          </w:tcPr>
          <w:p w14:paraId="4F1A34DD" w14:textId="77777777" w:rsidR="00000000" w:rsidRDefault="001D0688">
            <w:pPr>
              <w:rPr>
                <w:rFonts w:eastAsia="Times New Roman"/>
                <w:sz w:val="20"/>
                <w:szCs w:val="20"/>
              </w:rPr>
            </w:pPr>
          </w:p>
        </w:tc>
      </w:tr>
      <w:tr w:rsidR="00000000" w14:paraId="7CAE50CA" w14:textId="77777777">
        <w:trPr>
          <w:divId w:val="775832167"/>
        </w:trPr>
        <w:tc>
          <w:tcPr>
            <w:tcW w:w="0" w:type="auto"/>
            <w:gridSpan w:val="3"/>
            <w:tcMar>
              <w:top w:w="30" w:type="dxa"/>
              <w:left w:w="20" w:type="dxa"/>
              <w:bottom w:w="30" w:type="dxa"/>
              <w:right w:w="20" w:type="dxa"/>
            </w:tcMar>
            <w:vAlign w:val="bottom"/>
            <w:hideMark/>
          </w:tcPr>
          <w:p w14:paraId="0E3AE169" w14:textId="77777777" w:rsidR="00000000" w:rsidRDefault="001D0688">
            <w:pPr>
              <w:rPr>
                <w:rFonts w:eastAsia="Times New Roman"/>
              </w:rPr>
            </w:pPr>
            <w:r>
              <w:rPr>
                <w:rFonts w:ascii="Arial" w:eastAsia="Times New Roman" w:hAnsi="Arial" w:cs="Arial"/>
                <w:b/>
                <w:bCs/>
                <w:color w:val="000000"/>
                <w:sz w:val="20"/>
                <w:szCs w:val="20"/>
              </w:rPr>
              <w:t>Name</w:t>
            </w:r>
          </w:p>
        </w:tc>
        <w:tc>
          <w:tcPr>
            <w:tcW w:w="0" w:type="auto"/>
            <w:gridSpan w:val="3"/>
            <w:tcMar>
              <w:top w:w="0" w:type="dxa"/>
              <w:left w:w="20" w:type="dxa"/>
              <w:bottom w:w="0" w:type="dxa"/>
              <w:right w:w="20" w:type="dxa"/>
            </w:tcMar>
            <w:vAlign w:val="center"/>
            <w:hideMark/>
          </w:tcPr>
          <w:p w14:paraId="03E63D55"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32CBA498" w14:textId="77777777" w:rsidR="00000000" w:rsidRDefault="001D0688">
            <w:pPr>
              <w:jc w:val="center"/>
              <w:rPr>
                <w:rFonts w:eastAsia="Times New Roman"/>
              </w:rPr>
            </w:pPr>
            <w:r>
              <w:rPr>
                <w:rFonts w:ascii="Arial" w:eastAsia="Times New Roman" w:hAnsi="Arial" w:cs="Arial"/>
                <w:b/>
                <w:bCs/>
                <w:color w:val="000000"/>
                <w:sz w:val="20"/>
                <w:szCs w:val="20"/>
              </w:rPr>
              <w:t>Age</w:t>
            </w:r>
          </w:p>
        </w:tc>
        <w:tc>
          <w:tcPr>
            <w:tcW w:w="0" w:type="auto"/>
            <w:gridSpan w:val="3"/>
            <w:tcMar>
              <w:top w:w="0" w:type="dxa"/>
              <w:left w:w="20" w:type="dxa"/>
              <w:bottom w:w="0" w:type="dxa"/>
              <w:right w:w="20" w:type="dxa"/>
            </w:tcMar>
            <w:vAlign w:val="center"/>
            <w:hideMark/>
          </w:tcPr>
          <w:p w14:paraId="49763655"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570F2FEC" w14:textId="77777777" w:rsidR="00000000" w:rsidRDefault="001D0688">
            <w:pPr>
              <w:jc w:val="both"/>
              <w:rPr>
                <w:rFonts w:eastAsia="Times New Roman"/>
              </w:rPr>
            </w:pPr>
            <w:r>
              <w:rPr>
                <w:rFonts w:ascii="Arial" w:eastAsia="Times New Roman" w:hAnsi="Arial" w:cs="Arial"/>
                <w:b/>
                <w:bCs/>
                <w:color w:val="000000"/>
                <w:sz w:val="20"/>
                <w:szCs w:val="20"/>
              </w:rPr>
              <w:t>Principal Occupations and Business Experience</w:t>
            </w:r>
          </w:p>
        </w:tc>
      </w:tr>
      <w:tr w:rsidR="00000000" w14:paraId="4629E4CB" w14:textId="77777777">
        <w:trPr>
          <w:divId w:val="775832167"/>
        </w:trPr>
        <w:tc>
          <w:tcPr>
            <w:tcW w:w="0" w:type="auto"/>
            <w:gridSpan w:val="3"/>
            <w:tcBorders>
              <w:top w:val="single" w:sz="8" w:space="0" w:color="000000"/>
            </w:tcBorders>
            <w:shd w:val="clear" w:color="auto" w:fill="DCE2EF"/>
            <w:tcMar>
              <w:top w:w="30" w:type="dxa"/>
              <w:left w:w="20" w:type="dxa"/>
              <w:bottom w:w="30" w:type="dxa"/>
              <w:right w:w="20" w:type="dxa"/>
            </w:tcMar>
            <w:hideMark/>
          </w:tcPr>
          <w:p w14:paraId="465E5057" w14:textId="77777777" w:rsidR="00000000" w:rsidRDefault="001D0688">
            <w:pPr>
              <w:divId w:val="849412551"/>
              <w:rPr>
                <w:rFonts w:eastAsia="Times New Roman"/>
              </w:rPr>
            </w:pPr>
            <w:r>
              <w:rPr>
                <w:rFonts w:ascii="Arial" w:eastAsia="Times New Roman" w:hAnsi="Arial" w:cs="Arial"/>
                <w:color w:val="000000"/>
                <w:sz w:val="18"/>
                <w:szCs w:val="18"/>
              </w:rPr>
              <w:t>Scott Salmirs</w:t>
            </w:r>
          </w:p>
        </w:tc>
        <w:tc>
          <w:tcPr>
            <w:tcW w:w="0" w:type="auto"/>
            <w:gridSpan w:val="3"/>
            <w:shd w:val="clear" w:color="auto" w:fill="DCE2EF"/>
            <w:tcMar>
              <w:top w:w="0" w:type="dxa"/>
              <w:left w:w="20" w:type="dxa"/>
              <w:bottom w:w="0" w:type="dxa"/>
              <w:right w:w="20" w:type="dxa"/>
            </w:tcMar>
            <w:vAlign w:val="center"/>
            <w:hideMark/>
          </w:tcPr>
          <w:p w14:paraId="2B3CF64B" w14:textId="77777777" w:rsidR="00000000" w:rsidRDefault="001D0688">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5CC1692C" w14:textId="77777777" w:rsidR="00000000" w:rsidRDefault="001D0688">
            <w:pPr>
              <w:jc w:val="center"/>
              <w:rPr>
                <w:rFonts w:eastAsia="Times New Roman"/>
              </w:rPr>
            </w:pPr>
            <w:r>
              <w:rPr>
                <w:rFonts w:ascii="Arial" w:eastAsia="Times New Roman" w:hAnsi="Arial" w:cs="Arial"/>
                <w:color w:val="000000"/>
                <w:sz w:val="18"/>
                <w:szCs w:val="18"/>
              </w:rPr>
              <w:t>58</w:t>
            </w:r>
          </w:p>
        </w:tc>
        <w:tc>
          <w:tcPr>
            <w:tcW w:w="0" w:type="auto"/>
            <w:gridSpan w:val="3"/>
            <w:shd w:val="clear" w:color="auto" w:fill="DCE2EF"/>
            <w:tcMar>
              <w:top w:w="0" w:type="dxa"/>
              <w:left w:w="20" w:type="dxa"/>
              <w:bottom w:w="0" w:type="dxa"/>
              <w:right w:w="20" w:type="dxa"/>
            </w:tcMar>
            <w:vAlign w:val="center"/>
            <w:hideMark/>
          </w:tcPr>
          <w:p w14:paraId="02EC933B"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48D8F488" w14:textId="77777777" w:rsidR="00000000" w:rsidRDefault="001D0688">
            <w:pPr>
              <w:jc w:val="both"/>
              <w:rPr>
                <w:rFonts w:eastAsia="Times New Roman"/>
              </w:rPr>
            </w:pPr>
            <w:r>
              <w:rPr>
                <w:rFonts w:ascii="Arial" w:eastAsia="Times New Roman" w:hAnsi="Arial" w:cs="Arial"/>
                <w:color w:val="000000"/>
                <w:sz w:val="18"/>
                <w:szCs w:val="18"/>
              </w:rPr>
              <w:t>President and Chief Executive Officer of ABM since March 2015; Executive Vice President of ABM from September 2014 to March 2015, with global responsibility for ABM’s Aviation division and all international activities; Executive Vice President of ABM’s Ons</w:t>
            </w:r>
            <w:r>
              <w:rPr>
                <w:rFonts w:ascii="Arial" w:eastAsia="Times New Roman" w:hAnsi="Arial" w:cs="Arial"/>
                <w:color w:val="000000"/>
                <w:sz w:val="18"/>
                <w:szCs w:val="18"/>
              </w:rPr>
              <w:t>ite Services division focused on the Northeast from 2003 to September 2014; Member of the Board of Directors of ABM since January 2015.</w:t>
            </w:r>
          </w:p>
        </w:tc>
      </w:tr>
      <w:tr w:rsidR="00000000" w14:paraId="21A9CD1B" w14:textId="77777777">
        <w:trPr>
          <w:divId w:val="775832167"/>
        </w:trPr>
        <w:tc>
          <w:tcPr>
            <w:tcW w:w="0" w:type="auto"/>
            <w:gridSpan w:val="3"/>
            <w:shd w:val="clear" w:color="auto" w:fill="FFFFFF"/>
            <w:tcMar>
              <w:top w:w="30" w:type="dxa"/>
              <w:left w:w="20" w:type="dxa"/>
              <w:bottom w:w="30" w:type="dxa"/>
              <w:right w:w="20" w:type="dxa"/>
            </w:tcMar>
            <w:hideMark/>
          </w:tcPr>
          <w:p w14:paraId="503B12FE" w14:textId="77777777" w:rsidR="00000000" w:rsidRDefault="001D0688">
            <w:pPr>
              <w:rPr>
                <w:rFonts w:eastAsia="Times New Roman"/>
              </w:rPr>
            </w:pPr>
            <w:r>
              <w:rPr>
                <w:rFonts w:ascii="Arial" w:eastAsia="Times New Roman" w:hAnsi="Arial" w:cs="Arial"/>
                <w:color w:val="000000"/>
                <w:sz w:val="18"/>
                <w:szCs w:val="18"/>
              </w:rPr>
              <w:t>Earl R. Ellis</w:t>
            </w:r>
          </w:p>
        </w:tc>
        <w:tc>
          <w:tcPr>
            <w:tcW w:w="0" w:type="auto"/>
            <w:gridSpan w:val="3"/>
            <w:shd w:val="clear" w:color="auto" w:fill="FFFFFF"/>
            <w:tcMar>
              <w:top w:w="0" w:type="dxa"/>
              <w:left w:w="20" w:type="dxa"/>
              <w:bottom w:w="0" w:type="dxa"/>
              <w:right w:w="20" w:type="dxa"/>
            </w:tcMar>
            <w:vAlign w:val="center"/>
            <w:hideMark/>
          </w:tcPr>
          <w:p w14:paraId="05546C8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2D4FB46" w14:textId="77777777" w:rsidR="00000000" w:rsidRDefault="001D0688">
            <w:pPr>
              <w:jc w:val="center"/>
              <w:rPr>
                <w:rFonts w:eastAsia="Times New Roman"/>
              </w:rPr>
            </w:pPr>
            <w:r>
              <w:rPr>
                <w:rFonts w:ascii="Arial" w:eastAsia="Times New Roman" w:hAnsi="Arial" w:cs="Arial"/>
                <w:color w:val="000000"/>
                <w:sz w:val="18"/>
                <w:szCs w:val="18"/>
              </w:rPr>
              <w:t>55</w:t>
            </w:r>
          </w:p>
        </w:tc>
        <w:tc>
          <w:tcPr>
            <w:tcW w:w="0" w:type="auto"/>
            <w:gridSpan w:val="3"/>
            <w:shd w:val="clear" w:color="auto" w:fill="FFFFFF"/>
            <w:tcMar>
              <w:top w:w="0" w:type="dxa"/>
              <w:left w:w="20" w:type="dxa"/>
              <w:bottom w:w="0" w:type="dxa"/>
              <w:right w:w="20" w:type="dxa"/>
            </w:tcMar>
            <w:vAlign w:val="center"/>
            <w:hideMark/>
          </w:tcPr>
          <w:p w14:paraId="0FB859B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E5583B0" w14:textId="77777777" w:rsidR="00000000" w:rsidRDefault="001D0688">
            <w:pPr>
              <w:jc w:val="both"/>
              <w:rPr>
                <w:rFonts w:eastAsia="Times New Roman"/>
              </w:rPr>
            </w:pPr>
            <w:r>
              <w:rPr>
                <w:rFonts w:ascii="Arial" w:eastAsia="Times New Roman" w:hAnsi="Arial" w:cs="Arial"/>
                <w:color w:val="000000"/>
                <w:sz w:val="18"/>
                <w:szCs w:val="18"/>
              </w:rPr>
              <w:t>Executive Vice President and Chief Financial Officer of ABM since November 2020; Senior Vice President, Finance and Procurement of Best Buy Co. Inc. from January 2018 to November 2020; Chief Financial Officer of Best Buy Canada from May 2016 to December 20</w:t>
            </w:r>
            <w:r>
              <w:rPr>
                <w:rFonts w:ascii="Arial" w:eastAsia="Times New Roman" w:hAnsi="Arial" w:cs="Arial"/>
                <w:color w:val="000000"/>
                <w:sz w:val="18"/>
                <w:szCs w:val="18"/>
              </w:rPr>
              <w:t>17; Vice President, Finance, Retail of Canadian Tire Corporation Limited from May 2014 to May 2016.</w:t>
            </w:r>
          </w:p>
        </w:tc>
      </w:tr>
      <w:tr w:rsidR="00000000" w14:paraId="6B7A13DA" w14:textId="77777777">
        <w:trPr>
          <w:divId w:val="775832167"/>
        </w:trPr>
        <w:tc>
          <w:tcPr>
            <w:tcW w:w="0" w:type="auto"/>
            <w:gridSpan w:val="3"/>
            <w:shd w:val="clear" w:color="auto" w:fill="DCE2EF"/>
            <w:tcMar>
              <w:top w:w="30" w:type="dxa"/>
              <w:left w:w="20" w:type="dxa"/>
              <w:bottom w:w="30" w:type="dxa"/>
              <w:right w:w="20" w:type="dxa"/>
            </w:tcMar>
            <w:hideMark/>
          </w:tcPr>
          <w:p w14:paraId="0A2E5A4E" w14:textId="77777777" w:rsidR="00000000" w:rsidRDefault="001D0688">
            <w:pPr>
              <w:rPr>
                <w:rFonts w:eastAsia="Times New Roman"/>
              </w:rPr>
            </w:pPr>
            <w:r>
              <w:rPr>
                <w:rFonts w:ascii="Arial" w:eastAsia="Times New Roman" w:hAnsi="Arial" w:cs="Arial"/>
                <w:color w:val="000000"/>
                <w:sz w:val="18"/>
                <w:szCs w:val="18"/>
              </w:rPr>
              <w:t>Andrew D. Block</w:t>
            </w:r>
          </w:p>
        </w:tc>
        <w:tc>
          <w:tcPr>
            <w:tcW w:w="0" w:type="auto"/>
            <w:gridSpan w:val="3"/>
            <w:shd w:val="clear" w:color="auto" w:fill="DCE2EF"/>
            <w:tcMar>
              <w:top w:w="0" w:type="dxa"/>
              <w:left w:w="20" w:type="dxa"/>
              <w:bottom w:w="0" w:type="dxa"/>
              <w:right w:w="20" w:type="dxa"/>
            </w:tcMar>
            <w:vAlign w:val="center"/>
            <w:hideMark/>
          </w:tcPr>
          <w:p w14:paraId="2F4B1F7B"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70036D8C" w14:textId="77777777" w:rsidR="00000000" w:rsidRDefault="001D0688">
            <w:pPr>
              <w:jc w:val="center"/>
              <w:rPr>
                <w:rFonts w:eastAsia="Times New Roman"/>
              </w:rPr>
            </w:pPr>
            <w:r>
              <w:rPr>
                <w:rFonts w:ascii="Arial" w:eastAsia="Times New Roman" w:hAnsi="Arial" w:cs="Arial"/>
                <w:color w:val="000000"/>
                <w:sz w:val="18"/>
                <w:szCs w:val="18"/>
              </w:rPr>
              <w:t>52</w:t>
            </w:r>
          </w:p>
        </w:tc>
        <w:tc>
          <w:tcPr>
            <w:tcW w:w="0" w:type="auto"/>
            <w:gridSpan w:val="3"/>
            <w:shd w:val="clear" w:color="auto" w:fill="DCE2EF"/>
            <w:tcMar>
              <w:top w:w="0" w:type="dxa"/>
              <w:left w:w="20" w:type="dxa"/>
              <w:bottom w:w="0" w:type="dxa"/>
              <w:right w:w="20" w:type="dxa"/>
            </w:tcMar>
            <w:vAlign w:val="center"/>
            <w:hideMark/>
          </w:tcPr>
          <w:p w14:paraId="4E8E9915"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F9392F8" w14:textId="77777777" w:rsidR="00000000" w:rsidRDefault="001D0688">
            <w:pPr>
              <w:jc w:val="both"/>
              <w:rPr>
                <w:rFonts w:eastAsia="Times New Roman"/>
              </w:rPr>
            </w:pPr>
            <w:r>
              <w:rPr>
                <w:rFonts w:ascii="Arial" w:eastAsia="Times New Roman" w:hAnsi="Arial" w:cs="Arial"/>
                <w:color w:val="000000"/>
                <w:sz w:val="18"/>
                <w:szCs w:val="18"/>
              </w:rPr>
              <w:t>Executive Vice President and Chief Human Resources Officer of ABM since June 2018; Senior Vice President, Talent and Organiz</w:t>
            </w:r>
            <w:r>
              <w:rPr>
                <w:rFonts w:ascii="Arial" w:eastAsia="Times New Roman" w:hAnsi="Arial" w:cs="Arial"/>
                <w:color w:val="000000"/>
                <w:sz w:val="18"/>
                <w:szCs w:val="18"/>
              </w:rPr>
              <w:t>ational Performance (Chief HR Officer) of Buffalo Wild Wings, Inc. from April 2010 to June 2018; Director of Human Resources of C.H. Robinson Worldwide, Inc. from December 2002 to April 2010.</w:t>
            </w:r>
          </w:p>
        </w:tc>
      </w:tr>
      <w:tr w:rsidR="00000000" w14:paraId="09469808" w14:textId="77777777">
        <w:trPr>
          <w:divId w:val="775832167"/>
        </w:trPr>
        <w:tc>
          <w:tcPr>
            <w:tcW w:w="0" w:type="auto"/>
            <w:gridSpan w:val="3"/>
            <w:tcMar>
              <w:top w:w="30" w:type="dxa"/>
              <w:left w:w="20" w:type="dxa"/>
              <w:bottom w:w="30" w:type="dxa"/>
              <w:right w:w="20" w:type="dxa"/>
            </w:tcMar>
            <w:hideMark/>
          </w:tcPr>
          <w:p w14:paraId="45587148" w14:textId="77777777" w:rsidR="00000000" w:rsidRDefault="001D0688">
            <w:pPr>
              <w:rPr>
                <w:rFonts w:eastAsia="Times New Roman"/>
              </w:rPr>
            </w:pPr>
            <w:r>
              <w:rPr>
                <w:rFonts w:ascii="Arial" w:eastAsia="Times New Roman" w:hAnsi="Arial" w:cs="Arial"/>
                <w:color w:val="000000"/>
                <w:sz w:val="18"/>
                <w:szCs w:val="18"/>
              </w:rPr>
              <w:t>Joshua H. Feinberg</w:t>
            </w:r>
          </w:p>
        </w:tc>
        <w:tc>
          <w:tcPr>
            <w:tcW w:w="0" w:type="auto"/>
            <w:gridSpan w:val="3"/>
            <w:tcMar>
              <w:top w:w="0" w:type="dxa"/>
              <w:left w:w="20" w:type="dxa"/>
              <w:bottom w:w="0" w:type="dxa"/>
              <w:right w:w="20" w:type="dxa"/>
            </w:tcMar>
            <w:vAlign w:val="center"/>
            <w:hideMark/>
          </w:tcPr>
          <w:p w14:paraId="6CFE9DF6" w14:textId="77777777" w:rsidR="00000000" w:rsidRDefault="001D0688">
            <w:pPr>
              <w:rPr>
                <w:rFonts w:eastAsia="Times New Roman"/>
              </w:rPr>
            </w:pPr>
          </w:p>
        </w:tc>
        <w:tc>
          <w:tcPr>
            <w:tcW w:w="0" w:type="auto"/>
            <w:gridSpan w:val="3"/>
            <w:tcMar>
              <w:top w:w="30" w:type="dxa"/>
              <w:left w:w="20" w:type="dxa"/>
              <w:bottom w:w="30" w:type="dxa"/>
              <w:right w:w="20" w:type="dxa"/>
            </w:tcMar>
            <w:hideMark/>
          </w:tcPr>
          <w:p w14:paraId="7EFED927" w14:textId="77777777" w:rsidR="00000000" w:rsidRDefault="001D0688">
            <w:pPr>
              <w:jc w:val="center"/>
              <w:rPr>
                <w:rFonts w:eastAsia="Times New Roman"/>
              </w:rPr>
            </w:pPr>
            <w:r>
              <w:rPr>
                <w:rFonts w:ascii="Arial" w:eastAsia="Times New Roman" w:hAnsi="Arial" w:cs="Arial"/>
                <w:color w:val="000000"/>
                <w:sz w:val="18"/>
                <w:szCs w:val="18"/>
              </w:rPr>
              <w:t>46</w:t>
            </w:r>
          </w:p>
        </w:tc>
        <w:tc>
          <w:tcPr>
            <w:tcW w:w="0" w:type="auto"/>
            <w:gridSpan w:val="3"/>
            <w:tcMar>
              <w:top w:w="0" w:type="dxa"/>
              <w:left w:w="20" w:type="dxa"/>
              <w:bottom w:w="0" w:type="dxa"/>
              <w:right w:w="20" w:type="dxa"/>
            </w:tcMar>
            <w:vAlign w:val="center"/>
            <w:hideMark/>
          </w:tcPr>
          <w:p w14:paraId="11DDB7DD" w14:textId="77777777" w:rsidR="00000000" w:rsidRDefault="001D0688">
            <w:pPr>
              <w:jc w:val="center"/>
              <w:rPr>
                <w:rFonts w:eastAsia="Times New Roman"/>
              </w:rPr>
            </w:pPr>
          </w:p>
        </w:tc>
        <w:tc>
          <w:tcPr>
            <w:tcW w:w="0" w:type="auto"/>
            <w:gridSpan w:val="3"/>
            <w:tcMar>
              <w:top w:w="30" w:type="dxa"/>
              <w:left w:w="20" w:type="dxa"/>
              <w:bottom w:w="30" w:type="dxa"/>
              <w:right w:w="20" w:type="dxa"/>
            </w:tcMar>
            <w:hideMark/>
          </w:tcPr>
          <w:p w14:paraId="01E35528" w14:textId="77777777" w:rsidR="00000000" w:rsidRDefault="001D0688">
            <w:pPr>
              <w:jc w:val="both"/>
              <w:rPr>
                <w:rFonts w:eastAsia="Times New Roman"/>
              </w:rPr>
            </w:pPr>
            <w:r>
              <w:rPr>
                <w:rFonts w:ascii="Arial" w:eastAsia="Times New Roman" w:hAnsi="Arial" w:cs="Arial"/>
                <w:color w:val="000000"/>
                <w:sz w:val="18"/>
                <w:szCs w:val="18"/>
              </w:rPr>
              <w:t>Executive Vice President, Chief Strategy and Transformation Officer of ABM since November 2019; Managing Director and Partner of The Boston Consulting Group from July 2014 to November 2019.</w:t>
            </w:r>
          </w:p>
        </w:tc>
      </w:tr>
      <w:tr w:rsidR="00000000" w14:paraId="3DBF2B47" w14:textId="77777777">
        <w:trPr>
          <w:divId w:val="775832167"/>
        </w:trPr>
        <w:tc>
          <w:tcPr>
            <w:tcW w:w="0" w:type="auto"/>
            <w:gridSpan w:val="3"/>
            <w:shd w:val="clear" w:color="auto" w:fill="DCE2EF"/>
            <w:tcMar>
              <w:top w:w="30" w:type="dxa"/>
              <w:left w:w="20" w:type="dxa"/>
              <w:bottom w:w="30" w:type="dxa"/>
              <w:right w:w="20" w:type="dxa"/>
            </w:tcMar>
            <w:hideMark/>
          </w:tcPr>
          <w:p w14:paraId="74431CBC" w14:textId="77777777" w:rsidR="00000000" w:rsidRDefault="001D0688">
            <w:pPr>
              <w:rPr>
                <w:rFonts w:eastAsia="Times New Roman"/>
              </w:rPr>
            </w:pPr>
            <w:r>
              <w:rPr>
                <w:rFonts w:ascii="Arial" w:eastAsia="Times New Roman" w:hAnsi="Arial" w:cs="Arial"/>
                <w:color w:val="000000"/>
                <w:sz w:val="18"/>
                <w:szCs w:val="18"/>
              </w:rPr>
              <w:t>Rene Jacobsen</w:t>
            </w:r>
          </w:p>
        </w:tc>
        <w:tc>
          <w:tcPr>
            <w:tcW w:w="0" w:type="auto"/>
            <w:gridSpan w:val="3"/>
            <w:shd w:val="clear" w:color="auto" w:fill="DCE2EF"/>
            <w:tcMar>
              <w:top w:w="0" w:type="dxa"/>
              <w:left w:w="20" w:type="dxa"/>
              <w:bottom w:w="0" w:type="dxa"/>
              <w:right w:w="20" w:type="dxa"/>
            </w:tcMar>
            <w:vAlign w:val="center"/>
            <w:hideMark/>
          </w:tcPr>
          <w:p w14:paraId="4DB2411D"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4A78C496" w14:textId="77777777" w:rsidR="00000000" w:rsidRDefault="001D0688">
            <w:pPr>
              <w:jc w:val="center"/>
              <w:rPr>
                <w:rFonts w:eastAsia="Times New Roman"/>
              </w:rPr>
            </w:pPr>
            <w:r>
              <w:rPr>
                <w:rFonts w:ascii="Arial" w:eastAsia="Times New Roman" w:hAnsi="Arial" w:cs="Arial"/>
                <w:color w:val="000000"/>
                <w:sz w:val="18"/>
                <w:szCs w:val="18"/>
              </w:rPr>
              <w:t>59</w:t>
            </w:r>
          </w:p>
        </w:tc>
        <w:tc>
          <w:tcPr>
            <w:tcW w:w="0" w:type="auto"/>
            <w:gridSpan w:val="3"/>
            <w:shd w:val="clear" w:color="auto" w:fill="DCE2EF"/>
            <w:tcMar>
              <w:top w:w="0" w:type="dxa"/>
              <w:left w:w="20" w:type="dxa"/>
              <w:bottom w:w="0" w:type="dxa"/>
              <w:right w:w="20" w:type="dxa"/>
            </w:tcMar>
            <w:vAlign w:val="center"/>
            <w:hideMark/>
          </w:tcPr>
          <w:p w14:paraId="161A7A2C"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0CDAEFF" w14:textId="77777777" w:rsidR="00000000" w:rsidRDefault="001D0688">
            <w:pPr>
              <w:jc w:val="both"/>
              <w:rPr>
                <w:rFonts w:eastAsia="Times New Roman"/>
              </w:rPr>
            </w:pPr>
            <w:r>
              <w:rPr>
                <w:rFonts w:ascii="Arial" w:eastAsia="Times New Roman" w:hAnsi="Arial" w:cs="Arial"/>
                <w:color w:val="000000"/>
                <w:sz w:val="18"/>
                <w:szCs w:val="18"/>
              </w:rPr>
              <w:t>Executive Vice President and Chief Operating Officer of ABM since November 2020; Executive Vice President and Chief Facilities Services Officer of ABM from October 2019 to November 2020; President of ABM’s Business &amp; Industry Group from February 2016 to Oc</w:t>
            </w:r>
            <w:r>
              <w:rPr>
                <w:rFonts w:ascii="Arial" w:eastAsia="Times New Roman" w:hAnsi="Arial" w:cs="Arial"/>
                <w:color w:val="000000"/>
                <w:sz w:val="18"/>
                <w:szCs w:val="18"/>
              </w:rPr>
              <w:t>tober 2019; Executive Vice President of ABM’s West Region from April 2012 to February 2016; Executive Vice President and Chief Operating Officer of Temco Service Industries from November 2007 to April 2012.</w:t>
            </w:r>
          </w:p>
        </w:tc>
      </w:tr>
      <w:tr w:rsidR="00000000" w14:paraId="6BB99217" w14:textId="77777777">
        <w:trPr>
          <w:divId w:val="775832167"/>
        </w:trPr>
        <w:tc>
          <w:tcPr>
            <w:tcW w:w="0" w:type="auto"/>
            <w:gridSpan w:val="3"/>
            <w:shd w:val="clear" w:color="auto" w:fill="FFFFFF"/>
            <w:tcMar>
              <w:top w:w="30" w:type="dxa"/>
              <w:left w:w="20" w:type="dxa"/>
              <w:bottom w:w="30" w:type="dxa"/>
              <w:right w:w="20" w:type="dxa"/>
            </w:tcMar>
            <w:hideMark/>
          </w:tcPr>
          <w:p w14:paraId="69EC16EF" w14:textId="77777777" w:rsidR="00000000" w:rsidRDefault="001D0688">
            <w:pPr>
              <w:rPr>
                <w:rFonts w:eastAsia="Times New Roman"/>
              </w:rPr>
            </w:pPr>
            <w:r>
              <w:rPr>
                <w:rFonts w:ascii="Arial" w:eastAsia="Times New Roman" w:hAnsi="Arial" w:cs="Arial"/>
                <w:color w:val="000000"/>
                <w:sz w:val="18"/>
                <w:szCs w:val="18"/>
              </w:rPr>
              <w:t>Sean M. Mahoney</w:t>
            </w:r>
          </w:p>
        </w:tc>
        <w:tc>
          <w:tcPr>
            <w:tcW w:w="0" w:type="auto"/>
            <w:gridSpan w:val="3"/>
            <w:shd w:val="clear" w:color="auto" w:fill="FFFFFF"/>
            <w:tcMar>
              <w:top w:w="0" w:type="dxa"/>
              <w:left w:w="20" w:type="dxa"/>
              <w:bottom w:w="0" w:type="dxa"/>
              <w:right w:w="20" w:type="dxa"/>
            </w:tcMar>
            <w:vAlign w:val="center"/>
            <w:hideMark/>
          </w:tcPr>
          <w:p w14:paraId="2138CE5B"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B513262" w14:textId="77777777" w:rsidR="00000000" w:rsidRDefault="001D0688">
            <w:pPr>
              <w:jc w:val="center"/>
              <w:rPr>
                <w:rFonts w:eastAsia="Times New Roman"/>
              </w:rPr>
            </w:pPr>
            <w:r>
              <w:rPr>
                <w:rFonts w:ascii="Arial" w:eastAsia="Times New Roman" w:hAnsi="Arial" w:cs="Arial"/>
                <w:color w:val="000000"/>
                <w:sz w:val="18"/>
                <w:szCs w:val="18"/>
              </w:rPr>
              <w:t>54</w:t>
            </w:r>
          </w:p>
        </w:tc>
        <w:tc>
          <w:tcPr>
            <w:tcW w:w="0" w:type="auto"/>
            <w:gridSpan w:val="3"/>
            <w:shd w:val="clear" w:color="auto" w:fill="FFFFFF"/>
            <w:tcMar>
              <w:top w:w="0" w:type="dxa"/>
              <w:left w:w="20" w:type="dxa"/>
              <w:bottom w:w="0" w:type="dxa"/>
              <w:right w:w="20" w:type="dxa"/>
            </w:tcMar>
            <w:vAlign w:val="center"/>
            <w:hideMark/>
          </w:tcPr>
          <w:p w14:paraId="15068B5B"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71CECEA" w14:textId="77777777" w:rsidR="00000000" w:rsidRDefault="001D0688">
            <w:pPr>
              <w:jc w:val="both"/>
              <w:rPr>
                <w:rFonts w:eastAsia="Times New Roman"/>
              </w:rPr>
            </w:pPr>
            <w:r>
              <w:rPr>
                <w:rFonts w:ascii="Arial" w:eastAsia="Times New Roman" w:hAnsi="Arial" w:cs="Arial"/>
                <w:color w:val="000000"/>
                <w:sz w:val="18"/>
                <w:szCs w:val="18"/>
              </w:rPr>
              <w:t>Executive Vice Pr</w:t>
            </w:r>
            <w:r>
              <w:rPr>
                <w:rFonts w:ascii="Arial" w:eastAsia="Times New Roman" w:hAnsi="Arial" w:cs="Arial"/>
                <w:color w:val="000000"/>
                <w:sz w:val="18"/>
                <w:szCs w:val="18"/>
              </w:rPr>
              <w:t>esident and President, Sales and Marketing of ABM since November 2020; Senior Vice President, Sales of ABM from August 2017 to October 2020; Vice President, Sales of Honeywell from July 2015 to July 2017.</w:t>
            </w:r>
          </w:p>
        </w:tc>
      </w:tr>
      <w:tr w:rsidR="00000000" w14:paraId="7C6E9005" w14:textId="77777777">
        <w:trPr>
          <w:divId w:val="775832167"/>
        </w:trPr>
        <w:tc>
          <w:tcPr>
            <w:tcW w:w="0" w:type="auto"/>
            <w:gridSpan w:val="3"/>
            <w:shd w:val="clear" w:color="auto" w:fill="DCE2EF"/>
            <w:tcMar>
              <w:top w:w="30" w:type="dxa"/>
              <w:left w:w="20" w:type="dxa"/>
              <w:bottom w:w="30" w:type="dxa"/>
              <w:right w:w="20" w:type="dxa"/>
            </w:tcMar>
            <w:hideMark/>
          </w:tcPr>
          <w:p w14:paraId="49266854" w14:textId="77777777" w:rsidR="00000000" w:rsidRDefault="001D0688">
            <w:pPr>
              <w:rPr>
                <w:rFonts w:eastAsia="Times New Roman"/>
              </w:rPr>
            </w:pPr>
            <w:r>
              <w:rPr>
                <w:rFonts w:ascii="Arial" w:eastAsia="Times New Roman" w:hAnsi="Arial" w:cs="Arial"/>
                <w:color w:val="000000"/>
                <w:sz w:val="18"/>
                <w:szCs w:val="18"/>
              </w:rPr>
              <w:t>Andrea R. Newborn</w:t>
            </w:r>
          </w:p>
        </w:tc>
        <w:tc>
          <w:tcPr>
            <w:tcW w:w="0" w:type="auto"/>
            <w:gridSpan w:val="3"/>
            <w:shd w:val="clear" w:color="auto" w:fill="DCE2EF"/>
            <w:tcMar>
              <w:top w:w="0" w:type="dxa"/>
              <w:left w:w="20" w:type="dxa"/>
              <w:bottom w:w="0" w:type="dxa"/>
              <w:right w:w="20" w:type="dxa"/>
            </w:tcMar>
            <w:vAlign w:val="center"/>
            <w:hideMark/>
          </w:tcPr>
          <w:p w14:paraId="617D2E9D"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A721D8C" w14:textId="77777777" w:rsidR="00000000" w:rsidRDefault="001D0688">
            <w:pPr>
              <w:jc w:val="center"/>
              <w:rPr>
                <w:rFonts w:eastAsia="Times New Roman"/>
              </w:rPr>
            </w:pPr>
            <w:r>
              <w:rPr>
                <w:rFonts w:ascii="Arial" w:eastAsia="Times New Roman" w:hAnsi="Arial" w:cs="Arial"/>
                <w:color w:val="000000"/>
                <w:sz w:val="18"/>
                <w:szCs w:val="18"/>
              </w:rPr>
              <w:t>57</w:t>
            </w:r>
          </w:p>
        </w:tc>
        <w:tc>
          <w:tcPr>
            <w:tcW w:w="0" w:type="auto"/>
            <w:gridSpan w:val="3"/>
            <w:shd w:val="clear" w:color="auto" w:fill="DCE2EF"/>
            <w:tcMar>
              <w:top w:w="0" w:type="dxa"/>
              <w:left w:w="20" w:type="dxa"/>
              <w:bottom w:w="0" w:type="dxa"/>
              <w:right w:w="20" w:type="dxa"/>
            </w:tcMar>
            <w:vAlign w:val="center"/>
            <w:hideMark/>
          </w:tcPr>
          <w:p w14:paraId="26E4358A"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BE6B305" w14:textId="77777777" w:rsidR="00000000" w:rsidRDefault="001D0688">
            <w:pPr>
              <w:jc w:val="both"/>
              <w:rPr>
                <w:rFonts w:eastAsia="Times New Roman"/>
              </w:rPr>
            </w:pPr>
            <w:r>
              <w:rPr>
                <w:rFonts w:ascii="Arial" w:eastAsia="Times New Roman" w:hAnsi="Arial" w:cs="Arial"/>
                <w:color w:val="000000"/>
                <w:sz w:val="18"/>
                <w:szCs w:val="18"/>
              </w:rPr>
              <w:t xml:space="preserve">Executive Vice President, General Counsel, and Corporate Secretary of ABM since July 2017; Executive Vice President and General Counsel of TravelClick, Inc. from July 2014 to June 2017; Senior Vice President, General Counsel, and Secretary of The Reader’s </w:t>
            </w:r>
            <w:r>
              <w:rPr>
                <w:rFonts w:ascii="Arial" w:eastAsia="Times New Roman" w:hAnsi="Arial" w:cs="Arial"/>
                <w:color w:val="000000"/>
                <w:sz w:val="18"/>
                <w:szCs w:val="18"/>
              </w:rPr>
              <w:t>Digest Association, Inc. from March 2007 to February 2014.</w:t>
            </w:r>
          </w:p>
        </w:tc>
      </w:tr>
      <w:tr w:rsidR="00000000" w14:paraId="5072965D" w14:textId="77777777">
        <w:trPr>
          <w:divId w:val="775832167"/>
        </w:trPr>
        <w:tc>
          <w:tcPr>
            <w:tcW w:w="0" w:type="auto"/>
            <w:gridSpan w:val="3"/>
            <w:shd w:val="clear" w:color="auto" w:fill="FFFFFF"/>
            <w:tcMar>
              <w:top w:w="30" w:type="dxa"/>
              <w:left w:w="20" w:type="dxa"/>
              <w:bottom w:w="30" w:type="dxa"/>
              <w:right w:w="20" w:type="dxa"/>
            </w:tcMar>
            <w:hideMark/>
          </w:tcPr>
          <w:p w14:paraId="3897FB6A" w14:textId="77777777" w:rsidR="00000000" w:rsidRDefault="001D0688">
            <w:pPr>
              <w:rPr>
                <w:rFonts w:eastAsia="Times New Roman"/>
              </w:rPr>
            </w:pPr>
            <w:r>
              <w:rPr>
                <w:rFonts w:ascii="Arial" w:eastAsia="Times New Roman" w:hAnsi="Arial" w:cs="Arial"/>
                <w:color w:val="000000"/>
                <w:sz w:val="18"/>
                <w:szCs w:val="18"/>
              </w:rPr>
              <w:t>Dean A. Chin</w:t>
            </w:r>
          </w:p>
        </w:tc>
        <w:tc>
          <w:tcPr>
            <w:tcW w:w="0" w:type="auto"/>
            <w:gridSpan w:val="3"/>
            <w:shd w:val="clear" w:color="auto" w:fill="FFFFFF"/>
            <w:tcMar>
              <w:top w:w="0" w:type="dxa"/>
              <w:left w:w="20" w:type="dxa"/>
              <w:bottom w:w="0" w:type="dxa"/>
              <w:right w:w="20" w:type="dxa"/>
            </w:tcMar>
            <w:vAlign w:val="center"/>
            <w:hideMark/>
          </w:tcPr>
          <w:p w14:paraId="3994E50E"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02411DF" w14:textId="77777777" w:rsidR="00000000" w:rsidRDefault="001D0688">
            <w:pPr>
              <w:jc w:val="center"/>
              <w:rPr>
                <w:rFonts w:eastAsia="Times New Roman"/>
              </w:rPr>
            </w:pPr>
            <w:r>
              <w:rPr>
                <w:rFonts w:ascii="Arial" w:eastAsia="Times New Roman" w:hAnsi="Arial" w:cs="Arial"/>
                <w:color w:val="000000"/>
                <w:sz w:val="18"/>
                <w:szCs w:val="18"/>
              </w:rPr>
              <w:t>52</w:t>
            </w:r>
          </w:p>
        </w:tc>
        <w:tc>
          <w:tcPr>
            <w:tcW w:w="0" w:type="auto"/>
            <w:gridSpan w:val="3"/>
            <w:shd w:val="clear" w:color="auto" w:fill="FFFFFF"/>
            <w:tcMar>
              <w:top w:w="0" w:type="dxa"/>
              <w:left w:w="20" w:type="dxa"/>
              <w:bottom w:w="0" w:type="dxa"/>
              <w:right w:w="20" w:type="dxa"/>
            </w:tcMar>
            <w:vAlign w:val="center"/>
            <w:hideMark/>
          </w:tcPr>
          <w:p w14:paraId="22CE4BF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F440B4E" w14:textId="77777777" w:rsidR="00000000" w:rsidRDefault="001D0688">
            <w:pPr>
              <w:jc w:val="both"/>
              <w:rPr>
                <w:rFonts w:eastAsia="Times New Roman"/>
              </w:rPr>
            </w:pPr>
            <w:r>
              <w:rPr>
                <w:rFonts w:ascii="Arial" w:eastAsia="Times New Roman" w:hAnsi="Arial" w:cs="Arial"/>
                <w:color w:val="000000"/>
                <w:sz w:val="18"/>
                <w:szCs w:val="18"/>
              </w:rPr>
              <w:t>Interim Chief Financial Officer of ABM from July 2020 to November 2020; Senior Vice President, Chief Accounting Officer, and Corporate Controller of ABM since June 2010; Vice President and Assistant Controller of ABM from June 2008 to June 2010.</w:t>
            </w:r>
          </w:p>
        </w:tc>
      </w:tr>
    </w:tbl>
    <w:p w14:paraId="56FF3E42" w14:textId="77777777" w:rsidR="00000000" w:rsidRDefault="001D0688">
      <w:pPr>
        <w:divId w:val="376204097"/>
        <w:rPr>
          <w:rFonts w:eastAsia="Times New Roman"/>
        </w:rPr>
      </w:pPr>
    </w:p>
    <w:p w14:paraId="190446F7" w14:textId="77777777" w:rsidR="00000000" w:rsidRDefault="001D0688">
      <w:pPr>
        <w:jc w:val="center"/>
        <w:divId w:val="1249267382"/>
        <w:rPr>
          <w:rFonts w:eastAsia="Times New Roman"/>
        </w:rPr>
      </w:pPr>
      <w:r>
        <w:rPr>
          <w:rFonts w:ascii="Arial" w:eastAsia="Times New Roman" w:hAnsi="Arial" w:cs="Arial"/>
          <w:color w:val="000000"/>
          <w:sz w:val="20"/>
          <w:szCs w:val="20"/>
        </w:rPr>
        <w:t>7</w:t>
      </w:r>
    </w:p>
    <w:p w14:paraId="5423352A" w14:textId="77777777" w:rsidR="00000000" w:rsidRDefault="001D0688">
      <w:pPr>
        <w:rPr>
          <w:rFonts w:eastAsia="Times New Roman"/>
        </w:rPr>
      </w:pPr>
      <w:r>
        <w:rPr>
          <w:rFonts w:eastAsia="Times New Roman"/>
        </w:rPr>
        <w:pict w14:anchorId="1F501080">
          <v:rect id="_x0000_i1042" style="width:0;height:1.5pt" o:hralign="center" o:hrstd="t" o:hr="t" fillcolor="#a0a0a0" stroked="f"/>
        </w:pict>
      </w:r>
    </w:p>
    <w:p w14:paraId="65BB7861" w14:textId="77777777" w:rsidR="00000000" w:rsidRDefault="001D0688">
      <w:pPr>
        <w:divId w:val="1435518210"/>
        <w:rPr>
          <w:rFonts w:eastAsia="Times New Roman"/>
        </w:rPr>
      </w:pPr>
    </w:p>
    <w:p w14:paraId="6405FF32" w14:textId="77777777" w:rsidR="00000000" w:rsidRDefault="001D0688">
      <w:pPr>
        <w:divId w:val="1232228532"/>
        <w:rPr>
          <w:rFonts w:eastAsia="Times New Roman"/>
        </w:rPr>
      </w:pPr>
      <w:r>
        <w:rPr>
          <w:rFonts w:ascii="Arial" w:eastAsia="Times New Roman" w:hAnsi="Arial" w:cs="Arial"/>
          <w:b/>
          <w:bCs/>
          <w:color w:val="0046AD"/>
          <w:sz w:val="20"/>
          <w:szCs w:val="20"/>
          <w:shd w:val="clear" w:color="auto" w:fill="FFFFFF"/>
        </w:rPr>
        <w:t>ITEM 1A. RISK FACTORS.</w:t>
      </w:r>
    </w:p>
    <w:p w14:paraId="551C18D3" w14:textId="77777777" w:rsidR="00000000" w:rsidRDefault="001D0688">
      <w:pPr>
        <w:ind w:firstLine="720"/>
        <w:jc w:val="both"/>
        <w:divId w:val="834683364"/>
        <w:rPr>
          <w:rFonts w:eastAsia="Times New Roman"/>
        </w:rPr>
      </w:pPr>
      <w:r>
        <w:rPr>
          <w:rFonts w:ascii="Arial" w:eastAsia="Times New Roman" w:hAnsi="Arial" w:cs="Arial"/>
          <w:color w:val="000000"/>
          <w:sz w:val="20"/>
          <w:szCs w:val="20"/>
        </w:rPr>
        <w:t>The following risks, some of which have occurred and any of which may occur in the future, could materially and adversely affect our business, financial condition, cash flows, results of operations, and/or the trading price of our common stock. The risks d</w:t>
      </w:r>
      <w:r>
        <w:rPr>
          <w:rFonts w:ascii="Arial" w:eastAsia="Times New Roman" w:hAnsi="Arial" w:cs="Arial"/>
          <w:color w:val="000000"/>
          <w:sz w:val="20"/>
          <w:szCs w:val="20"/>
        </w:rPr>
        <w:t>escribed below identify the material risks we face; however, our business could also be affected by factors that are not presently known to us or that we currently consider to be immaterial. You should carefully consider the risks described below in additi</w:t>
      </w:r>
      <w:r>
        <w:rPr>
          <w:rFonts w:ascii="Arial" w:eastAsia="Times New Roman" w:hAnsi="Arial" w:cs="Arial"/>
          <w:color w:val="000000"/>
          <w:sz w:val="20"/>
          <w:szCs w:val="20"/>
        </w:rPr>
        <w:t>on to the other information set forth in this Annual Report on Form 10-K, including “Management’s Discussion and Analysis of Financial Condition and Results of Operations” (“MD&amp;A”) and the consolidated financial statements and accompanying notes (the “Fina</w:t>
      </w:r>
      <w:r>
        <w:rPr>
          <w:rFonts w:ascii="Arial" w:eastAsia="Times New Roman" w:hAnsi="Arial" w:cs="Arial"/>
          <w:color w:val="000000"/>
          <w:sz w:val="20"/>
          <w:szCs w:val="20"/>
        </w:rPr>
        <w:t xml:space="preserve">ncial Statements”). </w:t>
      </w:r>
    </w:p>
    <w:p w14:paraId="31F13391" w14:textId="77777777" w:rsidR="00000000" w:rsidRDefault="001D0688">
      <w:pPr>
        <w:divId w:val="1815248006"/>
        <w:rPr>
          <w:rFonts w:eastAsia="Times New Roman"/>
        </w:rPr>
      </w:pPr>
      <w:r>
        <w:rPr>
          <w:rFonts w:ascii="Arial" w:eastAsia="Times New Roman" w:hAnsi="Arial" w:cs="Arial"/>
          <w:b/>
          <w:bCs/>
          <w:color w:val="0046AD"/>
          <w:sz w:val="20"/>
          <w:szCs w:val="20"/>
          <w:shd w:val="clear" w:color="auto" w:fill="FFFFFF"/>
        </w:rPr>
        <w:t>Risks Relating to the Novel Coronavirus (“COVID-19”) Pandemic (the “Pandemic”)</w:t>
      </w:r>
    </w:p>
    <w:p w14:paraId="0D53FE25" w14:textId="77777777" w:rsidR="00000000" w:rsidRDefault="001D0688">
      <w:pPr>
        <w:jc w:val="both"/>
        <w:divId w:val="1063527888"/>
        <w:rPr>
          <w:rFonts w:eastAsia="Times New Roman"/>
        </w:rPr>
      </w:pPr>
      <w:r>
        <w:rPr>
          <w:rFonts w:ascii="Arial" w:eastAsia="Times New Roman" w:hAnsi="Arial" w:cs="Arial"/>
          <w:b/>
          <w:bCs/>
          <w:i/>
          <w:iCs/>
          <w:color w:val="0046AD"/>
          <w:sz w:val="20"/>
          <w:szCs w:val="20"/>
        </w:rPr>
        <w:t>The Pandemic has had and is expected to continue having a negative effect on the global economy and the United States economy; it has disrupted and is expec</w:t>
      </w:r>
      <w:r>
        <w:rPr>
          <w:rFonts w:ascii="Arial" w:eastAsia="Times New Roman" w:hAnsi="Arial" w:cs="Arial"/>
          <w:b/>
          <w:bCs/>
          <w:i/>
          <w:iCs/>
          <w:color w:val="0046AD"/>
          <w:sz w:val="20"/>
          <w:szCs w:val="20"/>
        </w:rPr>
        <w:t>ted to continue disrupting our operations and our clients’ operations; and it has adversely affected and may continue to adversely affect our business, results of operations, cash flows, and financial condition.</w:t>
      </w:r>
    </w:p>
    <w:p w14:paraId="6A499B52" w14:textId="77777777" w:rsidR="00000000" w:rsidRDefault="001D0688">
      <w:pPr>
        <w:ind w:firstLine="720"/>
        <w:jc w:val="both"/>
        <w:divId w:val="869604954"/>
        <w:rPr>
          <w:rFonts w:eastAsia="Times New Roman"/>
        </w:rPr>
      </w:pPr>
      <w:r>
        <w:rPr>
          <w:rFonts w:ascii="Arial" w:eastAsia="Times New Roman" w:hAnsi="Arial" w:cs="Arial"/>
          <w:color w:val="000000"/>
          <w:sz w:val="20"/>
          <w:szCs w:val="20"/>
        </w:rPr>
        <w:t>The Pandemic and measures taken by authoriti</w:t>
      </w:r>
      <w:r>
        <w:rPr>
          <w:rFonts w:ascii="Arial" w:eastAsia="Times New Roman" w:hAnsi="Arial" w:cs="Arial"/>
          <w:color w:val="000000"/>
          <w:sz w:val="20"/>
          <w:szCs w:val="20"/>
        </w:rPr>
        <w:t>es in response to the Pandemic, such as travel bans and restrictions, shelter-in-place/stay-at-home orders, and business and school shutdowns, have disrupted and are expected to continue disrupting the economy and our business. These disruptions heighten t</w:t>
      </w:r>
      <w:r>
        <w:rPr>
          <w:rFonts w:ascii="Arial" w:eastAsia="Times New Roman" w:hAnsi="Arial" w:cs="Arial"/>
          <w:color w:val="000000"/>
          <w:sz w:val="20"/>
          <w:szCs w:val="20"/>
        </w:rPr>
        <w:t>he potential adverse effects on our business, financial condition, results of operations, and cash flows that are described in certain of the risk factors described below. The evolving scale and scope of the Pandemic will affect the degree of these adverse</w:t>
      </w:r>
      <w:r>
        <w:rPr>
          <w:rFonts w:ascii="Arial" w:eastAsia="Times New Roman" w:hAnsi="Arial" w:cs="Arial"/>
          <w:color w:val="000000"/>
          <w:sz w:val="20"/>
          <w:szCs w:val="20"/>
        </w:rPr>
        <w:t xml:space="preserve"> effects, including, but not limited to, the likelihood of and impacts from:</w:t>
      </w:r>
    </w:p>
    <w:p w14:paraId="24D87660" w14:textId="77777777" w:rsidR="00000000" w:rsidRDefault="001D0688">
      <w:pPr>
        <w:ind w:hanging="360"/>
        <w:jc w:val="both"/>
        <w:divId w:val="1620532145"/>
        <w:rPr>
          <w:rFonts w:eastAsia="Times New Roman"/>
        </w:rPr>
      </w:pPr>
      <w:r>
        <w:rPr>
          <w:rFonts w:ascii="Arial" w:eastAsia="Times New Roman" w:hAnsi="Arial" w:cs="Arial"/>
          <w:color w:val="000000"/>
          <w:sz w:val="20"/>
          <w:szCs w:val="20"/>
        </w:rPr>
        <w:t>•overall economic conditions, which have been and will likely continue to be adversely impacted by the Pandemic and related shutdowns;</w:t>
      </w:r>
    </w:p>
    <w:p w14:paraId="1F4215B2" w14:textId="77777777" w:rsidR="00000000" w:rsidRDefault="001D0688">
      <w:pPr>
        <w:ind w:hanging="360"/>
        <w:jc w:val="both"/>
        <w:divId w:val="77721230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maintain sufficient key personnel due to employee illness, quarantine requirements, worker absences, social-distancing requirements, and travel or other restrictions;</w:t>
      </w:r>
    </w:p>
    <w:p w14:paraId="454718D1" w14:textId="77777777" w:rsidR="00000000" w:rsidRDefault="001D0688">
      <w:pPr>
        <w:ind w:hanging="360"/>
        <w:jc w:val="both"/>
        <w:divId w:val="986398753"/>
        <w:rPr>
          <w:rFonts w:eastAsia="Times New Roman"/>
        </w:rPr>
      </w:pPr>
      <w:r>
        <w:rPr>
          <w:rFonts w:ascii="Arial" w:eastAsia="Times New Roman" w:hAnsi="Arial" w:cs="Arial"/>
          <w:color w:val="000000"/>
          <w:sz w:val="20"/>
          <w:szCs w:val="20"/>
        </w:rPr>
        <w:t xml:space="preserve">•reduced availability and productivity of labor; </w:t>
      </w:r>
    </w:p>
    <w:p w14:paraId="538FEAE2" w14:textId="77777777" w:rsidR="00000000" w:rsidRDefault="001D0688">
      <w:pPr>
        <w:ind w:hanging="360"/>
        <w:jc w:val="both"/>
        <w:divId w:val="1430660951"/>
        <w:rPr>
          <w:rFonts w:eastAsia="Times New Roman"/>
        </w:rPr>
      </w:pPr>
      <w:r>
        <w:rPr>
          <w:rFonts w:ascii="Arial" w:eastAsia="Times New Roman" w:hAnsi="Arial" w:cs="Arial"/>
          <w:color w:val="000000"/>
          <w:sz w:val="20"/>
          <w:szCs w:val="20"/>
        </w:rPr>
        <w:t>•continued or expanded c</w:t>
      </w:r>
      <w:r>
        <w:rPr>
          <w:rFonts w:ascii="Arial" w:eastAsia="Times New Roman" w:hAnsi="Arial" w:cs="Arial"/>
          <w:color w:val="000000"/>
          <w:sz w:val="20"/>
          <w:szCs w:val="20"/>
        </w:rPr>
        <w:t xml:space="preserve">losures of our clients’ facilities; </w:t>
      </w:r>
    </w:p>
    <w:p w14:paraId="5332BB97" w14:textId="77777777" w:rsidR="00000000" w:rsidRDefault="001D0688">
      <w:pPr>
        <w:ind w:hanging="360"/>
        <w:jc w:val="both"/>
        <w:divId w:val="1192567117"/>
        <w:rPr>
          <w:rFonts w:eastAsia="Times New Roman"/>
        </w:rPr>
      </w:pPr>
      <w:r>
        <w:rPr>
          <w:rFonts w:ascii="Arial" w:eastAsia="Times New Roman" w:hAnsi="Arial" w:cs="Arial"/>
          <w:color w:val="000000"/>
          <w:sz w:val="20"/>
          <w:szCs w:val="20"/>
        </w:rPr>
        <w:t xml:space="preserve">•our clients’ demand and ability to pay for our services, or attempts by our clients to defer payments owed to us; </w:t>
      </w:r>
    </w:p>
    <w:p w14:paraId="5C536160" w14:textId="77777777" w:rsidR="00000000" w:rsidRDefault="001D0688">
      <w:pPr>
        <w:ind w:hanging="360"/>
        <w:jc w:val="both"/>
        <w:divId w:val="297223750"/>
        <w:rPr>
          <w:rFonts w:eastAsia="Times New Roman"/>
        </w:rPr>
      </w:pPr>
      <w:r>
        <w:rPr>
          <w:rFonts w:ascii="Arial" w:eastAsia="Times New Roman" w:hAnsi="Arial" w:cs="Arial"/>
          <w:color w:val="000000"/>
          <w:sz w:val="20"/>
          <w:szCs w:val="20"/>
        </w:rPr>
        <w:t xml:space="preserve">•our ability to obtain new clients, expand, or otherwise execute strategic plans; </w:t>
      </w:r>
    </w:p>
    <w:p w14:paraId="05CB91B2" w14:textId="77777777" w:rsidR="00000000" w:rsidRDefault="001D0688">
      <w:pPr>
        <w:ind w:hanging="360"/>
        <w:jc w:val="both"/>
        <w:divId w:val="89471476"/>
        <w:rPr>
          <w:rFonts w:eastAsia="Times New Roman"/>
        </w:rPr>
      </w:pPr>
      <w:r>
        <w:rPr>
          <w:rFonts w:ascii="Arial" w:eastAsia="Times New Roman" w:hAnsi="Arial" w:cs="Arial"/>
          <w:color w:val="000000"/>
          <w:sz w:val="20"/>
          <w:szCs w:val="20"/>
        </w:rPr>
        <w:t>•our ability to comp</w:t>
      </w:r>
      <w:r>
        <w:rPr>
          <w:rFonts w:ascii="Arial" w:eastAsia="Times New Roman" w:hAnsi="Arial" w:cs="Arial"/>
          <w:color w:val="000000"/>
          <w:sz w:val="20"/>
          <w:szCs w:val="20"/>
        </w:rPr>
        <w:t>ly with new legal or regulatory requirements enacted in connection with the Pandemic;</w:t>
      </w:r>
    </w:p>
    <w:p w14:paraId="6DA109C4" w14:textId="77777777" w:rsidR="00000000" w:rsidRDefault="001D0688">
      <w:pPr>
        <w:ind w:hanging="360"/>
        <w:jc w:val="both"/>
        <w:divId w:val="1728068951"/>
        <w:rPr>
          <w:rFonts w:eastAsia="Times New Roman"/>
        </w:rPr>
      </w:pPr>
      <w:r>
        <w:rPr>
          <w:rFonts w:ascii="Arial" w:eastAsia="Times New Roman" w:hAnsi="Arial" w:cs="Arial"/>
          <w:color w:val="000000"/>
          <w:sz w:val="20"/>
          <w:szCs w:val="20"/>
        </w:rPr>
        <w:t>•legal actions or proceedings related to the Pandemic; and</w:t>
      </w:r>
    </w:p>
    <w:p w14:paraId="56009592" w14:textId="77777777" w:rsidR="00000000" w:rsidRDefault="001D0688">
      <w:pPr>
        <w:ind w:hanging="360"/>
        <w:jc w:val="both"/>
        <w:divId w:val="1475218719"/>
        <w:rPr>
          <w:rFonts w:eastAsia="Times New Roman"/>
        </w:rPr>
      </w:pPr>
      <w:r>
        <w:rPr>
          <w:rFonts w:ascii="Arial" w:eastAsia="Times New Roman" w:hAnsi="Arial" w:cs="Arial"/>
          <w:color w:val="000000"/>
          <w:sz w:val="20"/>
          <w:szCs w:val="20"/>
        </w:rPr>
        <w:t>•the ability of third parties on which we rely, including our suppliers, to timely meet their obligations to us</w:t>
      </w:r>
      <w:r>
        <w:rPr>
          <w:rFonts w:ascii="Arial" w:eastAsia="Times New Roman" w:hAnsi="Arial" w:cs="Arial"/>
          <w:color w:val="000000"/>
          <w:sz w:val="20"/>
          <w:szCs w:val="20"/>
        </w:rPr>
        <w:t>, or significant disruptions in their ability to do so.</w:t>
      </w:r>
    </w:p>
    <w:p w14:paraId="6F76D522" w14:textId="77777777" w:rsidR="00000000" w:rsidRDefault="001D0688">
      <w:pPr>
        <w:ind w:firstLine="720"/>
        <w:jc w:val="both"/>
        <w:divId w:val="1786339857"/>
        <w:rPr>
          <w:rFonts w:eastAsia="Times New Roman"/>
        </w:rPr>
      </w:pPr>
      <w:r>
        <w:rPr>
          <w:rFonts w:ascii="Arial" w:eastAsia="Times New Roman" w:hAnsi="Arial" w:cs="Arial"/>
          <w:color w:val="000000"/>
          <w:sz w:val="20"/>
          <w:szCs w:val="20"/>
        </w:rPr>
        <w:t>The extent of the impact of the Pandemic depends on future developments and remains highly uncertain due to the unknown duration and severity of the Pandemic. Given these uncertainties, we cannot esti</w:t>
      </w:r>
      <w:r>
        <w:rPr>
          <w:rFonts w:ascii="Arial" w:eastAsia="Times New Roman" w:hAnsi="Arial" w:cs="Arial"/>
          <w:color w:val="000000"/>
          <w:sz w:val="20"/>
          <w:szCs w:val="20"/>
        </w:rPr>
        <w:t>mate the full impacts the Pandemic will have on our business, results of operations, cash flows, or financial condition, but the adverse impacts could be material.</w:t>
      </w:r>
    </w:p>
    <w:p w14:paraId="3CDB640D" w14:textId="77777777" w:rsidR="00000000" w:rsidRDefault="001D0688">
      <w:pPr>
        <w:jc w:val="both"/>
        <w:divId w:val="1233807437"/>
        <w:rPr>
          <w:rFonts w:eastAsia="Times New Roman"/>
        </w:rPr>
      </w:pPr>
      <w:r>
        <w:rPr>
          <w:rFonts w:ascii="Arial" w:eastAsia="Times New Roman" w:hAnsi="Arial" w:cs="Arial"/>
          <w:b/>
          <w:bCs/>
          <w:color w:val="0046AD"/>
          <w:sz w:val="20"/>
          <w:szCs w:val="20"/>
        </w:rPr>
        <w:t>Risks Relating to Our Strategy and Operations</w:t>
      </w:r>
    </w:p>
    <w:p w14:paraId="479A1360" w14:textId="77777777" w:rsidR="00000000" w:rsidRDefault="001D0688">
      <w:pPr>
        <w:jc w:val="both"/>
        <w:divId w:val="2083067358"/>
        <w:rPr>
          <w:rFonts w:eastAsia="Times New Roman"/>
        </w:rPr>
      </w:pPr>
      <w:r>
        <w:rPr>
          <w:rFonts w:ascii="Arial" w:eastAsia="Times New Roman" w:hAnsi="Arial" w:cs="Arial"/>
          <w:b/>
          <w:bCs/>
          <w:i/>
          <w:iCs/>
          <w:color w:val="0046AD"/>
          <w:sz w:val="20"/>
          <w:szCs w:val="20"/>
        </w:rPr>
        <w:t>Our success depends on our ability to gain pro</w:t>
      </w:r>
      <w:r>
        <w:rPr>
          <w:rFonts w:ascii="Arial" w:eastAsia="Times New Roman" w:hAnsi="Arial" w:cs="Arial"/>
          <w:b/>
          <w:bCs/>
          <w:i/>
          <w:iCs/>
          <w:color w:val="0046AD"/>
          <w:sz w:val="20"/>
          <w:szCs w:val="20"/>
        </w:rPr>
        <w:t>fitable business despite competitive market pressures.</w:t>
      </w:r>
    </w:p>
    <w:p w14:paraId="7CE61CBE" w14:textId="77777777" w:rsidR="00000000" w:rsidRDefault="001D0688">
      <w:pPr>
        <w:ind w:firstLine="720"/>
        <w:jc w:val="both"/>
        <w:divId w:val="1953392708"/>
        <w:rPr>
          <w:rFonts w:eastAsia="Times New Roman"/>
        </w:rPr>
      </w:pPr>
      <w:r>
        <w:rPr>
          <w:rFonts w:ascii="Arial" w:eastAsia="Times New Roman" w:hAnsi="Arial" w:cs="Arial"/>
          <w:color w:val="000000"/>
          <w:sz w:val="20"/>
          <w:szCs w:val="20"/>
        </w:rPr>
        <w:t>Each aspect of our business is highly competitive and such competition is based primarily on price, quality of service, and ability to anticipate and respond to industry changes. A majority of our reve</w:t>
      </w:r>
      <w:r>
        <w:rPr>
          <w:rFonts w:ascii="Arial" w:eastAsia="Times New Roman" w:hAnsi="Arial" w:cs="Arial"/>
          <w:color w:val="000000"/>
          <w:sz w:val="20"/>
          <w:szCs w:val="20"/>
        </w:rPr>
        <w:t>nue is derived from services that require competitive bids. The low cost of entry in the facility services business results in a very competitive market. We compete mainly with regional and local owner-operated companies that may have more acute vision int</w:t>
      </w:r>
      <w:r>
        <w:rPr>
          <w:rFonts w:ascii="Arial" w:eastAsia="Times New Roman" w:hAnsi="Arial" w:cs="Arial"/>
          <w:color w:val="000000"/>
          <w:sz w:val="20"/>
          <w:szCs w:val="20"/>
        </w:rPr>
        <w:t>o local markets and significantly lower labor and overhead costs, providing them with a competitive advantage in those regards. We also compete indirectly with companies that can perform for themselves one or more of the services we provide. Further, if we</w:t>
      </w:r>
      <w:r>
        <w:rPr>
          <w:rFonts w:ascii="Arial" w:eastAsia="Times New Roman" w:hAnsi="Arial" w:cs="Arial"/>
          <w:color w:val="000000"/>
          <w:sz w:val="20"/>
          <w:szCs w:val="20"/>
        </w:rPr>
        <w:t xml:space="preserve"> are unable to respond adequately to changing technology, we may </w:t>
      </w:r>
    </w:p>
    <w:p w14:paraId="22E9A12F" w14:textId="77777777" w:rsidR="00000000" w:rsidRDefault="001D0688">
      <w:pPr>
        <w:jc w:val="center"/>
        <w:divId w:val="446045100"/>
        <w:rPr>
          <w:rFonts w:eastAsia="Times New Roman"/>
        </w:rPr>
      </w:pPr>
      <w:r>
        <w:rPr>
          <w:rFonts w:ascii="Arial" w:eastAsia="Times New Roman" w:hAnsi="Arial" w:cs="Arial"/>
          <w:color w:val="000000"/>
          <w:sz w:val="20"/>
          <w:szCs w:val="20"/>
        </w:rPr>
        <w:t>8</w:t>
      </w:r>
    </w:p>
    <w:p w14:paraId="77D93ACC" w14:textId="77777777" w:rsidR="00000000" w:rsidRDefault="001D0688">
      <w:pPr>
        <w:rPr>
          <w:rFonts w:eastAsia="Times New Roman"/>
        </w:rPr>
      </w:pPr>
      <w:r>
        <w:rPr>
          <w:rFonts w:eastAsia="Times New Roman"/>
        </w:rPr>
        <w:pict w14:anchorId="5D95BA71">
          <v:rect id="_x0000_i1043" style="width:0;height:1.5pt" o:hralign="center" o:hrstd="t" o:hr="t" fillcolor="#a0a0a0" stroked="f"/>
        </w:pict>
      </w:r>
    </w:p>
    <w:p w14:paraId="63B1A330" w14:textId="77777777" w:rsidR="00000000" w:rsidRDefault="001D0688">
      <w:pPr>
        <w:divId w:val="86970320"/>
        <w:rPr>
          <w:rFonts w:eastAsia="Times New Roman"/>
        </w:rPr>
      </w:pPr>
    </w:p>
    <w:p w14:paraId="30CE44AD" w14:textId="77777777" w:rsidR="00000000" w:rsidRDefault="001D0688">
      <w:pPr>
        <w:jc w:val="both"/>
        <w:divId w:val="1112211664"/>
        <w:rPr>
          <w:rFonts w:eastAsia="Times New Roman"/>
        </w:rPr>
      </w:pPr>
      <w:r>
        <w:rPr>
          <w:rFonts w:ascii="Arial" w:eastAsia="Times New Roman" w:hAnsi="Arial" w:cs="Arial"/>
          <w:color w:val="000000"/>
          <w:sz w:val="20"/>
          <w:szCs w:val="20"/>
        </w:rPr>
        <w:t>lose existing clients and fail to win future business opportunities. A failure to respond effectively to competitive pressures or failure in our abili</w:t>
      </w:r>
      <w:r>
        <w:rPr>
          <w:rFonts w:ascii="Arial" w:eastAsia="Times New Roman" w:hAnsi="Arial" w:cs="Arial"/>
          <w:color w:val="000000"/>
          <w:sz w:val="20"/>
          <w:szCs w:val="20"/>
        </w:rPr>
        <w:t xml:space="preserve">ty to increase prices as costs rise could reduce margins and materially adversely affect our financial performance. </w:t>
      </w:r>
    </w:p>
    <w:p w14:paraId="742D6B53" w14:textId="77777777" w:rsidR="00000000" w:rsidRDefault="001D0688">
      <w:pPr>
        <w:jc w:val="both"/>
        <w:divId w:val="879434810"/>
        <w:rPr>
          <w:rFonts w:eastAsia="Times New Roman"/>
        </w:rPr>
      </w:pPr>
      <w:r>
        <w:rPr>
          <w:rFonts w:ascii="Arial" w:eastAsia="Times New Roman" w:hAnsi="Arial" w:cs="Arial"/>
          <w:b/>
          <w:bCs/>
          <w:i/>
          <w:iCs/>
          <w:color w:val="0046AD"/>
          <w:sz w:val="20"/>
          <w:szCs w:val="20"/>
        </w:rPr>
        <w:t>Our business success depends on our ability to attract and retain qualified personnel and senior management and to manage labor costs.</w:t>
      </w:r>
    </w:p>
    <w:p w14:paraId="0D7B3E20" w14:textId="77777777" w:rsidR="00000000" w:rsidRDefault="001D0688">
      <w:pPr>
        <w:ind w:firstLine="720"/>
        <w:jc w:val="both"/>
        <w:divId w:val="1539392664"/>
        <w:rPr>
          <w:rFonts w:eastAsia="Times New Roman"/>
        </w:rPr>
      </w:pPr>
      <w:r>
        <w:rPr>
          <w:rFonts w:ascii="Arial" w:eastAsia="Times New Roman" w:hAnsi="Arial" w:cs="Arial"/>
          <w:color w:val="000000"/>
          <w:sz w:val="20"/>
          <w:szCs w:val="20"/>
        </w:rPr>
        <w:t xml:space="preserve">Our </w:t>
      </w:r>
      <w:r>
        <w:rPr>
          <w:rFonts w:ascii="Arial" w:eastAsia="Times New Roman" w:hAnsi="Arial" w:cs="Arial"/>
          <w:color w:val="000000"/>
          <w:sz w:val="20"/>
          <w:szCs w:val="20"/>
        </w:rPr>
        <w:t>future performance depends on the continuing services and contributions of our senior management and on our continued ability to attract and retain qualified personnel. Any unplanned turnover in senior management or inability to attract and retain qualifie</w:t>
      </w:r>
      <w:r>
        <w:rPr>
          <w:rFonts w:ascii="Arial" w:eastAsia="Times New Roman" w:hAnsi="Arial" w:cs="Arial"/>
          <w:color w:val="000000"/>
          <w:sz w:val="20"/>
          <w:szCs w:val="20"/>
        </w:rPr>
        <w:t>d personnel could have a negative effect on our results of operations. We employ approximat</w:t>
      </w:r>
      <w:r>
        <w:rPr>
          <w:rFonts w:ascii="Arial" w:eastAsia="Times New Roman" w:hAnsi="Arial" w:cs="Arial"/>
          <w:color w:val="000000"/>
          <w:sz w:val="20"/>
          <w:szCs w:val="20"/>
          <w:shd w:val="clear" w:color="auto" w:fill="FFFFFF"/>
        </w:rPr>
        <w:t xml:space="preserve">ely 114,000 </w:t>
      </w:r>
      <w:r>
        <w:rPr>
          <w:rFonts w:ascii="Arial" w:eastAsia="Times New Roman" w:hAnsi="Arial" w:cs="Arial"/>
          <w:color w:val="000000"/>
          <w:sz w:val="20"/>
          <w:szCs w:val="20"/>
        </w:rPr>
        <w:t>persons, and our operations depend on the services of a large and diverse workforce. We must attract, train, and retain a large and growing number of qua</w:t>
      </w:r>
      <w:r>
        <w:rPr>
          <w:rFonts w:ascii="Arial" w:eastAsia="Times New Roman" w:hAnsi="Arial" w:cs="Arial"/>
          <w:color w:val="000000"/>
          <w:sz w:val="20"/>
          <w:szCs w:val="20"/>
        </w:rPr>
        <w:t>lified employees while controlling related labor costs. Our ability to control labor and benefit costs is subject to numerous internal and external factors, including changes in the unemployment rate, changes in immigration policy, regulatory changes, prev</w:t>
      </w:r>
      <w:r>
        <w:rPr>
          <w:rFonts w:ascii="Arial" w:eastAsia="Times New Roman" w:hAnsi="Arial" w:cs="Arial"/>
          <w:color w:val="000000"/>
          <w:sz w:val="20"/>
          <w:szCs w:val="20"/>
        </w:rPr>
        <w:t xml:space="preserve">ailing wage rates, and competition we face from other companies for qualified employees. Further, many of our contracts provide that our clients pay certain costs at specified rates, such as insurance, healthcare costs, salary and salary-related expenses, </w:t>
      </w:r>
      <w:r>
        <w:rPr>
          <w:rFonts w:ascii="Arial" w:eastAsia="Times New Roman" w:hAnsi="Arial" w:cs="Arial"/>
          <w:color w:val="000000"/>
          <w:sz w:val="20"/>
          <w:szCs w:val="20"/>
        </w:rPr>
        <w:t>and other costs. If actual costs exceed the rates specified in the contracts, our profitability may be negatively impacted. There is no assurance that in the future we will be able to attract or retain qualified employees or effectively manage labor and be</w:t>
      </w:r>
      <w:r>
        <w:rPr>
          <w:rFonts w:ascii="Arial" w:eastAsia="Times New Roman" w:hAnsi="Arial" w:cs="Arial"/>
          <w:color w:val="000000"/>
          <w:sz w:val="20"/>
          <w:szCs w:val="20"/>
        </w:rPr>
        <w:t>nefit costs, which could have a material adverse effect on our business, financial condition, and results of operations.</w:t>
      </w:r>
    </w:p>
    <w:p w14:paraId="4C0B058D" w14:textId="77777777" w:rsidR="00000000" w:rsidRDefault="001D0688">
      <w:pPr>
        <w:jc w:val="both"/>
        <w:divId w:val="141585667"/>
        <w:rPr>
          <w:rFonts w:eastAsia="Times New Roman"/>
        </w:rPr>
      </w:pPr>
      <w:r>
        <w:rPr>
          <w:rFonts w:ascii="Arial" w:eastAsia="Times New Roman" w:hAnsi="Arial" w:cs="Arial"/>
          <w:b/>
          <w:bCs/>
          <w:i/>
          <w:iCs/>
          <w:color w:val="0046AD"/>
          <w:sz w:val="20"/>
          <w:szCs w:val="20"/>
        </w:rPr>
        <w:t>Our ability to preserve long-term client relationships is essential to our continued success.</w:t>
      </w:r>
    </w:p>
    <w:p w14:paraId="5DE0C757" w14:textId="77777777" w:rsidR="00000000" w:rsidRDefault="001D0688">
      <w:pPr>
        <w:ind w:firstLine="720"/>
        <w:jc w:val="both"/>
        <w:divId w:val="972170934"/>
        <w:rPr>
          <w:rFonts w:eastAsia="Times New Roman"/>
        </w:rPr>
      </w:pPr>
      <w:r>
        <w:rPr>
          <w:rFonts w:ascii="Arial" w:eastAsia="Times New Roman" w:hAnsi="Arial" w:cs="Arial"/>
          <w:color w:val="000000"/>
          <w:sz w:val="20"/>
          <w:szCs w:val="20"/>
        </w:rPr>
        <w:t>We primarily provide services pursuant to</w:t>
      </w:r>
      <w:r>
        <w:rPr>
          <w:rFonts w:ascii="Arial" w:eastAsia="Times New Roman" w:hAnsi="Arial" w:cs="Arial"/>
          <w:color w:val="000000"/>
          <w:sz w:val="20"/>
          <w:szCs w:val="20"/>
        </w:rPr>
        <w:t xml:space="preserve"> agreements that are cancelable by either party upon 30 to 90 days’ notice. As we generally incur higher initial costs on new contracts until the labor management and facilities operations normalize, our business associated with long-term client relationsh</w:t>
      </w:r>
      <w:r>
        <w:rPr>
          <w:rFonts w:ascii="Arial" w:eastAsia="Times New Roman" w:hAnsi="Arial" w:cs="Arial"/>
          <w:color w:val="000000"/>
          <w:sz w:val="20"/>
          <w:szCs w:val="20"/>
        </w:rPr>
        <w:t>ips is generally more profitable than short-term client relationships. If we lose a significant number of long-term clients, our profitability could be negatively impacted, even if we gain equivalent revenues from new clients.</w:t>
      </w:r>
    </w:p>
    <w:p w14:paraId="134C3BA3" w14:textId="77777777" w:rsidR="00000000" w:rsidRDefault="001D0688">
      <w:pPr>
        <w:ind w:firstLine="720"/>
        <w:jc w:val="both"/>
        <w:divId w:val="921986295"/>
        <w:rPr>
          <w:rFonts w:eastAsia="Times New Roman"/>
        </w:rPr>
      </w:pPr>
      <w:r>
        <w:rPr>
          <w:rFonts w:ascii="Arial" w:eastAsia="Times New Roman" w:hAnsi="Arial" w:cs="Arial"/>
          <w:color w:val="000000"/>
          <w:sz w:val="20"/>
          <w:szCs w:val="20"/>
        </w:rPr>
        <w:t>We depend to a large extent on our relationships with clients and our reputation for quality integrated facility solutions. Maintaining our existing client relationships is an important factor contributing to our business success. Among other things, adver</w:t>
      </w:r>
      <w:r>
        <w:rPr>
          <w:rFonts w:ascii="Arial" w:eastAsia="Times New Roman" w:hAnsi="Arial" w:cs="Arial"/>
          <w:color w:val="000000"/>
          <w:sz w:val="20"/>
          <w:szCs w:val="20"/>
        </w:rPr>
        <w:t>se publicity stemming from an accident or other incident involving our facility operations or employees related to injury, illness, death, or alleged criminal activity could harm our reputation, result in the cancellation of contracts or inability to retai</w:t>
      </w:r>
      <w:r>
        <w:rPr>
          <w:rFonts w:ascii="Arial" w:eastAsia="Times New Roman" w:hAnsi="Arial" w:cs="Arial"/>
          <w:color w:val="000000"/>
          <w:sz w:val="20"/>
          <w:szCs w:val="20"/>
        </w:rPr>
        <w:t>n clients, and expose us to significant liability.</w:t>
      </w:r>
    </w:p>
    <w:p w14:paraId="6E988652" w14:textId="77777777" w:rsidR="00000000" w:rsidRDefault="001D0688">
      <w:pPr>
        <w:jc w:val="both"/>
        <w:divId w:val="165680356"/>
        <w:rPr>
          <w:rFonts w:eastAsia="Times New Roman"/>
        </w:rPr>
      </w:pPr>
      <w:r>
        <w:rPr>
          <w:rFonts w:ascii="Arial" w:eastAsia="Times New Roman" w:hAnsi="Arial" w:cs="Arial"/>
          <w:b/>
          <w:bCs/>
          <w:i/>
          <w:iCs/>
          <w:color w:val="0046AD"/>
          <w:sz w:val="20"/>
          <w:szCs w:val="20"/>
        </w:rPr>
        <w:t>Changes to our businesses, operating structure, financial reporting structure, or personnel relating to the implementation of strategic transformations, enhanced business processes, and technology initiati</w:t>
      </w:r>
      <w:r>
        <w:rPr>
          <w:rFonts w:ascii="Arial" w:eastAsia="Times New Roman" w:hAnsi="Arial" w:cs="Arial"/>
          <w:b/>
          <w:bCs/>
          <w:i/>
          <w:iCs/>
          <w:color w:val="0046AD"/>
          <w:sz w:val="20"/>
          <w:szCs w:val="20"/>
        </w:rPr>
        <w:t>ves may not have the desired effects on our financial condition and results of operations.</w:t>
      </w:r>
    </w:p>
    <w:p w14:paraId="6C65FB23" w14:textId="77777777" w:rsidR="00000000" w:rsidRDefault="001D0688">
      <w:pPr>
        <w:ind w:firstLine="720"/>
        <w:jc w:val="both"/>
        <w:divId w:val="42143467"/>
        <w:rPr>
          <w:rFonts w:eastAsia="Times New Roman"/>
        </w:rPr>
      </w:pPr>
      <w:r>
        <w:rPr>
          <w:rFonts w:ascii="Arial" w:eastAsia="Times New Roman" w:hAnsi="Arial" w:cs="Arial"/>
          <w:color w:val="000000"/>
          <w:sz w:val="20"/>
          <w:szCs w:val="20"/>
        </w:rPr>
        <w:t xml:space="preserve">We may periodically engage in various initiatives intended to drive long-term profitable growth and increase operational efficiency. Planned changes to our business </w:t>
      </w:r>
      <w:r>
        <w:rPr>
          <w:rFonts w:ascii="Arial" w:eastAsia="Times New Roman" w:hAnsi="Arial" w:cs="Arial"/>
          <w:color w:val="000000"/>
          <w:sz w:val="20"/>
          <w:szCs w:val="20"/>
        </w:rPr>
        <w:t xml:space="preserve">systems and processes may not create the growth, operational efficiencies or cost benefits that we expect and could result in unanticipated consequences, including substantial disruption to our back-office operations and service delivery. </w:t>
      </w:r>
    </w:p>
    <w:p w14:paraId="1F605797" w14:textId="77777777" w:rsidR="00000000" w:rsidRDefault="001D0688">
      <w:pPr>
        <w:ind w:firstLine="720"/>
        <w:jc w:val="both"/>
        <w:divId w:val="1348217237"/>
        <w:rPr>
          <w:rFonts w:eastAsia="Times New Roman"/>
        </w:rPr>
      </w:pPr>
      <w:r>
        <w:rPr>
          <w:rFonts w:ascii="Arial" w:eastAsia="Times New Roman" w:hAnsi="Arial" w:cs="Arial"/>
          <w:color w:val="000000"/>
          <w:sz w:val="20"/>
          <w:szCs w:val="20"/>
        </w:rPr>
        <w:t>We may not be ab</w:t>
      </w:r>
      <w:r>
        <w:rPr>
          <w:rFonts w:ascii="Arial" w:eastAsia="Times New Roman" w:hAnsi="Arial" w:cs="Arial"/>
          <w:color w:val="000000"/>
          <w:sz w:val="20"/>
          <w:szCs w:val="20"/>
        </w:rPr>
        <w:t>le to fully execute on such initiatives to the extent expected within the anticipated timeframe as a result of numerous factors, such as client resistance, inability to deliver requested end-to-end services, and difficulty penetrating certain markets. More</w:t>
      </w:r>
      <w:r>
        <w:rPr>
          <w:rFonts w:ascii="Arial" w:eastAsia="Times New Roman" w:hAnsi="Arial" w:cs="Arial"/>
          <w:color w:val="000000"/>
          <w:sz w:val="20"/>
          <w:szCs w:val="20"/>
        </w:rPr>
        <w:t>over, these initiatives may not provide us with anticipated competitive advantage or revenue growth.</w:t>
      </w:r>
    </w:p>
    <w:p w14:paraId="4E0D08A8" w14:textId="77777777" w:rsidR="00000000" w:rsidRDefault="001D0688">
      <w:pPr>
        <w:jc w:val="both"/>
        <w:divId w:val="1296064938"/>
        <w:rPr>
          <w:rFonts w:eastAsia="Times New Roman"/>
        </w:rPr>
      </w:pPr>
      <w:r>
        <w:rPr>
          <w:rFonts w:ascii="Arial" w:eastAsia="Times New Roman" w:hAnsi="Arial" w:cs="Arial"/>
          <w:b/>
          <w:bCs/>
          <w:i/>
          <w:iCs/>
          <w:color w:val="0046AD"/>
          <w:sz w:val="20"/>
          <w:szCs w:val="20"/>
        </w:rPr>
        <w:t>Acquisitions, divestitures, and other strategic transactions could fail to achieve financial or strategic objectives, disrupt our ongoing business, and adv</w:t>
      </w:r>
      <w:r>
        <w:rPr>
          <w:rFonts w:ascii="Arial" w:eastAsia="Times New Roman" w:hAnsi="Arial" w:cs="Arial"/>
          <w:b/>
          <w:bCs/>
          <w:i/>
          <w:iCs/>
          <w:color w:val="0046AD"/>
          <w:sz w:val="20"/>
          <w:szCs w:val="20"/>
        </w:rPr>
        <w:t>ersely impact our results of operations.</w:t>
      </w:r>
    </w:p>
    <w:p w14:paraId="6511F5D6" w14:textId="77777777" w:rsidR="00000000" w:rsidRDefault="001D0688">
      <w:pPr>
        <w:ind w:firstLine="720"/>
        <w:jc w:val="both"/>
        <w:divId w:val="1586572078"/>
        <w:rPr>
          <w:rFonts w:eastAsia="Times New Roman"/>
        </w:rPr>
      </w:pPr>
      <w:r>
        <w:rPr>
          <w:rFonts w:ascii="Arial" w:eastAsia="Times New Roman" w:hAnsi="Arial" w:cs="Arial"/>
          <w:color w:val="000000"/>
          <w:sz w:val="20"/>
          <w:szCs w:val="20"/>
        </w:rPr>
        <w:t>In furtherance of our business strategy, we routinely evaluate opportunities and may enter into agreements for possible acquisitions, divestitures, or other strategic transactions. In the past, a significant portion</w:t>
      </w:r>
      <w:r>
        <w:rPr>
          <w:rFonts w:ascii="Arial" w:eastAsia="Times New Roman" w:hAnsi="Arial" w:cs="Arial"/>
          <w:color w:val="000000"/>
          <w:sz w:val="20"/>
          <w:szCs w:val="20"/>
        </w:rPr>
        <w:t xml:space="preserve"> of our growth has been generated by acquisitions, and we may continue to acquire businesses in the future as part of our growth strategy. However, we may encounter challenges identifying opportunities in a timely manner or on terms acceptable to us. Furth</w:t>
      </w:r>
      <w:r>
        <w:rPr>
          <w:rFonts w:ascii="Arial" w:eastAsia="Times New Roman" w:hAnsi="Arial" w:cs="Arial"/>
          <w:color w:val="000000"/>
          <w:sz w:val="20"/>
          <w:szCs w:val="20"/>
        </w:rPr>
        <w:t>ermore, there is no assurance that any such transaction will result in synergistic benefits. A potential acquisition, divestiture, or other strategic transaction may involve a number of risks including, but not limited to:</w:t>
      </w:r>
    </w:p>
    <w:p w14:paraId="7D1106A7" w14:textId="77777777" w:rsidR="00000000" w:rsidRDefault="001D0688">
      <w:pPr>
        <w:jc w:val="center"/>
        <w:divId w:val="115300202"/>
        <w:rPr>
          <w:rFonts w:eastAsia="Times New Roman"/>
        </w:rPr>
      </w:pPr>
      <w:r>
        <w:rPr>
          <w:rFonts w:ascii="Arial" w:eastAsia="Times New Roman" w:hAnsi="Arial" w:cs="Arial"/>
          <w:color w:val="000000"/>
          <w:sz w:val="20"/>
          <w:szCs w:val="20"/>
        </w:rPr>
        <w:t>9</w:t>
      </w:r>
    </w:p>
    <w:p w14:paraId="113934CC" w14:textId="77777777" w:rsidR="00000000" w:rsidRDefault="001D0688">
      <w:pPr>
        <w:rPr>
          <w:rFonts w:eastAsia="Times New Roman"/>
        </w:rPr>
      </w:pPr>
      <w:r>
        <w:rPr>
          <w:rFonts w:eastAsia="Times New Roman"/>
        </w:rPr>
        <w:pict w14:anchorId="541E66E1">
          <v:rect id="_x0000_i1044" style="width:0;height:1.5pt" o:hralign="center" o:hrstd="t" o:hr="t" fillcolor="#a0a0a0" stroked="f"/>
        </w:pict>
      </w:r>
    </w:p>
    <w:p w14:paraId="5AAB40F6" w14:textId="77777777" w:rsidR="00000000" w:rsidRDefault="001D0688">
      <w:pPr>
        <w:divId w:val="182742762"/>
        <w:rPr>
          <w:rFonts w:eastAsia="Times New Roman"/>
        </w:rPr>
      </w:pPr>
    </w:p>
    <w:p w14:paraId="76E808D0" w14:textId="77777777" w:rsidR="00000000" w:rsidRDefault="001D0688">
      <w:pPr>
        <w:ind w:hanging="360"/>
        <w:jc w:val="both"/>
        <w:divId w:val="197200692"/>
        <w:rPr>
          <w:rFonts w:eastAsia="Times New Roman"/>
        </w:rPr>
      </w:pPr>
      <w:r>
        <w:rPr>
          <w:rFonts w:ascii="Arial" w:eastAsia="Times New Roman" w:hAnsi="Arial" w:cs="Arial"/>
          <w:color w:val="000000"/>
          <w:sz w:val="20"/>
          <w:szCs w:val="20"/>
        </w:rPr>
        <w:t xml:space="preserve">•the transaction may not effectively advance our business strategy, and its anticipated benefits may never materialize; </w:t>
      </w:r>
    </w:p>
    <w:p w14:paraId="3EA6FF89" w14:textId="77777777" w:rsidR="00000000" w:rsidRDefault="001D0688">
      <w:pPr>
        <w:ind w:hanging="360"/>
        <w:jc w:val="both"/>
        <w:divId w:val="1391341983"/>
        <w:rPr>
          <w:rFonts w:eastAsia="Times New Roman"/>
        </w:rPr>
      </w:pPr>
      <w:r>
        <w:rPr>
          <w:rFonts w:ascii="Arial" w:eastAsia="Times New Roman" w:hAnsi="Arial" w:cs="Arial"/>
          <w:color w:val="000000"/>
          <w:sz w:val="20"/>
          <w:szCs w:val="20"/>
        </w:rPr>
        <w:t>•our ongoing operations may be disrupted, and management time and focus may be diverted;</w:t>
      </w:r>
    </w:p>
    <w:p w14:paraId="27A5FADF" w14:textId="77777777" w:rsidR="00000000" w:rsidRDefault="001D0688">
      <w:pPr>
        <w:ind w:hanging="360"/>
        <w:jc w:val="both"/>
        <w:divId w:val="1175657440"/>
        <w:rPr>
          <w:rFonts w:eastAsia="Times New Roman"/>
        </w:rPr>
      </w:pPr>
      <w:r>
        <w:rPr>
          <w:rFonts w:ascii="Arial" w:eastAsia="Times New Roman" w:hAnsi="Arial" w:cs="Arial"/>
          <w:color w:val="000000"/>
          <w:sz w:val="20"/>
          <w:szCs w:val="20"/>
        </w:rPr>
        <w:t>•clients</w:t>
      </w:r>
      <w:r>
        <w:rPr>
          <w:rFonts w:ascii="Arial" w:eastAsia="Times New Roman" w:hAnsi="Arial" w:cs="Arial"/>
          <w:color w:val="000000"/>
          <w:sz w:val="20"/>
          <w:szCs w:val="20"/>
        </w:rPr>
        <w:t xml:space="preserve"> or key employees of an acquired business may not remain, which could negatively impact our ability to grow that acquired business;</w:t>
      </w:r>
    </w:p>
    <w:p w14:paraId="2595F728" w14:textId="77777777" w:rsidR="00000000" w:rsidRDefault="001D0688">
      <w:pPr>
        <w:ind w:hanging="360"/>
        <w:jc w:val="both"/>
        <w:divId w:val="46924514"/>
        <w:rPr>
          <w:rFonts w:eastAsia="Times New Roman"/>
        </w:rPr>
      </w:pPr>
      <w:r>
        <w:rPr>
          <w:rFonts w:ascii="Arial" w:eastAsia="Times New Roman" w:hAnsi="Arial" w:cs="Arial"/>
          <w:color w:val="000000"/>
          <w:sz w:val="20"/>
          <w:szCs w:val="20"/>
        </w:rPr>
        <w:t xml:space="preserve">•integration of an acquired business’s accounting, information technology, HR, and other administrative systems may fail to </w:t>
      </w:r>
      <w:r>
        <w:rPr>
          <w:rFonts w:ascii="Arial" w:eastAsia="Times New Roman" w:hAnsi="Arial" w:cs="Arial"/>
          <w:color w:val="000000"/>
          <w:sz w:val="20"/>
          <w:szCs w:val="20"/>
        </w:rPr>
        <w:t>permit effective management and expense reduction;</w:t>
      </w:r>
    </w:p>
    <w:p w14:paraId="05379193" w14:textId="77777777" w:rsidR="00000000" w:rsidRDefault="001D0688">
      <w:pPr>
        <w:ind w:hanging="360"/>
        <w:jc w:val="both"/>
        <w:divId w:val="560553636"/>
        <w:rPr>
          <w:rFonts w:eastAsia="Times New Roman"/>
        </w:rPr>
      </w:pPr>
      <w:r>
        <w:rPr>
          <w:rFonts w:ascii="Arial" w:eastAsia="Times New Roman" w:hAnsi="Arial" w:cs="Arial"/>
          <w:color w:val="000000"/>
          <w:sz w:val="20"/>
          <w:szCs w:val="20"/>
        </w:rPr>
        <w:t>•unforeseen challenges may arise in implementing internal controls, procedures, and policies;</w:t>
      </w:r>
    </w:p>
    <w:p w14:paraId="3FD8784A" w14:textId="77777777" w:rsidR="00000000" w:rsidRDefault="001D0688">
      <w:pPr>
        <w:ind w:hanging="360"/>
        <w:jc w:val="both"/>
        <w:divId w:val="1792019376"/>
        <w:rPr>
          <w:rFonts w:eastAsia="Times New Roman"/>
        </w:rPr>
      </w:pPr>
      <w:r>
        <w:rPr>
          <w:rFonts w:ascii="Arial" w:eastAsia="Times New Roman" w:hAnsi="Arial" w:cs="Arial"/>
          <w:color w:val="000000"/>
          <w:sz w:val="20"/>
          <w:szCs w:val="20"/>
        </w:rPr>
        <w:t>•additional indebtedness incurred as a result of an acquisition may impact our financial position, results of o</w:t>
      </w:r>
      <w:r>
        <w:rPr>
          <w:rFonts w:ascii="Arial" w:eastAsia="Times New Roman" w:hAnsi="Arial" w:cs="Arial"/>
          <w:color w:val="000000"/>
          <w:sz w:val="20"/>
          <w:szCs w:val="20"/>
        </w:rPr>
        <w:t>perations, and cash flows; and</w:t>
      </w:r>
    </w:p>
    <w:p w14:paraId="6E8B7816" w14:textId="77777777" w:rsidR="00000000" w:rsidRDefault="001D0688">
      <w:pPr>
        <w:ind w:hanging="360"/>
        <w:jc w:val="both"/>
        <w:divId w:val="1511021929"/>
        <w:rPr>
          <w:rFonts w:eastAsia="Times New Roman"/>
        </w:rPr>
      </w:pPr>
      <w:r>
        <w:rPr>
          <w:rFonts w:ascii="Arial" w:eastAsia="Times New Roman" w:hAnsi="Arial" w:cs="Arial"/>
          <w:color w:val="000000"/>
          <w:sz w:val="20"/>
          <w:szCs w:val="20"/>
        </w:rPr>
        <w:t xml:space="preserve">•unanticipated or unknown liabilities may arise related to an acquired business. </w:t>
      </w:r>
    </w:p>
    <w:p w14:paraId="778ACF96" w14:textId="77777777" w:rsidR="00000000" w:rsidRDefault="001D0688">
      <w:pPr>
        <w:jc w:val="both"/>
        <w:divId w:val="706376317"/>
        <w:rPr>
          <w:rFonts w:eastAsia="Times New Roman"/>
        </w:rPr>
      </w:pPr>
      <w:r>
        <w:rPr>
          <w:rFonts w:ascii="Arial" w:eastAsia="Times New Roman" w:hAnsi="Arial" w:cs="Arial"/>
          <w:b/>
          <w:bCs/>
          <w:i/>
          <w:iCs/>
          <w:color w:val="0046AD"/>
          <w:sz w:val="20"/>
          <w:szCs w:val="20"/>
        </w:rPr>
        <w:t>Our international business involves risks different from those we face in the United States that could have an effect on our results of operati</w:t>
      </w:r>
      <w:r>
        <w:rPr>
          <w:rFonts w:ascii="Arial" w:eastAsia="Times New Roman" w:hAnsi="Arial" w:cs="Arial"/>
          <w:b/>
          <w:bCs/>
          <w:i/>
          <w:iCs/>
          <w:color w:val="0046AD"/>
          <w:sz w:val="20"/>
          <w:szCs w:val="20"/>
        </w:rPr>
        <w:t>ons and financial condition.</w:t>
      </w:r>
    </w:p>
    <w:p w14:paraId="234AA767" w14:textId="77777777" w:rsidR="00000000" w:rsidRDefault="001D0688">
      <w:pPr>
        <w:ind w:firstLine="720"/>
        <w:jc w:val="both"/>
        <w:divId w:val="1132600853"/>
        <w:rPr>
          <w:rFonts w:eastAsia="Times New Roman"/>
        </w:rPr>
      </w:pPr>
      <w:r>
        <w:rPr>
          <w:rFonts w:ascii="Arial" w:eastAsia="Times New Roman" w:hAnsi="Arial" w:cs="Arial"/>
          <w:color w:val="000000"/>
          <w:sz w:val="20"/>
          <w:szCs w:val="20"/>
        </w:rPr>
        <w:t>We have business operations in jurisdictions outside of the United States, most significantly in the United Kingdom (“U.K.”). Our international operations are subject to risks that are different from those we face in the United</w:t>
      </w:r>
      <w:r>
        <w:rPr>
          <w:rFonts w:ascii="Arial" w:eastAsia="Times New Roman" w:hAnsi="Arial" w:cs="Arial"/>
          <w:color w:val="000000"/>
          <w:sz w:val="20"/>
          <w:szCs w:val="20"/>
        </w:rPr>
        <w:t xml:space="preserve"> States and subject us to complex and frequently changing laws and regulations, including differing labor laws and regulations relating to the protection of certain information that we collect and maintain about our employees, clients, and other third part</w:t>
      </w:r>
      <w:r>
        <w:rPr>
          <w:rFonts w:ascii="Arial" w:eastAsia="Times New Roman" w:hAnsi="Arial" w:cs="Arial"/>
          <w:color w:val="000000"/>
          <w:sz w:val="20"/>
          <w:szCs w:val="20"/>
        </w:rPr>
        <w:t>ies. Among these laws is the U.K. Modern Slavery Act, the U.K. Bribery Act, and the European Union General Data Protection Regulation (the “GDPR”), which took effect in May 2018. The failure to comply with these laws or regulations could subject us to sign</w:t>
      </w:r>
      <w:r>
        <w:rPr>
          <w:rFonts w:ascii="Arial" w:eastAsia="Times New Roman" w:hAnsi="Arial" w:cs="Arial"/>
          <w:color w:val="000000"/>
          <w:sz w:val="20"/>
          <w:szCs w:val="20"/>
        </w:rPr>
        <w:t>ificant litigation, monetary damages, regulatory enforcement actions, or fines in one or more jurisdictions. More generally, the economic, political, monetary, and operational impacts of Brexit, including unanticipated impacts to the U.K. real estate marke</w:t>
      </w:r>
      <w:r>
        <w:rPr>
          <w:rFonts w:ascii="Arial" w:eastAsia="Times New Roman" w:hAnsi="Arial" w:cs="Arial"/>
          <w:color w:val="000000"/>
          <w:sz w:val="20"/>
          <w:szCs w:val="20"/>
        </w:rPr>
        <w:t>t and general economic conditions in the United Kingdom, could negatively impact our U.K. business, including reducing our margins.</w:t>
      </w:r>
    </w:p>
    <w:p w14:paraId="0204E247" w14:textId="77777777" w:rsidR="00000000" w:rsidRDefault="001D0688">
      <w:pPr>
        <w:ind w:firstLine="720"/>
        <w:jc w:val="both"/>
        <w:divId w:val="417945218"/>
        <w:rPr>
          <w:rFonts w:eastAsia="Times New Roman"/>
        </w:rPr>
      </w:pPr>
      <w:r>
        <w:rPr>
          <w:rFonts w:ascii="Arial" w:eastAsia="Times New Roman" w:hAnsi="Arial" w:cs="Arial"/>
          <w:color w:val="000000"/>
          <w:sz w:val="20"/>
          <w:szCs w:val="20"/>
        </w:rPr>
        <w:t xml:space="preserve">In addition, when we participate in joint ventures that operate outside of the United States where we are not a controlling </w:t>
      </w:r>
      <w:r>
        <w:rPr>
          <w:rFonts w:ascii="Arial" w:eastAsia="Times New Roman" w:hAnsi="Arial" w:cs="Arial"/>
          <w:color w:val="000000"/>
          <w:sz w:val="20"/>
          <w:szCs w:val="20"/>
        </w:rPr>
        <w:t>party, we may have limited control over the joint venture. Any improper actions by our joint venture employees, partners, or agents, including but not limited to failure to comply with the U.S. Foreign Corrupt Practices Act, the U.K. Bribery Act, and/or la</w:t>
      </w:r>
      <w:r>
        <w:rPr>
          <w:rFonts w:ascii="Arial" w:eastAsia="Times New Roman" w:hAnsi="Arial" w:cs="Arial"/>
          <w:color w:val="000000"/>
          <w:sz w:val="20"/>
          <w:szCs w:val="20"/>
        </w:rPr>
        <w:t xml:space="preserve">ws relating to human trafficking, could result in civil or criminal investigations, monetary and non-monetary penalties, or other consequences, any of which could have an adverse effect on our financial position as well as on our reputation and ability to </w:t>
      </w:r>
      <w:r>
        <w:rPr>
          <w:rFonts w:ascii="Arial" w:eastAsia="Times New Roman" w:hAnsi="Arial" w:cs="Arial"/>
          <w:color w:val="000000"/>
          <w:sz w:val="20"/>
          <w:szCs w:val="20"/>
        </w:rPr>
        <w:t>conduct business.</w:t>
      </w:r>
    </w:p>
    <w:p w14:paraId="106978B1" w14:textId="77777777" w:rsidR="00000000" w:rsidRDefault="001D0688">
      <w:pPr>
        <w:ind w:firstLine="720"/>
        <w:jc w:val="both"/>
        <w:divId w:val="1577979870"/>
        <w:rPr>
          <w:rFonts w:eastAsia="Times New Roman"/>
        </w:rPr>
      </w:pPr>
      <w:r>
        <w:rPr>
          <w:rFonts w:ascii="Arial" w:eastAsia="Times New Roman" w:hAnsi="Arial" w:cs="Arial"/>
          <w:color w:val="000000"/>
          <w:sz w:val="20"/>
          <w:szCs w:val="20"/>
        </w:rPr>
        <w:t>Additionally, the operating results of our non-U.S. subsidiaries are translated into U.S. dollars, and those translations are affected by movements in foreign currencies relative to the U.S. dollar. There can be no assurance that the fore</w:t>
      </w:r>
      <w:r>
        <w:rPr>
          <w:rFonts w:ascii="Arial" w:eastAsia="Times New Roman" w:hAnsi="Arial" w:cs="Arial"/>
          <w:color w:val="000000"/>
          <w:sz w:val="20"/>
          <w:szCs w:val="20"/>
        </w:rPr>
        <w:t xml:space="preserve">going factors will not have a material adverse effect on our international operations or on our consolidated financial condition and results of operations. </w:t>
      </w:r>
    </w:p>
    <w:p w14:paraId="3947C8F0" w14:textId="77777777" w:rsidR="00000000" w:rsidRDefault="001D0688">
      <w:pPr>
        <w:jc w:val="both"/>
        <w:divId w:val="1004016071"/>
        <w:rPr>
          <w:rFonts w:eastAsia="Times New Roman"/>
        </w:rPr>
      </w:pPr>
      <w:r>
        <w:rPr>
          <w:rFonts w:ascii="Arial" w:eastAsia="Times New Roman" w:hAnsi="Arial" w:cs="Arial"/>
          <w:b/>
          <w:bCs/>
          <w:i/>
          <w:iCs/>
          <w:color w:val="0046AD"/>
          <w:sz w:val="20"/>
          <w:szCs w:val="20"/>
        </w:rPr>
        <w:t>Our use of subcontractors or joint venture partners to perform work under customer contracts expose</w:t>
      </w:r>
      <w:r>
        <w:rPr>
          <w:rFonts w:ascii="Arial" w:eastAsia="Times New Roman" w:hAnsi="Arial" w:cs="Arial"/>
          <w:b/>
          <w:bCs/>
          <w:i/>
          <w:iCs/>
          <w:color w:val="0046AD"/>
          <w:sz w:val="20"/>
          <w:szCs w:val="20"/>
        </w:rPr>
        <w:t>s us to liability and financial risk.</w:t>
      </w:r>
    </w:p>
    <w:p w14:paraId="11F4773B" w14:textId="77777777" w:rsidR="00000000" w:rsidRDefault="001D0688">
      <w:pPr>
        <w:ind w:firstLine="720"/>
        <w:jc w:val="both"/>
        <w:divId w:val="236208553"/>
        <w:rPr>
          <w:rFonts w:eastAsia="Times New Roman"/>
        </w:rPr>
      </w:pPr>
      <w:r>
        <w:rPr>
          <w:rFonts w:ascii="Arial" w:eastAsia="Times New Roman" w:hAnsi="Arial" w:cs="Arial"/>
          <w:color w:val="000000"/>
          <w:sz w:val="20"/>
          <w:szCs w:val="20"/>
        </w:rPr>
        <w:t>We depend on subcontractors or other parties, such as joint venture partners, to perform work in situations in which we are not able to self-perform the work involved. Such arrangements may involve subcontracts or join</w:t>
      </w:r>
      <w:r>
        <w:rPr>
          <w:rFonts w:ascii="Arial" w:eastAsia="Times New Roman" w:hAnsi="Arial" w:cs="Arial"/>
          <w:color w:val="000000"/>
          <w:sz w:val="20"/>
          <w:szCs w:val="20"/>
        </w:rPr>
        <w:t>t venture relationships where we do not have direct control over the performing party. We may be exposed to liability whenever one or more of our subcontractors or joint venture partners, for whatever reason, fails to perform or allegedly negligently perfo</w:t>
      </w:r>
      <w:r>
        <w:rPr>
          <w:rFonts w:ascii="Arial" w:eastAsia="Times New Roman" w:hAnsi="Arial" w:cs="Arial"/>
          <w:color w:val="000000"/>
          <w:sz w:val="20"/>
          <w:szCs w:val="20"/>
        </w:rPr>
        <w:t>rms the agreed-upon services. Although we have in place controls and programs to monitor the work of our subcontractors and our joint venture partners, there can be no assurance that these controls or programs will have the desired effect, and we may incur</w:t>
      </w:r>
      <w:r>
        <w:rPr>
          <w:rFonts w:ascii="Arial" w:eastAsia="Times New Roman" w:hAnsi="Arial" w:cs="Arial"/>
          <w:color w:val="000000"/>
          <w:sz w:val="20"/>
          <w:szCs w:val="20"/>
        </w:rPr>
        <w:t xml:space="preserve"> significant liability as a result of the actions or inactions of one or more of our subcontractors or joint venture partners. </w:t>
      </w:r>
    </w:p>
    <w:p w14:paraId="6A8ED651" w14:textId="77777777" w:rsidR="00000000" w:rsidRDefault="001D0688">
      <w:pPr>
        <w:divId w:val="406192749"/>
        <w:rPr>
          <w:rFonts w:eastAsia="Times New Roman"/>
        </w:rPr>
      </w:pPr>
    </w:p>
    <w:p w14:paraId="04C0D0FF" w14:textId="77777777" w:rsidR="00000000" w:rsidRDefault="001D0688">
      <w:pPr>
        <w:jc w:val="center"/>
        <w:divId w:val="468592773"/>
        <w:rPr>
          <w:rFonts w:eastAsia="Times New Roman"/>
        </w:rPr>
      </w:pPr>
      <w:r>
        <w:rPr>
          <w:rFonts w:ascii="Arial" w:eastAsia="Times New Roman" w:hAnsi="Arial" w:cs="Arial"/>
          <w:color w:val="000000"/>
          <w:sz w:val="20"/>
          <w:szCs w:val="20"/>
        </w:rPr>
        <w:t>10</w:t>
      </w:r>
    </w:p>
    <w:p w14:paraId="741E8BDE" w14:textId="77777777" w:rsidR="00000000" w:rsidRDefault="001D0688">
      <w:pPr>
        <w:rPr>
          <w:rFonts w:eastAsia="Times New Roman"/>
        </w:rPr>
      </w:pPr>
      <w:r>
        <w:rPr>
          <w:rFonts w:eastAsia="Times New Roman"/>
        </w:rPr>
        <w:pict w14:anchorId="2D5D99CF">
          <v:rect id="_x0000_i1045" style="width:0;height:1.5pt" o:hralign="center" o:hrstd="t" o:hr="t" fillcolor="#a0a0a0" stroked="f"/>
        </w:pict>
      </w:r>
    </w:p>
    <w:p w14:paraId="52E8BD8E" w14:textId="77777777" w:rsidR="00000000" w:rsidRDefault="001D0688">
      <w:pPr>
        <w:divId w:val="1059864129"/>
        <w:rPr>
          <w:rFonts w:eastAsia="Times New Roman"/>
        </w:rPr>
      </w:pPr>
    </w:p>
    <w:p w14:paraId="45BCDECE" w14:textId="77777777" w:rsidR="00000000" w:rsidRDefault="001D0688">
      <w:pPr>
        <w:divId w:val="1640114628"/>
        <w:rPr>
          <w:rFonts w:eastAsia="Times New Roman"/>
        </w:rPr>
      </w:pPr>
      <w:r>
        <w:rPr>
          <w:rFonts w:ascii="Arial" w:eastAsia="Times New Roman" w:hAnsi="Arial" w:cs="Arial"/>
          <w:b/>
          <w:bCs/>
          <w:color w:val="0046AD"/>
          <w:sz w:val="20"/>
          <w:szCs w:val="20"/>
        </w:rPr>
        <w:t>Risks Relating to Insurance and Safety Matters</w:t>
      </w:r>
    </w:p>
    <w:p w14:paraId="79BC6617" w14:textId="77777777" w:rsidR="00000000" w:rsidRDefault="001D0688">
      <w:pPr>
        <w:jc w:val="both"/>
        <w:divId w:val="1648052608"/>
        <w:rPr>
          <w:rFonts w:eastAsia="Times New Roman"/>
        </w:rPr>
      </w:pPr>
      <w:r>
        <w:rPr>
          <w:rFonts w:ascii="Arial" w:eastAsia="Times New Roman" w:hAnsi="Arial" w:cs="Arial"/>
          <w:b/>
          <w:bCs/>
          <w:i/>
          <w:iCs/>
          <w:color w:val="0046AD"/>
          <w:sz w:val="20"/>
          <w:szCs w:val="20"/>
        </w:rPr>
        <w:t>We manage our insurable risks through</w:t>
      </w:r>
      <w:r>
        <w:rPr>
          <w:rFonts w:ascii="Arial" w:eastAsia="Times New Roman" w:hAnsi="Arial" w:cs="Arial"/>
          <w:b/>
          <w:bCs/>
          <w:i/>
          <w:iCs/>
          <w:color w:val="0046AD"/>
          <w:sz w:val="20"/>
          <w:szCs w:val="20"/>
        </w:rPr>
        <w:t xml:space="preserve"> a combination of third-party purchased policies and self-insurance, and we retain a substantial portion of the risk associated with expected losses under these programs, which exposes us to volatility associated with those risks, including the possibility</w:t>
      </w:r>
      <w:r>
        <w:rPr>
          <w:rFonts w:ascii="Arial" w:eastAsia="Times New Roman" w:hAnsi="Arial" w:cs="Arial"/>
          <w:b/>
          <w:bCs/>
          <w:i/>
          <w:iCs/>
          <w:color w:val="0046AD"/>
          <w:sz w:val="20"/>
          <w:szCs w:val="20"/>
        </w:rPr>
        <w:t xml:space="preserve"> that changes in estimates to our ultimate insurance loss reserves could result in material charges against our earnings.</w:t>
      </w:r>
    </w:p>
    <w:p w14:paraId="4BA577B7" w14:textId="77777777" w:rsidR="00000000" w:rsidRDefault="001D0688">
      <w:pPr>
        <w:ind w:firstLine="720"/>
        <w:jc w:val="both"/>
        <w:divId w:val="1661620416"/>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w:t>
      </w:r>
      <w:r>
        <w:rPr>
          <w:rFonts w:ascii="Arial" w:eastAsia="Times New Roman" w:hAnsi="Arial" w:cs="Arial"/>
          <w:color w:val="000000"/>
          <w:sz w:val="20"/>
          <w:szCs w:val="20"/>
        </w:rPr>
        <w:t>roperty damage, and other insurable risks. We are responsible for claims both within and in excess of our retained limits under our insurance policies, and while we endeavor to purchase insurance coverage that is appropriate to our assessment of risk, we a</w:t>
      </w:r>
      <w:r>
        <w:rPr>
          <w:rFonts w:ascii="Arial" w:eastAsia="Times New Roman" w:hAnsi="Arial" w:cs="Arial"/>
          <w:color w:val="000000"/>
          <w:sz w:val="20"/>
          <w:szCs w:val="20"/>
        </w:rPr>
        <w:t>re unable to predict with certainty the frequency, nature, or magnitude of claims for direct or consequential damages. If our insurance coverage proves to be inadequate or unavailable, our business may be negatively impacted.</w:t>
      </w:r>
    </w:p>
    <w:p w14:paraId="25EE8EF5" w14:textId="77777777" w:rsidR="00000000" w:rsidRDefault="001D0688">
      <w:pPr>
        <w:ind w:firstLine="720"/>
        <w:jc w:val="both"/>
        <w:divId w:val="102187901"/>
        <w:rPr>
          <w:rFonts w:eastAsia="Times New Roman"/>
        </w:rPr>
      </w:pPr>
      <w:r>
        <w:rPr>
          <w:rFonts w:ascii="Arial" w:eastAsia="Times New Roman" w:hAnsi="Arial" w:cs="Arial"/>
          <w:color w:val="000000"/>
          <w:sz w:val="20"/>
          <w:szCs w:val="20"/>
        </w:rPr>
        <w:t xml:space="preserve">The determination of required </w:t>
      </w:r>
      <w:r>
        <w:rPr>
          <w:rFonts w:ascii="Arial" w:eastAsia="Times New Roman" w:hAnsi="Arial" w:cs="Arial"/>
          <w:color w:val="000000"/>
          <w:sz w:val="20"/>
          <w:szCs w:val="20"/>
        </w:rPr>
        <w:t>insurance reserves is dependent upon actuarial judgments. We use the results of actuarial studies to estimate insurance rates and insurance reserves for future periods and to adjust reserves, if appropriate, for prior years. Actual experience related to ou</w:t>
      </w:r>
      <w:r>
        <w:rPr>
          <w:rFonts w:ascii="Arial" w:eastAsia="Times New Roman" w:hAnsi="Arial" w:cs="Arial"/>
          <w:color w:val="000000"/>
          <w:sz w:val="20"/>
          <w:szCs w:val="20"/>
        </w:rPr>
        <w:t xml:space="preserve">r insurance reserves can cause us to change our estimates for reserves and any such changes may materially impact results, causing significant volatility in our operating results. </w:t>
      </w:r>
    </w:p>
    <w:p w14:paraId="4BEF20EC" w14:textId="77777777" w:rsidR="00000000" w:rsidRDefault="001D0688">
      <w:pPr>
        <w:ind w:firstLine="720"/>
        <w:jc w:val="both"/>
        <w:divId w:val="730351165"/>
        <w:rPr>
          <w:rFonts w:eastAsia="Times New Roman"/>
        </w:rPr>
      </w:pPr>
      <w:r>
        <w:rPr>
          <w:rFonts w:ascii="Arial" w:eastAsia="Times New Roman" w:hAnsi="Arial" w:cs="Arial"/>
          <w:color w:val="000000"/>
          <w:sz w:val="20"/>
          <w:szCs w:val="20"/>
        </w:rPr>
        <w:t>Should we be unable to renew our excess, umbrella, or other commercial insu</w:t>
      </w:r>
      <w:r>
        <w:rPr>
          <w:rFonts w:ascii="Arial" w:eastAsia="Times New Roman" w:hAnsi="Arial" w:cs="Arial"/>
          <w:color w:val="000000"/>
          <w:sz w:val="20"/>
          <w:szCs w:val="20"/>
        </w:rPr>
        <w:t>rance policies, it could have a material adverse impact on our business, as would the incurrence of catastrophic uninsured claims or the inability or refusal of our insurance carriers to pay otherwise insured claims. Further, to the extent that we self-ins</w:t>
      </w:r>
      <w:r>
        <w:rPr>
          <w:rFonts w:ascii="Arial" w:eastAsia="Times New Roman" w:hAnsi="Arial" w:cs="Arial"/>
          <w:color w:val="000000"/>
          <w:sz w:val="20"/>
          <w:szCs w:val="20"/>
        </w:rPr>
        <w:t>ure our losses, deterioration in our loss control and/or our continuing claim management efforts could increase the overall cost of claims within our retained limits. A material change in our insurance costs due to changes in the frequency of claims, the s</w:t>
      </w:r>
      <w:r>
        <w:rPr>
          <w:rFonts w:ascii="Arial" w:eastAsia="Times New Roman" w:hAnsi="Arial" w:cs="Arial"/>
          <w:color w:val="000000"/>
          <w:sz w:val="20"/>
          <w:szCs w:val="20"/>
        </w:rPr>
        <w:t>everity of the claims, the costs of excess/umbrella premiums, or regulatory changes could have a material adverse effect on our financial position, results of operations, or cash flows.</w:t>
      </w:r>
    </w:p>
    <w:p w14:paraId="2FCEE85C" w14:textId="77777777" w:rsidR="00000000" w:rsidRDefault="001D0688">
      <w:pPr>
        <w:ind w:firstLine="720"/>
        <w:jc w:val="both"/>
        <w:divId w:val="1051151670"/>
        <w:rPr>
          <w:rFonts w:eastAsia="Times New Roman"/>
        </w:rPr>
      </w:pPr>
      <w:r>
        <w:rPr>
          <w:rFonts w:ascii="Arial" w:eastAsia="Times New Roman" w:hAnsi="Arial" w:cs="Arial"/>
          <w:color w:val="000000"/>
          <w:sz w:val="20"/>
          <w:szCs w:val="20"/>
        </w:rPr>
        <w:t>In 2015, we formed a wholly-owned captive insurance company, IFM Assur</w:t>
      </w:r>
      <w:r>
        <w:rPr>
          <w:rFonts w:ascii="Arial" w:eastAsia="Times New Roman" w:hAnsi="Arial" w:cs="Arial"/>
          <w:color w:val="000000"/>
          <w:sz w:val="20"/>
          <w:szCs w:val="20"/>
        </w:rPr>
        <w:t>ance Company (“IFM”), which we believe has provided us with increased flexibility in the end-to-end management of our insurance program. There can be no assurance that IFM will continue to bring about the intended benefits or the desired flexibility in the</w:t>
      </w:r>
      <w:r>
        <w:rPr>
          <w:rFonts w:ascii="Arial" w:eastAsia="Times New Roman" w:hAnsi="Arial" w:cs="Arial"/>
          <w:color w:val="000000"/>
          <w:sz w:val="20"/>
          <w:szCs w:val="20"/>
        </w:rPr>
        <w:t xml:space="preserve"> management of our insurance programs, because we may experience unanticipated events that could reduce or eliminate expected benefits. </w:t>
      </w:r>
    </w:p>
    <w:p w14:paraId="2FB4D71B" w14:textId="77777777" w:rsidR="00000000" w:rsidRDefault="001D0688">
      <w:pPr>
        <w:jc w:val="both"/>
        <w:divId w:val="881868269"/>
        <w:rPr>
          <w:rFonts w:eastAsia="Times New Roman"/>
        </w:rPr>
      </w:pPr>
      <w:r>
        <w:rPr>
          <w:rFonts w:ascii="Arial" w:eastAsia="Times New Roman" w:hAnsi="Arial" w:cs="Arial"/>
          <w:b/>
          <w:bCs/>
          <w:i/>
          <w:iCs/>
          <w:color w:val="0046AD"/>
          <w:sz w:val="20"/>
          <w:szCs w:val="20"/>
        </w:rPr>
        <w:t>Our risk management and safety programs may not have the intended effect of reducing our liability for personal injury or property loss.</w:t>
      </w:r>
    </w:p>
    <w:p w14:paraId="47ACFDCD" w14:textId="77777777" w:rsidR="00000000" w:rsidRDefault="001D0688">
      <w:pPr>
        <w:ind w:firstLine="720"/>
        <w:jc w:val="both"/>
        <w:divId w:val="1359433430"/>
        <w:rPr>
          <w:rFonts w:eastAsia="Times New Roman"/>
        </w:rPr>
      </w:pPr>
      <w:r>
        <w:rPr>
          <w:rFonts w:ascii="Arial" w:eastAsia="Times New Roman" w:hAnsi="Arial" w:cs="Arial"/>
          <w:color w:val="000000"/>
          <w:sz w:val="20"/>
          <w:szCs w:val="20"/>
        </w:rPr>
        <w:t>We attempt to mitigate risks relating to personal injury or property loss through the implementation of company-wide sa</w:t>
      </w:r>
      <w:r>
        <w:rPr>
          <w:rFonts w:ascii="Arial" w:eastAsia="Times New Roman" w:hAnsi="Arial" w:cs="Arial"/>
          <w:color w:val="000000"/>
          <w:sz w:val="20"/>
          <w:szCs w:val="20"/>
        </w:rPr>
        <w:t xml:space="preserve">fety and loss control efforts designed to decrease the incidence of accidents or events that might increase our liability. It is expected that any such decrease could also have the effect of reducing our insurance costs for our casualty programs. However, </w:t>
      </w:r>
      <w:r>
        <w:rPr>
          <w:rFonts w:ascii="Arial" w:eastAsia="Times New Roman" w:hAnsi="Arial" w:cs="Arial"/>
          <w:color w:val="000000"/>
          <w:sz w:val="20"/>
          <w:szCs w:val="20"/>
        </w:rPr>
        <w:t xml:space="preserve">incidents involving personal injury or property loss may be caused by multiple potential factors, a significant number of which are beyond our control. Therefore, there can be no assurance that our risk management and safety programs will have the desired </w:t>
      </w:r>
      <w:r>
        <w:rPr>
          <w:rFonts w:ascii="Arial" w:eastAsia="Times New Roman" w:hAnsi="Arial" w:cs="Arial"/>
          <w:color w:val="000000"/>
          <w:sz w:val="20"/>
          <w:szCs w:val="20"/>
        </w:rPr>
        <w:t>effect of controlling costs and liability exposure.</w:t>
      </w:r>
    </w:p>
    <w:p w14:paraId="529176E4" w14:textId="77777777" w:rsidR="00000000" w:rsidRDefault="001D0688">
      <w:pPr>
        <w:divId w:val="162816401"/>
        <w:rPr>
          <w:rFonts w:eastAsia="Times New Roman"/>
        </w:rPr>
      </w:pPr>
      <w:r>
        <w:rPr>
          <w:rFonts w:ascii="Arial" w:eastAsia="Times New Roman" w:hAnsi="Arial" w:cs="Arial"/>
          <w:b/>
          <w:bCs/>
          <w:color w:val="0046AD"/>
          <w:sz w:val="20"/>
          <w:szCs w:val="20"/>
        </w:rPr>
        <w:t>Risks Relating to Information Technology and Cybersecurity</w:t>
      </w:r>
    </w:p>
    <w:p w14:paraId="318AE55E" w14:textId="77777777" w:rsidR="00000000" w:rsidRDefault="001D0688">
      <w:pPr>
        <w:jc w:val="both"/>
        <w:divId w:val="369917461"/>
        <w:rPr>
          <w:rFonts w:eastAsia="Times New Roman"/>
        </w:rPr>
      </w:pPr>
      <w:r>
        <w:rPr>
          <w:rFonts w:ascii="Arial" w:eastAsia="Times New Roman" w:hAnsi="Arial" w:cs="Arial"/>
          <w:b/>
          <w:bCs/>
          <w:i/>
          <w:iCs/>
          <w:color w:val="0046AD"/>
          <w:sz w:val="20"/>
          <w:szCs w:val="20"/>
        </w:rPr>
        <w:t>We may experience breaches of, or disruptions to, our information technology systems or those of our third-party providers or clients, or other c</w:t>
      </w:r>
      <w:r>
        <w:rPr>
          <w:rFonts w:ascii="Arial" w:eastAsia="Times New Roman" w:hAnsi="Arial" w:cs="Arial"/>
          <w:b/>
          <w:bCs/>
          <w:i/>
          <w:iCs/>
          <w:color w:val="0046AD"/>
          <w:sz w:val="20"/>
          <w:szCs w:val="20"/>
        </w:rPr>
        <w:t xml:space="preserve">ompromises of our data that could adversely affect our business. </w:t>
      </w:r>
    </w:p>
    <w:p w14:paraId="388E0723" w14:textId="77777777" w:rsidR="00000000" w:rsidRDefault="001D0688">
      <w:pPr>
        <w:ind w:firstLine="720"/>
        <w:jc w:val="both"/>
        <w:divId w:val="293412826"/>
        <w:rPr>
          <w:rFonts w:eastAsia="Times New Roman"/>
        </w:rPr>
      </w:pPr>
      <w:r>
        <w:rPr>
          <w:rFonts w:ascii="Arial" w:eastAsia="Times New Roman" w:hAnsi="Arial" w:cs="Arial"/>
          <w:color w:val="000000"/>
          <w:sz w:val="20"/>
          <w:szCs w:val="20"/>
        </w:rPr>
        <w:t>Our information technology systems and those of our third-party providers or clients could be the target of cyber attacks, ransomware attacks, hacking, unauthorized access, phishing, compute</w:t>
      </w:r>
      <w:r>
        <w:rPr>
          <w:rFonts w:ascii="Arial" w:eastAsia="Times New Roman" w:hAnsi="Arial" w:cs="Arial"/>
          <w:color w:val="000000"/>
          <w:sz w:val="20"/>
          <w:szCs w:val="20"/>
        </w:rPr>
        <w:t>r viruses, malware, or other intrusions, which could result in operational disruptions or information misappropriation, such as theft of intellectual property or inappropriate disclosure of confidential, proprietary, or personal information. We maintain co</w:t>
      </w:r>
      <w:r>
        <w:rPr>
          <w:rFonts w:ascii="Arial" w:eastAsia="Times New Roman" w:hAnsi="Arial" w:cs="Arial"/>
          <w:color w:val="000000"/>
          <w:sz w:val="20"/>
          <w:szCs w:val="20"/>
        </w:rPr>
        <w:t>nfidential, proprietary, and personal information in our information technology systems and in systems of third-party providers relating to our current, former, and prospective employees, clients, and other third parties. We have experienced certain data a</w:t>
      </w:r>
      <w:r>
        <w:rPr>
          <w:rFonts w:ascii="Arial" w:eastAsia="Times New Roman" w:hAnsi="Arial" w:cs="Arial"/>
          <w:color w:val="000000"/>
          <w:sz w:val="20"/>
          <w:szCs w:val="20"/>
        </w:rPr>
        <w:t>nd security breaches in the past and could experience future data or security breaches stemming from the intentional or negligent acts of our employees or other third parties. Furthermore, while we continue to devote significant resources to monitoring and</w:t>
      </w:r>
      <w:r>
        <w:rPr>
          <w:rFonts w:ascii="Arial" w:eastAsia="Times New Roman" w:hAnsi="Arial" w:cs="Arial"/>
          <w:color w:val="000000"/>
          <w:sz w:val="20"/>
          <w:szCs w:val="20"/>
        </w:rPr>
        <w:t xml:space="preserve"> updating our systems and implementing information security measures to protect our systems, there can be no assurance that the controls and procedures we have in place will be sufficient to protect us from future security breaches. As cyber threats are co</w:t>
      </w:r>
      <w:r>
        <w:rPr>
          <w:rFonts w:ascii="Arial" w:eastAsia="Times New Roman" w:hAnsi="Arial" w:cs="Arial"/>
          <w:color w:val="000000"/>
          <w:sz w:val="20"/>
          <w:szCs w:val="20"/>
        </w:rPr>
        <w:t xml:space="preserve">ntinually evolving, our controls and procedures </w:t>
      </w:r>
    </w:p>
    <w:p w14:paraId="3BB4A833" w14:textId="77777777" w:rsidR="00000000" w:rsidRDefault="001D0688">
      <w:pPr>
        <w:jc w:val="center"/>
        <w:divId w:val="240139156"/>
        <w:rPr>
          <w:rFonts w:eastAsia="Times New Roman"/>
        </w:rPr>
      </w:pPr>
      <w:r>
        <w:rPr>
          <w:rFonts w:ascii="Arial" w:eastAsia="Times New Roman" w:hAnsi="Arial" w:cs="Arial"/>
          <w:color w:val="000000"/>
          <w:sz w:val="20"/>
          <w:szCs w:val="20"/>
        </w:rPr>
        <w:t>11</w:t>
      </w:r>
    </w:p>
    <w:p w14:paraId="1CA5883E" w14:textId="77777777" w:rsidR="00000000" w:rsidRDefault="001D0688">
      <w:pPr>
        <w:rPr>
          <w:rFonts w:eastAsia="Times New Roman"/>
        </w:rPr>
      </w:pPr>
      <w:r>
        <w:rPr>
          <w:rFonts w:eastAsia="Times New Roman"/>
        </w:rPr>
        <w:pict w14:anchorId="7AE26C64">
          <v:rect id="_x0000_i1046" style="width:0;height:1.5pt" o:hralign="center" o:hrstd="t" o:hr="t" fillcolor="#a0a0a0" stroked="f"/>
        </w:pict>
      </w:r>
    </w:p>
    <w:p w14:paraId="15687297" w14:textId="77777777" w:rsidR="00000000" w:rsidRDefault="001D0688">
      <w:pPr>
        <w:divId w:val="2058777280"/>
        <w:rPr>
          <w:rFonts w:eastAsia="Times New Roman"/>
        </w:rPr>
      </w:pPr>
    </w:p>
    <w:p w14:paraId="6300C9F1" w14:textId="77777777" w:rsidR="00000000" w:rsidRDefault="001D0688">
      <w:pPr>
        <w:jc w:val="both"/>
        <w:divId w:val="1846244470"/>
        <w:rPr>
          <w:rFonts w:eastAsia="Times New Roman"/>
        </w:rPr>
      </w:pPr>
      <w:r>
        <w:rPr>
          <w:rFonts w:ascii="Arial" w:eastAsia="Times New Roman" w:hAnsi="Arial" w:cs="Arial"/>
          <w:color w:val="000000"/>
          <w:sz w:val="20"/>
          <w:szCs w:val="20"/>
        </w:rPr>
        <w:t>may become inadequate and we may be required to devote additional resources to modifying or enhancing our systems in the future. We may also be required to expend resources to remediate cyber-related incidents or to enhance and strengthen our cyber securit</w:t>
      </w:r>
      <w:r>
        <w:rPr>
          <w:rFonts w:ascii="Arial" w:eastAsia="Times New Roman" w:hAnsi="Arial" w:cs="Arial"/>
          <w:color w:val="000000"/>
          <w:sz w:val="20"/>
          <w:szCs w:val="20"/>
        </w:rPr>
        <w:t xml:space="preserve">y. </w:t>
      </w:r>
    </w:p>
    <w:p w14:paraId="30502082" w14:textId="77777777" w:rsidR="00000000" w:rsidRDefault="001D0688">
      <w:pPr>
        <w:ind w:firstLine="720"/>
        <w:jc w:val="both"/>
        <w:divId w:val="1876427597"/>
        <w:rPr>
          <w:rFonts w:eastAsia="Times New Roman"/>
        </w:rPr>
      </w:pPr>
      <w:r>
        <w:rPr>
          <w:rFonts w:ascii="Arial" w:eastAsia="Times New Roman" w:hAnsi="Arial" w:cs="Arial"/>
          <w:color w:val="000000"/>
          <w:sz w:val="20"/>
          <w:szCs w:val="20"/>
        </w:rPr>
        <w:t>Any such disruptions to our information technology systems, breaches or compromises of data, and/or misappropriation of information could result in lost sales, negative publicity, litigation, violations of privacy and other laws, or business delays tha</w:t>
      </w:r>
      <w:r>
        <w:rPr>
          <w:rFonts w:ascii="Arial" w:eastAsia="Times New Roman" w:hAnsi="Arial" w:cs="Arial"/>
          <w:color w:val="000000"/>
          <w:sz w:val="20"/>
          <w:szCs w:val="20"/>
        </w:rPr>
        <w:t>t could have a material adverse effect on our business. Additionally, we believe that along with the GDPR and the California Consumer Privacy Act, which went into effect on January 1, 2020, further increased regulation is likely in the area of data privacy</w:t>
      </w:r>
      <w:r>
        <w:rPr>
          <w:rFonts w:ascii="Arial" w:eastAsia="Times New Roman" w:hAnsi="Arial" w:cs="Arial"/>
          <w:color w:val="000000"/>
          <w:sz w:val="20"/>
          <w:szCs w:val="20"/>
        </w:rPr>
        <w:t>. Compliance with this rapidly expanding area of law will require significant management and financial resources, and we could be subjected to additional legal risk or financial losses if we are not in compliance. This expanding area of law may also lead t</w:t>
      </w:r>
      <w:r>
        <w:rPr>
          <w:rFonts w:ascii="Arial" w:eastAsia="Times New Roman" w:hAnsi="Arial" w:cs="Arial"/>
          <w:color w:val="000000"/>
          <w:sz w:val="20"/>
          <w:szCs w:val="20"/>
        </w:rPr>
        <w:t>o potentially significant additional claims, including class action claims, being alleged against us.</w:t>
      </w:r>
    </w:p>
    <w:p w14:paraId="0CFBDBAB" w14:textId="77777777" w:rsidR="00000000" w:rsidRDefault="001D0688">
      <w:pPr>
        <w:jc w:val="both"/>
        <w:divId w:val="835071858"/>
        <w:rPr>
          <w:rFonts w:eastAsia="Times New Roman"/>
        </w:rPr>
      </w:pPr>
      <w:r>
        <w:rPr>
          <w:rFonts w:ascii="Arial" w:eastAsia="Times New Roman" w:hAnsi="Arial" w:cs="Arial"/>
          <w:b/>
          <w:bCs/>
          <w:color w:val="0046AD"/>
          <w:sz w:val="20"/>
          <w:szCs w:val="20"/>
        </w:rPr>
        <w:t>Risks Relating to Labor, Legal Proceedings, Tax, and Regulatory Matters</w:t>
      </w:r>
    </w:p>
    <w:p w14:paraId="3526EAB1" w14:textId="77777777" w:rsidR="00000000" w:rsidRDefault="001D0688">
      <w:pPr>
        <w:jc w:val="both"/>
        <w:divId w:val="1060396518"/>
        <w:rPr>
          <w:rFonts w:eastAsia="Times New Roman"/>
        </w:rPr>
      </w:pPr>
      <w:r>
        <w:rPr>
          <w:rFonts w:ascii="Arial" w:eastAsia="Times New Roman" w:hAnsi="Arial" w:cs="Arial"/>
          <w:b/>
          <w:bCs/>
          <w:i/>
          <w:iCs/>
          <w:color w:val="0046AD"/>
          <w:sz w:val="20"/>
          <w:szCs w:val="20"/>
        </w:rPr>
        <w:t>Unfavorable developments in our class and representative actions and other lawsuit</w:t>
      </w:r>
      <w:r>
        <w:rPr>
          <w:rFonts w:ascii="Arial" w:eastAsia="Times New Roman" w:hAnsi="Arial" w:cs="Arial"/>
          <w:b/>
          <w:bCs/>
          <w:i/>
          <w:iCs/>
          <w:color w:val="0046AD"/>
          <w:sz w:val="20"/>
          <w:szCs w:val="20"/>
        </w:rPr>
        <w:t xml:space="preserve">s alleging various claims could cause us to incur substantial liabilities. </w:t>
      </w:r>
    </w:p>
    <w:p w14:paraId="31064B4A" w14:textId="77777777" w:rsidR="00000000" w:rsidRDefault="001D0688">
      <w:pPr>
        <w:ind w:firstLine="720"/>
        <w:jc w:val="both"/>
        <w:divId w:val="1926724257"/>
        <w:rPr>
          <w:rFonts w:eastAsia="Times New Roman"/>
        </w:rPr>
      </w:pPr>
      <w:r>
        <w:rPr>
          <w:rFonts w:ascii="Arial" w:eastAsia="Times New Roman" w:hAnsi="Arial" w:cs="Arial"/>
          <w:color w:val="000000"/>
          <w:sz w:val="20"/>
          <w:szCs w:val="20"/>
        </w:rPr>
        <w:t xml:space="preserve">Our business involves employing tens of thousands of employees, many of whom work at our clients’ facilities. We incur risks relating to our employment of these workers, including </w:t>
      </w:r>
      <w:r>
        <w:rPr>
          <w:rFonts w:ascii="Arial" w:eastAsia="Times New Roman" w:hAnsi="Arial" w:cs="Arial"/>
          <w:color w:val="000000"/>
          <w:sz w:val="20"/>
          <w:szCs w:val="20"/>
        </w:rPr>
        <w:t>but not limited to: claims by our employees of discrimination, harassment, violations of wage and hour requirements, or violations of other federal, state, or local laws; claims of misconduct or negligence on the part of our employees; and claims related t</w:t>
      </w:r>
      <w:r>
        <w:rPr>
          <w:rFonts w:ascii="Arial" w:eastAsia="Times New Roman" w:hAnsi="Arial" w:cs="Arial"/>
          <w:color w:val="000000"/>
          <w:sz w:val="20"/>
          <w:szCs w:val="20"/>
        </w:rPr>
        <w:t>o the employment of unlicensed personnel. We also incur risks and claims related to the imposition on our employees of policies or practices of our clients that may be different from our own. Some or all of these claims may lead to litigation, including cl</w:t>
      </w:r>
      <w:r>
        <w:rPr>
          <w:rFonts w:ascii="Arial" w:eastAsia="Times New Roman" w:hAnsi="Arial" w:cs="Arial"/>
          <w:color w:val="000000"/>
          <w:sz w:val="20"/>
          <w:szCs w:val="20"/>
        </w:rPr>
        <w:t>ass action litigation, and these matters may cause us to incur negative publicity with respect to alleged claims. Additionally, there are risks to all employers in some states, such as California, resulting from new and unanticipated judicial interpretatio</w:t>
      </w:r>
      <w:r>
        <w:rPr>
          <w:rFonts w:ascii="Arial" w:eastAsia="Times New Roman" w:hAnsi="Arial" w:cs="Arial"/>
          <w:color w:val="000000"/>
          <w:sz w:val="20"/>
          <w:szCs w:val="20"/>
        </w:rPr>
        <w:t>ns of existing laws and the application of those new interpretations against employers on a retroactive basis. It is not possible to predict the outcome of these lawsuits or any other proceeding, and our insurance may not cover all claims that may be asser</w:t>
      </w:r>
      <w:r>
        <w:rPr>
          <w:rFonts w:ascii="Arial" w:eastAsia="Times New Roman" w:hAnsi="Arial" w:cs="Arial"/>
          <w:color w:val="000000"/>
          <w:sz w:val="20"/>
          <w:szCs w:val="20"/>
        </w:rPr>
        <w:t xml:space="preserve">ted against us. These lawsuits and other proceedings may consume substantial amounts of our financial and managerial resources. An unfavorable outcome with respect to current lawsuits, including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case described in Note 13, “Commitments and Conting</w:t>
      </w:r>
      <w:r>
        <w:rPr>
          <w:rFonts w:ascii="Arial" w:eastAsia="Times New Roman" w:hAnsi="Arial" w:cs="Arial"/>
          <w:color w:val="000000"/>
          <w:sz w:val="20"/>
          <w:szCs w:val="20"/>
        </w:rPr>
        <w:t xml:space="preserve">encies,” in the Notes to consolidated financial statements (included in Part II., Item 8 of this Form 10-K), and any future lawsuits may, individually or in the aggregate, cause us to incur substantial liabilities that could have a material adverse effect </w:t>
      </w:r>
      <w:r>
        <w:rPr>
          <w:rFonts w:ascii="Arial" w:eastAsia="Times New Roman" w:hAnsi="Arial" w:cs="Arial"/>
          <w:color w:val="000000"/>
          <w:sz w:val="20"/>
          <w:szCs w:val="20"/>
        </w:rPr>
        <w:t xml:space="preserve">upon our business, reputation, financial condition, results of operations, or cash flows. </w:t>
      </w:r>
    </w:p>
    <w:p w14:paraId="59831831" w14:textId="77777777" w:rsidR="00000000" w:rsidRDefault="001D0688">
      <w:pPr>
        <w:jc w:val="both"/>
        <w:divId w:val="389309696"/>
        <w:rPr>
          <w:rFonts w:eastAsia="Times New Roman"/>
        </w:rPr>
      </w:pPr>
      <w:r>
        <w:rPr>
          <w:rFonts w:ascii="Arial" w:eastAsia="Times New Roman" w:hAnsi="Arial" w:cs="Arial"/>
          <w:b/>
          <w:bCs/>
          <w:i/>
          <w:iCs/>
          <w:color w:val="0046AD"/>
          <w:sz w:val="20"/>
          <w:szCs w:val="20"/>
        </w:rPr>
        <w:t xml:space="preserve">A significant number of our employees are covered by collective bargaining agreements that could expose us to potential liabilities in relation to our participation </w:t>
      </w:r>
      <w:r>
        <w:rPr>
          <w:rFonts w:ascii="Arial" w:eastAsia="Times New Roman" w:hAnsi="Arial" w:cs="Arial"/>
          <w:b/>
          <w:bCs/>
          <w:i/>
          <w:iCs/>
          <w:color w:val="0046AD"/>
          <w:sz w:val="20"/>
          <w:szCs w:val="20"/>
        </w:rPr>
        <w:t>in multiemployer pension plans, requirements to make contributions to other benefit plans, and the potential for strikes, work slowdowns or similar activities, and union organizing drives.</w:t>
      </w:r>
    </w:p>
    <w:p w14:paraId="1544067D" w14:textId="77777777" w:rsidR="00000000" w:rsidRDefault="001D0688">
      <w:pPr>
        <w:ind w:firstLine="720"/>
        <w:jc w:val="both"/>
        <w:divId w:val="1358509114"/>
        <w:rPr>
          <w:rFonts w:eastAsia="Times New Roman"/>
        </w:rPr>
      </w:pPr>
      <w:r>
        <w:rPr>
          <w:rFonts w:ascii="Arial" w:eastAsia="Times New Roman" w:hAnsi="Arial" w:cs="Arial"/>
          <w:color w:val="000000"/>
          <w:sz w:val="20"/>
          <w:szCs w:val="20"/>
        </w:rPr>
        <w:t xml:space="preserve">We participate in various multiemployer pension plans that provide </w:t>
      </w:r>
      <w:r>
        <w:rPr>
          <w:rFonts w:ascii="Arial" w:eastAsia="Times New Roman" w:hAnsi="Arial" w:cs="Arial"/>
          <w:color w:val="000000"/>
          <w:sz w:val="20"/>
          <w:szCs w:val="20"/>
        </w:rPr>
        <w:t>defined pension benefits to employees covered by collective bargaining agreements. Because of the nature of multiemployer pension plans, there are risks to us associated with participation in these plans that differ from single-employer plans. Assets contr</w:t>
      </w:r>
      <w:r>
        <w:rPr>
          <w:rFonts w:ascii="Arial" w:eastAsia="Times New Roman" w:hAnsi="Arial" w:cs="Arial"/>
          <w:color w:val="000000"/>
          <w:sz w:val="20"/>
          <w:szCs w:val="20"/>
        </w:rPr>
        <w:t>ibuted by an employer to a multiemployer pension plan are not segregated into a separate account and are not restricted to provide benefits only to employees of that contributing employer. In the event another participating employer in a multiemployer pens</w:t>
      </w:r>
      <w:r>
        <w:rPr>
          <w:rFonts w:ascii="Arial" w:eastAsia="Times New Roman" w:hAnsi="Arial" w:cs="Arial"/>
          <w:color w:val="000000"/>
          <w:sz w:val="20"/>
          <w:szCs w:val="20"/>
        </w:rPr>
        <w:t>ion plan no longer contributes to the plan, the unfunded obligations of the plan may be borne by the remaining participating employers, including us. In the event of the termination of a multiemployer pension plan or a complete or partial withdrawal from a</w:t>
      </w:r>
      <w:r>
        <w:rPr>
          <w:rFonts w:ascii="Arial" w:eastAsia="Times New Roman" w:hAnsi="Arial" w:cs="Arial"/>
          <w:color w:val="000000"/>
          <w:sz w:val="20"/>
          <w:szCs w:val="20"/>
        </w:rPr>
        <w:t xml:space="preserve"> multiemployer pension plan, under applicable law we could incur material withdrawal liabilities. We further discuss our participation in multiemployer pension and postretirement plans in Note 12, “Employee Benefit Plans,” in the Notes to consolidated fina</w:t>
      </w:r>
      <w:r>
        <w:rPr>
          <w:rFonts w:ascii="Arial" w:eastAsia="Times New Roman" w:hAnsi="Arial" w:cs="Arial"/>
          <w:color w:val="000000"/>
          <w:sz w:val="20"/>
          <w:szCs w:val="20"/>
        </w:rPr>
        <w:t>ncial statements. In addition, the terms of collective bargaining agreements require us to contribute to various fringe benefit plans, including health and welfare, pension, and training plans, all of which require us to have appropriate systems in place t</w:t>
      </w:r>
      <w:r>
        <w:rPr>
          <w:rFonts w:ascii="Arial" w:eastAsia="Times New Roman" w:hAnsi="Arial" w:cs="Arial"/>
          <w:color w:val="000000"/>
          <w:sz w:val="20"/>
          <w:szCs w:val="20"/>
        </w:rPr>
        <w:t>o assure timely and accurate payment of contributions. The failure to make timely and accurate contributions as a result of a systems failure could have a negative impact on our financial position.</w:t>
      </w:r>
    </w:p>
    <w:p w14:paraId="6DB9B875" w14:textId="77777777" w:rsidR="00000000" w:rsidRDefault="001D0688">
      <w:pPr>
        <w:ind w:firstLine="720"/>
        <w:jc w:val="both"/>
        <w:divId w:val="602617813"/>
        <w:rPr>
          <w:rFonts w:eastAsia="Times New Roman"/>
        </w:rPr>
      </w:pPr>
      <w:r>
        <w:rPr>
          <w:rFonts w:ascii="Arial" w:eastAsia="Times New Roman" w:hAnsi="Arial" w:cs="Arial"/>
          <w:color w:val="000000"/>
          <w:sz w:val="20"/>
          <w:szCs w:val="20"/>
        </w:rPr>
        <w:t>At October 31, 2020, approximatel</w:t>
      </w:r>
      <w:r>
        <w:rPr>
          <w:rFonts w:ascii="Arial" w:eastAsia="Times New Roman" w:hAnsi="Arial" w:cs="Arial"/>
          <w:color w:val="000000"/>
          <w:sz w:val="20"/>
          <w:szCs w:val="20"/>
          <w:shd w:val="clear" w:color="auto" w:fill="FFFFFF"/>
        </w:rPr>
        <w:t>y 32% o</w:t>
      </w:r>
      <w:r>
        <w:rPr>
          <w:rFonts w:ascii="Arial" w:eastAsia="Times New Roman" w:hAnsi="Arial" w:cs="Arial"/>
          <w:color w:val="000000"/>
          <w:sz w:val="20"/>
          <w:szCs w:val="20"/>
        </w:rPr>
        <w:t>f our employees we</w:t>
      </w:r>
      <w:r>
        <w:rPr>
          <w:rFonts w:ascii="Arial" w:eastAsia="Times New Roman" w:hAnsi="Arial" w:cs="Arial"/>
          <w:color w:val="000000"/>
          <w:sz w:val="20"/>
          <w:szCs w:val="20"/>
        </w:rPr>
        <w:t>re subject to various local collective bargaining agreements, some of which will expire or become subject to renegotiation during 2021. In addition, at any given time we may face union organizing activity. When one or more of our major collective bargainin</w:t>
      </w:r>
      <w:r>
        <w:rPr>
          <w:rFonts w:ascii="Arial" w:eastAsia="Times New Roman" w:hAnsi="Arial" w:cs="Arial"/>
          <w:color w:val="000000"/>
          <w:sz w:val="20"/>
          <w:szCs w:val="20"/>
        </w:rPr>
        <w:t xml:space="preserve">g agreements becomes subject to renegotiation or when we face union organizing drives, any disagreement between us and the union on important issues may lead to a strike, work slowdown, or other job actions at one or more of our </w:t>
      </w:r>
    </w:p>
    <w:p w14:paraId="08E6528C" w14:textId="77777777" w:rsidR="00000000" w:rsidRDefault="001D0688">
      <w:pPr>
        <w:jc w:val="center"/>
        <w:divId w:val="1952056489"/>
        <w:rPr>
          <w:rFonts w:eastAsia="Times New Roman"/>
        </w:rPr>
      </w:pPr>
      <w:r>
        <w:rPr>
          <w:rFonts w:ascii="Arial" w:eastAsia="Times New Roman" w:hAnsi="Arial" w:cs="Arial"/>
          <w:color w:val="000000"/>
          <w:sz w:val="20"/>
          <w:szCs w:val="20"/>
        </w:rPr>
        <w:t>12</w:t>
      </w:r>
    </w:p>
    <w:p w14:paraId="06F98A06" w14:textId="77777777" w:rsidR="00000000" w:rsidRDefault="001D0688">
      <w:pPr>
        <w:rPr>
          <w:rFonts w:eastAsia="Times New Roman"/>
        </w:rPr>
      </w:pPr>
      <w:r>
        <w:rPr>
          <w:rFonts w:eastAsia="Times New Roman"/>
        </w:rPr>
        <w:pict w14:anchorId="5B65427F">
          <v:rect id="_x0000_i1047" style="width:0;height:1.5pt" o:hralign="center" o:hrstd="t" o:hr="t" fillcolor="#a0a0a0" stroked="f"/>
        </w:pict>
      </w:r>
    </w:p>
    <w:p w14:paraId="2E30AE65" w14:textId="77777777" w:rsidR="00000000" w:rsidRDefault="001D0688">
      <w:pPr>
        <w:divId w:val="1358774255"/>
        <w:rPr>
          <w:rFonts w:eastAsia="Times New Roman"/>
        </w:rPr>
      </w:pPr>
    </w:p>
    <w:p w14:paraId="1C9F2499" w14:textId="77777777" w:rsidR="00000000" w:rsidRDefault="001D0688">
      <w:pPr>
        <w:jc w:val="both"/>
        <w:divId w:val="1395355879"/>
        <w:rPr>
          <w:rFonts w:eastAsia="Times New Roman"/>
        </w:rPr>
      </w:pPr>
      <w:r>
        <w:rPr>
          <w:rFonts w:ascii="Arial" w:eastAsia="Times New Roman" w:hAnsi="Arial" w:cs="Arial"/>
          <w:color w:val="000000"/>
          <w:sz w:val="20"/>
          <w:szCs w:val="20"/>
        </w:rPr>
        <w:t>locations. In a market where we are unionized but competitors are not unionized, we could lose clients to such competitors. A strike, work slowdown, or other job action could disrupt our services, resulting in reduced revenues or contract c</w:t>
      </w:r>
      <w:r>
        <w:rPr>
          <w:rFonts w:ascii="Arial" w:eastAsia="Times New Roman" w:hAnsi="Arial" w:cs="Arial"/>
          <w:color w:val="000000"/>
          <w:sz w:val="20"/>
          <w:szCs w:val="20"/>
        </w:rPr>
        <w:t>ancellations. Moreover, negotiating a first time collective bargaining agreement or renegotiating an existing agreement could result in a substantial increase in labor and benefits expenses that we may be unable to pass through to clients.</w:t>
      </w:r>
    </w:p>
    <w:p w14:paraId="204BB523" w14:textId="77777777" w:rsidR="00000000" w:rsidRDefault="001D0688">
      <w:pPr>
        <w:jc w:val="both"/>
        <w:divId w:val="150172903"/>
        <w:rPr>
          <w:rFonts w:eastAsia="Times New Roman"/>
        </w:rPr>
      </w:pPr>
      <w:r>
        <w:rPr>
          <w:rFonts w:ascii="Arial" w:eastAsia="Times New Roman" w:hAnsi="Arial" w:cs="Arial"/>
          <w:b/>
          <w:bCs/>
          <w:i/>
          <w:iCs/>
          <w:color w:val="0046AD"/>
          <w:sz w:val="20"/>
          <w:szCs w:val="20"/>
        </w:rPr>
        <w:t>Our business may</w:t>
      </w:r>
      <w:r>
        <w:rPr>
          <w:rFonts w:ascii="Arial" w:eastAsia="Times New Roman" w:hAnsi="Arial" w:cs="Arial"/>
          <w:b/>
          <w:bCs/>
          <w:i/>
          <w:iCs/>
          <w:color w:val="0046AD"/>
          <w:sz w:val="20"/>
          <w:szCs w:val="20"/>
        </w:rPr>
        <w:t xml:space="preserve"> be materially affected by changes to fiscal and tax policies. Negative or unexpected tax consequences could adversely affect our results of operations.</w:t>
      </w:r>
    </w:p>
    <w:p w14:paraId="1370B1FF" w14:textId="77777777" w:rsidR="00000000" w:rsidRDefault="001D0688">
      <w:pPr>
        <w:ind w:firstLine="720"/>
        <w:jc w:val="both"/>
        <w:divId w:val="1671712799"/>
        <w:rPr>
          <w:rFonts w:eastAsia="Times New Roman"/>
        </w:rPr>
      </w:pPr>
      <w:r>
        <w:rPr>
          <w:rFonts w:ascii="Arial" w:eastAsia="Times New Roman" w:hAnsi="Arial" w:cs="Arial"/>
          <w:color w:val="000000"/>
          <w:sz w:val="20"/>
          <w:szCs w:val="20"/>
        </w:rPr>
        <w:t>We are subject to a variety of taxes and tax collection and remittance obligations in the United States</w:t>
      </w:r>
      <w:r>
        <w:rPr>
          <w:rFonts w:ascii="Arial" w:eastAsia="Times New Roman" w:hAnsi="Arial" w:cs="Arial"/>
          <w:color w:val="000000"/>
          <w:sz w:val="20"/>
          <w:szCs w:val="20"/>
        </w:rPr>
        <w:t xml:space="preserve"> and foreign jurisdictions, primarily the United Kingdom. We compute our income tax provision based on enacted tax rates in the jurisdictions in which we operate. As tax rates vary among taxing jurisdictions, a change in earnings attributable to the variou</w:t>
      </w:r>
      <w:r>
        <w:rPr>
          <w:rFonts w:ascii="Arial" w:eastAsia="Times New Roman" w:hAnsi="Arial" w:cs="Arial"/>
          <w:color w:val="000000"/>
          <w:sz w:val="20"/>
          <w:szCs w:val="20"/>
        </w:rPr>
        <w:t>s jurisdictions in which we operate could result in an unfavorable change in our overall tax provision. Additionally, at any point in time, we may be under examination for income-based, sales-based, payroll, or other non-income taxes. We regularly assess t</w:t>
      </w:r>
      <w:r>
        <w:rPr>
          <w:rFonts w:ascii="Arial" w:eastAsia="Times New Roman" w:hAnsi="Arial" w:cs="Arial"/>
          <w:color w:val="000000"/>
          <w:sz w:val="20"/>
          <w:szCs w:val="20"/>
        </w:rPr>
        <w:t>he likelihood of adverse outcomes resulting from these audits to determine the adequacy of our provision for income taxes. We may recognize additional tax expense, be subject to additional tax liabilities, or incur losses and penalties due to adverse outco</w:t>
      </w:r>
      <w:r>
        <w:rPr>
          <w:rFonts w:ascii="Arial" w:eastAsia="Times New Roman" w:hAnsi="Arial" w:cs="Arial"/>
          <w:color w:val="000000"/>
          <w:sz w:val="20"/>
          <w:szCs w:val="20"/>
        </w:rPr>
        <w:t xml:space="preserve">mes in tax audits or changes in laws, regulations, administrative practices, principles, assessments by authorities, and interpretations related to tax laws, including tax rules in various jurisdictions, which could have an adverse effect on our operating </w:t>
      </w:r>
      <w:r>
        <w:rPr>
          <w:rFonts w:ascii="Arial" w:eastAsia="Times New Roman" w:hAnsi="Arial" w:cs="Arial"/>
          <w:color w:val="000000"/>
          <w:sz w:val="20"/>
          <w:szCs w:val="20"/>
        </w:rPr>
        <w:t>results and financial condition.</w:t>
      </w:r>
    </w:p>
    <w:p w14:paraId="6569328A" w14:textId="77777777" w:rsidR="00000000" w:rsidRDefault="001D0688">
      <w:pPr>
        <w:jc w:val="both"/>
        <w:divId w:val="1235824212"/>
        <w:rPr>
          <w:rFonts w:eastAsia="Times New Roman"/>
        </w:rPr>
      </w:pPr>
      <w:r>
        <w:rPr>
          <w:rFonts w:ascii="Arial" w:eastAsia="Times New Roman" w:hAnsi="Arial" w:cs="Arial"/>
          <w:b/>
          <w:bCs/>
          <w:color w:val="0046AD"/>
          <w:sz w:val="20"/>
          <w:szCs w:val="20"/>
        </w:rPr>
        <w:t>Risks Relating to Market and Economic Conditions</w:t>
      </w:r>
    </w:p>
    <w:p w14:paraId="0FC4CD19" w14:textId="77777777" w:rsidR="00000000" w:rsidRDefault="001D0688">
      <w:pPr>
        <w:jc w:val="both"/>
        <w:divId w:val="1710884656"/>
        <w:rPr>
          <w:rFonts w:eastAsia="Times New Roman"/>
        </w:rPr>
      </w:pPr>
      <w:r>
        <w:rPr>
          <w:rFonts w:ascii="Arial" w:eastAsia="Times New Roman" w:hAnsi="Arial" w:cs="Arial"/>
          <w:b/>
          <w:bCs/>
          <w:i/>
          <w:iCs/>
          <w:color w:val="0046AD"/>
          <w:sz w:val="20"/>
          <w:szCs w:val="20"/>
        </w:rPr>
        <w:t xml:space="preserve">Changes in general economic conditions, such as changes in energy prices, government regulations, or consumer preferences, could reduce the demand for facility services and, </w:t>
      </w:r>
      <w:r>
        <w:rPr>
          <w:rFonts w:ascii="Arial" w:eastAsia="Times New Roman" w:hAnsi="Arial" w:cs="Arial"/>
          <w:b/>
          <w:bCs/>
          <w:i/>
          <w:iCs/>
          <w:color w:val="0046AD"/>
          <w:sz w:val="20"/>
          <w:szCs w:val="20"/>
        </w:rPr>
        <w:t xml:space="preserve">as a result, reduce our earnings and adversely affect our financial condition. </w:t>
      </w:r>
    </w:p>
    <w:p w14:paraId="0BFD0051" w14:textId="77777777" w:rsidR="00000000" w:rsidRDefault="001D0688">
      <w:pPr>
        <w:ind w:firstLine="720"/>
        <w:jc w:val="both"/>
        <w:divId w:val="1078020018"/>
        <w:rPr>
          <w:rFonts w:eastAsia="Times New Roman"/>
        </w:rPr>
      </w:pPr>
      <w:r>
        <w:rPr>
          <w:rFonts w:ascii="Arial" w:eastAsia="Times New Roman" w:hAnsi="Arial" w:cs="Arial"/>
          <w:color w:val="000000"/>
          <w:sz w:val="20"/>
          <w:szCs w:val="20"/>
        </w:rPr>
        <w:t>In certain geographic areas and service lines, our most profitable revenues are related to supplemental services requested by clients outside of the standard service specificat</w:t>
      </w:r>
      <w:r>
        <w:rPr>
          <w:rFonts w:ascii="Arial" w:eastAsia="Times New Roman" w:hAnsi="Arial" w:cs="Arial"/>
          <w:color w:val="000000"/>
          <w:sz w:val="20"/>
          <w:szCs w:val="20"/>
        </w:rPr>
        <w:t>ion (“work orders”). This contract type is commonly used in janitorial services and includes cleanup after tenant moves, construction cleanup, flood cleanup, and snow removal. A continuing decline in occupancy rates could result in a decline in scope of wo</w:t>
      </w:r>
      <w:r>
        <w:rPr>
          <w:rFonts w:ascii="Arial" w:eastAsia="Times New Roman" w:hAnsi="Arial" w:cs="Arial"/>
          <w:color w:val="000000"/>
          <w:sz w:val="20"/>
          <w:szCs w:val="20"/>
        </w:rPr>
        <w:t>rk, including work orders, and depressed prices for our services. Slow domestic and international economic growth or other negative changes in global, national, and local economic conditions could have a negative impact on our business. Specifically, adver</w:t>
      </w:r>
      <w:r>
        <w:rPr>
          <w:rFonts w:ascii="Arial" w:eastAsia="Times New Roman" w:hAnsi="Arial" w:cs="Arial"/>
          <w:color w:val="000000"/>
          <w:sz w:val="20"/>
          <w:szCs w:val="20"/>
        </w:rPr>
        <w:t>se economic conditions may result in clients cutting back on discretionary spending. Additionally, since a significant portion of our aviation services and parking revenues are tied to the volume of airline passengers, hotel guests, and sports arena attend</w:t>
      </w:r>
      <w:r>
        <w:rPr>
          <w:rFonts w:ascii="Arial" w:eastAsia="Times New Roman" w:hAnsi="Arial" w:cs="Arial"/>
          <w:color w:val="000000"/>
          <w:sz w:val="20"/>
          <w:szCs w:val="20"/>
        </w:rPr>
        <w:t>ees, results for these businesses could be adversely affected by continued curtailment of business, personal travel, or discretionary spending. The use of ride sharing services and car sharing services may also lead to a decline in parking demand at airpor</w:t>
      </w:r>
      <w:r>
        <w:rPr>
          <w:rFonts w:ascii="Arial" w:eastAsia="Times New Roman" w:hAnsi="Arial" w:cs="Arial"/>
          <w:color w:val="000000"/>
          <w:sz w:val="20"/>
          <w:szCs w:val="20"/>
        </w:rPr>
        <w:t>ts and in urban areas.</w:t>
      </w:r>
    </w:p>
    <w:p w14:paraId="0401DACD" w14:textId="77777777" w:rsidR="00000000" w:rsidRDefault="001D0688">
      <w:pPr>
        <w:ind w:firstLine="720"/>
        <w:jc w:val="both"/>
        <w:divId w:val="212347368"/>
        <w:rPr>
          <w:rFonts w:eastAsia="Times New Roman"/>
        </w:rPr>
      </w:pPr>
      <w:r>
        <w:rPr>
          <w:rFonts w:ascii="Arial" w:eastAsia="Times New Roman" w:hAnsi="Arial" w:cs="Arial"/>
          <w:color w:val="000000"/>
          <w:sz w:val="20"/>
          <w:szCs w:val="20"/>
        </w:rPr>
        <w:t xml:space="preserve">Energy efficiency projects are designed to reduce a client’s overall consumption of commodities, such as electricity and natural gas. As such, downward fluctuations in commodity prices may reduce client demand for those projects. We </w:t>
      </w:r>
      <w:r>
        <w:rPr>
          <w:rFonts w:ascii="Arial" w:eastAsia="Times New Roman" w:hAnsi="Arial" w:cs="Arial"/>
          <w:color w:val="000000"/>
          <w:sz w:val="20"/>
          <w:szCs w:val="20"/>
        </w:rPr>
        <w:t>also depend, in part, on federal and state legislation and policies that support energy efficiency projects. If current legislation or policies are amended, eliminated, or not extended beyond their current expiration dates, or if funding for energy incenti</w:t>
      </w:r>
      <w:r>
        <w:rPr>
          <w:rFonts w:ascii="Arial" w:eastAsia="Times New Roman" w:hAnsi="Arial" w:cs="Arial"/>
          <w:color w:val="000000"/>
          <w:sz w:val="20"/>
          <w:szCs w:val="20"/>
        </w:rPr>
        <w:t xml:space="preserve">ves is reduced or delayed, it could also adversely affect our ability to obtain new business. In some instances, we offer certain of these clients guaranteed energy savings on installed equipment. In the event those guaranteed savings are not achieved, we </w:t>
      </w:r>
      <w:r>
        <w:rPr>
          <w:rFonts w:ascii="Arial" w:eastAsia="Times New Roman" w:hAnsi="Arial" w:cs="Arial"/>
          <w:color w:val="000000"/>
          <w:sz w:val="20"/>
          <w:szCs w:val="20"/>
        </w:rPr>
        <w:t>may be required to pay liquidated or other damages. All of these factors could have an adverse effect on our financial position, results of operations, and cash flows.</w:t>
      </w:r>
    </w:p>
    <w:p w14:paraId="5633A6DD" w14:textId="77777777" w:rsidR="00000000" w:rsidRDefault="001D0688">
      <w:pPr>
        <w:jc w:val="both"/>
        <w:divId w:val="1303803453"/>
        <w:rPr>
          <w:rFonts w:eastAsia="Times New Roman"/>
        </w:rPr>
      </w:pPr>
      <w:r>
        <w:rPr>
          <w:rFonts w:ascii="Arial" w:eastAsia="Times New Roman" w:hAnsi="Arial" w:cs="Arial"/>
          <w:b/>
          <w:bCs/>
          <w:color w:val="0046AD"/>
          <w:sz w:val="20"/>
          <w:szCs w:val="20"/>
        </w:rPr>
        <w:t>Risks Relating to Financial Matters</w:t>
      </w:r>
    </w:p>
    <w:p w14:paraId="16955590" w14:textId="77777777" w:rsidR="00000000" w:rsidRDefault="001D0688">
      <w:pPr>
        <w:jc w:val="both"/>
        <w:divId w:val="1043598733"/>
        <w:rPr>
          <w:rFonts w:eastAsia="Times New Roman"/>
        </w:rPr>
      </w:pPr>
      <w:r>
        <w:rPr>
          <w:rFonts w:ascii="Arial" w:eastAsia="Times New Roman" w:hAnsi="Arial" w:cs="Arial"/>
          <w:b/>
          <w:bCs/>
          <w:i/>
          <w:iCs/>
          <w:color w:val="0046AD"/>
          <w:sz w:val="20"/>
          <w:szCs w:val="20"/>
        </w:rPr>
        <w:t>Future increases in the level of our borrowings or in interest rates could affect our results of operations.</w:t>
      </w:r>
    </w:p>
    <w:p w14:paraId="7A0030A7" w14:textId="77777777" w:rsidR="00000000" w:rsidRDefault="001D0688">
      <w:pPr>
        <w:ind w:firstLine="720"/>
        <w:jc w:val="both"/>
        <w:divId w:val="1786846567"/>
        <w:rPr>
          <w:rFonts w:eastAsia="Times New Roman"/>
        </w:rPr>
      </w:pPr>
      <w:r>
        <w:rPr>
          <w:rFonts w:ascii="Arial" w:eastAsia="Times New Roman" w:hAnsi="Arial" w:cs="Arial"/>
          <w:color w:val="000000"/>
          <w:sz w:val="20"/>
          <w:szCs w:val="20"/>
        </w:rPr>
        <w:t>Although we have paid down portions of our indebtedness under our syndicated secured credit facility, our future ability to make payments on our de</w:t>
      </w:r>
      <w:r>
        <w:rPr>
          <w:rFonts w:ascii="Arial" w:eastAsia="Times New Roman" w:hAnsi="Arial" w:cs="Arial"/>
          <w:color w:val="000000"/>
          <w:sz w:val="20"/>
          <w:szCs w:val="20"/>
        </w:rPr>
        <w:t>bt, fund our other liquidity needs, and make planned capital expenditures will depend on our ability to generate cash. Our ability to generate cash, to a certain extent, is subject to general economic, financial, competitive, and other factors that are bey</w:t>
      </w:r>
      <w:r>
        <w:rPr>
          <w:rFonts w:ascii="Arial" w:eastAsia="Times New Roman" w:hAnsi="Arial" w:cs="Arial"/>
          <w:color w:val="000000"/>
          <w:sz w:val="20"/>
          <w:szCs w:val="20"/>
        </w:rPr>
        <w:t>ond our control. We cannot guarantee that our business will generate sufficient cash flow from our operations or that future borrowings will be available to us in an amount sufficient to enable us to make payments on our debt, fund other liquidity needs, m</w:t>
      </w:r>
      <w:r>
        <w:rPr>
          <w:rFonts w:ascii="Arial" w:eastAsia="Times New Roman" w:hAnsi="Arial" w:cs="Arial"/>
          <w:color w:val="000000"/>
          <w:sz w:val="20"/>
          <w:szCs w:val="20"/>
        </w:rPr>
        <w:t>ake planned capital expenditures, or continue our dividend.</w:t>
      </w:r>
    </w:p>
    <w:p w14:paraId="74577179" w14:textId="77777777" w:rsidR="00000000" w:rsidRDefault="001D0688">
      <w:pPr>
        <w:jc w:val="center"/>
        <w:divId w:val="2056003741"/>
        <w:rPr>
          <w:rFonts w:eastAsia="Times New Roman"/>
        </w:rPr>
      </w:pPr>
      <w:r>
        <w:rPr>
          <w:rFonts w:ascii="Arial" w:eastAsia="Times New Roman" w:hAnsi="Arial" w:cs="Arial"/>
          <w:color w:val="000000"/>
          <w:sz w:val="20"/>
          <w:szCs w:val="20"/>
        </w:rPr>
        <w:t>13</w:t>
      </w:r>
    </w:p>
    <w:p w14:paraId="59A92412" w14:textId="77777777" w:rsidR="00000000" w:rsidRDefault="001D0688">
      <w:pPr>
        <w:rPr>
          <w:rFonts w:eastAsia="Times New Roman"/>
        </w:rPr>
      </w:pPr>
      <w:r>
        <w:rPr>
          <w:rFonts w:eastAsia="Times New Roman"/>
        </w:rPr>
        <w:pict w14:anchorId="56B4D9E0">
          <v:rect id="_x0000_i1048" style="width:0;height:1.5pt" o:hralign="center" o:hrstd="t" o:hr="t" fillcolor="#a0a0a0" stroked="f"/>
        </w:pict>
      </w:r>
    </w:p>
    <w:p w14:paraId="48D99CC8" w14:textId="77777777" w:rsidR="00000000" w:rsidRDefault="001D0688">
      <w:pPr>
        <w:divId w:val="1044987927"/>
        <w:rPr>
          <w:rFonts w:eastAsia="Times New Roman"/>
        </w:rPr>
      </w:pPr>
    </w:p>
    <w:p w14:paraId="5F60811E" w14:textId="77777777" w:rsidR="00000000" w:rsidRDefault="001D0688">
      <w:pPr>
        <w:ind w:firstLine="720"/>
        <w:jc w:val="both"/>
        <w:divId w:val="1659377430"/>
        <w:rPr>
          <w:rFonts w:eastAsia="Times New Roman"/>
        </w:rPr>
      </w:pPr>
      <w:r>
        <w:rPr>
          <w:rFonts w:ascii="Arial" w:eastAsia="Times New Roman" w:hAnsi="Arial" w:cs="Arial"/>
          <w:color w:val="000000"/>
          <w:sz w:val="20"/>
          <w:szCs w:val="20"/>
        </w:rPr>
        <w:t xml:space="preserve">The degree to which we are leveraged could have important consequences for shareholders. For example, being highly leveraged could: require us to dedicate a substantial portion of our cash flows from operations to the payment of debt service, reducing the </w:t>
      </w:r>
      <w:r>
        <w:rPr>
          <w:rFonts w:ascii="Arial" w:eastAsia="Times New Roman" w:hAnsi="Arial" w:cs="Arial"/>
          <w:color w:val="000000"/>
          <w:sz w:val="20"/>
          <w:szCs w:val="20"/>
        </w:rPr>
        <w:t xml:space="preserve">availability of our cash flow to fund working capital, share repurchases, capital expenditures, acquisitions, and other general corporate purposes; limit our availability to obtain additional financing in the future to enable us to react to changes in our </w:t>
      </w:r>
      <w:r>
        <w:rPr>
          <w:rFonts w:ascii="Arial" w:eastAsia="Times New Roman" w:hAnsi="Arial" w:cs="Arial"/>
          <w:color w:val="000000"/>
          <w:sz w:val="20"/>
          <w:szCs w:val="20"/>
        </w:rPr>
        <w:t>business; and place us at a competitive disadvantage compared to businesses in our industry that have less debt.</w:t>
      </w:r>
    </w:p>
    <w:p w14:paraId="14463B49" w14:textId="77777777" w:rsidR="00000000" w:rsidRDefault="001D0688">
      <w:pPr>
        <w:ind w:firstLine="720"/>
        <w:jc w:val="both"/>
        <w:divId w:val="1053117481"/>
        <w:rPr>
          <w:rFonts w:eastAsia="Times New Roman"/>
        </w:rPr>
      </w:pPr>
      <w:r>
        <w:rPr>
          <w:rFonts w:ascii="Arial" w:eastAsia="Times New Roman" w:hAnsi="Arial" w:cs="Arial"/>
          <w:color w:val="000000"/>
          <w:sz w:val="20"/>
          <w:szCs w:val="20"/>
        </w:rPr>
        <w:t>Additionally, any future increase in the level of our indebtedness will likely increase our interest expense, which could negatively impact our</w:t>
      </w:r>
      <w:r>
        <w:rPr>
          <w:rFonts w:ascii="Arial" w:eastAsia="Times New Roman" w:hAnsi="Arial" w:cs="Arial"/>
          <w:color w:val="000000"/>
          <w:sz w:val="20"/>
          <w:szCs w:val="20"/>
        </w:rPr>
        <w:t xml:space="preserve"> profitability. Current interest rates on borrowings under our credit facility are variable and include the use of the London Interbank Offered Rate (“LIBOR”). In 2017, the U.K. Financial Conduct Authority announced that it intends to phase out LIBOR by th</w:t>
      </w:r>
      <w:r>
        <w:rPr>
          <w:rFonts w:ascii="Arial" w:eastAsia="Times New Roman" w:hAnsi="Arial" w:cs="Arial"/>
          <w:color w:val="000000"/>
          <w:sz w:val="20"/>
          <w:szCs w:val="20"/>
        </w:rPr>
        <w:t>e end of 2021. In addition, other regulators have suggested reforming or replacing other benchmark rates. The discontinuation, reform, or replacement of LIBOR or any other benchmark rates may result in fluctuating interest rates that may have a negative im</w:t>
      </w:r>
      <w:r>
        <w:rPr>
          <w:rFonts w:ascii="Arial" w:eastAsia="Times New Roman" w:hAnsi="Arial" w:cs="Arial"/>
          <w:color w:val="000000"/>
          <w:sz w:val="20"/>
          <w:szCs w:val="20"/>
        </w:rPr>
        <w:t>pact on our interest expense and our profitability.</w:t>
      </w:r>
    </w:p>
    <w:p w14:paraId="655D1BC3" w14:textId="77777777" w:rsidR="00000000" w:rsidRDefault="001D0688">
      <w:pPr>
        <w:ind w:firstLine="720"/>
        <w:jc w:val="both"/>
        <w:divId w:val="1901549417"/>
        <w:rPr>
          <w:rFonts w:eastAsia="Times New Roman"/>
        </w:rPr>
      </w:pPr>
      <w:r>
        <w:rPr>
          <w:rFonts w:ascii="Arial" w:eastAsia="Times New Roman" w:hAnsi="Arial" w:cs="Arial"/>
          <w:color w:val="000000"/>
          <w:sz w:val="20"/>
          <w:szCs w:val="20"/>
        </w:rPr>
        <w:t>Further, our credit facility contains both financial covenants and other covenants that limit our ability to engage in specific transactions. Any failure to comply with covenants in the credit facility co</w:t>
      </w:r>
      <w:r>
        <w:rPr>
          <w:rFonts w:ascii="Arial" w:eastAsia="Times New Roman" w:hAnsi="Arial" w:cs="Arial"/>
          <w:color w:val="000000"/>
          <w:sz w:val="20"/>
          <w:szCs w:val="20"/>
        </w:rPr>
        <w:t xml:space="preserve">uld result in an event of default that, if not cured or waived, would have a material adverse effect on us. </w:t>
      </w:r>
    </w:p>
    <w:p w14:paraId="3FFEE32E" w14:textId="77777777" w:rsidR="00000000" w:rsidRDefault="001D0688">
      <w:pPr>
        <w:jc w:val="both"/>
        <w:divId w:val="178931169"/>
        <w:rPr>
          <w:rFonts w:eastAsia="Times New Roman"/>
        </w:rPr>
      </w:pPr>
      <w:r>
        <w:rPr>
          <w:rFonts w:ascii="Arial" w:eastAsia="Times New Roman" w:hAnsi="Arial" w:cs="Arial"/>
          <w:b/>
          <w:bCs/>
          <w:i/>
          <w:iCs/>
          <w:color w:val="0046AD"/>
          <w:sz w:val="20"/>
          <w:szCs w:val="20"/>
        </w:rPr>
        <w:t>Impairment of goodwill and long-lived assets could have a material adverse effect on our financial condition and results of operations.</w:t>
      </w:r>
    </w:p>
    <w:p w14:paraId="305E1F4C" w14:textId="77777777" w:rsidR="00000000" w:rsidRDefault="001D0688">
      <w:pPr>
        <w:ind w:firstLine="720"/>
        <w:jc w:val="both"/>
        <w:divId w:val="1545558546"/>
        <w:rPr>
          <w:rFonts w:eastAsia="Times New Roman"/>
        </w:rPr>
      </w:pPr>
      <w:r>
        <w:rPr>
          <w:rFonts w:ascii="Arial" w:eastAsia="Times New Roman" w:hAnsi="Arial" w:cs="Arial"/>
          <w:color w:val="000000"/>
          <w:sz w:val="20"/>
          <w:szCs w:val="20"/>
        </w:rPr>
        <w:t>We evaluate</w:t>
      </w:r>
      <w:r>
        <w:rPr>
          <w:rFonts w:ascii="Arial" w:eastAsia="Times New Roman" w:hAnsi="Arial" w:cs="Arial"/>
          <w:color w:val="000000"/>
          <w:sz w:val="20"/>
          <w:szCs w:val="20"/>
        </w:rPr>
        <w:t xml:space="preserve"> goodwill for impairment annually, in the fourth quarter, or more often if impairment indicators exist. We also review long-lived assets for impairment whenever events or changes in circumstances indicate that the carrying amount of such assets may not be </w:t>
      </w:r>
      <w:r>
        <w:rPr>
          <w:rFonts w:ascii="Arial" w:eastAsia="Times New Roman" w:hAnsi="Arial" w:cs="Arial"/>
          <w:color w:val="000000"/>
          <w:sz w:val="20"/>
          <w:szCs w:val="20"/>
        </w:rPr>
        <w:t>recoverable. If the fair value of one of our reporting units is less than its carrying value, or if as a result of a recoverability test we conclude that the projected undiscounted cash flows are less than the carrying amount, we would record an impairment</w:t>
      </w:r>
      <w:r>
        <w:rPr>
          <w:rFonts w:ascii="Arial" w:eastAsia="Times New Roman" w:hAnsi="Arial" w:cs="Arial"/>
          <w:color w:val="000000"/>
          <w:sz w:val="20"/>
          <w:szCs w:val="20"/>
        </w:rPr>
        <w:t xml:space="preserve"> charge related to goodwill or long-lived assets, respectively. (For example, during the second quarter of 2020, given the general deterioration in economic and market conditions arising from the Pandemic, we identified a triggering event that resulted in </w:t>
      </w:r>
      <w:r>
        <w:rPr>
          <w:rFonts w:ascii="Arial" w:eastAsia="Times New Roman" w:hAnsi="Arial" w:cs="Arial"/>
          <w:color w:val="000000"/>
          <w:sz w:val="20"/>
          <w:szCs w:val="20"/>
        </w:rPr>
        <w:t>the impairment of goodwill and intangible assets.) The assumptions used to determine impairment require significant judgment, and the amount of the impairment could have a material adverse effect on our reported financial results for the period in which th</w:t>
      </w:r>
      <w:r>
        <w:rPr>
          <w:rFonts w:ascii="Arial" w:eastAsia="Times New Roman" w:hAnsi="Arial" w:cs="Arial"/>
          <w:color w:val="000000"/>
          <w:sz w:val="20"/>
          <w:szCs w:val="20"/>
        </w:rPr>
        <w:t>e charge is taken.</w:t>
      </w:r>
    </w:p>
    <w:p w14:paraId="25E37A4E" w14:textId="77777777" w:rsidR="00000000" w:rsidRDefault="001D0688">
      <w:pPr>
        <w:jc w:val="both"/>
        <w:divId w:val="2097434409"/>
        <w:rPr>
          <w:rFonts w:eastAsia="Times New Roman"/>
        </w:rPr>
      </w:pPr>
      <w:r>
        <w:rPr>
          <w:rFonts w:ascii="Arial" w:eastAsia="Times New Roman" w:hAnsi="Arial" w:cs="Arial"/>
          <w:b/>
          <w:bCs/>
          <w:i/>
          <w:iCs/>
          <w:color w:val="0046AD"/>
          <w:sz w:val="20"/>
          <w:szCs w:val="20"/>
        </w:rPr>
        <w:t>If we fail to maintain proper and effective internal control over financial reporting in the future, our ability to produce accurate and timely financial statements could be negatively impacted, which could harm our operating results and</w:t>
      </w:r>
      <w:r>
        <w:rPr>
          <w:rFonts w:ascii="Arial" w:eastAsia="Times New Roman" w:hAnsi="Arial" w:cs="Arial"/>
          <w:b/>
          <w:bCs/>
          <w:i/>
          <w:iCs/>
          <w:color w:val="0046AD"/>
          <w:sz w:val="20"/>
          <w:szCs w:val="20"/>
        </w:rPr>
        <w:t xml:space="preserve"> investor perceptions of our Company and as a result may have a material adverse effect on the value of our common stock.</w:t>
      </w:r>
    </w:p>
    <w:p w14:paraId="22D7D80E" w14:textId="77777777" w:rsidR="00000000" w:rsidRDefault="001D0688">
      <w:pPr>
        <w:ind w:firstLine="720"/>
        <w:jc w:val="both"/>
        <w:divId w:val="1805930342"/>
        <w:rPr>
          <w:rFonts w:eastAsia="Times New Roman"/>
        </w:rPr>
      </w:pPr>
      <w:r>
        <w:rPr>
          <w:rFonts w:ascii="Arial" w:eastAsia="Times New Roman" w:hAnsi="Arial" w:cs="Arial"/>
          <w:color w:val="000000"/>
          <w:sz w:val="20"/>
          <w:szCs w:val="20"/>
        </w:rPr>
        <w:t>Pursuant to Section 404 of the Sarbanes Oxley Act of 2002 and related rules, our management is required to report on, and our independ</w:t>
      </w:r>
      <w:r>
        <w:rPr>
          <w:rFonts w:ascii="Arial" w:eastAsia="Times New Roman" w:hAnsi="Arial" w:cs="Arial"/>
          <w:color w:val="000000"/>
          <w:sz w:val="20"/>
          <w:szCs w:val="20"/>
        </w:rPr>
        <w:t>ent registered public accounting firm is required to attest to, the effectiveness of our internal control over financial reporting. The rules governing the standards that must be met for management to assess our internal control over financial reporting ar</w:t>
      </w:r>
      <w:r>
        <w:rPr>
          <w:rFonts w:ascii="Arial" w:eastAsia="Times New Roman" w:hAnsi="Arial" w:cs="Arial"/>
          <w:color w:val="000000"/>
          <w:sz w:val="20"/>
          <w:szCs w:val="20"/>
        </w:rPr>
        <w:t>e complex and require significant documentation, testing, and, in some instances, remediation. We have acquired entities that had no publicly traded debt or equity and therefore were not previously required to conform to the rules and regulations of the SE</w:t>
      </w:r>
      <w:r>
        <w:rPr>
          <w:rFonts w:ascii="Arial" w:eastAsia="Times New Roman" w:hAnsi="Arial" w:cs="Arial"/>
          <w:color w:val="000000"/>
          <w:sz w:val="20"/>
          <w:szCs w:val="20"/>
        </w:rPr>
        <w:t>C, especially related to their internal control structure. When we acquire such entities, they may not have in place all the necessary controls as required by the Public Company Accounting Oversight Board. Integrating acquired entities into our internal co</w:t>
      </w:r>
      <w:r>
        <w:rPr>
          <w:rFonts w:ascii="Arial" w:eastAsia="Times New Roman" w:hAnsi="Arial" w:cs="Arial"/>
          <w:color w:val="000000"/>
          <w:sz w:val="20"/>
          <w:szCs w:val="20"/>
        </w:rPr>
        <w:t>ntrol over financial reporting has required and will continue to require significant time and resources from our management and other personnel, which increases our compliance costs. We are required to include our assessment of the effectiveness of the int</w:t>
      </w:r>
      <w:r>
        <w:rPr>
          <w:rFonts w:ascii="Arial" w:eastAsia="Times New Roman" w:hAnsi="Arial" w:cs="Arial"/>
          <w:color w:val="000000"/>
          <w:sz w:val="20"/>
          <w:szCs w:val="20"/>
        </w:rPr>
        <w:t xml:space="preserve">ernal controls over financial reporting of entities we acquire in our overall assessment, so we must plan to complete the evaluation and integration of internal controls over financial reporting and report our assessment within the required time frame. </w:t>
      </w:r>
    </w:p>
    <w:p w14:paraId="4D886322" w14:textId="77777777" w:rsidR="00000000" w:rsidRDefault="001D0688">
      <w:pPr>
        <w:ind w:firstLine="720"/>
        <w:jc w:val="both"/>
        <w:divId w:val="236478279"/>
        <w:rPr>
          <w:rFonts w:eastAsia="Times New Roman"/>
        </w:rPr>
      </w:pPr>
      <w:r>
        <w:rPr>
          <w:rFonts w:ascii="Arial" w:eastAsia="Times New Roman" w:hAnsi="Arial" w:cs="Arial"/>
          <w:color w:val="000000"/>
          <w:sz w:val="20"/>
          <w:szCs w:val="20"/>
        </w:rPr>
        <w:t>In</w:t>
      </w:r>
      <w:r>
        <w:rPr>
          <w:rFonts w:ascii="Arial" w:eastAsia="Times New Roman" w:hAnsi="Arial" w:cs="Arial"/>
          <w:color w:val="000000"/>
          <w:sz w:val="20"/>
          <w:szCs w:val="20"/>
        </w:rPr>
        <w:t xml:space="preserve"> addition, with the increasing frequency of cyber-related frauds perpetrated to obtain inappropriate payments, we need to ensure our internal controls related to authorizing the transfer of funds and changing our vendor master files are adequate. Furthermo</w:t>
      </w:r>
      <w:r>
        <w:rPr>
          <w:rFonts w:ascii="Arial" w:eastAsia="Times New Roman" w:hAnsi="Arial" w:cs="Arial"/>
          <w:color w:val="000000"/>
          <w:sz w:val="20"/>
          <w:szCs w:val="20"/>
        </w:rPr>
        <w:t>re, the introduction of new, and changes to existing, enterprise resource planning (“ERP”) and financial reporting information systems create implementation and change management risks that require effective internal controls to mitigate. Failure to mainta</w:t>
      </w:r>
      <w:r>
        <w:rPr>
          <w:rFonts w:ascii="Arial" w:eastAsia="Times New Roman" w:hAnsi="Arial" w:cs="Arial"/>
          <w:color w:val="000000"/>
          <w:sz w:val="20"/>
          <w:szCs w:val="20"/>
        </w:rPr>
        <w:t>in an effective internal control environment could have a material adverse effect on our ability to accurately report our financial results, the market’s perception of our business, and our stock price.</w:t>
      </w:r>
    </w:p>
    <w:p w14:paraId="044FE539" w14:textId="77777777" w:rsidR="00000000" w:rsidRDefault="001D0688">
      <w:pPr>
        <w:jc w:val="both"/>
        <w:divId w:val="1436943194"/>
        <w:rPr>
          <w:rFonts w:eastAsia="Times New Roman"/>
        </w:rPr>
      </w:pPr>
    </w:p>
    <w:p w14:paraId="08197555" w14:textId="77777777" w:rsidR="00000000" w:rsidRDefault="001D0688">
      <w:pPr>
        <w:jc w:val="center"/>
        <w:divId w:val="663359250"/>
        <w:rPr>
          <w:rFonts w:eastAsia="Times New Roman"/>
        </w:rPr>
      </w:pPr>
      <w:r>
        <w:rPr>
          <w:rFonts w:ascii="Arial" w:eastAsia="Times New Roman" w:hAnsi="Arial" w:cs="Arial"/>
          <w:color w:val="000000"/>
          <w:sz w:val="20"/>
          <w:szCs w:val="20"/>
        </w:rPr>
        <w:t>14</w:t>
      </w:r>
    </w:p>
    <w:p w14:paraId="53B6E524" w14:textId="77777777" w:rsidR="00000000" w:rsidRDefault="001D0688">
      <w:pPr>
        <w:rPr>
          <w:rFonts w:eastAsia="Times New Roman"/>
        </w:rPr>
      </w:pPr>
      <w:r>
        <w:rPr>
          <w:rFonts w:eastAsia="Times New Roman"/>
        </w:rPr>
        <w:pict w14:anchorId="73175B1C">
          <v:rect id="_x0000_i1049" style="width:0;height:1.5pt" o:hralign="center" o:hrstd="t" o:hr="t" fillcolor="#a0a0a0" stroked="f"/>
        </w:pict>
      </w:r>
    </w:p>
    <w:p w14:paraId="2A8176D0" w14:textId="77777777" w:rsidR="00000000" w:rsidRDefault="001D0688">
      <w:pPr>
        <w:divId w:val="1410737470"/>
        <w:rPr>
          <w:rFonts w:eastAsia="Times New Roman"/>
        </w:rPr>
      </w:pPr>
    </w:p>
    <w:p w14:paraId="43B7D025" w14:textId="77777777" w:rsidR="00000000" w:rsidRDefault="001D0688">
      <w:pPr>
        <w:jc w:val="both"/>
        <w:divId w:val="1630016490"/>
        <w:rPr>
          <w:rFonts w:eastAsia="Times New Roman"/>
        </w:rPr>
      </w:pPr>
      <w:r>
        <w:rPr>
          <w:rFonts w:ascii="Arial" w:eastAsia="Times New Roman" w:hAnsi="Arial" w:cs="Arial"/>
          <w:b/>
          <w:bCs/>
          <w:color w:val="0046AD"/>
          <w:sz w:val="20"/>
          <w:szCs w:val="20"/>
        </w:rPr>
        <w:t>General Ri</w:t>
      </w:r>
      <w:r>
        <w:rPr>
          <w:rFonts w:ascii="Arial" w:eastAsia="Times New Roman" w:hAnsi="Arial" w:cs="Arial"/>
          <w:b/>
          <w:bCs/>
          <w:color w:val="0046AD"/>
          <w:sz w:val="20"/>
          <w:szCs w:val="20"/>
        </w:rPr>
        <w:t>sk Factors</w:t>
      </w:r>
    </w:p>
    <w:p w14:paraId="7DB8F953" w14:textId="77777777" w:rsidR="00000000" w:rsidRDefault="001D0688">
      <w:pPr>
        <w:jc w:val="both"/>
        <w:divId w:val="1996908599"/>
        <w:rPr>
          <w:rFonts w:eastAsia="Times New Roman"/>
        </w:rPr>
      </w:pPr>
      <w:r>
        <w:rPr>
          <w:rFonts w:ascii="Arial" w:eastAsia="Times New Roman" w:hAnsi="Arial" w:cs="Arial"/>
          <w:b/>
          <w:bCs/>
          <w:i/>
          <w:iCs/>
          <w:color w:val="0046AD"/>
          <w:sz w:val="20"/>
          <w:szCs w:val="20"/>
        </w:rPr>
        <w:t>Our business may be negatively impacted by adverse weather conditions.</w:t>
      </w:r>
    </w:p>
    <w:p w14:paraId="3C41D5D8" w14:textId="77777777" w:rsidR="00000000" w:rsidRDefault="001D0688">
      <w:pPr>
        <w:ind w:firstLine="720"/>
        <w:jc w:val="both"/>
        <w:divId w:val="780882567"/>
        <w:rPr>
          <w:rFonts w:eastAsia="Times New Roman"/>
        </w:rPr>
      </w:pPr>
      <w:r>
        <w:rPr>
          <w:rFonts w:ascii="Arial" w:eastAsia="Times New Roman" w:hAnsi="Arial" w:cs="Arial"/>
          <w:color w:val="000000"/>
          <w:sz w:val="20"/>
          <w:szCs w:val="20"/>
        </w:rPr>
        <w:t>Weather conditions such as snow storms, heavy flooding, hurricanes, and fluctuations in temperatures can negatively impact portions of our business. Within our Technical Solu</w:t>
      </w:r>
      <w:r>
        <w:rPr>
          <w:rFonts w:ascii="Arial" w:eastAsia="Times New Roman" w:hAnsi="Arial" w:cs="Arial"/>
          <w:color w:val="000000"/>
          <w:sz w:val="20"/>
          <w:szCs w:val="20"/>
        </w:rPr>
        <w:t xml:space="preserve">tions segment, cooler than normal temperatures in the summer could reduce the need for servicing of air conditioning units, resulting in reduced revenues and profitability. Within Parking and Aviation services, snow can lead to reduced travel activity, as </w:t>
      </w:r>
      <w:r>
        <w:rPr>
          <w:rFonts w:ascii="Arial" w:eastAsia="Times New Roman" w:hAnsi="Arial" w:cs="Arial"/>
          <w:color w:val="000000"/>
          <w:sz w:val="20"/>
          <w:szCs w:val="20"/>
        </w:rPr>
        <w:t>well as increases in certain costs, both of which negatively affect gross profit. On the other hand, the absence of snow during the winter could cause us to experience reduced revenues in our B&amp;I segment, as many of our contracts specify additional payment</w:t>
      </w:r>
      <w:r>
        <w:rPr>
          <w:rFonts w:ascii="Arial" w:eastAsia="Times New Roman" w:hAnsi="Arial" w:cs="Arial"/>
          <w:color w:val="000000"/>
          <w:sz w:val="20"/>
          <w:szCs w:val="20"/>
        </w:rPr>
        <w:t>s for snow-related services.</w:t>
      </w:r>
    </w:p>
    <w:p w14:paraId="44B5A080" w14:textId="77777777" w:rsidR="00000000" w:rsidRDefault="001D0688">
      <w:pPr>
        <w:jc w:val="both"/>
        <w:divId w:val="777408892"/>
        <w:rPr>
          <w:rFonts w:eastAsia="Times New Roman"/>
        </w:rPr>
      </w:pPr>
      <w:r>
        <w:rPr>
          <w:rFonts w:ascii="Arial" w:eastAsia="Times New Roman" w:hAnsi="Arial" w:cs="Arial"/>
          <w:b/>
          <w:bCs/>
          <w:i/>
          <w:iCs/>
          <w:color w:val="0046AD"/>
          <w:sz w:val="20"/>
          <w:szCs w:val="20"/>
        </w:rPr>
        <w:t>Catastrophic events, disasters, and terrorist attacks could disrupt our services.</w:t>
      </w:r>
    </w:p>
    <w:p w14:paraId="06DB30F6" w14:textId="77777777" w:rsidR="00000000" w:rsidRDefault="001D0688">
      <w:pPr>
        <w:ind w:firstLine="720"/>
        <w:jc w:val="both"/>
        <w:divId w:val="533614639"/>
        <w:rPr>
          <w:rFonts w:eastAsia="Times New Roman"/>
        </w:rPr>
      </w:pPr>
      <w:r>
        <w:rPr>
          <w:rFonts w:ascii="Arial" w:eastAsia="Times New Roman" w:hAnsi="Arial" w:cs="Arial"/>
          <w:color w:val="000000"/>
          <w:sz w:val="20"/>
          <w:szCs w:val="20"/>
        </w:rPr>
        <w:t xml:space="preserve">We may encounter disruptions involving power, communications, transportation or other utilities, or essential services depended upon by us or by </w:t>
      </w:r>
      <w:r>
        <w:rPr>
          <w:rFonts w:ascii="Arial" w:eastAsia="Times New Roman" w:hAnsi="Arial" w:cs="Arial"/>
          <w:color w:val="000000"/>
          <w:sz w:val="20"/>
          <w:szCs w:val="20"/>
        </w:rPr>
        <w:t>third parties with whom we conduct business. This could include disruptions due to disasters, pandemics, weather-related or similar events (such as fires, hurricanes, blizzards, earthquakes, and floods), political instability, labor strikes, or war (includ</w:t>
      </w:r>
      <w:r>
        <w:rPr>
          <w:rFonts w:ascii="Arial" w:eastAsia="Times New Roman" w:hAnsi="Arial" w:cs="Arial"/>
          <w:color w:val="000000"/>
          <w:sz w:val="20"/>
          <w:szCs w:val="20"/>
        </w:rPr>
        <w:t xml:space="preserve">ing acts of terrorism or hostilities) that could impact our markets. If a disruption occurs in one location and persons in that location are unable to communicate with or travel to or work from other locations, our ability to service and interact with our </w:t>
      </w:r>
      <w:r>
        <w:rPr>
          <w:rFonts w:ascii="Arial" w:eastAsia="Times New Roman" w:hAnsi="Arial" w:cs="Arial"/>
          <w:color w:val="000000"/>
          <w:sz w:val="20"/>
          <w:szCs w:val="20"/>
        </w:rPr>
        <w:t>clients and others may suffer, and we may not be able to successfully implement contingency plans that depend on communications or travel. These events may increase the volatility of financial results due to unforeseen costs with partial or no correspondin</w:t>
      </w:r>
      <w:r>
        <w:rPr>
          <w:rFonts w:ascii="Arial" w:eastAsia="Times New Roman" w:hAnsi="Arial" w:cs="Arial"/>
          <w:color w:val="000000"/>
          <w:sz w:val="20"/>
          <w:szCs w:val="20"/>
        </w:rPr>
        <w:t>g compensation from clients. There also can be no assurance that the disaster recovery and crisis management procedures we employ will suffice in any particular situation to avoid a significant loss. In addition, to the extent centralized administrative lo</w:t>
      </w:r>
      <w:r>
        <w:rPr>
          <w:rFonts w:ascii="Arial" w:eastAsia="Times New Roman" w:hAnsi="Arial" w:cs="Arial"/>
          <w:color w:val="000000"/>
          <w:sz w:val="20"/>
          <w:szCs w:val="20"/>
        </w:rPr>
        <w:t>cations are disabled for a long period of time, key business processes, such as accounts payable, information technology, payroll, and general management operations, could be interrupted.</w:t>
      </w:r>
    </w:p>
    <w:p w14:paraId="21F1F468" w14:textId="77777777" w:rsidR="00000000" w:rsidRDefault="001D0688">
      <w:pPr>
        <w:jc w:val="both"/>
        <w:divId w:val="991641583"/>
        <w:rPr>
          <w:rFonts w:eastAsia="Times New Roman"/>
        </w:rPr>
      </w:pPr>
      <w:r>
        <w:rPr>
          <w:rFonts w:ascii="Arial" w:eastAsia="Times New Roman" w:hAnsi="Arial" w:cs="Arial"/>
          <w:b/>
          <w:bCs/>
          <w:i/>
          <w:iCs/>
          <w:color w:val="0046AD"/>
          <w:sz w:val="20"/>
          <w:szCs w:val="20"/>
        </w:rPr>
        <w:t>Actions of activist investors could disrupt our business.</w:t>
      </w:r>
    </w:p>
    <w:p w14:paraId="5A3A059B" w14:textId="77777777" w:rsidR="00000000" w:rsidRDefault="001D0688">
      <w:pPr>
        <w:ind w:firstLine="720"/>
        <w:jc w:val="both"/>
        <w:divId w:val="1532958143"/>
        <w:rPr>
          <w:rFonts w:eastAsia="Times New Roman"/>
        </w:rPr>
      </w:pPr>
      <w:r>
        <w:rPr>
          <w:rFonts w:ascii="Arial" w:eastAsia="Times New Roman" w:hAnsi="Arial" w:cs="Arial"/>
          <w:color w:val="000000"/>
          <w:sz w:val="20"/>
          <w:szCs w:val="20"/>
        </w:rPr>
        <w:t>Public com</w:t>
      </w:r>
      <w:r>
        <w:rPr>
          <w:rFonts w:ascii="Arial" w:eastAsia="Times New Roman" w:hAnsi="Arial" w:cs="Arial"/>
          <w:color w:val="000000"/>
          <w:sz w:val="20"/>
          <w:szCs w:val="20"/>
        </w:rPr>
        <w:t>panies have been the target of activist investors. In the event that a third party, such as an activist investor, proposes to change our governance policies, board of directors, or other aspects of our operations, our review and consideration of such propo</w:t>
      </w:r>
      <w:r>
        <w:rPr>
          <w:rFonts w:ascii="Arial" w:eastAsia="Times New Roman" w:hAnsi="Arial" w:cs="Arial"/>
          <w:color w:val="000000"/>
          <w:sz w:val="20"/>
          <w:szCs w:val="20"/>
        </w:rPr>
        <w:t xml:space="preserve">sals may create a significant distraction for our management and employees. This could negatively impact our ability to execute various strategic initiatives and may require management to expend significant time and resources responding to such proposals. </w:t>
      </w:r>
      <w:r>
        <w:rPr>
          <w:rFonts w:ascii="Arial" w:eastAsia="Times New Roman" w:hAnsi="Arial" w:cs="Arial"/>
          <w:color w:val="000000"/>
          <w:sz w:val="20"/>
          <w:szCs w:val="20"/>
        </w:rPr>
        <w:t xml:space="preserve">Such proposals may also create uncertainties with respect to our financial position and operations and may adversely affect our ability to attract and retain key employees.  </w:t>
      </w:r>
    </w:p>
    <w:p w14:paraId="7EF6049D" w14:textId="77777777" w:rsidR="00000000" w:rsidRDefault="001D0688">
      <w:pPr>
        <w:divId w:val="1553998643"/>
        <w:rPr>
          <w:rFonts w:eastAsia="Times New Roman"/>
        </w:rPr>
      </w:pPr>
      <w:r>
        <w:rPr>
          <w:rFonts w:ascii="Arial" w:eastAsia="Times New Roman" w:hAnsi="Arial" w:cs="Arial"/>
          <w:b/>
          <w:bCs/>
          <w:color w:val="0046AD"/>
          <w:sz w:val="20"/>
          <w:szCs w:val="20"/>
        </w:rPr>
        <w:t>ITEM 1B. UNRESOLVED STAFF COMMENTS.</w:t>
      </w:r>
    </w:p>
    <w:p w14:paraId="3F1BFE29" w14:textId="77777777" w:rsidR="00000000" w:rsidRDefault="001D0688">
      <w:pPr>
        <w:ind w:firstLine="720"/>
        <w:jc w:val="both"/>
        <w:divId w:val="2072728102"/>
        <w:rPr>
          <w:rFonts w:eastAsia="Times New Roman"/>
        </w:rPr>
      </w:pPr>
      <w:r>
        <w:rPr>
          <w:rFonts w:ascii="Arial" w:eastAsia="Times New Roman" w:hAnsi="Arial" w:cs="Arial"/>
          <w:color w:val="000000"/>
          <w:sz w:val="20"/>
          <w:szCs w:val="20"/>
        </w:rPr>
        <w:t xml:space="preserve">None. </w:t>
      </w:r>
    </w:p>
    <w:p w14:paraId="2FF23FF0" w14:textId="77777777" w:rsidR="00000000" w:rsidRDefault="001D0688">
      <w:pPr>
        <w:jc w:val="center"/>
        <w:divId w:val="416437505"/>
        <w:rPr>
          <w:rFonts w:eastAsia="Times New Roman"/>
        </w:rPr>
      </w:pPr>
      <w:r>
        <w:rPr>
          <w:rFonts w:ascii="Arial" w:eastAsia="Times New Roman" w:hAnsi="Arial" w:cs="Arial"/>
          <w:color w:val="000000"/>
          <w:sz w:val="20"/>
          <w:szCs w:val="20"/>
        </w:rPr>
        <w:t>15</w:t>
      </w:r>
    </w:p>
    <w:p w14:paraId="7B8BBA3E" w14:textId="77777777" w:rsidR="00000000" w:rsidRDefault="001D0688">
      <w:pPr>
        <w:rPr>
          <w:rFonts w:eastAsia="Times New Roman"/>
        </w:rPr>
      </w:pPr>
      <w:r>
        <w:rPr>
          <w:rFonts w:eastAsia="Times New Roman"/>
        </w:rPr>
        <w:pict w14:anchorId="620F4139">
          <v:rect id="_x0000_i1050" style="width:0;height:1.5pt" o:hralign="center" o:hrstd="t" o:hr="t" fillcolor="#a0a0a0" stroked="f"/>
        </w:pict>
      </w:r>
    </w:p>
    <w:p w14:paraId="3A74D77B" w14:textId="77777777" w:rsidR="00000000" w:rsidRDefault="001D0688">
      <w:pPr>
        <w:divId w:val="478690977"/>
        <w:rPr>
          <w:rFonts w:eastAsia="Times New Roman"/>
        </w:rPr>
      </w:pPr>
    </w:p>
    <w:p w14:paraId="2F7B665F" w14:textId="77777777" w:rsidR="00000000" w:rsidRDefault="001D0688">
      <w:pPr>
        <w:divId w:val="1785267870"/>
        <w:rPr>
          <w:rFonts w:eastAsia="Times New Roman"/>
        </w:rPr>
      </w:pPr>
    </w:p>
    <w:p w14:paraId="2C131870" w14:textId="77777777" w:rsidR="00000000" w:rsidRDefault="001D0688">
      <w:pPr>
        <w:divId w:val="1707565328"/>
        <w:rPr>
          <w:rFonts w:eastAsia="Times New Roman"/>
        </w:rPr>
      </w:pPr>
      <w:r>
        <w:rPr>
          <w:rFonts w:ascii="Arial" w:eastAsia="Times New Roman" w:hAnsi="Arial" w:cs="Arial"/>
          <w:b/>
          <w:bCs/>
          <w:color w:val="0046AD"/>
          <w:sz w:val="20"/>
          <w:szCs w:val="20"/>
        </w:rPr>
        <w:t>ITEM 2. PROPERTIES.</w:t>
      </w:r>
    </w:p>
    <w:p w14:paraId="739D56ED" w14:textId="77777777" w:rsidR="00000000" w:rsidRDefault="001D0688">
      <w:pPr>
        <w:ind w:firstLine="720"/>
        <w:jc w:val="both"/>
        <w:divId w:val="1059859273"/>
        <w:rPr>
          <w:rFonts w:eastAsia="Times New Roman"/>
        </w:rPr>
      </w:pPr>
      <w:r>
        <w:rPr>
          <w:rFonts w:ascii="Arial" w:eastAsia="Times New Roman" w:hAnsi="Arial" w:cs="Arial"/>
          <w:color w:val="000000"/>
          <w:sz w:val="20"/>
          <w:szCs w:val="20"/>
        </w:rPr>
        <w:t>Our principal executive office is located at One Liberty Plaza, 7th Floor, New York, New York 10006. As part of our</w:t>
      </w:r>
      <w:r>
        <w:rPr>
          <w:rFonts w:ascii="Arial" w:eastAsia="Times New Roman" w:hAnsi="Arial" w:cs="Arial"/>
          <w:b/>
          <w:bCs/>
          <w:color w:val="FF9C1D"/>
          <w:sz w:val="20"/>
          <w:szCs w:val="20"/>
        </w:rPr>
        <w:t xml:space="preserve"> 2020</w:t>
      </w:r>
      <w:r>
        <w:rPr>
          <w:rFonts w:ascii="Arial" w:eastAsia="Times New Roman" w:hAnsi="Arial" w:cs="Arial"/>
          <w:color w:val="000000"/>
          <w:sz w:val="20"/>
          <w:szCs w:val="20"/>
        </w:rPr>
        <w:t xml:space="preserve"> </w:t>
      </w:r>
      <w:r>
        <w:rPr>
          <w:rFonts w:ascii="Arial" w:eastAsia="Times New Roman" w:hAnsi="Arial" w:cs="Arial"/>
          <w:b/>
          <w:bCs/>
          <w:color w:val="326ABD"/>
          <w:sz w:val="20"/>
          <w:szCs w:val="20"/>
        </w:rPr>
        <w:t>Vision</w:t>
      </w:r>
      <w:r>
        <w:rPr>
          <w:rFonts w:ascii="Arial" w:eastAsia="Times New Roman" w:hAnsi="Arial" w:cs="Arial"/>
          <w:color w:val="000000"/>
          <w:sz w:val="20"/>
          <w:szCs w:val="20"/>
        </w:rPr>
        <w:t>, in 2016 we began consolidating our operations to increase efficienc</w:t>
      </w:r>
      <w:r>
        <w:rPr>
          <w:rFonts w:ascii="Arial" w:eastAsia="Times New Roman" w:hAnsi="Arial" w:cs="Arial"/>
          <w:color w:val="000000"/>
          <w:sz w:val="20"/>
          <w:szCs w:val="20"/>
        </w:rPr>
        <w:t>y and effectiveness.</w:t>
      </w:r>
    </w:p>
    <w:p w14:paraId="761CC4EB" w14:textId="77777777" w:rsidR="00000000" w:rsidRDefault="001D0688">
      <w:pPr>
        <w:jc w:val="both"/>
        <w:divId w:val="761414445"/>
        <w:rPr>
          <w:rFonts w:eastAsia="Times New Roman"/>
        </w:rPr>
      </w:pPr>
      <w:r>
        <w:rPr>
          <w:rFonts w:ascii="Arial" w:eastAsia="Times New Roman" w:hAnsi="Arial" w:cs="Arial"/>
          <w:b/>
          <w:bCs/>
          <w:color w:val="0046AD"/>
          <w:sz w:val="20"/>
          <w:szCs w:val="20"/>
        </w:rPr>
        <w:t>Principal Properties as of October 31, 2020</w:t>
      </w:r>
    </w:p>
    <w:tbl>
      <w:tblPr>
        <w:tblW w:w="4978" w:type="pct"/>
        <w:jc w:val="center"/>
        <w:tblCellMar>
          <w:top w:w="15" w:type="dxa"/>
          <w:left w:w="15" w:type="dxa"/>
          <w:bottom w:w="15" w:type="dxa"/>
          <w:right w:w="15" w:type="dxa"/>
        </w:tblCellMar>
        <w:tblLook w:val="04A0" w:firstRow="1" w:lastRow="0" w:firstColumn="1" w:lastColumn="0" w:noHBand="0" w:noVBand="1"/>
      </w:tblPr>
      <w:tblGrid>
        <w:gridCol w:w="57"/>
        <w:gridCol w:w="1499"/>
        <w:gridCol w:w="36"/>
        <w:gridCol w:w="36"/>
        <w:gridCol w:w="36"/>
        <w:gridCol w:w="36"/>
        <w:gridCol w:w="59"/>
        <w:gridCol w:w="1466"/>
        <w:gridCol w:w="37"/>
        <w:gridCol w:w="36"/>
        <w:gridCol w:w="36"/>
        <w:gridCol w:w="36"/>
        <w:gridCol w:w="66"/>
        <w:gridCol w:w="1459"/>
        <w:gridCol w:w="36"/>
        <w:gridCol w:w="36"/>
        <w:gridCol w:w="36"/>
        <w:gridCol w:w="36"/>
        <w:gridCol w:w="53"/>
        <w:gridCol w:w="1472"/>
        <w:gridCol w:w="36"/>
        <w:gridCol w:w="36"/>
        <w:gridCol w:w="36"/>
        <w:gridCol w:w="36"/>
        <w:gridCol w:w="46"/>
        <w:gridCol w:w="1479"/>
        <w:gridCol w:w="36"/>
      </w:tblGrid>
      <w:tr w:rsidR="00000000" w14:paraId="5F6CE1E5" w14:textId="77777777">
        <w:trPr>
          <w:divId w:val="62066793"/>
          <w:jc w:val="center"/>
        </w:trPr>
        <w:tc>
          <w:tcPr>
            <w:tcW w:w="50" w:type="pct"/>
            <w:vAlign w:val="center"/>
            <w:hideMark/>
          </w:tcPr>
          <w:p w14:paraId="48BB7145" w14:textId="77777777" w:rsidR="00000000" w:rsidRDefault="001D0688">
            <w:pPr>
              <w:jc w:val="both"/>
              <w:rPr>
                <w:rFonts w:eastAsia="Times New Roman"/>
              </w:rPr>
            </w:pPr>
          </w:p>
        </w:tc>
        <w:tc>
          <w:tcPr>
            <w:tcW w:w="921" w:type="pct"/>
            <w:vAlign w:val="center"/>
            <w:hideMark/>
          </w:tcPr>
          <w:p w14:paraId="59F52E52" w14:textId="77777777" w:rsidR="00000000" w:rsidRDefault="001D0688">
            <w:pPr>
              <w:rPr>
                <w:rFonts w:eastAsia="Times New Roman"/>
                <w:sz w:val="20"/>
                <w:szCs w:val="20"/>
              </w:rPr>
            </w:pPr>
          </w:p>
        </w:tc>
        <w:tc>
          <w:tcPr>
            <w:tcW w:w="5" w:type="pct"/>
            <w:vAlign w:val="center"/>
            <w:hideMark/>
          </w:tcPr>
          <w:p w14:paraId="2DFED9DB" w14:textId="77777777" w:rsidR="00000000" w:rsidRDefault="001D0688">
            <w:pPr>
              <w:rPr>
                <w:rFonts w:eastAsia="Times New Roman"/>
                <w:sz w:val="20"/>
                <w:szCs w:val="20"/>
              </w:rPr>
            </w:pPr>
          </w:p>
        </w:tc>
        <w:tc>
          <w:tcPr>
            <w:tcW w:w="5" w:type="pct"/>
            <w:vAlign w:val="center"/>
            <w:hideMark/>
          </w:tcPr>
          <w:p w14:paraId="24F866C6" w14:textId="77777777" w:rsidR="00000000" w:rsidRDefault="001D0688">
            <w:pPr>
              <w:rPr>
                <w:rFonts w:eastAsia="Times New Roman"/>
                <w:sz w:val="20"/>
                <w:szCs w:val="20"/>
              </w:rPr>
            </w:pPr>
          </w:p>
        </w:tc>
        <w:tc>
          <w:tcPr>
            <w:tcW w:w="26" w:type="pct"/>
            <w:vAlign w:val="center"/>
            <w:hideMark/>
          </w:tcPr>
          <w:p w14:paraId="688B86F4" w14:textId="77777777" w:rsidR="00000000" w:rsidRDefault="001D0688">
            <w:pPr>
              <w:rPr>
                <w:rFonts w:eastAsia="Times New Roman"/>
                <w:sz w:val="20"/>
                <w:szCs w:val="20"/>
              </w:rPr>
            </w:pPr>
          </w:p>
        </w:tc>
        <w:tc>
          <w:tcPr>
            <w:tcW w:w="5" w:type="pct"/>
            <w:vAlign w:val="center"/>
            <w:hideMark/>
          </w:tcPr>
          <w:p w14:paraId="4BC5345A" w14:textId="77777777" w:rsidR="00000000" w:rsidRDefault="001D0688">
            <w:pPr>
              <w:rPr>
                <w:rFonts w:eastAsia="Times New Roman"/>
                <w:sz w:val="20"/>
                <w:szCs w:val="20"/>
              </w:rPr>
            </w:pPr>
          </w:p>
        </w:tc>
        <w:tc>
          <w:tcPr>
            <w:tcW w:w="50" w:type="pct"/>
            <w:vAlign w:val="center"/>
            <w:hideMark/>
          </w:tcPr>
          <w:p w14:paraId="6776483E" w14:textId="77777777" w:rsidR="00000000" w:rsidRDefault="001D0688">
            <w:pPr>
              <w:rPr>
                <w:rFonts w:eastAsia="Times New Roman"/>
                <w:sz w:val="20"/>
                <w:szCs w:val="20"/>
              </w:rPr>
            </w:pPr>
          </w:p>
        </w:tc>
        <w:tc>
          <w:tcPr>
            <w:tcW w:w="914" w:type="pct"/>
            <w:vAlign w:val="center"/>
            <w:hideMark/>
          </w:tcPr>
          <w:p w14:paraId="3FBE73C6" w14:textId="77777777" w:rsidR="00000000" w:rsidRDefault="001D0688">
            <w:pPr>
              <w:rPr>
                <w:rFonts w:eastAsia="Times New Roman"/>
                <w:sz w:val="20"/>
                <w:szCs w:val="20"/>
              </w:rPr>
            </w:pPr>
          </w:p>
        </w:tc>
        <w:tc>
          <w:tcPr>
            <w:tcW w:w="5" w:type="pct"/>
            <w:vAlign w:val="center"/>
            <w:hideMark/>
          </w:tcPr>
          <w:p w14:paraId="086C596F" w14:textId="77777777" w:rsidR="00000000" w:rsidRDefault="001D0688">
            <w:pPr>
              <w:rPr>
                <w:rFonts w:eastAsia="Times New Roman"/>
                <w:sz w:val="20"/>
                <w:szCs w:val="20"/>
              </w:rPr>
            </w:pPr>
          </w:p>
        </w:tc>
        <w:tc>
          <w:tcPr>
            <w:tcW w:w="5" w:type="pct"/>
            <w:vAlign w:val="center"/>
            <w:hideMark/>
          </w:tcPr>
          <w:p w14:paraId="3FAFBD62" w14:textId="77777777" w:rsidR="00000000" w:rsidRDefault="001D0688">
            <w:pPr>
              <w:rPr>
                <w:rFonts w:eastAsia="Times New Roman"/>
                <w:sz w:val="20"/>
                <w:szCs w:val="20"/>
              </w:rPr>
            </w:pPr>
          </w:p>
        </w:tc>
        <w:tc>
          <w:tcPr>
            <w:tcW w:w="26" w:type="pct"/>
            <w:vAlign w:val="center"/>
            <w:hideMark/>
          </w:tcPr>
          <w:p w14:paraId="54012C12" w14:textId="77777777" w:rsidR="00000000" w:rsidRDefault="001D0688">
            <w:pPr>
              <w:rPr>
                <w:rFonts w:eastAsia="Times New Roman"/>
                <w:sz w:val="20"/>
                <w:szCs w:val="20"/>
              </w:rPr>
            </w:pPr>
          </w:p>
        </w:tc>
        <w:tc>
          <w:tcPr>
            <w:tcW w:w="5" w:type="pct"/>
            <w:vAlign w:val="center"/>
            <w:hideMark/>
          </w:tcPr>
          <w:p w14:paraId="4C0495B7" w14:textId="77777777" w:rsidR="00000000" w:rsidRDefault="001D0688">
            <w:pPr>
              <w:rPr>
                <w:rFonts w:eastAsia="Times New Roman"/>
                <w:sz w:val="20"/>
                <w:szCs w:val="20"/>
              </w:rPr>
            </w:pPr>
          </w:p>
        </w:tc>
        <w:tc>
          <w:tcPr>
            <w:tcW w:w="50" w:type="pct"/>
            <w:vAlign w:val="center"/>
            <w:hideMark/>
          </w:tcPr>
          <w:p w14:paraId="66F06BE3" w14:textId="77777777" w:rsidR="00000000" w:rsidRDefault="001D0688">
            <w:pPr>
              <w:rPr>
                <w:rFonts w:eastAsia="Times New Roman"/>
                <w:sz w:val="20"/>
                <w:szCs w:val="20"/>
              </w:rPr>
            </w:pPr>
          </w:p>
        </w:tc>
        <w:tc>
          <w:tcPr>
            <w:tcW w:w="914" w:type="pct"/>
            <w:vAlign w:val="center"/>
            <w:hideMark/>
          </w:tcPr>
          <w:p w14:paraId="3067DE93" w14:textId="77777777" w:rsidR="00000000" w:rsidRDefault="001D0688">
            <w:pPr>
              <w:rPr>
                <w:rFonts w:eastAsia="Times New Roman"/>
                <w:sz w:val="20"/>
                <w:szCs w:val="20"/>
              </w:rPr>
            </w:pPr>
          </w:p>
        </w:tc>
        <w:tc>
          <w:tcPr>
            <w:tcW w:w="5" w:type="pct"/>
            <w:vAlign w:val="center"/>
            <w:hideMark/>
          </w:tcPr>
          <w:p w14:paraId="1BD27197" w14:textId="77777777" w:rsidR="00000000" w:rsidRDefault="001D0688">
            <w:pPr>
              <w:rPr>
                <w:rFonts w:eastAsia="Times New Roman"/>
                <w:sz w:val="20"/>
                <w:szCs w:val="20"/>
              </w:rPr>
            </w:pPr>
          </w:p>
        </w:tc>
        <w:tc>
          <w:tcPr>
            <w:tcW w:w="5" w:type="pct"/>
            <w:vAlign w:val="center"/>
            <w:hideMark/>
          </w:tcPr>
          <w:p w14:paraId="735C6C91" w14:textId="77777777" w:rsidR="00000000" w:rsidRDefault="001D0688">
            <w:pPr>
              <w:rPr>
                <w:rFonts w:eastAsia="Times New Roman"/>
                <w:sz w:val="20"/>
                <w:szCs w:val="20"/>
              </w:rPr>
            </w:pPr>
          </w:p>
        </w:tc>
        <w:tc>
          <w:tcPr>
            <w:tcW w:w="26" w:type="pct"/>
            <w:vAlign w:val="center"/>
            <w:hideMark/>
          </w:tcPr>
          <w:p w14:paraId="3BBDF827" w14:textId="77777777" w:rsidR="00000000" w:rsidRDefault="001D0688">
            <w:pPr>
              <w:rPr>
                <w:rFonts w:eastAsia="Times New Roman"/>
                <w:sz w:val="20"/>
                <w:szCs w:val="20"/>
              </w:rPr>
            </w:pPr>
          </w:p>
        </w:tc>
        <w:tc>
          <w:tcPr>
            <w:tcW w:w="5" w:type="pct"/>
            <w:vAlign w:val="center"/>
            <w:hideMark/>
          </w:tcPr>
          <w:p w14:paraId="01E5C537" w14:textId="77777777" w:rsidR="00000000" w:rsidRDefault="001D0688">
            <w:pPr>
              <w:rPr>
                <w:rFonts w:eastAsia="Times New Roman"/>
                <w:sz w:val="20"/>
                <w:szCs w:val="20"/>
              </w:rPr>
            </w:pPr>
          </w:p>
        </w:tc>
        <w:tc>
          <w:tcPr>
            <w:tcW w:w="50" w:type="pct"/>
            <w:vAlign w:val="center"/>
            <w:hideMark/>
          </w:tcPr>
          <w:p w14:paraId="66CB88AC" w14:textId="77777777" w:rsidR="00000000" w:rsidRDefault="001D0688">
            <w:pPr>
              <w:rPr>
                <w:rFonts w:eastAsia="Times New Roman"/>
                <w:sz w:val="20"/>
                <w:szCs w:val="20"/>
              </w:rPr>
            </w:pPr>
          </w:p>
        </w:tc>
        <w:tc>
          <w:tcPr>
            <w:tcW w:w="914" w:type="pct"/>
            <w:vAlign w:val="center"/>
            <w:hideMark/>
          </w:tcPr>
          <w:p w14:paraId="29472972" w14:textId="77777777" w:rsidR="00000000" w:rsidRDefault="001D0688">
            <w:pPr>
              <w:rPr>
                <w:rFonts w:eastAsia="Times New Roman"/>
                <w:sz w:val="20"/>
                <w:szCs w:val="20"/>
              </w:rPr>
            </w:pPr>
          </w:p>
        </w:tc>
        <w:tc>
          <w:tcPr>
            <w:tcW w:w="5" w:type="pct"/>
            <w:vAlign w:val="center"/>
            <w:hideMark/>
          </w:tcPr>
          <w:p w14:paraId="2A0DC7AB" w14:textId="77777777" w:rsidR="00000000" w:rsidRDefault="001D0688">
            <w:pPr>
              <w:rPr>
                <w:rFonts w:eastAsia="Times New Roman"/>
                <w:sz w:val="20"/>
                <w:szCs w:val="20"/>
              </w:rPr>
            </w:pPr>
          </w:p>
        </w:tc>
        <w:tc>
          <w:tcPr>
            <w:tcW w:w="5" w:type="pct"/>
            <w:vAlign w:val="center"/>
            <w:hideMark/>
          </w:tcPr>
          <w:p w14:paraId="6DB1A902" w14:textId="77777777" w:rsidR="00000000" w:rsidRDefault="001D0688">
            <w:pPr>
              <w:rPr>
                <w:rFonts w:eastAsia="Times New Roman"/>
                <w:sz w:val="20"/>
                <w:szCs w:val="20"/>
              </w:rPr>
            </w:pPr>
          </w:p>
        </w:tc>
        <w:tc>
          <w:tcPr>
            <w:tcW w:w="26" w:type="pct"/>
            <w:vAlign w:val="center"/>
            <w:hideMark/>
          </w:tcPr>
          <w:p w14:paraId="53ADB347" w14:textId="77777777" w:rsidR="00000000" w:rsidRDefault="001D0688">
            <w:pPr>
              <w:rPr>
                <w:rFonts w:eastAsia="Times New Roman"/>
                <w:sz w:val="20"/>
                <w:szCs w:val="20"/>
              </w:rPr>
            </w:pPr>
          </w:p>
        </w:tc>
        <w:tc>
          <w:tcPr>
            <w:tcW w:w="5" w:type="pct"/>
            <w:vAlign w:val="center"/>
            <w:hideMark/>
          </w:tcPr>
          <w:p w14:paraId="49C386E1" w14:textId="77777777" w:rsidR="00000000" w:rsidRDefault="001D0688">
            <w:pPr>
              <w:rPr>
                <w:rFonts w:eastAsia="Times New Roman"/>
                <w:sz w:val="20"/>
                <w:szCs w:val="20"/>
              </w:rPr>
            </w:pPr>
          </w:p>
        </w:tc>
        <w:tc>
          <w:tcPr>
            <w:tcW w:w="50" w:type="pct"/>
            <w:vAlign w:val="center"/>
            <w:hideMark/>
          </w:tcPr>
          <w:p w14:paraId="6D1A48A4" w14:textId="77777777" w:rsidR="00000000" w:rsidRDefault="001D0688">
            <w:pPr>
              <w:rPr>
                <w:rFonts w:eastAsia="Times New Roman"/>
                <w:sz w:val="20"/>
                <w:szCs w:val="20"/>
              </w:rPr>
            </w:pPr>
          </w:p>
        </w:tc>
        <w:tc>
          <w:tcPr>
            <w:tcW w:w="914" w:type="pct"/>
            <w:vAlign w:val="center"/>
            <w:hideMark/>
          </w:tcPr>
          <w:p w14:paraId="2461B2CB" w14:textId="77777777" w:rsidR="00000000" w:rsidRDefault="001D0688">
            <w:pPr>
              <w:rPr>
                <w:rFonts w:eastAsia="Times New Roman"/>
                <w:sz w:val="20"/>
                <w:szCs w:val="20"/>
              </w:rPr>
            </w:pPr>
          </w:p>
        </w:tc>
        <w:tc>
          <w:tcPr>
            <w:tcW w:w="5" w:type="pct"/>
            <w:vAlign w:val="center"/>
            <w:hideMark/>
          </w:tcPr>
          <w:p w14:paraId="5314C8EC" w14:textId="77777777" w:rsidR="00000000" w:rsidRDefault="001D0688">
            <w:pPr>
              <w:rPr>
                <w:rFonts w:eastAsia="Times New Roman"/>
                <w:sz w:val="20"/>
                <w:szCs w:val="20"/>
              </w:rPr>
            </w:pPr>
          </w:p>
        </w:tc>
      </w:tr>
      <w:tr w:rsidR="00000000" w14:paraId="6C034E51" w14:textId="77777777">
        <w:trPr>
          <w:divId w:val="62066793"/>
          <w:jc w:val="center"/>
        </w:trPr>
        <w:tc>
          <w:tcPr>
            <w:tcW w:w="0" w:type="auto"/>
            <w:gridSpan w:val="3"/>
            <w:tcMar>
              <w:top w:w="30" w:type="dxa"/>
              <w:left w:w="20" w:type="dxa"/>
              <w:bottom w:w="30" w:type="dxa"/>
              <w:right w:w="20" w:type="dxa"/>
            </w:tcMar>
            <w:vAlign w:val="bottom"/>
            <w:hideMark/>
          </w:tcPr>
          <w:p w14:paraId="6F22F810" w14:textId="77777777" w:rsidR="00000000" w:rsidRDefault="001D0688">
            <w:pPr>
              <w:jc w:val="center"/>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14:paraId="2B9370E7"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525F27C2" w14:textId="77777777" w:rsidR="00000000" w:rsidRDefault="001D0688">
            <w:pPr>
              <w:jc w:val="center"/>
              <w:rPr>
                <w:rFonts w:eastAsia="Times New Roman"/>
              </w:rPr>
            </w:pPr>
            <w:r>
              <w:rPr>
                <w:rFonts w:ascii="Arial" w:eastAsia="Times New Roman" w:hAnsi="Arial" w:cs="Arial"/>
                <w:b/>
                <w:bCs/>
                <w:color w:val="000000"/>
                <w:sz w:val="20"/>
                <w:szCs w:val="20"/>
              </w:rPr>
              <w:t>Character of Office</w:t>
            </w:r>
          </w:p>
        </w:tc>
        <w:tc>
          <w:tcPr>
            <w:tcW w:w="0" w:type="auto"/>
            <w:gridSpan w:val="3"/>
            <w:tcMar>
              <w:top w:w="0" w:type="dxa"/>
              <w:left w:w="20" w:type="dxa"/>
              <w:bottom w:w="0" w:type="dxa"/>
              <w:right w:w="20" w:type="dxa"/>
            </w:tcMar>
            <w:vAlign w:val="center"/>
            <w:hideMark/>
          </w:tcPr>
          <w:p w14:paraId="27850F26"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6A2FE32" w14:textId="77777777" w:rsidR="00000000" w:rsidRDefault="001D0688">
            <w:pPr>
              <w:jc w:val="center"/>
              <w:rPr>
                <w:rFonts w:eastAsia="Times New Roman"/>
              </w:rPr>
            </w:pPr>
            <w:r>
              <w:rPr>
                <w:rFonts w:ascii="Arial" w:eastAsia="Times New Roman" w:hAnsi="Arial" w:cs="Arial"/>
                <w:b/>
                <w:bCs/>
                <w:color w:val="000000"/>
                <w:sz w:val="20"/>
                <w:szCs w:val="20"/>
              </w:rPr>
              <w:t>Approximate Square Feet</w:t>
            </w:r>
          </w:p>
        </w:tc>
        <w:tc>
          <w:tcPr>
            <w:tcW w:w="0" w:type="auto"/>
            <w:gridSpan w:val="3"/>
            <w:tcMar>
              <w:top w:w="0" w:type="dxa"/>
              <w:left w:w="20" w:type="dxa"/>
              <w:bottom w:w="0" w:type="dxa"/>
              <w:right w:w="20" w:type="dxa"/>
            </w:tcMar>
            <w:vAlign w:val="center"/>
            <w:hideMark/>
          </w:tcPr>
          <w:p w14:paraId="25FE9264"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242D215" w14:textId="77777777" w:rsidR="00000000" w:rsidRDefault="001D0688">
            <w:pPr>
              <w:jc w:val="center"/>
              <w:rPr>
                <w:rFonts w:eastAsia="Times New Roman"/>
              </w:rPr>
            </w:pPr>
            <w:r>
              <w:rPr>
                <w:rFonts w:ascii="Arial" w:eastAsia="Times New Roman" w:hAnsi="Arial" w:cs="Arial"/>
                <w:b/>
                <w:bCs/>
                <w:color w:val="000000"/>
                <w:sz w:val="20"/>
                <w:szCs w:val="20"/>
              </w:rPr>
              <w:t>Lease Expiration Date, Unless Owned</w:t>
            </w:r>
          </w:p>
        </w:tc>
        <w:tc>
          <w:tcPr>
            <w:tcW w:w="0" w:type="auto"/>
            <w:gridSpan w:val="3"/>
            <w:tcMar>
              <w:top w:w="0" w:type="dxa"/>
              <w:left w:w="20" w:type="dxa"/>
              <w:bottom w:w="0" w:type="dxa"/>
              <w:right w:w="20" w:type="dxa"/>
            </w:tcMar>
            <w:vAlign w:val="center"/>
            <w:hideMark/>
          </w:tcPr>
          <w:p w14:paraId="48823B9B"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7358A31" w14:textId="77777777" w:rsidR="00000000" w:rsidRDefault="001D0688">
            <w:pPr>
              <w:jc w:val="center"/>
              <w:rPr>
                <w:rFonts w:eastAsia="Times New Roman"/>
              </w:rPr>
            </w:pPr>
            <w:r>
              <w:rPr>
                <w:rFonts w:ascii="Arial" w:eastAsia="Times New Roman" w:hAnsi="Arial" w:cs="Arial"/>
                <w:b/>
                <w:bCs/>
                <w:color w:val="000000"/>
                <w:sz w:val="20"/>
                <w:szCs w:val="20"/>
              </w:rPr>
              <w:t>Segment</w:t>
            </w:r>
          </w:p>
        </w:tc>
      </w:tr>
      <w:tr w:rsidR="00000000" w14:paraId="4D714F3F" w14:textId="77777777">
        <w:trPr>
          <w:divId w:val="62066793"/>
          <w:jc w:val="center"/>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55E0756E" w14:textId="77777777" w:rsidR="00000000" w:rsidRDefault="001D0688">
            <w:pPr>
              <w:jc w:val="center"/>
              <w:rPr>
                <w:rFonts w:eastAsia="Times New Roman"/>
              </w:rPr>
            </w:pPr>
            <w:r>
              <w:rPr>
                <w:rFonts w:ascii="Arial" w:eastAsia="Times New Roman" w:hAnsi="Arial" w:cs="Arial"/>
                <w:color w:val="000000"/>
                <w:sz w:val="18"/>
                <w:szCs w:val="18"/>
              </w:rPr>
              <w:t>Alpharetta, Georgia</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F05EE7B"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419A9F47" w14:textId="77777777" w:rsidR="00000000" w:rsidRDefault="001D0688">
            <w:pPr>
              <w:jc w:val="center"/>
              <w:rPr>
                <w:rFonts w:eastAsia="Times New Roman"/>
              </w:rPr>
            </w:pPr>
            <w:r>
              <w:rPr>
                <w:rFonts w:ascii="Arial" w:eastAsia="Times New Roman" w:hAnsi="Arial" w:cs="Arial"/>
                <w:color w:val="000000"/>
                <w:sz w:val="18"/>
                <w:szCs w:val="18"/>
              </w:rPr>
              <w:t>IT Datacenter and Technical Solutions Headquarters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3DD4247"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3A4495AE" w14:textId="77777777" w:rsidR="00000000" w:rsidRDefault="001D0688">
            <w:pPr>
              <w:jc w:val="center"/>
              <w:rPr>
                <w:rFonts w:eastAsia="Times New Roman"/>
              </w:rPr>
            </w:pPr>
            <w:r>
              <w:rPr>
                <w:rFonts w:ascii="Arial" w:eastAsia="Times New Roman" w:hAnsi="Arial" w:cs="Arial"/>
                <w:color w:val="000000"/>
                <w:sz w:val="18"/>
                <w:szCs w:val="18"/>
              </w:rPr>
              <w:t>25,000</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42EFFA9"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4A12F33A" w14:textId="77777777" w:rsidR="00000000" w:rsidRDefault="001D0688">
            <w:pPr>
              <w:jc w:val="center"/>
              <w:rPr>
                <w:rFonts w:eastAsia="Times New Roman"/>
              </w:rPr>
            </w:pPr>
            <w:r>
              <w:rPr>
                <w:rFonts w:ascii="Arial" w:eastAsia="Times New Roman" w:hAnsi="Arial" w:cs="Arial"/>
                <w:color w:val="000000"/>
                <w:sz w:val="18"/>
                <w:szCs w:val="18"/>
              </w:rPr>
              <w:t>Owned</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409C339"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159342AB" w14:textId="77777777" w:rsidR="00000000" w:rsidRDefault="001D0688">
            <w:pPr>
              <w:jc w:val="center"/>
              <w:rPr>
                <w:rFonts w:eastAsia="Times New Roman"/>
              </w:rPr>
            </w:pPr>
            <w:r>
              <w:rPr>
                <w:rFonts w:ascii="Arial" w:eastAsia="Times New Roman" w:hAnsi="Arial" w:cs="Arial"/>
                <w:color w:val="000000"/>
                <w:sz w:val="18"/>
                <w:szCs w:val="18"/>
              </w:rPr>
              <w:t>All</w:t>
            </w:r>
          </w:p>
        </w:tc>
      </w:tr>
      <w:tr w:rsidR="00000000" w14:paraId="7D08DF98" w14:textId="77777777">
        <w:trPr>
          <w:divId w:val="62066793"/>
          <w:jc w:val="center"/>
        </w:trPr>
        <w:tc>
          <w:tcPr>
            <w:tcW w:w="0" w:type="auto"/>
            <w:gridSpan w:val="3"/>
            <w:shd w:val="clear" w:color="auto" w:fill="FFFFFF"/>
            <w:tcMar>
              <w:top w:w="30" w:type="dxa"/>
              <w:left w:w="20" w:type="dxa"/>
              <w:bottom w:w="30" w:type="dxa"/>
              <w:right w:w="20" w:type="dxa"/>
            </w:tcMar>
            <w:vAlign w:val="center"/>
            <w:hideMark/>
          </w:tcPr>
          <w:p w14:paraId="0EF9F569" w14:textId="77777777" w:rsidR="00000000" w:rsidRDefault="001D0688">
            <w:pPr>
              <w:jc w:val="center"/>
              <w:rPr>
                <w:rFonts w:eastAsia="Times New Roman"/>
              </w:rPr>
            </w:pPr>
            <w:r>
              <w:rPr>
                <w:rFonts w:ascii="Arial" w:eastAsia="Times New Roman" w:hAnsi="Arial" w:cs="Arial"/>
                <w:color w:val="000000"/>
                <w:sz w:val="18"/>
                <w:szCs w:val="18"/>
              </w:rPr>
              <w:t>Atlanta, Georgia</w:t>
            </w:r>
          </w:p>
        </w:tc>
        <w:tc>
          <w:tcPr>
            <w:tcW w:w="0" w:type="auto"/>
            <w:gridSpan w:val="3"/>
            <w:shd w:val="clear" w:color="auto" w:fill="FFFFFF"/>
            <w:tcMar>
              <w:top w:w="0" w:type="dxa"/>
              <w:left w:w="20" w:type="dxa"/>
              <w:bottom w:w="0" w:type="dxa"/>
              <w:right w:w="20" w:type="dxa"/>
            </w:tcMar>
            <w:vAlign w:val="center"/>
            <w:hideMark/>
          </w:tcPr>
          <w:p w14:paraId="26488899"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7AD2C0D" w14:textId="77777777" w:rsidR="00000000" w:rsidRDefault="001D0688">
            <w:pPr>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14:paraId="597FB9BA"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404E798" w14:textId="77777777" w:rsidR="00000000" w:rsidRDefault="001D0688">
            <w:pPr>
              <w:jc w:val="center"/>
              <w:rPr>
                <w:rFonts w:eastAsia="Times New Roman"/>
              </w:rPr>
            </w:pPr>
            <w:r>
              <w:rPr>
                <w:rFonts w:ascii="Arial" w:eastAsia="Times New Roman" w:hAnsi="Arial" w:cs="Arial"/>
                <w:color w:val="000000"/>
                <w:sz w:val="18"/>
                <w:szCs w:val="18"/>
              </w:rPr>
              <w:t>37,000</w:t>
            </w:r>
          </w:p>
        </w:tc>
        <w:tc>
          <w:tcPr>
            <w:tcW w:w="0" w:type="auto"/>
            <w:gridSpan w:val="3"/>
            <w:shd w:val="clear" w:color="auto" w:fill="FFFFFF"/>
            <w:tcMar>
              <w:top w:w="0" w:type="dxa"/>
              <w:left w:w="20" w:type="dxa"/>
              <w:bottom w:w="0" w:type="dxa"/>
              <w:right w:w="20" w:type="dxa"/>
            </w:tcMar>
            <w:vAlign w:val="center"/>
            <w:hideMark/>
          </w:tcPr>
          <w:p w14:paraId="1B356F96"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C069E43" w14:textId="77777777" w:rsidR="00000000" w:rsidRDefault="001D0688">
            <w:pPr>
              <w:jc w:val="center"/>
              <w:rPr>
                <w:rFonts w:eastAsia="Times New Roman"/>
              </w:rPr>
            </w:pPr>
            <w:r>
              <w:rPr>
                <w:rFonts w:ascii="Arial" w:eastAsia="Times New Roman" w:hAnsi="Arial" w:cs="Arial"/>
                <w:color w:val="000000"/>
                <w:sz w:val="18"/>
                <w:szCs w:val="18"/>
              </w:rPr>
              <w:t>10/31/2027</w:t>
            </w:r>
          </w:p>
        </w:tc>
        <w:tc>
          <w:tcPr>
            <w:tcW w:w="0" w:type="auto"/>
            <w:gridSpan w:val="3"/>
            <w:shd w:val="clear" w:color="auto" w:fill="FFFFFF"/>
            <w:tcMar>
              <w:top w:w="0" w:type="dxa"/>
              <w:left w:w="20" w:type="dxa"/>
              <w:bottom w:w="0" w:type="dxa"/>
              <w:right w:w="20" w:type="dxa"/>
            </w:tcMar>
            <w:vAlign w:val="center"/>
            <w:hideMark/>
          </w:tcPr>
          <w:p w14:paraId="54F2693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2BAA2EA" w14:textId="77777777" w:rsidR="00000000" w:rsidRDefault="001D0688">
            <w:pPr>
              <w:jc w:val="center"/>
              <w:rPr>
                <w:rFonts w:eastAsia="Times New Roman"/>
              </w:rPr>
            </w:pPr>
            <w:r>
              <w:rPr>
                <w:rFonts w:ascii="Arial" w:eastAsia="Times New Roman" w:hAnsi="Arial" w:cs="Arial"/>
                <w:color w:val="000000"/>
                <w:sz w:val="18"/>
                <w:szCs w:val="18"/>
              </w:rPr>
              <w:t>All</w:t>
            </w:r>
          </w:p>
        </w:tc>
      </w:tr>
      <w:tr w:rsidR="00000000" w14:paraId="3E3817C7" w14:textId="77777777">
        <w:trPr>
          <w:divId w:val="62066793"/>
          <w:jc w:val="center"/>
        </w:trPr>
        <w:tc>
          <w:tcPr>
            <w:tcW w:w="0" w:type="auto"/>
            <w:gridSpan w:val="3"/>
            <w:shd w:val="clear" w:color="auto" w:fill="DCE2EF"/>
            <w:tcMar>
              <w:top w:w="30" w:type="dxa"/>
              <w:left w:w="20" w:type="dxa"/>
              <w:bottom w:w="30" w:type="dxa"/>
              <w:right w:w="20" w:type="dxa"/>
            </w:tcMar>
            <w:vAlign w:val="center"/>
            <w:hideMark/>
          </w:tcPr>
          <w:p w14:paraId="5876BC55" w14:textId="77777777" w:rsidR="00000000" w:rsidRDefault="001D0688">
            <w:pPr>
              <w:jc w:val="center"/>
              <w:rPr>
                <w:rFonts w:eastAsia="Times New Roman"/>
              </w:rPr>
            </w:pPr>
            <w:r>
              <w:rPr>
                <w:rFonts w:ascii="Arial" w:eastAsia="Times New Roman" w:hAnsi="Arial" w:cs="Arial"/>
                <w:color w:val="000000"/>
                <w:sz w:val="18"/>
                <w:szCs w:val="18"/>
              </w:rPr>
              <w:t>Cleveland, Ohio</w:t>
            </w:r>
          </w:p>
        </w:tc>
        <w:tc>
          <w:tcPr>
            <w:tcW w:w="0" w:type="auto"/>
            <w:gridSpan w:val="3"/>
            <w:shd w:val="clear" w:color="auto" w:fill="DCE2EF"/>
            <w:tcMar>
              <w:top w:w="0" w:type="dxa"/>
              <w:left w:w="20" w:type="dxa"/>
              <w:bottom w:w="0" w:type="dxa"/>
              <w:right w:w="20" w:type="dxa"/>
            </w:tcMar>
            <w:vAlign w:val="center"/>
            <w:hideMark/>
          </w:tcPr>
          <w:p w14:paraId="5E23FB4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56C5419" w14:textId="77777777" w:rsidR="00000000" w:rsidRDefault="001D0688">
            <w:pPr>
              <w:jc w:val="center"/>
              <w:rPr>
                <w:rFonts w:eastAsia="Times New Roman"/>
              </w:rPr>
            </w:pPr>
            <w:r>
              <w:rPr>
                <w:rFonts w:ascii="Arial" w:eastAsia="Times New Roman" w:hAnsi="Arial" w:cs="Arial"/>
                <w:color w:val="000000"/>
                <w:sz w:val="18"/>
                <w:szCs w:val="18"/>
              </w:rPr>
              <w:t>Legacy GCA Headquarters</w:t>
            </w:r>
          </w:p>
        </w:tc>
        <w:tc>
          <w:tcPr>
            <w:tcW w:w="0" w:type="auto"/>
            <w:gridSpan w:val="3"/>
            <w:shd w:val="clear" w:color="auto" w:fill="DCE2EF"/>
            <w:tcMar>
              <w:top w:w="0" w:type="dxa"/>
              <w:left w:w="20" w:type="dxa"/>
              <w:bottom w:w="0" w:type="dxa"/>
              <w:right w:w="20" w:type="dxa"/>
            </w:tcMar>
            <w:vAlign w:val="center"/>
            <w:hideMark/>
          </w:tcPr>
          <w:p w14:paraId="47E3137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6D6F2BB3" w14:textId="77777777" w:rsidR="00000000" w:rsidRDefault="001D0688">
            <w:pPr>
              <w:jc w:val="center"/>
              <w:rPr>
                <w:rFonts w:eastAsia="Times New Roman"/>
              </w:rPr>
            </w:pPr>
            <w:r>
              <w:rPr>
                <w:rFonts w:ascii="Arial" w:eastAsia="Times New Roman" w:hAnsi="Arial" w:cs="Arial"/>
                <w:color w:val="000000"/>
                <w:sz w:val="18"/>
                <w:szCs w:val="18"/>
              </w:rPr>
              <w:t>32,400</w:t>
            </w:r>
          </w:p>
        </w:tc>
        <w:tc>
          <w:tcPr>
            <w:tcW w:w="0" w:type="auto"/>
            <w:gridSpan w:val="3"/>
            <w:shd w:val="clear" w:color="auto" w:fill="DCE2EF"/>
            <w:tcMar>
              <w:top w:w="0" w:type="dxa"/>
              <w:left w:w="20" w:type="dxa"/>
              <w:bottom w:w="0" w:type="dxa"/>
              <w:right w:w="20" w:type="dxa"/>
            </w:tcMar>
            <w:vAlign w:val="center"/>
            <w:hideMark/>
          </w:tcPr>
          <w:p w14:paraId="5CEC5FF2"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7329B2BC" w14:textId="77777777" w:rsidR="00000000" w:rsidRDefault="001D0688">
            <w:pPr>
              <w:jc w:val="center"/>
              <w:rPr>
                <w:rFonts w:eastAsia="Times New Roman"/>
              </w:rPr>
            </w:pPr>
            <w:r>
              <w:rPr>
                <w:rFonts w:ascii="Arial" w:eastAsia="Times New Roman" w:hAnsi="Arial" w:cs="Arial"/>
                <w:color w:val="000000"/>
                <w:sz w:val="18"/>
                <w:szCs w:val="18"/>
              </w:rPr>
              <w:t>1/31/2024</w:t>
            </w:r>
          </w:p>
        </w:tc>
        <w:tc>
          <w:tcPr>
            <w:tcW w:w="0" w:type="auto"/>
            <w:gridSpan w:val="3"/>
            <w:shd w:val="clear" w:color="auto" w:fill="DCE2EF"/>
            <w:tcMar>
              <w:top w:w="0" w:type="dxa"/>
              <w:left w:w="20" w:type="dxa"/>
              <w:bottom w:w="0" w:type="dxa"/>
              <w:right w:w="20" w:type="dxa"/>
            </w:tcMar>
            <w:vAlign w:val="center"/>
            <w:hideMark/>
          </w:tcPr>
          <w:p w14:paraId="21BABEC0"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14348752" w14:textId="77777777" w:rsidR="00000000" w:rsidRDefault="001D0688">
            <w:pPr>
              <w:jc w:val="center"/>
              <w:rPr>
                <w:rFonts w:eastAsia="Times New Roman"/>
              </w:rPr>
            </w:pPr>
            <w:r>
              <w:rPr>
                <w:rFonts w:ascii="Arial" w:eastAsia="Times New Roman" w:hAnsi="Arial" w:cs="Arial"/>
                <w:color w:val="000000"/>
                <w:sz w:val="18"/>
                <w:szCs w:val="18"/>
              </w:rPr>
              <w:t>Education, T&amp;M, and Corporate</w:t>
            </w:r>
          </w:p>
        </w:tc>
      </w:tr>
      <w:tr w:rsidR="00000000" w14:paraId="5928B8CF" w14:textId="77777777">
        <w:trPr>
          <w:divId w:val="62066793"/>
          <w:jc w:val="center"/>
        </w:trPr>
        <w:tc>
          <w:tcPr>
            <w:tcW w:w="0" w:type="auto"/>
            <w:gridSpan w:val="3"/>
            <w:vAlign w:val="center"/>
            <w:hideMark/>
          </w:tcPr>
          <w:p w14:paraId="08F4EF9C" w14:textId="77777777" w:rsidR="00000000" w:rsidRDefault="001D0688">
            <w:pPr>
              <w:jc w:val="center"/>
              <w:rPr>
                <w:rFonts w:eastAsia="Times New Roman"/>
              </w:rPr>
            </w:pPr>
          </w:p>
        </w:tc>
        <w:tc>
          <w:tcPr>
            <w:tcW w:w="0" w:type="auto"/>
            <w:gridSpan w:val="3"/>
            <w:vAlign w:val="center"/>
            <w:hideMark/>
          </w:tcPr>
          <w:p w14:paraId="3798DDA2" w14:textId="77777777" w:rsidR="00000000" w:rsidRDefault="001D0688">
            <w:pPr>
              <w:rPr>
                <w:rFonts w:eastAsia="Times New Roman"/>
                <w:sz w:val="20"/>
                <w:szCs w:val="20"/>
              </w:rPr>
            </w:pPr>
          </w:p>
        </w:tc>
        <w:tc>
          <w:tcPr>
            <w:tcW w:w="0" w:type="auto"/>
            <w:gridSpan w:val="3"/>
            <w:vAlign w:val="center"/>
            <w:hideMark/>
          </w:tcPr>
          <w:p w14:paraId="7E7B5EE6" w14:textId="77777777" w:rsidR="00000000" w:rsidRDefault="001D0688">
            <w:pPr>
              <w:rPr>
                <w:rFonts w:eastAsia="Times New Roman"/>
                <w:sz w:val="20"/>
                <w:szCs w:val="20"/>
              </w:rPr>
            </w:pPr>
          </w:p>
        </w:tc>
        <w:tc>
          <w:tcPr>
            <w:tcW w:w="0" w:type="auto"/>
            <w:gridSpan w:val="3"/>
            <w:vAlign w:val="center"/>
            <w:hideMark/>
          </w:tcPr>
          <w:p w14:paraId="5DF48F98" w14:textId="77777777" w:rsidR="00000000" w:rsidRDefault="001D0688">
            <w:pPr>
              <w:rPr>
                <w:rFonts w:eastAsia="Times New Roman"/>
                <w:sz w:val="20"/>
                <w:szCs w:val="20"/>
              </w:rPr>
            </w:pPr>
          </w:p>
        </w:tc>
        <w:tc>
          <w:tcPr>
            <w:tcW w:w="0" w:type="auto"/>
            <w:gridSpan w:val="3"/>
            <w:vAlign w:val="center"/>
            <w:hideMark/>
          </w:tcPr>
          <w:p w14:paraId="0A35A5BF" w14:textId="77777777" w:rsidR="00000000" w:rsidRDefault="001D0688">
            <w:pPr>
              <w:rPr>
                <w:rFonts w:eastAsia="Times New Roman"/>
                <w:sz w:val="20"/>
                <w:szCs w:val="20"/>
              </w:rPr>
            </w:pPr>
          </w:p>
        </w:tc>
        <w:tc>
          <w:tcPr>
            <w:tcW w:w="0" w:type="auto"/>
            <w:gridSpan w:val="3"/>
            <w:vAlign w:val="center"/>
            <w:hideMark/>
          </w:tcPr>
          <w:p w14:paraId="4724369A" w14:textId="77777777" w:rsidR="00000000" w:rsidRDefault="001D0688">
            <w:pPr>
              <w:rPr>
                <w:rFonts w:eastAsia="Times New Roman"/>
                <w:sz w:val="20"/>
                <w:szCs w:val="20"/>
              </w:rPr>
            </w:pPr>
          </w:p>
        </w:tc>
        <w:tc>
          <w:tcPr>
            <w:tcW w:w="0" w:type="auto"/>
            <w:gridSpan w:val="3"/>
            <w:vAlign w:val="center"/>
            <w:hideMark/>
          </w:tcPr>
          <w:p w14:paraId="534F7DD9" w14:textId="77777777" w:rsidR="00000000" w:rsidRDefault="001D0688">
            <w:pPr>
              <w:rPr>
                <w:rFonts w:eastAsia="Times New Roman"/>
                <w:sz w:val="20"/>
                <w:szCs w:val="20"/>
              </w:rPr>
            </w:pPr>
          </w:p>
        </w:tc>
        <w:tc>
          <w:tcPr>
            <w:tcW w:w="0" w:type="auto"/>
            <w:gridSpan w:val="3"/>
            <w:vAlign w:val="center"/>
            <w:hideMark/>
          </w:tcPr>
          <w:p w14:paraId="2B9BC7BF" w14:textId="77777777" w:rsidR="00000000" w:rsidRDefault="001D0688">
            <w:pPr>
              <w:rPr>
                <w:rFonts w:eastAsia="Times New Roman"/>
                <w:sz w:val="20"/>
                <w:szCs w:val="20"/>
              </w:rPr>
            </w:pPr>
          </w:p>
        </w:tc>
        <w:tc>
          <w:tcPr>
            <w:tcW w:w="0" w:type="auto"/>
            <w:gridSpan w:val="3"/>
            <w:vAlign w:val="center"/>
            <w:hideMark/>
          </w:tcPr>
          <w:p w14:paraId="124AC308" w14:textId="77777777" w:rsidR="00000000" w:rsidRDefault="001D0688">
            <w:pPr>
              <w:rPr>
                <w:rFonts w:eastAsia="Times New Roman"/>
                <w:sz w:val="20"/>
                <w:szCs w:val="20"/>
              </w:rPr>
            </w:pPr>
          </w:p>
        </w:tc>
      </w:tr>
      <w:tr w:rsidR="00000000" w14:paraId="4310C8A8" w14:textId="77777777">
        <w:trPr>
          <w:divId w:val="62066793"/>
          <w:jc w:val="center"/>
        </w:trPr>
        <w:tc>
          <w:tcPr>
            <w:tcW w:w="0" w:type="auto"/>
            <w:gridSpan w:val="3"/>
            <w:shd w:val="clear" w:color="auto" w:fill="FFFFFF"/>
            <w:tcMar>
              <w:top w:w="30" w:type="dxa"/>
              <w:left w:w="20" w:type="dxa"/>
              <w:bottom w:w="30" w:type="dxa"/>
              <w:right w:w="20" w:type="dxa"/>
            </w:tcMar>
            <w:vAlign w:val="center"/>
            <w:hideMark/>
          </w:tcPr>
          <w:p w14:paraId="0A46D22A" w14:textId="77777777" w:rsidR="00000000" w:rsidRDefault="001D0688">
            <w:pPr>
              <w:jc w:val="center"/>
              <w:rPr>
                <w:rFonts w:eastAsia="Times New Roman"/>
              </w:rPr>
            </w:pPr>
            <w:r>
              <w:rPr>
                <w:rFonts w:ascii="Arial" w:eastAsia="Times New Roman" w:hAnsi="Arial" w:cs="Arial"/>
                <w:color w:val="000000"/>
                <w:sz w:val="18"/>
                <w:szCs w:val="18"/>
              </w:rPr>
              <w:t xml:space="preserve">New York, New York </w:t>
            </w:r>
          </w:p>
        </w:tc>
        <w:tc>
          <w:tcPr>
            <w:tcW w:w="0" w:type="auto"/>
            <w:gridSpan w:val="3"/>
            <w:shd w:val="clear" w:color="auto" w:fill="FFFFFF"/>
            <w:tcMar>
              <w:top w:w="0" w:type="dxa"/>
              <w:left w:w="20" w:type="dxa"/>
              <w:bottom w:w="0" w:type="dxa"/>
              <w:right w:w="20" w:type="dxa"/>
            </w:tcMar>
            <w:vAlign w:val="center"/>
            <w:hideMark/>
          </w:tcPr>
          <w:p w14:paraId="59F95D7D"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E846225" w14:textId="77777777" w:rsidR="00000000" w:rsidRDefault="001D0688">
            <w:pPr>
              <w:jc w:val="center"/>
              <w:rPr>
                <w:rFonts w:eastAsia="Times New Roman"/>
              </w:rPr>
            </w:pPr>
            <w:r>
              <w:rPr>
                <w:rFonts w:ascii="Arial" w:eastAsia="Times New Roman" w:hAnsi="Arial" w:cs="Arial"/>
                <w:color w:val="000000"/>
                <w:sz w:val="18"/>
                <w:szCs w:val="18"/>
              </w:rPr>
              <w:t>Corporate Headquarters</w:t>
            </w:r>
          </w:p>
        </w:tc>
        <w:tc>
          <w:tcPr>
            <w:tcW w:w="0" w:type="auto"/>
            <w:gridSpan w:val="3"/>
            <w:shd w:val="clear" w:color="auto" w:fill="FFFFFF"/>
            <w:tcMar>
              <w:top w:w="0" w:type="dxa"/>
              <w:left w:w="20" w:type="dxa"/>
              <w:bottom w:w="0" w:type="dxa"/>
              <w:right w:w="20" w:type="dxa"/>
            </w:tcMar>
            <w:vAlign w:val="center"/>
            <w:hideMark/>
          </w:tcPr>
          <w:p w14:paraId="47B6083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D654F71" w14:textId="77777777" w:rsidR="00000000" w:rsidRDefault="001D0688">
            <w:pPr>
              <w:jc w:val="center"/>
              <w:rPr>
                <w:rFonts w:eastAsia="Times New Roman"/>
              </w:rPr>
            </w:pPr>
            <w:r>
              <w:rPr>
                <w:rFonts w:ascii="Arial" w:eastAsia="Times New Roman" w:hAnsi="Arial" w:cs="Arial"/>
                <w:color w:val="000000"/>
                <w:sz w:val="18"/>
                <w:szCs w:val="18"/>
              </w:rPr>
              <w:t>44,00</w:t>
            </w:r>
            <w:r>
              <w:rPr>
                <w:rFonts w:ascii="Arial" w:eastAsia="Times New Roman" w:hAnsi="Arial" w:cs="Arial"/>
                <w:color w:val="000000"/>
                <w:sz w:val="18"/>
                <w:szCs w:val="18"/>
              </w:rPr>
              <w:t>0</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2A55D65"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CFCC023" w14:textId="77777777" w:rsidR="00000000" w:rsidRDefault="001D0688">
            <w:pPr>
              <w:jc w:val="center"/>
              <w:rPr>
                <w:rFonts w:eastAsia="Times New Roman"/>
              </w:rPr>
            </w:pPr>
            <w:r>
              <w:rPr>
                <w:rFonts w:ascii="Arial" w:eastAsia="Times New Roman" w:hAnsi="Arial" w:cs="Arial"/>
                <w:color w:val="000000"/>
                <w:sz w:val="18"/>
                <w:szCs w:val="18"/>
              </w:rPr>
              <w:t>1/3/2032</w:t>
            </w:r>
          </w:p>
        </w:tc>
        <w:tc>
          <w:tcPr>
            <w:tcW w:w="0" w:type="auto"/>
            <w:gridSpan w:val="3"/>
            <w:shd w:val="clear" w:color="auto" w:fill="FFFFFF"/>
            <w:tcMar>
              <w:top w:w="0" w:type="dxa"/>
              <w:left w:w="20" w:type="dxa"/>
              <w:bottom w:w="0" w:type="dxa"/>
              <w:right w:w="20" w:type="dxa"/>
            </w:tcMar>
            <w:vAlign w:val="center"/>
            <w:hideMark/>
          </w:tcPr>
          <w:p w14:paraId="4763CD64"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ACB4487" w14:textId="77777777" w:rsidR="00000000" w:rsidRDefault="001D0688">
            <w:pPr>
              <w:jc w:val="center"/>
              <w:rPr>
                <w:rFonts w:eastAsia="Times New Roman"/>
              </w:rPr>
            </w:pPr>
            <w:r>
              <w:rPr>
                <w:rFonts w:ascii="Arial" w:eastAsia="Times New Roman" w:hAnsi="Arial" w:cs="Arial"/>
                <w:color w:val="000000"/>
                <w:sz w:val="18"/>
                <w:szCs w:val="18"/>
              </w:rPr>
              <w:t>Corporate and B&amp;I</w:t>
            </w:r>
          </w:p>
        </w:tc>
      </w:tr>
      <w:tr w:rsidR="00000000" w14:paraId="41E9845C" w14:textId="77777777">
        <w:trPr>
          <w:divId w:val="62066793"/>
          <w:jc w:val="center"/>
        </w:trPr>
        <w:tc>
          <w:tcPr>
            <w:tcW w:w="0" w:type="auto"/>
            <w:gridSpan w:val="3"/>
            <w:shd w:val="clear" w:color="auto" w:fill="DCE2EF"/>
            <w:tcMar>
              <w:top w:w="30" w:type="dxa"/>
              <w:left w:w="20" w:type="dxa"/>
              <w:bottom w:w="30" w:type="dxa"/>
              <w:right w:w="20" w:type="dxa"/>
            </w:tcMar>
            <w:vAlign w:val="center"/>
            <w:hideMark/>
          </w:tcPr>
          <w:p w14:paraId="75EEB829" w14:textId="77777777" w:rsidR="00000000" w:rsidRDefault="001D0688">
            <w:pPr>
              <w:jc w:val="center"/>
              <w:rPr>
                <w:rFonts w:eastAsia="Times New Roman"/>
              </w:rPr>
            </w:pPr>
            <w:r>
              <w:rPr>
                <w:rFonts w:ascii="Arial" w:eastAsia="Times New Roman" w:hAnsi="Arial" w:cs="Arial"/>
                <w:color w:val="000000"/>
                <w:sz w:val="18"/>
                <w:szCs w:val="18"/>
              </w:rPr>
              <w:t>Sugar Land, Texas</w:t>
            </w:r>
          </w:p>
        </w:tc>
        <w:tc>
          <w:tcPr>
            <w:tcW w:w="0" w:type="auto"/>
            <w:gridSpan w:val="3"/>
            <w:shd w:val="clear" w:color="auto" w:fill="DCE2EF"/>
            <w:tcMar>
              <w:top w:w="0" w:type="dxa"/>
              <w:left w:w="20" w:type="dxa"/>
              <w:bottom w:w="0" w:type="dxa"/>
              <w:right w:w="20" w:type="dxa"/>
            </w:tcMar>
            <w:vAlign w:val="center"/>
            <w:hideMark/>
          </w:tcPr>
          <w:p w14:paraId="621BE2A5"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62D2C78E" w14:textId="77777777" w:rsidR="00000000" w:rsidRDefault="001D0688">
            <w:pPr>
              <w:jc w:val="center"/>
              <w:rPr>
                <w:rFonts w:eastAsia="Times New Roman"/>
              </w:rPr>
            </w:pPr>
            <w:r>
              <w:rPr>
                <w:rFonts w:ascii="Arial" w:eastAsia="Times New Roman" w:hAnsi="Arial" w:cs="Arial"/>
                <w:color w:val="000000"/>
                <w:sz w:val="18"/>
                <w:szCs w:val="18"/>
              </w:rPr>
              <w:t>Enterprise Services</w:t>
            </w:r>
          </w:p>
        </w:tc>
        <w:tc>
          <w:tcPr>
            <w:tcW w:w="0" w:type="auto"/>
            <w:gridSpan w:val="3"/>
            <w:shd w:val="clear" w:color="auto" w:fill="DCE2EF"/>
            <w:tcMar>
              <w:top w:w="0" w:type="dxa"/>
              <w:left w:w="20" w:type="dxa"/>
              <w:bottom w:w="0" w:type="dxa"/>
              <w:right w:w="20" w:type="dxa"/>
            </w:tcMar>
            <w:vAlign w:val="center"/>
            <w:hideMark/>
          </w:tcPr>
          <w:p w14:paraId="4B3E76D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661F14B" w14:textId="77777777" w:rsidR="00000000" w:rsidRDefault="001D0688">
            <w:pPr>
              <w:jc w:val="center"/>
              <w:rPr>
                <w:rFonts w:eastAsia="Times New Roman"/>
              </w:rPr>
            </w:pPr>
            <w:r>
              <w:rPr>
                <w:rFonts w:ascii="Arial" w:eastAsia="Times New Roman" w:hAnsi="Arial" w:cs="Arial"/>
                <w:color w:val="000000"/>
                <w:sz w:val="18"/>
                <w:szCs w:val="18"/>
              </w:rPr>
              <w:t>62,500</w:t>
            </w:r>
          </w:p>
        </w:tc>
        <w:tc>
          <w:tcPr>
            <w:tcW w:w="0" w:type="auto"/>
            <w:gridSpan w:val="3"/>
            <w:shd w:val="clear" w:color="auto" w:fill="DCE2EF"/>
            <w:tcMar>
              <w:top w:w="0" w:type="dxa"/>
              <w:left w:w="20" w:type="dxa"/>
              <w:bottom w:w="0" w:type="dxa"/>
              <w:right w:w="20" w:type="dxa"/>
            </w:tcMar>
            <w:vAlign w:val="center"/>
            <w:hideMark/>
          </w:tcPr>
          <w:p w14:paraId="6672A642"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57610DEA" w14:textId="77777777" w:rsidR="00000000" w:rsidRDefault="001D0688">
            <w:pPr>
              <w:jc w:val="center"/>
              <w:rPr>
                <w:rFonts w:eastAsia="Times New Roman"/>
              </w:rPr>
            </w:pPr>
            <w:r>
              <w:rPr>
                <w:rFonts w:ascii="Arial" w:eastAsia="Times New Roman" w:hAnsi="Arial" w:cs="Arial"/>
                <w:color w:val="000000"/>
                <w:sz w:val="18"/>
                <w:szCs w:val="18"/>
              </w:rPr>
              <w:t>3/31/2028</w:t>
            </w:r>
          </w:p>
        </w:tc>
        <w:tc>
          <w:tcPr>
            <w:tcW w:w="0" w:type="auto"/>
            <w:gridSpan w:val="3"/>
            <w:shd w:val="clear" w:color="auto" w:fill="DCE2EF"/>
            <w:tcMar>
              <w:top w:w="0" w:type="dxa"/>
              <w:left w:w="20" w:type="dxa"/>
              <w:bottom w:w="0" w:type="dxa"/>
              <w:right w:w="20" w:type="dxa"/>
            </w:tcMar>
            <w:vAlign w:val="center"/>
            <w:hideMark/>
          </w:tcPr>
          <w:p w14:paraId="415F9EFA"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0C62B5EA" w14:textId="77777777" w:rsidR="00000000" w:rsidRDefault="001D0688">
            <w:pPr>
              <w:jc w:val="center"/>
              <w:rPr>
                <w:rFonts w:eastAsia="Times New Roman"/>
              </w:rPr>
            </w:pPr>
            <w:r>
              <w:rPr>
                <w:rFonts w:ascii="Arial" w:eastAsia="Times New Roman" w:hAnsi="Arial" w:cs="Arial"/>
                <w:color w:val="000000"/>
                <w:sz w:val="18"/>
                <w:szCs w:val="18"/>
              </w:rPr>
              <w:t>All</w:t>
            </w:r>
          </w:p>
        </w:tc>
      </w:tr>
      <w:tr w:rsidR="00000000" w14:paraId="28BD879B" w14:textId="77777777">
        <w:trPr>
          <w:divId w:val="62066793"/>
          <w:jc w:val="center"/>
        </w:trPr>
        <w:tc>
          <w:tcPr>
            <w:tcW w:w="0" w:type="auto"/>
            <w:gridSpan w:val="3"/>
            <w:shd w:val="clear" w:color="auto" w:fill="FFFFFF"/>
            <w:tcMar>
              <w:top w:w="30" w:type="dxa"/>
              <w:left w:w="20" w:type="dxa"/>
              <w:bottom w:w="30" w:type="dxa"/>
              <w:right w:w="20" w:type="dxa"/>
            </w:tcMar>
            <w:vAlign w:val="center"/>
            <w:hideMark/>
          </w:tcPr>
          <w:p w14:paraId="368799A9" w14:textId="77777777" w:rsidR="00000000" w:rsidRDefault="001D0688">
            <w:pPr>
              <w:jc w:val="center"/>
              <w:rPr>
                <w:rFonts w:eastAsia="Times New Roman"/>
              </w:rPr>
            </w:pPr>
            <w:r>
              <w:rPr>
                <w:rFonts w:ascii="Arial" w:eastAsia="Times New Roman" w:hAnsi="Arial" w:cs="Arial"/>
                <w:color w:val="000000"/>
                <w:sz w:val="18"/>
                <w:szCs w:val="18"/>
              </w:rPr>
              <w:t>Tustin, California</w:t>
            </w:r>
          </w:p>
        </w:tc>
        <w:tc>
          <w:tcPr>
            <w:tcW w:w="0" w:type="auto"/>
            <w:gridSpan w:val="3"/>
            <w:shd w:val="clear" w:color="auto" w:fill="FFFFFF"/>
            <w:tcMar>
              <w:top w:w="0" w:type="dxa"/>
              <w:left w:w="20" w:type="dxa"/>
              <w:bottom w:w="0" w:type="dxa"/>
              <w:right w:w="20" w:type="dxa"/>
            </w:tcMar>
            <w:vAlign w:val="center"/>
            <w:hideMark/>
          </w:tcPr>
          <w:p w14:paraId="0B1EB2E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3C103FB" w14:textId="77777777" w:rsidR="00000000" w:rsidRDefault="001D0688">
            <w:pPr>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14:paraId="0EC28E67"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8DDAD34" w14:textId="77777777" w:rsidR="00000000" w:rsidRDefault="001D0688">
            <w:pPr>
              <w:jc w:val="center"/>
              <w:rPr>
                <w:rFonts w:eastAsia="Times New Roman"/>
              </w:rPr>
            </w:pPr>
            <w:r>
              <w:rPr>
                <w:rFonts w:ascii="Arial" w:eastAsia="Times New Roman" w:hAnsi="Arial" w:cs="Arial"/>
                <w:color w:val="000000"/>
                <w:sz w:val="18"/>
                <w:szCs w:val="18"/>
              </w:rPr>
              <w:t>40,000</w:t>
            </w:r>
          </w:p>
        </w:tc>
        <w:tc>
          <w:tcPr>
            <w:tcW w:w="0" w:type="auto"/>
            <w:gridSpan w:val="3"/>
            <w:shd w:val="clear" w:color="auto" w:fill="FFFFFF"/>
            <w:tcMar>
              <w:top w:w="0" w:type="dxa"/>
              <w:left w:w="20" w:type="dxa"/>
              <w:bottom w:w="0" w:type="dxa"/>
              <w:right w:w="20" w:type="dxa"/>
            </w:tcMar>
            <w:vAlign w:val="center"/>
            <w:hideMark/>
          </w:tcPr>
          <w:p w14:paraId="4B4A8F0A"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65E42BC" w14:textId="77777777" w:rsidR="00000000" w:rsidRDefault="001D0688">
            <w:pPr>
              <w:jc w:val="center"/>
              <w:rPr>
                <w:rFonts w:eastAsia="Times New Roman"/>
              </w:rPr>
            </w:pPr>
            <w:r>
              <w:rPr>
                <w:rFonts w:ascii="Arial" w:eastAsia="Times New Roman" w:hAnsi="Arial" w:cs="Arial"/>
                <w:color w:val="000000"/>
                <w:sz w:val="18"/>
                <w:szCs w:val="18"/>
              </w:rPr>
              <w:t>7/31/2029</w:t>
            </w:r>
          </w:p>
        </w:tc>
        <w:tc>
          <w:tcPr>
            <w:tcW w:w="0" w:type="auto"/>
            <w:gridSpan w:val="3"/>
            <w:shd w:val="clear" w:color="auto" w:fill="FFFFFF"/>
            <w:tcMar>
              <w:top w:w="0" w:type="dxa"/>
              <w:left w:w="20" w:type="dxa"/>
              <w:bottom w:w="0" w:type="dxa"/>
              <w:right w:w="20" w:type="dxa"/>
            </w:tcMar>
            <w:vAlign w:val="center"/>
            <w:hideMark/>
          </w:tcPr>
          <w:p w14:paraId="6932E07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FD92717" w14:textId="77777777" w:rsidR="00000000" w:rsidRDefault="001D0688">
            <w:pPr>
              <w:jc w:val="center"/>
              <w:rPr>
                <w:rFonts w:eastAsia="Times New Roman"/>
              </w:rPr>
            </w:pPr>
            <w:r>
              <w:rPr>
                <w:rFonts w:ascii="Arial" w:eastAsia="Times New Roman" w:hAnsi="Arial" w:cs="Arial"/>
                <w:color w:val="000000"/>
                <w:sz w:val="18"/>
                <w:szCs w:val="18"/>
              </w:rPr>
              <w:t>B&amp;I and Technical Solutions</w:t>
            </w:r>
          </w:p>
        </w:tc>
      </w:tr>
      <w:tr w:rsidR="00000000" w14:paraId="7F741773" w14:textId="77777777">
        <w:trPr>
          <w:divId w:val="62066793"/>
          <w:jc w:val="center"/>
        </w:trPr>
        <w:tc>
          <w:tcPr>
            <w:tcW w:w="0" w:type="auto"/>
            <w:gridSpan w:val="3"/>
            <w:vAlign w:val="center"/>
            <w:hideMark/>
          </w:tcPr>
          <w:p w14:paraId="0A080E84" w14:textId="77777777" w:rsidR="00000000" w:rsidRDefault="001D0688">
            <w:pPr>
              <w:jc w:val="center"/>
              <w:rPr>
                <w:rFonts w:eastAsia="Times New Roman"/>
              </w:rPr>
            </w:pPr>
          </w:p>
        </w:tc>
        <w:tc>
          <w:tcPr>
            <w:tcW w:w="0" w:type="auto"/>
            <w:gridSpan w:val="3"/>
            <w:vAlign w:val="center"/>
            <w:hideMark/>
          </w:tcPr>
          <w:p w14:paraId="7221A32F" w14:textId="77777777" w:rsidR="00000000" w:rsidRDefault="001D0688">
            <w:pPr>
              <w:rPr>
                <w:rFonts w:eastAsia="Times New Roman"/>
                <w:sz w:val="20"/>
                <w:szCs w:val="20"/>
              </w:rPr>
            </w:pPr>
          </w:p>
        </w:tc>
        <w:tc>
          <w:tcPr>
            <w:tcW w:w="0" w:type="auto"/>
            <w:gridSpan w:val="3"/>
            <w:vAlign w:val="center"/>
            <w:hideMark/>
          </w:tcPr>
          <w:p w14:paraId="0F7E3BFC" w14:textId="77777777" w:rsidR="00000000" w:rsidRDefault="001D0688">
            <w:pPr>
              <w:rPr>
                <w:rFonts w:eastAsia="Times New Roman"/>
                <w:sz w:val="20"/>
                <w:szCs w:val="20"/>
              </w:rPr>
            </w:pPr>
          </w:p>
        </w:tc>
        <w:tc>
          <w:tcPr>
            <w:tcW w:w="0" w:type="auto"/>
            <w:gridSpan w:val="3"/>
            <w:vAlign w:val="center"/>
            <w:hideMark/>
          </w:tcPr>
          <w:p w14:paraId="78CFFA66" w14:textId="77777777" w:rsidR="00000000" w:rsidRDefault="001D0688">
            <w:pPr>
              <w:rPr>
                <w:rFonts w:eastAsia="Times New Roman"/>
                <w:sz w:val="20"/>
                <w:szCs w:val="20"/>
              </w:rPr>
            </w:pPr>
          </w:p>
        </w:tc>
        <w:tc>
          <w:tcPr>
            <w:tcW w:w="0" w:type="auto"/>
            <w:gridSpan w:val="3"/>
            <w:vAlign w:val="center"/>
            <w:hideMark/>
          </w:tcPr>
          <w:p w14:paraId="5DC622AC" w14:textId="77777777" w:rsidR="00000000" w:rsidRDefault="001D0688">
            <w:pPr>
              <w:rPr>
                <w:rFonts w:eastAsia="Times New Roman"/>
                <w:sz w:val="20"/>
                <w:szCs w:val="20"/>
              </w:rPr>
            </w:pPr>
          </w:p>
        </w:tc>
        <w:tc>
          <w:tcPr>
            <w:tcW w:w="0" w:type="auto"/>
            <w:gridSpan w:val="3"/>
            <w:vAlign w:val="center"/>
            <w:hideMark/>
          </w:tcPr>
          <w:p w14:paraId="152D17FF" w14:textId="77777777" w:rsidR="00000000" w:rsidRDefault="001D0688">
            <w:pPr>
              <w:rPr>
                <w:rFonts w:eastAsia="Times New Roman"/>
                <w:sz w:val="20"/>
                <w:szCs w:val="20"/>
              </w:rPr>
            </w:pPr>
          </w:p>
        </w:tc>
        <w:tc>
          <w:tcPr>
            <w:tcW w:w="0" w:type="auto"/>
            <w:gridSpan w:val="3"/>
            <w:vAlign w:val="center"/>
            <w:hideMark/>
          </w:tcPr>
          <w:p w14:paraId="7DFE609C" w14:textId="77777777" w:rsidR="00000000" w:rsidRDefault="001D0688">
            <w:pPr>
              <w:rPr>
                <w:rFonts w:eastAsia="Times New Roman"/>
                <w:sz w:val="20"/>
                <w:szCs w:val="20"/>
              </w:rPr>
            </w:pPr>
          </w:p>
        </w:tc>
        <w:tc>
          <w:tcPr>
            <w:tcW w:w="0" w:type="auto"/>
            <w:gridSpan w:val="3"/>
            <w:vAlign w:val="center"/>
            <w:hideMark/>
          </w:tcPr>
          <w:p w14:paraId="22CD2BBF" w14:textId="77777777" w:rsidR="00000000" w:rsidRDefault="001D0688">
            <w:pPr>
              <w:rPr>
                <w:rFonts w:eastAsia="Times New Roman"/>
                <w:sz w:val="20"/>
                <w:szCs w:val="20"/>
              </w:rPr>
            </w:pPr>
          </w:p>
        </w:tc>
        <w:tc>
          <w:tcPr>
            <w:tcW w:w="0" w:type="auto"/>
            <w:gridSpan w:val="3"/>
            <w:vAlign w:val="center"/>
            <w:hideMark/>
          </w:tcPr>
          <w:p w14:paraId="34140798" w14:textId="77777777" w:rsidR="00000000" w:rsidRDefault="001D0688">
            <w:pPr>
              <w:rPr>
                <w:rFonts w:eastAsia="Times New Roman"/>
                <w:sz w:val="20"/>
                <w:szCs w:val="20"/>
              </w:rPr>
            </w:pPr>
          </w:p>
        </w:tc>
      </w:tr>
    </w:tbl>
    <w:p w14:paraId="23B490B0" w14:textId="77777777" w:rsidR="00000000" w:rsidRDefault="001D0688">
      <w:pPr>
        <w:ind w:hanging="180"/>
        <w:jc w:val="both"/>
        <w:divId w:val="22688979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Approximately 10,000 square feet are sublet.</w:t>
      </w:r>
    </w:p>
    <w:p w14:paraId="611F77CB" w14:textId="77777777" w:rsidR="00000000" w:rsidRDefault="001D0688">
      <w:pPr>
        <w:ind w:firstLine="720"/>
        <w:jc w:val="both"/>
        <w:divId w:val="1052774887"/>
        <w:rPr>
          <w:rFonts w:eastAsia="Times New Roman"/>
        </w:rPr>
      </w:pPr>
      <w:r>
        <w:rPr>
          <w:rFonts w:ascii="Arial" w:eastAsia="Times New Roman" w:hAnsi="Arial" w:cs="Arial"/>
          <w:color w:val="000000"/>
          <w:sz w:val="20"/>
          <w:szCs w:val="20"/>
        </w:rPr>
        <w:t>In addition to the above properties, we have other offices, warehouses, and parking facilities in various locations, primarily in the United States. See Note 4, “Leases,” in the Notes to consolidated financial statements for additional information regardin</w:t>
      </w:r>
      <w:r>
        <w:rPr>
          <w:rFonts w:ascii="Arial" w:eastAsia="Times New Roman" w:hAnsi="Arial" w:cs="Arial"/>
          <w:color w:val="000000"/>
          <w:sz w:val="20"/>
          <w:szCs w:val="20"/>
        </w:rPr>
        <w:t xml:space="preserve">g leases. We believe that these properties are well maintained, in good operating condition, and suitable for the purposes for which they are used. </w:t>
      </w:r>
    </w:p>
    <w:p w14:paraId="0F438802" w14:textId="77777777" w:rsidR="00000000" w:rsidRDefault="001D0688">
      <w:pPr>
        <w:jc w:val="both"/>
        <w:divId w:val="1161239812"/>
        <w:rPr>
          <w:rFonts w:eastAsia="Times New Roman"/>
        </w:rPr>
      </w:pPr>
      <w:r>
        <w:rPr>
          <w:rFonts w:ascii="Arial" w:eastAsia="Times New Roman" w:hAnsi="Arial" w:cs="Arial"/>
          <w:b/>
          <w:bCs/>
          <w:color w:val="0046AD"/>
          <w:sz w:val="20"/>
          <w:szCs w:val="20"/>
        </w:rPr>
        <w:t>ITEM 3. LEGAL PROCEEDINGS.</w:t>
      </w:r>
    </w:p>
    <w:p w14:paraId="2CC55F5D" w14:textId="77777777" w:rsidR="00000000" w:rsidRDefault="001D0688">
      <w:pPr>
        <w:jc w:val="both"/>
        <w:divId w:val="896550820"/>
        <w:rPr>
          <w:rFonts w:eastAsia="Times New Roman"/>
        </w:rPr>
      </w:pPr>
      <w:r>
        <w:rPr>
          <w:rFonts w:ascii="Arial" w:eastAsia="Times New Roman" w:hAnsi="Arial" w:cs="Arial"/>
          <w:b/>
          <w:bCs/>
          <w:color w:val="0046AD"/>
          <w:sz w:val="20"/>
          <w:szCs w:val="20"/>
        </w:rPr>
        <w:t>Certain Legal Proceedings</w:t>
      </w:r>
    </w:p>
    <w:p w14:paraId="2AE833D3" w14:textId="77777777" w:rsidR="00000000" w:rsidRDefault="001D0688">
      <w:pPr>
        <w:ind w:firstLine="720"/>
        <w:jc w:val="both"/>
        <w:divId w:val="2023120417"/>
        <w:rPr>
          <w:rFonts w:eastAsia="Times New Roman"/>
        </w:rPr>
      </w:pPr>
      <w:r>
        <w:rPr>
          <w:rFonts w:ascii="Arial" w:eastAsia="Times New Roman" w:hAnsi="Arial" w:cs="Arial"/>
          <w:color w:val="000000"/>
          <w:sz w:val="20"/>
          <w:szCs w:val="20"/>
        </w:rPr>
        <w:t xml:space="preserve">Information with respect to certain legal proceedings </w:t>
      </w:r>
      <w:r>
        <w:rPr>
          <w:rFonts w:ascii="Arial" w:eastAsia="Times New Roman" w:hAnsi="Arial" w:cs="Arial"/>
          <w:color w:val="000000"/>
          <w:sz w:val="20"/>
          <w:szCs w:val="20"/>
        </w:rPr>
        <w:t>is set forth in Note 13, “Commitments and Contingencies,” in the Notes to consolidated financial statements (included in Part II., Item 8 of this Form 10-K) and is incorporated herein by reference.</w:t>
      </w:r>
    </w:p>
    <w:p w14:paraId="2918F29B" w14:textId="77777777" w:rsidR="00000000" w:rsidRDefault="001D0688">
      <w:pPr>
        <w:divId w:val="706762516"/>
        <w:rPr>
          <w:rFonts w:eastAsia="Times New Roman"/>
        </w:rPr>
      </w:pPr>
      <w:r>
        <w:rPr>
          <w:rFonts w:ascii="Arial" w:eastAsia="Times New Roman" w:hAnsi="Arial" w:cs="Arial"/>
          <w:b/>
          <w:bCs/>
          <w:color w:val="0046AD"/>
          <w:sz w:val="20"/>
          <w:szCs w:val="20"/>
        </w:rPr>
        <w:t>ITEM 4. MINE SAFETY DISCLOSURES.</w:t>
      </w:r>
    </w:p>
    <w:p w14:paraId="3D1FECB1" w14:textId="77777777" w:rsidR="00000000" w:rsidRDefault="001D0688">
      <w:pPr>
        <w:ind w:firstLine="720"/>
        <w:jc w:val="both"/>
        <w:divId w:val="1053114883"/>
        <w:rPr>
          <w:rFonts w:eastAsia="Times New Roman"/>
        </w:rPr>
      </w:pPr>
      <w:r>
        <w:rPr>
          <w:rFonts w:ascii="Arial" w:eastAsia="Times New Roman" w:hAnsi="Arial" w:cs="Arial"/>
          <w:color w:val="000000"/>
          <w:sz w:val="20"/>
          <w:szCs w:val="20"/>
        </w:rPr>
        <w:t>Not applicable.</w:t>
      </w:r>
    </w:p>
    <w:p w14:paraId="0CC8079D" w14:textId="77777777" w:rsidR="00000000" w:rsidRDefault="001D0688">
      <w:pPr>
        <w:divId w:val="279260331"/>
        <w:rPr>
          <w:rFonts w:eastAsia="Times New Roman"/>
        </w:rPr>
      </w:pPr>
    </w:p>
    <w:p w14:paraId="70D8C62F" w14:textId="77777777" w:rsidR="00000000" w:rsidRDefault="001D0688">
      <w:pPr>
        <w:divId w:val="1103065490"/>
        <w:rPr>
          <w:rFonts w:eastAsia="Times New Roman"/>
        </w:rPr>
      </w:pPr>
    </w:p>
    <w:p w14:paraId="4737E319" w14:textId="77777777" w:rsidR="00000000" w:rsidRDefault="001D0688">
      <w:pPr>
        <w:jc w:val="center"/>
        <w:divId w:val="421341570"/>
        <w:rPr>
          <w:rFonts w:eastAsia="Times New Roman"/>
        </w:rPr>
      </w:pPr>
      <w:r>
        <w:rPr>
          <w:rFonts w:ascii="Arial" w:eastAsia="Times New Roman" w:hAnsi="Arial" w:cs="Arial"/>
          <w:color w:val="000000"/>
          <w:sz w:val="20"/>
          <w:szCs w:val="20"/>
        </w:rPr>
        <w:t>16</w:t>
      </w:r>
    </w:p>
    <w:p w14:paraId="461010D2" w14:textId="77777777" w:rsidR="00000000" w:rsidRDefault="001D0688">
      <w:pPr>
        <w:rPr>
          <w:rFonts w:eastAsia="Times New Roman"/>
        </w:rPr>
      </w:pPr>
      <w:r>
        <w:rPr>
          <w:rFonts w:eastAsia="Times New Roman"/>
        </w:rPr>
        <w:pict w14:anchorId="7E4611E0">
          <v:rect id="_x0000_i1051" style="width:0;height:1.5pt" o:hralign="center" o:hrstd="t" o:hr="t" fillcolor="#a0a0a0" stroked="f"/>
        </w:pict>
      </w:r>
    </w:p>
    <w:p w14:paraId="716220DA" w14:textId="77777777" w:rsidR="00000000" w:rsidRDefault="001D0688">
      <w:pPr>
        <w:divId w:val="1414550735"/>
        <w:rPr>
          <w:rFonts w:eastAsia="Times New Roman"/>
        </w:rPr>
      </w:pPr>
    </w:p>
    <w:p w14:paraId="5C933FDB" w14:textId="77777777" w:rsidR="00000000" w:rsidRDefault="001D0688">
      <w:pPr>
        <w:jc w:val="center"/>
        <w:divId w:val="30545298"/>
        <w:rPr>
          <w:rFonts w:eastAsia="Times New Roman"/>
        </w:rPr>
      </w:pPr>
      <w:r>
        <w:rPr>
          <w:rFonts w:ascii="Arial" w:eastAsia="Times New Roman" w:hAnsi="Arial" w:cs="Arial"/>
          <w:b/>
          <w:bCs/>
          <w:color w:val="0046AD"/>
          <w:sz w:val="20"/>
          <w:szCs w:val="20"/>
        </w:rPr>
        <w:t>PART II</w:t>
      </w:r>
    </w:p>
    <w:p w14:paraId="1805ADB8" w14:textId="77777777" w:rsidR="00000000" w:rsidRDefault="001D0688">
      <w:pPr>
        <w:jc w:val="both"/>
        <w:divId w:val="531111845"/>
        <w:rPr>
          <w:rFonts w:eastAsia="Times New Roman"/>
        </w:rPr>
      </w:pPr>
      <w:r>
        <w:rPr>
          <w:rFonts w:ascii="Arial" w:eastAsia="Times New Roman" w:hAnsi="Arial" w:cs="Arial"/>
          <w:b/>
          <w:bCs/>
          <w:color w:val="0046AD"/>
          <w:sz w:val="20"/>
          <w:szCs w:val="20"/>
        </w:rPr>
        <w:t>ITEM 5. MARKET FOR REGISTRANT’S COMMON EQUITY, RELATED STOCKHOLDER MATTERS AND ISSUER PURCHASES OF EQUITY SECURITIES.</w:t>
      </w:r>
    </w:p>
    <w:p w14:paraId="2CE63AAB" w14:textId="77777777" w:rsidR="00000000" w:rsidRDefault="001D0688">
      <w:pPr>
        <w:divId w:val="353388407"/>
        <w:rPr>
          <w:rFonts w:eastAsia="Times New Roman"/>
        </w:rPr>
      </w:pPr>
      <w:r>
        <w:rPr>
          <w:rFonts w:ascii="Arial" w:eastAsia="Times New Roman" w:hAnsi="Arial" w:cs="Arial"/>
          <w:b/>
          <w:bCs/>
          <w:color w:val="0046AD"/>
          <w:sz w:val="20"/>
          <w:szCs w:val="20"/>
        </w:rPr>
        <w:t>Market Information, Dividends, and Stockholders</w:t>
      </w:r>
    </w:p>
    <w:p w14:paraId="17658F42" w14:textId="77777777" w:rsidR="00000000" w:rsidRDefault="001D0688">
      <w:pPr>
        <w:ind w:firstLine="720"/>
        <w:jc w:val="both"/>
        <w:divId w:val="1263298389"/>
        <w:rPr>
          <w:rFonts w:eastAsia="Times New Roman"/>
        </w:rPr>
      </w:pPr>
      <w:r>
        <w:rPr>
          <w:rFonts w:ascii="Arial" w:eastAsia="Times New Roman" w:hAnsi="Arial" w:cs="Arial"/>
          <w:color w:val="000000"/>
          <w:sz w:val="20"/>
          <w:szCs w:val="20"/>
        </w:rPr>
        <w:t>Our common stock is listed on the New York Sto</w:t>
      </w:r>
      <w:r>
        <w:rPr>
          <w:rFonts w:ascii="Arial" w:eastAsia="Times New Roman" w:hAnsi="Arial" w:cs="Arial"/>
          <w:color w:val="000000"/>
          <w:sz w:val="20"/>
          <w:szCs w:val="20"/>
        </w:rPr>
        <w:t>ck Exchange (NYSE: ABM). We have paid cash dividends every quarter since 1965. Future dividends will be determined based on our earnings, capital requirements, financial condition, and other factors considered relevant by our Board of Directors.</w:t>
      </w:r>
    </w:p>
    <w:p w14:paraId="2E35A85A" w14:textId="77777777" w:rsidR="00000000" w:rsidRDefault="001D0688">
      <w:pPr>
        <w:ind w:firstLine="720"/>
        <w:jc w:val="both"/>
        <w:divId w:val="1063142242"/>
        <w:rPr>
          <w:rFonts w:eastAsia="Times New Roman"/>
        </w:rPr>
      </w:pPr>
      <w:r>
        <w:rPr>
          <w:rFonts w:ascii="Arial" w:eastAsia="Times New Roman" w:hAnsi="Arial" w:cs="Arial"/>
          <w:color w:val="000000"/>
          <w:sz w:val="20"/>
          <w:szCs w:val="20"/>
        </w:rPr>
        <w:t>At Decembe</w:t>
      </w:r>
      <w:r>
        <w:rPr>
          <w:rFonts w:ascii="Arial" w:eastAsia="Times New Roman" w:hAnsi="Arial" w:cs="Arial"/>
          <w:color w:val="000000"/>
          <w:sz w:val="20"/>
          <w:szCs w:val="20"/>
        </w:rPr>
        <w:t>r 15, 2020, there were 3,133 registered holders of our common stock.</w:t>
      </w:r>
    </w:p>
    <w:p w14:paraId="5B884236" w14:textId="77777777" w:rsidR="00000000" w:rsidRDefault="001D0688">
      <w:pPr>
        <w:divId w:val="627443173"/>
        <w:rPr>
          <w:rFonts w:eastAsia="Times New Roman"/>
        </w:rPr>
      </w:pPr>
      <w:r>
        <w:rPr>
          <w:rFonts w:ascii="Arial" w:eastAsia="Times New Roman" w:hAnsi="Arial" w:cs="Arial"/>
          <w:b/>
          <w:bCs/>
          <w:color w:val="0046AD"/>
          <w:sz w:val="20"/>
          <w:szCs w:val="20"/>
        </w:rPr>
        <w:t xml:space="preserve">Common Stock Repurchases </w:t>
      </w:r>
    </w:p>
    <w:p w14:paraId="1560F054" w14:textId="77777777" w:rsidR="00000000" w:rsidRDefault="001D0688">
      <w:pPr>
        <w:ind w:firstLine="720"/>
        <w:jc w:val="both"/>
        <w:divId w:val="665981049"/>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share repurchase program under which we may repurchase up to $150.0 million of our common stock (the “2019 Share Repurchase Program”). These </w:t>
      </w:r>
      <w:r>
        <w:rPr>
          <w:rFonts w:ascii="Arial" w:eastAsia="Times New Roman" w:hAnsi="Arial" w:cs="Arial"/>
          <w:color w:val="000000"/>
          <w:sz w:val="20"/>
          <w:szCs w:val="20"/>
        </w:rPr>
        <w:t>purchases may take place on the open market or otherwise, and all or part of the repurchases may be made pursuant to Rule 10b5-1 plans or in privately negotiated transactions. The timing of repurchases is at our discretion and will depend upon several fact</w:t>
      </w:r>
      <w:r>
        <w:rPr>
          <w:rFonts w:ascii="Arial" w:eastAsia="Times New Roman" w:hAnsi="Arial" w:cs="Arial"/>
          <w:color w:val="000000"/>
          <w:sz w:val="20"/>
          <w:szCs w:val="20"/>
        </w:rPr>
        <w:t>ors, including market and business conditions, future cash flows, share price, share availability, and other factors at our discretion. Repurchased shares are retired and returned to an authorized but unissued status. We repurchased shares under the 2019 S</w:t>
      </w:r>
      <w:r>
        <w:rPr>
          <w:rFonts w:ascii="Arial" w:eastAsia="Times New Roman" w:hAnsi="Arial" w:cs="Arial"/>
          <w:color w:val="000000"/>
          <w:sz w:val="20"/>
          <w:szCs w:val="20"/>
        </w:rPr>
        <w:t>hare Repurchase Program during the second quarter of 2020, as summarized below. However, due to the market and business conditions arising from the Pandemic, in March 2020 we suspended further repurchases of our common stock. At October 31, 2020, authoriza</w:t>
      </w:r>
      <w:r>
        <w:rPr>
          <w:rFonts w:ascii="Arial" w:eastAsia="Times New Roman" w:hAnsi="Arial" w:cs="Arial"/>
          <w:color w:val="000000"/>
          <w:sz w:val="20"/>
          <w:szCs w:val="20"/>
        </w:rPr>
        <w:t xml:space="preserve">tion for $144.9 million of repurchases remained under the 2019 Share Repurchase Program. </w:t>
      </w:r>
    </w:p>
    <w:p w14:paraId="42F090C5" w14:textId="77777777" w:rsidR="00000000" w:rsidRDefault="001D0688">
      <w:pPr>
        <w:divId w:val="130832481"/>
        <w:rPr>
          <w:rFonts w:eastAsia="Times New Roman"/>
        </w:rPr>
      </w:pPr>
      <w:r>
        <w:rPr>
          <w:rFonts w:ascii="Arial" w:eastAsia="Times New Roman" w:hAnsi="Arial" w:cs="Arial"/>
          <w:b/>
          <w:bCs/>
          <w:i/>
          <w:iCs/>
          <w:color w:val="0046AD"/>
          <w:sz w:val="20"/>
          <w:szCs w:val="20"/>
        </w:rPr>
        <w:t xml:space="preserve">Repurchase Activity </w:t>
      </w:r>
    </w:p>
    <w:tbl>
      <w:tblPr>
        <w:tblW w:w="5000" w:type="pct"/>
        <w:tblCellMar>
          <w:top w:w="15" w:type="dxa"/>
          <w:left w:w="15" w:type="dxa"/>
          <w:bottom w:w="15" w:type="dxa"/>
          <w:right w:w="15" w:type="dxa"/>
        </w:tblCellMar>
        <w:tblLook w:val="04A0" w:firstRow="1" w:lastRow="0" w:firstColumn="1" w:lastColumn="0" w:noHBand="0" w:noVBand="1"/>
      </w:tblPr>
      <w:tblGrid>
        <w:gridCol w:w="42"/>
        <w:gridCol w:w="5795"/>
        <w:gridCol w:w="38"/>
        <w:gridCol w:w="36"/>
        <w:gridCol w:w="36"/>
        <w:gridCol w:w="36"/>
        <w:gridCol w:w="133"/>
        <w:gridCol w:w="2153"/>
        <w:gridCol w:w="37"/>
      </w:tblGrid>
      <w:tr w:rsidR="00000000" w14:paraId="301CCE9F" w14:textId="77777777">
        <w:trPr>
          <w:divId w:val="207187522"/>
        </w:trPr>
        <w:tc>
          <w:tcPr>
            <w:tcW w:w="50" w:type="pct"/>
            <w:vAlign w:val="center"/>
            <w:hideMark/>
          </w:tcPr>
          <w:p w14:paraId="21EEAFA2" w14:textId="77777777" w:rsidR="00000000" w:rsidRDefault="001D0688">
            <w:pPr>
              <w:rPr>
                <w:rFonts w:eastAsia="Times New Roman"/>
              </w:rPr>
            </w:pPr>
          </w:p>
        </w:tc>
        <w:tc>
          <w:tcPr>
            <w:tcW w:w="3512" w:type="pct"/>
            <w:vAlign w:val="center"/>
            <w:hideMark/>
          </w:tcPr>
          <w:p w14:paraId="5CD49A10" w14:textId="77777777" w:rsidR="00000000" w:rsidRDefault="001D0688">
            <w:pPr>
              <w:rPr>
                <w:rFonts w:eastAsia="Times New Roman"/>
                <w:sz w:val="20"/>
                <w:szCs w:val="20"/>
              </w:rPr>
            </w:pPr>
          </w:p>
        </w:tc>
        <w:tc>
          <w:tcPr>
            <w:tcW w:w="5" w:type="pct"/>
            <w:vAlign w:val="center"/>
            <w:hideMark/>
          </w:tcPr>
          <w:p w14:paraId="63274B33" w14:textId="77777777" w:rsidR="00000000" w:rsidRDefault="001D0688">
            <w:pPr>
              <w:rPr>
                <w:rFonts w:eastAsia="Times New Roman"/>
                <w:sz w:val="20"/>
                <w:szCs w:val="20"/>
              </w:rPr>
            </w:pPr>
          </w:p>
        </w:tc>
        <w:tc>
          <w:tcPr>
            <w:tcW w:w="5" w:type="pct"/>
            <w:vAlign w:val="center"/>
            <w:hideMark/>
          </w:tcPr>
          <w:p w14:paraId="757CD93D" w14:textId="77777777" w:rsidR="00000000" w:rsidRDefault="001D0688">
            <w:pPr>
              <w:rPr>
                <w:rFonts w:eastAsia="Times New Roman"/>
                <w:sz w:val="20"/>
                <w:szCs w:val="20"/>
              </w:rPr>
            </w:pPr>
          </w:p>
        </w:tc>
        <w:tc>
          <w:tcPr>
            <w:tcW w:w="26" w:type="pct"/>
            <w:vAlign w:val="center"/>
            <w:hideMark/>
          </w:tcPr>
          <w:p w14:paraId="51A6E0B6" w14:textId="77777777" w:rsidR="00000000" w:rsidRDefault="001D0688">
            <w:pPr>
              <w:rPr>
                <w:rFonts w:eastAsia="Times New Roman"/>
                <w:sz w:val="20"/>
                <w:szCs w:val="20"/>
              </w:rPr>
            </w:pPr>
          </w:p>
        </w:tc>
        <w:tc>
          <w:tcPr>
            <w:tcW w:w="5" w:type="pct"/>
            <w:vAlign w:val="center"/>
            <w:hideMark/>
          </w:tcPr>
          <w:p w14:paraId="0A078129" w14:textId="77777777" w:rsidR="00000000" w:rsidRDefault="001D0688">
            <w:pPr>
              <w:rPr>
                <w:rFonts w:eastAsia="Times New Roman"/>
                <w:sz w:val="20"/>
                <w:szCs w:val="20"/>
              </w:rPr>
            </w:pPr>
          </w:p>
        </w:tc>
        <w:tc>
          <w:tcPr>
            <w:tcW w:w="50" w:type="pct"/>
            <w:vAlign w:val="center"/>
            <w:hideMark/>
          </w:tcPr>
          <w:p w14:paraId="5CF2A99B" w14:textId="77777777" w:rsidR="00000000" w:rsidRDefault="001D0688">
            <w:pPr>
              <w:rPr>
                <w:rFonts w:eastAsia="Times New Roman"/>
                <w:sz w:val="20"/>
                <w:szCs w:val="20"/>
              </w:rPr>
            </w:pPr>
          </w:p>
        </w:tc>
        <w:tc>
          <w:tcPr>
            <w:tcW w:w="1341" w:type="pct"/>
            <w:vAlign w:val="center"/>
            <w:hideMark/>
          </w:tcPr>
          <w:p w14:paraId="6461837C" w14:textId="77777777" w:rsidR="00000000" w:rsidRDefault="001D0688">
            <w:pPr>
              <w:rPr>
                <w:rFonts w:eastAsia="Times New Roman"/>
                <w:sz w:val="20"/>
                <w:szCs w:val="20"/>
              </w:rPr>
            </w:pPr>
          </w:p>
        </w:tc>
        <w:tc>
          <w:tcPr>
            <w:tcW w:w="5" w:type="pct"/>
            <w:vAlign w:val="center"/>
            <w:hideMark/>
          </w:tcPr>
          <w:p w14:paraId="0BFE26A2" w14:textId="77777777" w:rsidR="00000000" w:rsidRDefault="001D0688">
            <w:pPr>
              <w:rPr>
                <w:rFonts w:eastAsia="Times New Roman"/>
                <w:sz w:val="20"/>
                <w:szCs w:val="20"/>
              </w:rPr>
            </w:pPr>
          </w:p>
        </w:tc>
      </w:tr>
      <w:tr w:rsidR="00000000" w14:paraId="3DB45246" w14:textId="77777777">
        <w:trPr>
          <w:divId w:val="207187522"/>
        </w:trPr>
        <w:tc>
          <w:tcPr>
            <w:tcW w:w="0" w:type="auto"/>
            <w:gridSpan w:val="3"/>
            <w:tcMar>
              <w:top w:w="0" w:type="dxa"/>
              <w:left w:w="20" w:type="dxa"/>
              <w:bottom w:w="0" w:type="dxa"/>
              <w:right w:w="20" w:type="dxa"/>
            </w:tcMar>
            <w:vAlign w:val="center"/>
            <w:hideMark/>
          </w:tcPr>
          <w:p w14:paraId="5C2F8553"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61A99A5"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65851645" w14:textId="77777777" w:rsidR="00000000" w:rsidRDefault="001D0688">
            <w:pPr>
              <w:jc w:val="center"/>
              <w:rPr>
                <w:rFonts w:eastAsia="Times New Roman"/>
              </w:rPr>
            </w:pPr>
            <w:r>
              <w:rPr>
                <w:rFonts w:ascii="Arial" w:eastAsia="Times New Roman" w:hAnsi="Arial" w:cs="Arial"/>
                <w:b/>
                <w:bCs/>
                <w:color w:val="000000"/>
                <w:sz w:val="20"/>
                <w:szCs w:val="20"/>
              </w:rPr>
              <w:t>Year Ended</w:t>
            </w:r>
          </w:p>
        </w:tc>
      </w:tr>
      <w:tr w:rsidR="00000000" w14:paraId="48DB0845" w14:textId="77777777">
        <w:trPr>
          <w:divId w:val="207187522"/>
        </w:trPr>
        <w:tc>
          <w:tcPr>
            <w:tcW w:w="0" w:type="auto"/>
            <w:gridSpan w:val="3"/>
            <w:tcMar>
              <w:top w:w="30" w:type="dxa"/>
              <w:left w:w="20" w:type="dxa"/>
              <w:bottom w:w="30" w:type="dxa"/>
              <w:right w:w="20" w:type="dxa"/>
            </w:tcMar>
            <w:vAlign w:val="bottom"/>
            <w:hideMark/>
          </w:tcPr>
          <w:p w14:paraId="49C50EE9"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27D9E56D"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6D4345D6"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r>
      <w:tr w:rsidR="00000000" w14:paraId="48CCD3B8" w14:textId="77777777">
        <w:trPr>
          <w:divId w:val="207187522"/>
        </w:trPr>
        <w:tc>
          <w:tcPr>
            <w:tcW w:w="0" w:type="auto"/>
            <w:gridSpan w:val="3"/>
            <w:shd w:val="clear" w:color="auto" w:fill="DCE2EF"/>
            <w:tcMar>
              <w:top w:w="30" w:type="dxa"/>
              <w:left w:w="20" w:type="dxa"/>
              <w:bottom w:w="30" w:type="dxa"/>
              <w:right w:w="20" w:type="dxa"/>
            </w:tcMar>
            <w:vAlign w:val="bottom"/>
            <w:hideMark/>
          </w:tcPr>
          <w:p w14:paraId="15D91DB4" w14:textId="77777777" w:rsidR="00000000" w:rsidRDefault="001D0688">
            <w:pPr>
              <w:rPr>
                <w:rFonts w:eastAsia="Times New Roman"/>
              </w:rPr>
            </w:pPr>
            <w:r>
              <w:rPr>
                <w:rFonts w:ascii="Arial" w:eastAsia="Times New Roman" w:hAnsi="Arial" w:cs="Arial"/>
                <w:color w:val="000000"/>
                <w:sz w:val="20"/>
                <w:szCs w:val="20"/>
              </w:rPr>
              <w:t>Total number of shares purchased</w:t>
            </w:r>
          </w:p>
        </w:tc>
        <w:tc>
          <w:tcPr>
            <w:tcW w:w="0" w:type="auto"/>
            <w:gridSpan w:val="3"/>
            <w:shd w:val="clear" w:color="auto" w:fill="DCE2EF"/>
            <w:tcMar>
              <w:top w:w="0" w:type="dxa"/>
              <w:left w:w="20" w:type="dxa"/>
              <w:bottom w:w="0" w:type="dxa"/>
              <w:right w:w="20" w:type="dxa"/>
            </w:tcMar>
            <w:vAlign w:val="center"/>
            <w:hideMark/>
          </w:tcPr>
          <w:p w14:paraId="455545AD" w14:textId="77777777" w:rsidR="00000000" w:rsidRDefault="001D0688">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35EDC08"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2C051C" w14:textId="77777777" w:rsidR="00000000" w:rsidRDefault="001D0688">
            <w:pPr>
              <w:jc w:val="right"/>
              <w:rPr>
                <w:rFonts w:eastAsia="Times New Roman"/>
              </w:rPr>
            </w:pPr>
          </w:p>
        </w:tc>
      </w:tr>
      <w:tr w:rsidR="00000000" w14:paraId="57354A96" w14:textId="77777777">
        <w:trPr>
          <w:divId w:val="207187522"/>
        </w:trPr>
        <w:tc>
          <w:tcPr>
            <w:tcW w:w="0" w:type="auto"/>
            <w:gridSpan w:val="3"/>
            <w:shd w:val="clear" w:color="auto" w:fill="FFFFFF"/>
            <w:tcMar>
              <w:top w:w="30" w:type="dxa"/>
              <w:left w:w="20" w:type="dxa"/>
              <w:bottom w:w="30" w:type="dxa"/>
              <w:right w:w="20" w:type="dxa"/>
            </w:tcMar>
            <w:vAlign w:val="bottom"/>
            <w:hideMark/>
          </w:tcPr>
          <w:p w14:paraId="74E31DCC" w14:textId="77777777" w:rsidR="00000000" w:rsidRDefault="001D0688">
            <w:pPr>
              <w:rPr>
                <w:rFonts w:eastAsia="Times New Roman"/>
              </w:rPr>
            </w:pPr>
            <w:r>
              <w:rPr>
                <w:rFonts w:ascii="Arial" w:eastAsia="Times New Roman" w:hAnsi="Arial" w:cs="Arial"/>
                <w:color w:val="000000"/>
                <w:sz w:val="20"/>
                <w:szCs w:val="20"/>
              </w:rPr>
              <w:t>Average price paid per share</w:t>
            </w:r>
          </w:p>
        </w:tc>
        <w:tc>
          <w:tcPr>
            <w:tcW w:w="0" w:type="auto"/>
            <w:gridSpan w:val="3"/>
            <w:shd w:val="clear" w:color="auto" w:fill="FFFFFF"/>
            <w:tcMar>
              <w:top w:w="0" w:type="dxa"/>
              <w:left w:w="20" w:type="dxa"/>
              <w:bottom w:w="0" w:type="dxa"/>
              <w:right w:w="20" w:type="dxa"/>
            </w:tcMar>
            <w:vAlign w:val="center"/>
            <w:hideMark/>
          </w:tcPr>
          <w:p w14:paraId="47FB00C9"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035A0B9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07B8143" w14:textId="77777777" w:rsidR="00000000" w:rsidRDefault="001D0688">
            <w:pPr>
              <w:jc w:val="right"/>
              <w:rPr>
                <w:rFonts w:eastAsia="Times New Roman"/>
              </w:rPr>
            </w:pPr>
            <w:r>
              <w:rPr>
                <w:rFonts w:ascii="Arial" w:eastAsia="Times New Roman" w:hAnsi="Arial" w:cs="Arial"/>
                <w:color w:val="000000"/>
                <w:sz w:val="20"/>
                <w:szCs w:val="20"/>
              </w:rPr>
              <w:t>36.16 </w:t>
            </w:r>
          </w:p>
        </w:tc>
        <w:tc>
          <w:tcPr>
            <w:tcW w:w="0" w:type="auto"/>
            <w:shd w:val="clear" w:color="auto" w:fill="FFFFFF"/>
            <w:tcMar>
              <w:top w:w="30" w:type="dxa"/>
              <w:left w:w="0" w:type="dxa"/>
              <w:bottom w:w="30" w:type="dxa"/>
              <w:right w:w="20" w:type="dxa"/>
            </w:tcMar>
            <w:vAlign w:val="bottom"/>
            <w:hideMark/>
          </w:tcPr>
          <w:p w14:paraId="0D1AC647" w14:textId="77777777" w:rsidR="00000000" w:rsidRDefault="001D0688">
            <w:pPr>
              <w:jc w:val="right"/>
              <w:rPr>
                <w:rFonts w:eastAsia="Times New Roman"/>
              </w:rPr>
            </w:pPr>
          </w:p>
        </w:tc>
      </w:tr>
      <w:tr w:rsidR="00000000" w14:paraId="13E926F4" w14:textId="77777777">
        <w:trPr>
          <w:divId w:val="207187522"/>
        </w:trPr>
        <w:tc>
          <w:tcPr>
            <w:tcW w:w="0" w:type="auto"/>
            <w:gridSpan w:val="3"/>
            <w:shd w:val="clear" w:color="auto" w:fill="DCE2EF"/>
            <w:tcMar>
              <w:top w:w="30" w:type="dxa"/>
              <w:left w:w="20" w:type="dxa"/>
              <w:bottom w:w="30" w:type="dxa"/>
              <w:right w:w="20" w:type="dxa"/>
            </w:tcMar>
            <w:vAlign w:val="bottom"/>
            <w:hideMark/>
          </w:tcPr>
          <w:p w14:paraId="327B508F" w14:textId="77777777" w:rsidR="00000000" w:rsidRDefault="001D0688">
            <w:pPr>
              <w:rPr>
                <w:rFonts w:eastAsia="Times New Roman"/>
              </w:rPr>
            </w:pPr>
            <w:r>
              <w:rPr>
                <w:rFonts w:ascii="Arial" w:eastAsia="Times New Roman" w:hAnsi="Arial" w:cs="Arial"/>
                <w:color w:val="000000"/>
                <w:sz w:val="20"/>
                <w:szCs w:val="20"/>
              </w:rPr>
              <w:t>Total cash paid for share repurchases</w:t>
            </w:r>
          </w:p>
        </w:tc>
        <w:tc>
          <w:tcPr>
            <w:tcW w:w="0" w:type="auto"/>
            <w:gridSpan w:val="3"/>
            <w:shd w:val="clear" w:color="auto" w:fill="DCE2EF"/>
            <w:tcMar>
              <w:top w:w="0" w:type="dxa"/>
              <w:left w:w="20" w:type="dxa"/>
              <w:bottom w:w="0" w:type="dxa"/>
              <w:right w:w="20" w:type="dxa"/>
            </w:tcMar>
            <w:vAlign w:val="center"/>
            <w:hideMark/>
          </w:tcPr>
          <w:p w14:paraId="3FCE3F49" w14:textId="77777777" w:rsidR="00000000" w:rsidRDefault="001D0688">
            <w:pPr>
              <w:rPr>
                <w:rFonts w:eastAsia="Times New Roman"/>
              </w:rPr>
            </w:pPr>
          </w:p>
        </w:tc>
        <w:tc>
          <w:tcPr>
            <w:tcW w:w="0" w:type="auto"/>
            <w:shd w:val="clear" w:color="auto" w:fill="DCE2EF"/>
            <w:tcMar>
              <w:top w:w="30" w:type="dxa"/>
              <w:left w:w="20" w:type="dxa"/>
              <w:bottom w:w="30" w:type="dxa"/>
              <w:right w:w="0" w:type="dxa"/>
            </w:tcMar>
            <w:vAlign w:val="bottom"/>
            <w:hideMark/>
          </w:tcPr>
          <w:p w14:paraId="665EBC5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B6C5A3A" w14:textId="77777777" w:rsidR="00000000" w:rsidRDefault="001D0688">
            <w:pPr>
              <w:jc w:val="right"/>
              <w:rPr>
                <w:rFonts w:eastAsia="Times New Roman"/>
              </w:rPr>
            </w:pPr>
            <w:r>
              <w:rPr>
                <w:rFonts w:ascii="Arial" w:eastAsia="Times New Roman" w:hAnsi="Arial" w:cs="Arial"/>
                <w:color w:val="000000"/>
                <w:sz w:val="20"/>
                <w:szCs w:val="20"/>
              </w:rPr>
              <w:t>5.1 </w:t>
            </w:r>
          </w:p>
        </w:tc>
        <w:tc>
          <w:tcPr>
            <w:tcW w:w="0" w:type="auto"/>
            <w:shd w:val="clear" w:color="auto" w:fill="DCE2EF"/>
            <w:tcMar>
              <w:top w:w="30" w:type="dxa"/>
              <w:left w:w="0" w:type="dxa"/>
              <w:bottom w:w="30" w:type="dxa"/>
              <w:right w:w="20" w:type="dxa"/>
            </w:tcMar>
            <w:vAlign w:val="bottom"/>
            <w:hideMark/>
          </w:tcPr>
          <w:p w14:paraId="66CE503D" w14:textId="77777777" w:rsidR="00000000" w:rsidRDefault="001D0688">
            <w:pPr>
              <w:jc w:val="right"/>
              <w:rPr>
                <w:rFonts w:eastAsia="Times New Roman"/>
              </w:rPr>
            </w:pPr>
          </w:p>
        </w:tc>
      </w:tr>
    </w:tbl>
    <w:p w14:paraId="72881C9B" w14:textId="77777777" w:rsidR="00000000" w:rsidRDefault="001D0688">
      <w:pPr>
        <w:divId w:val="200946079"/>
        <w:rPr>
          <w:rFonts w:eastAsia="Times New Roman"/>
        </w:rPr>
      </w:pPr>
    </w:p>
    <w:p w14:paraId="6ABE4876" w14:textId="77777777" w:rsidR="00000000" w:rsidRDefault="001D0688">
      <w:pPr>
        <w:jc w:val="center"/>
        <w:divId w:val="869537317"/>
        <w:rPr>
          <w:rFonts w:eastAsia="Times New Roman"/>
        </w:rPr>
      </w:pPr>
      <w:r>
        <w:rPr>
          <w:rFonts w:ascii="Arial" w:eastAsia="Times New Roman" w:hAnsi="Arial" w:cs="Arial"/>
          <w:color w:val="000000"/>
          <w:sz w:val="20"/>
          <w:szCs w:val="20"/>
        </w:rPr>
        <w:t>17</w:t>
      </w:r>
    </w:p>
    <w:p w14:paraId="20EED546" w14:textId="77777777" w:rsidR="00000000" w:rsidRDefault="001D0688">
      <w:pPr>
        <w:rPr>
          <w:rFonts w:eastAsia="Times New Roman"/>
        </w:rPr>
      </w:pPr>
      <w:r>
        <w:rPr>
          <w:rFonts w:eastAsia="Times New Roman"/>
        </w:rPr>
        <w:pict w14:anchorId="6128CD56">
          <v:rect id="_x0000_i1052" style="width:0;height:1.5pt" o:hralign="center" o:hrstd="t" o:hr="t" fillcolor="#a0a0a0" stroked="f"/>
        </w:pict>
      </w:r>
    </w:p>
    <w:p w14:paraId="0578A252" w14:textId="77777777" w:rsidR="00000000" w:rsidRDefault="001D0688">
      <w:pPr>
        <w:divId w:val="1921986466"/>
        <w:rPr>
          <w:rFonts w:eastAsia="Times New Roman"/>
        </w:rPr>
      </w:pPr>
    </w:p>
    <w:p w14:paraId="7FF7C6A1" w14:textId="77777777" w:rsidR="00000000" w:rsidRDefault="001D0688">
      <w:pPr>
        <w:jc w:val="both"/>
        <w:divId w:val="1021322765"/>
        <w:rPr>
          <w:rFonts w:eastAsia="Times New Roman"/>
        </w:rPr>
      </w:pPr>
      <w:r>
        <w:rPr>
          <w:rFonts w:ascii="Arial" w:eastAsia="Times New Roman" w:hAnsi="Arial" w:cs="Arial"/>
          <w:b/>
          <w:bCs/>
          <w:color w:val="0046AD"/>
          <w:sz w:val="20"/>
          <w:szCs w:val="20"/>
        </w:rPr>
        <w:t>Performance Graph</w:t>
      </w:r>
    </w:p>
    <w:p w14:paraId="5F8BFA15" w14:textId="77777777" w:rsidR="00000000" w:rsidRDefault="001D0688">
      <w:pPr>
        <w:ind w:firstLine="720"/>
        <w:jc w:val="both"/>
        <w:divId w:val="1191803547"/>
        <w:rPr>
          <w:rFonts w:eastAsia="Times New Roman"/>
        </w:rPr>
      </w:pPr>
      <w:r>
        <w:rPr>
          <w:rFonts w:ascii="Arial" w:eastAsia="Times New Roman" w:hAnsi="Arial" w:cs="Arial"/>
          <w:color w:val="000000"/>
          <w:sz w:val="20"/>
          <w:szCs w:val="20"/>
        </w:rPr>
        <w:t>The following graph compares the five-year cumulative total return for our common stock against the Standard &amp; Poor’s 500 Index (“S&amp;P 500”) and the Standard &amp; Poor’s SmallCap 600 Index (“S&amp;P 600”). As</w:t>
      </w:r>
      <w:r>
        <w:rPr>
          <w:rFonts w:ascii="Arial" w:eastAsia="Times New Roman" w:hAnsi="Arial" w:cs="Arial"/>
          <w:color w:val="000000"/>
          <w:sz w:val="20"/>
          <w:szCs w:val="20"/>
        </w:rPr>
        <w:t xml:space="preserve"> our competitors are principally privately held, we do not believe it is feasible to construct a peer group comparison on an industry or line-of-business basis.</w:t>
      </w:r>
    </w:p>
    <w:p w14:paraId="1805F18A" w14:textId="77777777" w:rsidR="00000000" w:rsidRDefault="001D0688">
      <w:pPr>
        <w:spacing w:before="240"/>
        <w:jc w:val="center"/>
        <w:divId w:val="663357757"/>
        <w:rPr>
          <w:rFonts w:eastAsia="Times New Roman"/>
        </w:rPr>
      </w:pPr>
      <w:r>
        <w:rPr>
          <w:rFonts w:eastAsia="Times New Roman"/>
          <w:noProof/>
        </w:rPr>
        <w:drawing>
          <wp:inline distT="0" distB="0" distL="0" distR="0" wp14:anchorId="755A4BF5" wp14:editId="2420EF8A">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30"/>
        <w:gridCol w:w="37"/>
        <w:gridCol w:w="36"/>
        <w:gridCol w:w="36"/>
        <w:gridCol w:w="36"/>
        <w:gridCol w:w="132"/>
        <w:gridCol w:w="660"/>
        <w:gridCol w:w="36"/>
        <w:gridCol w:w="36"/>
        <w:gridCol w:w="36"/>
        <w:gridCol w:w="36"/>
        <w:gridCol w:w="132"/>
        <w:gridCol w:w="637"/>
        <w:gridCol w:w="36"/>
        <w:gridCol w:w="36"/>
        <w:gridCol w:w="36"/>
        <w:gridCol w:w="36"/>
        <w:gridCol w:w="132"/>
        <w:gridCol w:w="662"/>
        <w:gridCol w:w="36"/>
        <w:gridCol w:w="36"/>
        <w:gridCol w:w="36"/>
        <w:gridCol w:w="36"/>
        <w:gridCol w:w="132"/>
        <w:gridCol w:w="662"/>
        <w:gridCol w:w="36"/>
        <w:gridCol w:w="36"/>
        <w:gridCol w:w="36"/>
        <w:gridCol w:w="36"/>
        <w:gridCol w:w="132"/>
        <w:gridCol w:w="662"/>
        <w:gridCol w:w="36"/>
        <w:gridCol w:w="36"/>
        <w:gridCol w:w="36"/>
        <w:gridCol w:w="36"/>
        <w:gridCol w:w="132"/>
        <w:gridCol w:w="662"/>
        <w:gridCol w:w="36"/>
      </w:tblGrid>
      <w:tr w:rsidR="00000000" w14:paraId="3F21DEEC" w14:textId="77777777">
        <w:trPr>
          <w:divId w:val="700670290"/>
          <w:jc w:val="center"/>
        </w:trPr>
        <w:tc>
          <w:tcPr>
            <w:tcW w:w="50" w:type="pct"/>
            <w:vAlign w:val="center"/>
            <w:hideMark/>
          </w:tcPr>
          <w:p w14:paraId="371002EA" w14:textId="77777777" w:rsidR="00000000" w:rsidRDefault="001D0688">
            <w:pPr>
              <w:jc w:val="center"/>
              <w:rPr>
                <w:rFonts w:eastAsia="Times New Roman"/>
              </w:rPr>
            </w:pPr>
          </w:p>
        </w:tc>
        <w:tc>
          <w:tcPr>
            <w:tcW w:w="1626" w:type="pct"/>
            <w:vAlign w:val="center"/>
            <w:hideMark/>
          </w:tcPr>
          <w:p w14:paraId="7C4CA54B" w14:textId="77777777" w:rsidR="00000000" w:rsidRDefault="001D0688">
            <w:pPr>
              <w:rPr>
                <w:rFonts w:eastAsia="Times New Roman"/>
                <w:sz w:val="20"/>
                <w:szCs w:val="20"/>
              </w:rPr>
            </w:pPr>
          </w:p>
        </w:tc>
        <w:tc>
          <w:tcPr>
            <w:tcW w:w="5" w:type="pct"/>
            <w:vAlign w:val="center"/>
            <w:hideMark/>
          </w:tcPr>
          <w:p w14:paraId="236E29BB" w14:textId="77777777" w:rsidR="00000000" w:rsidRDefault="001D0688">
            <w:pPr>
              <w:rPr>
                <w:rFonts w:eastAsia="Times New Roman"/>
                <w:sz w:val="20"/>
                <w:szCs w:val="20"/>
              </w:rPr>
            </w:pPr>
          </w:p>
        </w:tc>
        <w:tc>
          <w:tcPr>
            <w:tcW w:w="5" w:type="pct"/>
            <w:vAlign w:val="center"/>
            <w:hideMark/>
          </w:tcPr>
          <w:p w14:paraId="5443AB99" w14:textId="77777777" w:rsidR="00000000" w:rsidRDefault="001D0688">
            <w:pPr>
              <w:rPr>
                <w:rFonts w:eastAsia="Times New Roman"/>
                <w:sz w:val="20"/>
                <w:szCs w:val="20"/>
              </w:rPr>
            </w:pPr>
          </w:p>
        </w:tc>
        <w:tc>
          <w:tcPr>
            <w:tcW w:w="26" w:type="pct"/>
            <w:vAlign w:val="center"/>
            <w:hideMark/>
          </w:tcPr>
          <w:p w14:paraId="431ADD0E" w14:textId="77777777" w:rsidR="00000000" w:rsidRDefault="001D0688">
            <w:pPr>
              <w:rPr>
                <w:rFonts w:eastAsia="Times New Roman"/>
                <w:sz w:val="20"/>
                <w:szCs w:val="20"/>
              </w:rPr>
            </w:pPr>
          </w:p>
        </w:tc>
        <w:tc>
          <w:tcPr>
            <w:tcW w:w="5" w:type="pct"/>
            <w:vAlign w:val="center"/>
            <w:hideMark/>
          </w:tcPr>
          <w:p w14:paraId="789F3F12" w14:textId="77777777" w:rsidR="00000000" w:rsidRDefault="001D0688">
            <w:pPr>
              <w:rPr>
                <w:rFonts w:eastAsia="Times New Roman"/>
                <w:sz w:val="20"/>
                <w:szCs w:val="20"/>
              </w:rPr>
            </w:pPr>
          </w:p>
        </w:tc>
        <w:tc>
          <w:tcPr>
            <w:tcW w:w="50" w:type="pct"/>
            <w:vAlign w:val="center"/>
            <w:hideMark/>
          </w:tcPr>
          <w:p w14:paraId="10437F57" w14:textId="77777777" w:rsidR="00000000" w:rsidRDefault="001D0688">
            <w:pPr>
              <w:rPr>
                <w:rFonts w:eastAsia="Times New Roman"/>
                <w:sz w:val="20"/>
                <w:szCs w:val="20"/>
              </w:rPr>
            </w:pPr>
          </w:p>
        </w:tc>
        <w:tc>
          <w:tcPr>
            <w:tcW w:w="464" w:type="pct"/>
            <w:vAlign w:val="center"/>
            <w:hideMark/>
          </w:tcPr>
          <w:p w14:paraId="0878F25E" w14:textId="77777777" w:rsidR="00000000" w:rsidRDefault="001D0688">
            <w:pPr>
              <w:rPr>
                <w:rFonts w:eastAsia="Times New Roman"/>
                <w:sz w:val="20"/>
                <w:szCs w:val="20"/>
              </w:rPr>
            </w:pPr>
          </w:p>
        </w:tc>
        <w:tc>
          <w:tcPr>
            <w:tcW w:w="5" w:type="pct"/>
            <w:vAlign w:val="center"/>
            <w:hideMark/>
          </w:tcPr>
          <w:p w14:paraId="22F6B7BF" w14:textId="77777777" w:rsidR="00000000" w:rsidRDefault="001D0688">
            <w:pPr>
              <w:rPr>
                <w:rFonts w:eastAsia="Times New Roman"/>
                <w:sz w:val="20"/>
                <w:szCs w:val="20"/>
              </w:rPr>
            </w:pPr>
          </w:p>
        </w:tc>
        <w:tc>
          <w:tcPr>
            <w:tcW w:w="5" w:type="pct"/>
            <w:vAlign w:val="center"/>
            <w:hideMark/>
          </w:tcPr>
          <w:p w14:paraId="6DF3EBAE" w14:textId="77777777" w:rsidR="00000000" w:rsidRDefault="001D0688">
            <w:pPr>
              <w:rPr>
                <w:rFonts w:eastAsia="Times New Roman"/>
                <w:sz w:val="20"/>
                <w:szCs w:val="20"/>
              </w:rPr>
            </w:pPr>
          </w:p>
        </w:tc>
        <w:tc>
          <w:tcPr>
            <w:tcW w:w="26" w:type="pct"/>
            <w:vAlign w:val="center"/>
            <w:hideMark/>
          </w:tcPr>
          <w:p w14:paraId="41A5757C" w14:textId="77777777" w:rsidR="00000000" w:rsidRDefault="001D0688">
            <w:pPr>
              <w:rPr>
                <w:rFonts w:eastAsia="Times New Roman"/>
                <w:sz w:val="20"/>
                <w:szCs w:val="20"/>
              </w:rPr>
            </w:pPr>
          </w:p>
        </w:tc>
        <w:tc>
          <w:tcPr>
            <w:tcW w:w="5" w:type="pct"/>
            <w:vAlign w:val="center"/>
            <w:hideMark/>
          </w:tcPr>
          <w:p w14:paraId="0398F8E2" w14:textId="77777777" w:rsidR="00000000" w:rsidRDefault="001D0688">
            <w:pPr>
              <w:rPr>
                <w:rFonts w:eastAsia="Times New Roman"/>
                <w:sz w:val="20"/>
                <w:szCs w:val="20"/>
              </w:rPr>
            </w:pPr>
          </w:p>
        </w:tc>
        <w:tc>
          <w:tcPr>
            <w:tcW w:w="50" w:type="pct"/>
            <w:vAlign w:val="center"/>
            <w:hideMark/>
          </w:tcPr>
          <w:p w14:paraId="1E90999F" w14:textId="77777777" w:rsidR="00000000" w:rsidRDefault="001D0688">
            <w:pPr>
              <w:rPr>
                <w:rFonts w:eastAsia="Times New Roman"/>
                <w:sz w:val="20"/>
                <w:szCs w:val="20"/>
              </w:rPr>
            </w:pPr>
          </w:p>
        </w:tc>
        <w:tc>
          <w:tcPr>
            <w:tcW w:w="449" w:type="pct"/>
            <w:vAlign w:val="center"/>
            <w:hideMark/>
          </w:tcPr>
          <w:p w14:paraId="2C621FFC" w14:textId="77777777" w:rsidR="00000000" w:rsidRDefault="001D0688">
            <w:pPr>
              <w:rPr>
                <w:rFonts w:eastAsia="Times New Roman"/>
                <w:sz w:val="20"/>
                <w:szCs w:val="20"/>
              </w:rPr>
            </w:pPr>
          </w:p>
        </w:tc>
        <w:tc>
          <w:tcPr>
            <w:tcW w:w="5" w:type="pct"/>
            <w:vAlign w:val="center"/>
            <w:hideMark/>
          </w:tcPr>
          <w:p w14:paraId="4B71DB5E" w14:textId="77777777" w:rsidR="00000000" w:rsidRDefault="001D0688">
            <w:pPr>
              <w:rPr>
                <w:rFonts w:eastAsia="Times New Roman"/>
                <w:sz w:val="20"/>
                <w:szCs w:val="20"/>
              </w:rPr>
            </w:pPr>
          </w:p>
        </w:tc>
        <w:tc>
          <w:tcPr>
            <w:tcW w:w="5" w:type="pct"/>
            <w:vAlign w:val="center"/>
            <w:hideMark/>
          </w:tcPr>
          <w:p w14:paraId="69F9704D" w14:textId="77777777" w:rsidR="00000000" w:rsidRDefault="001D0688">
            <w:pPr>
              <w:rPr>
                <w:rFonts w:eastAsia="Times New Roman"/>
                <w:sz w:val="20"/>
                <w:szCs w:val="20"/>
              </w:rPr>
            </w:pPr>
          </w:p>
        </w:tc>
        <w:tc>
          <w:tcPr>
            <w:tcW w:w="26" w:type="pct"/>
            <w:vAlign w:val="center"/>
            <w:hideMark/>
          </w:tcPr>
          <w:p w14:paraId="21561AEF" w14:textId="77777777" w:rsidR="00000000" w:rsidRDefault="001D0688">
            <w:pPr>
              <w:rPr>
                <w:rFonts w:eastAsia="Times New Roman"/>
                <w:sz w:val="20"/>
                <w:szCs w:val="20"/>
              </w:rPr>
            </w:pPr>
          </w:p>
        </w:tc>
        <w:tc>
          <w:tcPr>
            <w:tcW w:w="5" w:type="pct"/>
            <w:vAlign w:val="center"/>
            <w:hideMark/>
          </w:tcPr>
          <w:p w14:paraId="7F53F7F2" w14:textId="77777777" w:rsidR="00000000" w:rsidRDefault="001D0688">
            <w:pPr>
              <w:rPr>
                <w:rFonts w:eastAsia="Times New Roman"/>
                <w:sz w:val="20"/>
                <w:szCs w:val="20"/>
              </w:rPr>
            </w:pPr>
          </w:p>
        </w:tc>
        <w:tc>
          <w:tcPr>
            <w:tcW w:w="50" w:type="pct"/>
            <w:vAlign w:val="center"/>
            <w:hideMark/>
          </w:tcPr>
          <w:p w14:paraId="535BF6CC" w14:textId="77777777" w:rsidR="00000000" w:rsidRDefault="001D0688">
            <w:pPr>
              <w:rPr>
                <w:rFonts w:eastAsia="Times New Roman"/>
                <w:sz w:val="20"/>
                <w:szCs w:val="20"/>
              </w:rPr>
            </w:pPr>
          </w:p>
        </w:tc>
        <w:tc>
          <w:tcPr>
            <w:tcW w:w="464" w:type="pct"/>
            <w:vAlign w:val="center"/>
            <w:hideMark/>
          </w:tcPr>
          <w:p w14:paraId="0A17E1EE" w14:textId="77777777" w:rsidR="00000000" w:rsidRDefault="001D0688">
            <w:pPr>
              <w:rPr>
                <w:rFonts w:eastAsia="Times New Roman"/>
                <w:sz w:val="20"/>
                <w:szCs w:val="20"/>
              </w:rPr>
            </w:pPr>
          </w:p>
        </w:tc>
        <w:tc>
          <w:tcPr>
            <w:tcW w:w="5" w:type="pct"/>
            <w:vAlign w:val="center"/>
            <w:hideMark/>
          </w:tcPr>
          <w:p w14:paraId="51431790" w14:textId="77777777" w:rsidR="00000000" w:rsidRDefault="001D0688">
            <w:pPr>
              <w:rPr>
                <w:rFonts w:eastAsia="Times New Roman"/>
                <w:sz w:val="20"/>
                <w:szCs w:val="20"/>
              </w:rPr>
            </w:pPr>
          </w:p>
        </w:tc>
        <w:tc>
          <w:tcPr>
            <w:tcW w:w="5" w:type="pct"/>
            <w:vAlign w:val="center"/>
            <w:hideMark/>
          </w:tcPr>
          <w:p w14:paraId="15EBE0AF" w14:textId="77777777" w:rsidR="00000000" w:rsidRDefault="001D0688">
            <w:pPr>
              <w:rPr>
                <w:rFonts w:eastAsia="Times New Roman"/>
                <w:sz w:val="20"/>
                <w:szCs w:val="20"/>
              </w:rPr>
            </w:pPr>
          </w:p>
        </w:tc>
        <w:tc>
          <w:tcPr>
            <w:tcW w:w="26" w:type="pct"/>
            <w:vAlign w:val="center"/>
            <w:hideMark/>
          </w:tcPr>
          <w:p w14:paraId="1517463C" w14:textId="77777777" w:rsidR="00000000" w:rsidRDefault="001D0688">
            <w:pPr>
              <w:rPr>
                <w:rFonts w:eastAsia="Times New Roman"/>
                <w:sz w:val="20"/>
                <w:szCs w:val="20"/>
              </w:rPr>
            </w:pPr>
          </w:p>
        </w:tc>
        <w:tc>
          <w:tcPr>
            <w:tcW w:w="5" w:type="pct"/>
            <w:vAlign w:val="center"/>
            <w:hideMark/>
          </w:tcPr>
          <w:p w14:paraId="38EE292A" w14:textId="77777777" w:rsidR="00000000" w:rsidRDefault="001D0688">
            <w:pPr>
              <w:rPr>
                <w:rFonts w:eastAsia="Times New Roman"/>
                <w:sz w:val="20"/>
                <w:szCs w:val="20"/>
              </w:rPr>
            </w:pPr>
          </w:p>
        </w:tc>
        <w:tc>
          <w:tcPr>
            <w:tcW w:w="50" w:type="pct"/>
            <w:vAlign w:val="center"/>
            <w:hideMark/>
          </w:tcPr>
          <w:p w14:paraId="23AE0108" w14:textId="77777777" w:rsidR="00000000" w:rsidRDefault="001D0688">
            <w:pPr>
              <w:rPr>
                <w:rFonts w:eastAsia="Times New Roman"/>
                <w:sz w:val="20"/>
                <w:szCs w:val="20"/>
              </w:rPr>
            </w:pPr>
          </w:p>
        </w:tc>
        <w:tc>
          <w:tcPr>
            <w:tcW w:w="464" w:type="pct"/>
            <w:vAlign w:val="center"/>
            <w:hideMark/>
          </w:tcPr>
          <w:p w14:paraId="656A6266" w14:textId="77777777" w:rsidR="00000000" w:rsidRDefault="001D0688">
            <w:pPr>
              <w:rPr>
                <w:rFonts w:eastAsia="Times New Roman"/>
                <w:sz w:val="20"/>
                <w:szCs w:val="20"/>
              </w:rPr>
            </w:pPr>
          </w:p>
        </w:tc>
        <w:tc>
          <w:tcPr>
            <w:tcW w:w="5" w:type="pct"/>
            <w:vAlign w:val="center"/>
            <w:hideMark/>
          </w:tcPr>
          <w:p w14:paraId="3D4DE2BC" w14:textId="77777777" w:rsidR="00000000" w:rsidRDefault="001D0688">
            <w:pPr>
              <w:rPr>
                <w:rFonts w:eastAsia="Times New Roman"/>
                <w:sz w:val="20"/>
                <w:szCs w:val="20"/>
              </w:rPr>
            </w:pPr>
          </w:p>
        </w:tc>
        <w:tc>
          <w:tcPr>
            <w:tcW w:w="5" w:type="pct"/>
            <w:vAlign w:val="center"/>
            <w:hideMark/>
          </w:tcPr>
          <w:p w14:paraId="70000D8D" w14:textId="77777777" w:rsidR="00000000" w:rsidRDefault="001D0688">
            <w:pPr>
              <w:rPr>
                <w:rFonts w:eastAsia="Times New Roman"/>
                <w:sz w:val="20"/>
                <w:szCs w:val="20"/>
              </w:rPr>
            </w:pPr>
          </w:p>
        </w:tc>
        <w:tc>
          <w:tcPr>
            <w:tcW w:w="26" w:type="pct"/>
            <w:vAlign w:val="center"/>
            <w:hideMark/>
          </w:tcPr>
          <w:p w14:paraId="4D14D076" w14:textId="77777777" w:rsidR="00000000" w:rsidRDefault="001D0688">
            <w:pPr>
              <w:rPr>
                <w:rFonts w:eastAsia="Times New Roman"/>
                <w:sz w:val="20"/>
                <w:szCs w:val="20"/>
              </w:rPr>
            </w:pPr>
          </w:p>
        </w:tc>
        <w:tc>
          <w:tcPr>
            <w:tcW w:w="5" w:type="pct"/>
            <w:vAlign w:val="center"/>
            <w:hideMark/>
          </w:tcPr>
          <w:p w14:paraId="328E0A9F" w14:textId="77777777" w:rsidR="00000000" w:rsidRDefault="001D0688">
            <w:pPr>
              <w:rPr>
                <w:rFonts w:eastAsia="Times New Roman"/>
                <w:sz w:val="20"/>
                <w:szCs w:val="20"/>
              </w:rPr>
            </w:pPr>
          </w:p>
        </w:tc>
        <w:tc>
          <w:tcPr>
            <w:tcW w:w="50" w:type="pct"/>
            <w:vAlign w:val="center"/>
            <w:hideMark/>
          </w:tcPr>
          <w:p w14:paraId="0E3A41BE" w14:textId="77777777" w:rsidR="00000000" w:rsidRDefault="001D0688">
            <w:pPr>
              <w:rPr>
                <w:rFonts w:eastAsia="Times New Roman"/>
                <w:sz w:val="20"/>
                <w:szCs w:val="20"/>
              </w:rPr>
            </w:pPr>
          </w:p>
        </w:tc>
        <w:tc>
          <w:tcPr>
            <w:tcW w:w="464" w:type="pct"/>
            <w:vAlign w:val="center"/>
            <w:hideMark/>
          </w:tcPr>
          <w:p w14:paraId="6BF8D08A" w14:textId="77777777" w:rsidR="00000000" w:rsidRDefault="001D0688">
            <w:pPr>
              <w:rPr>
                <w:rFonts w:eastAsia="Times New Roman"/>
                <w:sz w:val="20"/>
                <w:szCs w:val="20"/>
              </w:rPr>
            </w:pPr>
          </w:p>
        </w:tc>
        <w:tc>
          <w:tcPr>
            <w:tcW w:w="5" w:type="pct"/>
            <w:vAlign w:val="center"/>
            <w:hideMark/>
          </w:tcPr>
          <w:p w14:paraId="43653904" w14:textId="77777777" w:rsidR="00000000" w:rsidRDefault="001D0688">
            <w:pPr>
              <w:rPr>
                <w:rFonts w:eastAsia="Times New Roman"/>
                <w:sz w:val="20"/>
                <w:szCs w:val="20"/>
              </w:rPr>
            </w:pPr>
          </w:p>
        </w:tc>
        <w:tc>
          <w:tcPr>
            <w:tcW w:w="5" w:type="pct"/>
            <w:vAlign w:val="center"/>
            <w:hideMark/>
          </w:tcPr>
          <w:p w14:paraId="1D492419" w14:textId="77777777" w:rsidR="00000000" w:rsidRDefault="001D0688">
            <w:pPr>
              <w:rPr>
                <w:rFonts w:eastAsia="Times New Roman"/>
                <w:sz w:val="20"/>
                <w:szCs w:val="20"/>
              </w:rPr>
            </w:pPr>
          </w:p>
        </w:tc>
        <w:tc>
          <w:tcPr>
            <w:tcW w:w="26" w:type="pct"/>
            <w:vAlign w:val="center"/>
            <w:hideMark/>
          </w:tcPr>
          <w:p w14:paraId="19FA9E2A" w14:textId="77777777" w:rsidR="00000000" w:rsidRDefault="001D0688">
            <w:pPr>
              <w:rPr>
                <w:rFonts w:eastAsia="Times New Roman"/>
                <w:sz w:val="20"/>
                <w:szCs w:val="20"/>
              </w:rPr>
            </w:pPr>
          </w:p>
        </w:tc>
        <w:tc>
          <w:tcPr>
            <w:tcW w:w="5" w:type="pct"/>
            <w:vAlign w:val="center"/>
            <w:hideMark/>
          </w:tcPr>
          <w:p w14:paraId="3E9264E2" w14:textId="77777777" w:rsidR="00000000" w:rsidRDefault="001D0688">
            <w:pPr>
              <w:rPr>
                <w:rFonts w:eastAsia="Times New Roman"/>
                <w:sz w:val="20"/>
                <w:szCs w:val="20"/>
              </w:rPr>
            </w:pPr>
          </w:p>
        </w:tc>
        <w:tc>
          <w:tcPr>
            <w:tcW w:w="50" w:type="pct"/>
            <w:vAlign w:val="center"/>
            <w:hideMark/>
          </w:tcPr>
          <w:p w14:paraId="113511B7" w14:textId="77777777" w:rsidR="00000000" w:rsidRDefault="001D0688">
            <w:pPr>
              <w:rPr>
                <w:rFonts w:eastAsia="Times New Roman"/>
                <w:sz w:val="20"/>
                <w:szCs w:val="20"/>
              </w:rPr>
            </w:pPr>
          </w:p>
        </w:tc>
        <w:tc>
          <w:tcPr>
            <w:tcW w:w="464" w:type="pct"/>
            <w:vAlign w:val="center"/>
            <w:hideMark/>
          </w:tcPr>
          <w:p w14:paraId="3BF54444" w14:textId="77777777" w:rsidR="00000000" w:rsidRDefault="001D0688">
            <w:pPr>
              <w:rPr>
                <w:rFonts w:eastAsia="Times New Roman"/>
                <w:sz w:val="20"/>
                <w:szCs w:val="20"/>
              </w:rPr>
            </w:pPr>
          </w:p>
        </w:tc>
        <w:tc>
          <w:tcPr>
            <w:tcW w:w="5" w:type="pct"/>
            <w:vAlign w:val="center"/>
            <w:hideMark/>
          </w:tcPr>
          <w:p w14:paraId="4B48B3AD" w14:textId="77777777" w:rsidR="00000000" w:rsidRDefault="001D0688">
            <w:pPr>
              <w:rPr>
                <w:rFonts w:eastAsia="Times New Roman"/>
                <w:sz w:val="20"/>
                <w:szCs w:val="20"/>
              </w:rPr>
            </w:pPr>
          </w:p>
        </w:tc>
      </w:tr>
      <w:tr w:rsidR="00000000" w14:paraId="47308A41" w14:textId="77777777">
        <w:trPr>
          <w:divId w:val="700670290"/>
          <w:jc w:val="center"/>
        </w:trPr>
        <w:tc>
          <w:tcPr>
            <w:tcW w:w="0" w:type="auto"/>
            <w:gridSpan w:val="3"/>
            <w:tcMar>
              <w:top w:w="0" w:type="dxa"/>
              <w:left w:w="20" w:type="dxa"/>
              <w:bottom w:w="0" w:type="dxa"/>
              <w:right w:w="20" w:type="dxa"/>
            </w:tcMar>
            <w:vAlign w:val="center"/>
            <w:hideMark/>
          </w:tcPr>
          <w:p w14:paraId="1171CCDE"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5CD1EEA" w14:textId="77777777" w:rsidR="00000000" w:rsidRDefault="001D0688">
            <w:pPr>
              <w:rPr>
                <w:rFonts w:eastAsia="Times New Roman"/>
                <w:sz w:val="20"/>
                <w:szCs w:val="20"/>
              </w:rPr>
            </w:pPr>
          </w:p>
        </w:tc>
        <w:tc>
          <w:tcPr>
            <w:tcW w:w="0" w:type="auto"/>
            <w:gridSpan w:val="33"/>
            <w:tcMar>
              <w:top w:w="30" w:type="dxa"/>
              <w:left w:w="20" w:type="dxa"/>
              <w:bottom w:w="30" w:type="dxa"/>
              <w:right w:w="20" w:type="dxa"/>
            </w:tcMar>
            <w:vAlign w:val="bottom"/>
            <w:hideMark/>
          </w:tcPr>
          <w:p w14:paraId="3927CEAD" w14:textId="77777777" w:rsidR="00000000" w:rsidRDefault="001D0688">
            <w:pPr>
              <w:jc w:val="center"/>
              <w:rPr>
                <w:rFonts w:eastAsia="Times New Roman"/>
              </w:rPr>
            </w:pPr>
            <w:r>
              <w:rPr>
                <w:rFonts w:ascii="Arial" w:eastAsia="Times New Roman" w:hAnsi="Arial" w:cs="Arial"/>
                <w:b/>
                <w:bCs/>
                <w:color w:val="000000"/>
                <w:sz w:val="20"/>
                <w:szCs w:val="20"/>
              </w:rPr>
              <w:t>INDEXED RETURNS</w:t>
            </w:r>
            <w:r>
              <w:rPr>
                <w:rFonts w:ascii="Arial" w:eastAsia="Times New Roman" w:hAnsi="Arial" w:cs="Arial"/>
                <w:b/>
                <w:bCs/>
                <w:color w:val="000000"/>
                <w:sz w:val="20"/>
                <w:szCs w:val="20"/>
              </w:rPr>
              <w:br/>
              <w:t>Years Ended October 31,</w:t>
            </w:r>
          </w:p>
        </w:tc>
      </w:tr>
      <w:tr w:rsidR="00000000" w14:paraId="6694B0F6" w14:textId="77777777">
        <w:trPr>
          <w:divId w:val="700670290"/>
          <w:jc w:val="center"/>
        </w:trPr>
        <w:tc>
          <w:tcPr>
            <w:tcW w:w="0" w:type="auto"/>
            <w:gridSpan w:val="3"/>
            <w:tcMar>
              <w:top w:w="30" w:type="dxa"/>
              <w:left w:w="20" w:type="dxa"/>
              <w:bottom w:w="30" w:type="dxa"/>
              <w:right w:w="20" w:type="dxa"/>
            </w:tcMar>
            <w:vAlign w:val="bottom"/>
            <w:hideMark/>
          </w:tcPr>
          <w:p w14:paraId="2C34BD6D" w14:textId="77777777" w:rsidR="00000000" w:rsidRDefault="001D0688">
            <w:pPr>
              <w:rPr>
                <w:rFonts w:eastAsia="Times New Roman"/>
              </w:rPr>
            </w:pPr>
            <w:r>
              <w:rPr>
                <w:rFonts w:ascii="Arial" w:eastAsia="Times New Roman" w:hAnsi="Arial" w:cs="Arial"/>
                <w:b/>
                <w:bCs/>
                <w:color w:val="000000"/>
                <w:sz w:val="20"/>
                <w:szCs w:val="20"/>
              </w:rPr>
              <w:t>Company / Index</w:t>
            </w:r>
          </w:p>
        </w:tc>
        <w:tc>
          <w:tcPr>
            <w:tcW w:w="0" w:type="auto"/>
            <w:gridSpan w:val="3"/>
            <w:tcMar>
              <w:top w:w="0" w:type="dxa"/>
              <w:left w:w="20" w:type="dxa"/>
              <w:bottom w:w="0" w:type="dxa"/>
              <w:right w:w="20" w:type="dxa"/>
            </w:tcMar>
            <w:vAlign w:val="center"/>
            <w:hideMark/>
          </w:tcPr>
          <w:p w14:paraId="7E53C1F4"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44B928" w14:textId="77777777" w:rsidR="00000000" w:rsidRDefault="001D0688">
            <w:pPr>
              <w:jc w:val="center"/>
              <w:rPr>
                <w:rFonts w:eastAsia="Times New Roman"/>
              </w:rPr>
            </w:pPr>
            <w:r>
              <w:rPr>
                <w:rFonts w:ascii="Arial" w:eastAsia="Times New Roman" w:hAnsi="Arial" w:cs="Arial"/>
                <w:b/>
                <w:bCs/>
                <w:color w:val="000000"/>
                <w:sz w:val="20"/>
                <w:szCs w:val="20"/>
              </w:rPr>
              <w:t>2015</w:t>
            </w:r>
          </w:p>
        </w:tc>
        <w:tc>
          <w:tcPr>
            <w:tcW w:w="0" w:type="auto"/>
            <w:gridSpan w:val="3"/>
            <w:tcBorders>
              <w:top w:val="single" w:sz="8" w:space="0" w:color="000000"/>
            </w:tcBorders>
            <w:tcMar>
              <w:top w:w="0" w:type="dxa"/>
              <w:left w:w="20" w:type="dxa"/>
              <w:bottom w:w="0" w:type="dxa"/>
              <w:right w:w="20" w:type="dxa"/>
            </w:tcMar>
            <w:vAlign w:val="center"/>
            <w:hideMark/>
          </w:tcPr>
          <w:p w14:paraId="5D8015C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CFB8C7" w14:textId="77777777" w:rsidR="00000000" w:rsidRDefault="001D0688">
            <w:pPr>
              <w:jc w:val="center"/>
              <w:rPr>
                <w:rFonts w:eastAsia="Times New Roman"/>
              </w:rPr>
            </w:pPr>
            <w:r>
              <w:rPr>
                <w:rFonts w:ascii="Arial" w:eastAsia="Times New Roman" w:hAnsi="Arial" w:cs="Arial"/>
                <w:b/>
                <w:bCs/>
                <w:color w:val="000000"/>
                <w:sz w:val="20"/>
                <w:szCs w:val="20"/>
              </w:rPr>
              <w:t>2016</w:t>
            </w:r>
          </w:p>
        </w:tc>
        <w:tc>
          <w:tcPr>
            <w:tcW w:w="0" w:type="auto"/>
            <w:gridSpan w:val="3"/>
            <w:tcBorders>
              <w:top w:val="single" w:sz="8" w:space="0" w:color="000000"/>
            </w:tcBorders>
            <w:tcMar>
              <w:top w:w="0" w:type="dxa"/>
              <w:left w:w="20" w:type="dxa"/>
              <w:bottom w:w="0" w:type="dxa"/>
              <w:right w:w="20" w:type="dxa"/>
            </w:tcMar>
            <w:vAlign w:val="center"/>
            <w:hideMark/>
          </w:tcPr>
          <w:p w14:paraId="5CF06316"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16370F" w14:textId="77777777" w:rsidR="00000000" w:rsidRDefault="001D0688">
            <w:pPr>
              <w:jc w:val="center"/>
              <w:rPr>
                <w:rFonts w:eastAsia="Times New Roman"/>
              </w:rPr>
            </w:pPr>
            <w:r>
              <w:rPr>
                <w:rFonts w:ascii="Arial" w:eastAsia="Times New Roman" w:hAnsi="Arial" w:cs="Arial"/>
                <w:b/>
                <w:bCs/>
                <w:color w:val="000000"/>
                <w:sz w:val="20"/>
                <w:szCs w:val="20"/>
              </w:rPr>
              <w:t>2017</w:t>
            </w:r>
          </w:p>
        </w:tc>
        <w:tc>
          <w:tcPr>
            <w:tcW w:w="0" w:type="auto"/>
            <w:gridSpan w:val="3"/>
            <w:tcBorders>
              <w:top w:val="single" w:sz="8" w:space="0" w:color="000000"/>
            </w:tcBorders>
            <w:tcMar>
              <w:top w:w="0" w:type="dxa"/>
              <w:left w:w="20" w:type="dxa"/>
              <w:bottom w:w="0" w:type="dxa"/>
              <w:right w:w="20" w:type="dxa"/>
            </w:tcMar>
            <w:vAlign w:val="center"/>
            <w:hideMark/>
          </w:tcPr>
          <w:p w14:paraId="284AFBC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AA36D8" w14:textId="77777777" w:rsidR="00000000" w:rsidRDefault="001D0688">
            <w:pPr>
              <w:jc w:val="center"/>
              <w:rPr>
                <w:rFonts w:eastAsia="Times New Roman"/>
              </w:rPr>
            </w:pPr>
            <w:r>
              <w:rPr>
                <w:rFonts w:ascii="Arial" w:eastAsia="Times New Roman" w:hAnsi="Arial" w:cs="Arial"/>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14:paraId="2006DAB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01FEBE"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61968B7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709F1B" w14:textId="77777777" w:rsidR="00000000" w:rsidRDefault="001D0688">
            <w:pPr>
              <w:jc w:val="center"/>
              <w:rPr>
                <w:rFonts w:eastAsia="Times New Roman"/>
              </w:rPr>
            </w:pPr>
            <w:r>
              <w:rPr>
                <w:rFonts w:ascii="Arial" w:eastAsia="Times New Roman" w:hAnsi="Arial" w:cs="Arial"/>
                <w:b/>
                <w:bCs/>
                <w:color w:val="000000"/>
                <w:sz w:val="20"/>
                <w:szCs w:val="20"/>
              </w:rPr>
              <w:t>2020</w:t>
            </w:r>
          </w:p>
        </w:tc>
      </w:tr>
      <w:tr w:rsidR="00000000" w14:paraId="117DC19E" w14:textId="77777777">
        <w:trPr>
          <w:divId w:val="700670290"/>
          <w:jc w:val="center"/>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7155CB9E" w14:textId="77777777" w:rsidR="00000000" w:rsidRDefault="001D0688">
            <w:pPr>
              <w:rPr>
                <w:rFonts w:eastAsia="Times New Roman"/>
              </w:rPr>
            </w:pPr>
            <w:r>
              <w:rPr>
                <w:rFonts w:ascii="Arial" w:eastAsia="Times New Roman" w:hAnsi="Arial" w:cs="Arial"/>
                <w:b/>
                <w:bCs/>
                <w:color w:val="000000"/>
                <w:sz w:val="20"/>
                <w:szCs w:val="20"/>
              </w:rPr>
              <w:t>ABM Industries Incorporated</w:t>
            </w:r>
          </w:p>
        </w:tc>
        <w:tc>
          <w:tcPr>
            <w:tcW w:w="0" w:type="auto"/>
            <w:gridSpan w:val="3"/>
            <w:shd w:val="clear" w:color="auto" w:fill="DCE2EF"/>
            <w:tcMar>
              <w:top w:w="0" w:type="dxa"/>
              <w:left w:w="20" w:type="dxa"/>
              <w:bottom w:w="0" w:type="dxa"/>
              <w:right w:w="20" w:type="dxa"/>
            </w:tcMar>
            <w:vAlign w:val="center"/>
            <w:hideMark/>
          </w:tcPr>
          <w:p w14:paraId="03716F14"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1BEFD5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70A2A2F" w14:textId="77777777" w:rsidR="00000000" w:rsidRDefault="001D0688">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C01014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9BB19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8F9377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D28862" w14:textId="77777777" w:rsidR="00000000" w:rsidRDefault="001D0688">
            <w:pPr>
              <w:jc w:val="right"/>
              <w:rPr>
                <w:rFonts w:eastAsia="Times New Roman"/>
              </w:rPr>
            </w:pPr>
            <w:r>
              <w:rPr>
                <w:rFonts w:ascii="Arial" w:eastAsia="Times New Roman" w:hAnsi="Arial" w:cs="Arial"/>
                <w:color w:val="000000"/>
                <w:sz w:val="20"/>
                <w:szCs w:val="20"/>
              </w:rPr>
              <w:t>140.4 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6C6E68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85A09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C6F278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F4D7D35" w14:textId="77777777" w:rsidR="00000000" w:rsidRDefault="001D0688">
            <w:pPr>
              <w:jc w:val="right"/>
              <w:rPr>
                <w:rFonts w:eastAsia="Times New Roman"/>
              </w:rPr>
            </w:pPr>
            <w:r>
              <w:rPr>
                <w:rFonts w:ascii="Arial" w:eastAsia="Times New Roman" w:hAnsi="Arial" w:cs="Arial"/>
                <w:color w:val="000000"/>
                <w:sz w:val="20"/>
                <w:szCs w:val="20"/>
              </w:rPr>
              <w:t>153.2 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AC90F1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544E46"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34BD5B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F533BFB" w14:textId="77777777" w:rsidR="00000000" w:rsidRDefault="001D0688">
            <w:pPr>
              <w:jc w:val="right"/>
              <w:rPr>
                <w:rFonts w:eastAsia="Times New Roman"/>
              </w:rPr>
            </w:pPr>
            <w:r>
              <w:rPr>
                <w:rFonts w:ascii="Arial" w:eastAsia="Times New Roman" w:hAnsi="Arial" w:cs="Arial"/>
                <w:color w:val="000000"/>
                <w:sz w:val="20"/>
                <w:szCs w:val="20"/>
              </w:rPr>
              <w:t>114.7 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30C5E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24345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8F89AC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456FF3D" w14:textId="77777777" w:rsidR="00000000" w:rsidRDefault="001D0688">
            <w:pPr>
              <w:jc w:val="right"/>
              <w:rPr>
                <w:rFonts w:eastAsia="Times New Roman"/>
              </w:rPr>
            </w:pPr>
            <w:r>
              <w:rPr>
                <w:rFonts w:ascii="Arial" w:eastAsia="Times New Roman" w:hAnsi="Arial" w:cs="Arial"/>
                <w:color w:val="000000"/>
                <w:sz w:val="20"/>
                <w:szCs w:val="20"/>
              </w:rPr>
              <w:t>138.7 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88AA86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6BE1D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7C4E90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82D64AC" w14:textId="77777777" w:rsidR="00000000" w:rsidRDefault="001D0688">
            <w:pPr>
              <w:jc w:val="right"/>
              <w:rPr>
                <w:rFonts w:eastAsia="Times New Roman"/>
              </w:rPr>
            </w:pPr>
            <w:r>
              <w:rPr>
                <w:rFonts w:ascii="Arial" w:eastAsia="Times New Roman" w:hAnsi="Arial" w:cs="Arial"/>
                <w:color w:val="000000"/>
                <w:sz w:val="20"/>
                <w:szCs w:val="20"/>
              </w:rPr>
              <w:t>135.1 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07C094D" w14:textId="77777777" w:rsidR="00000000" w:rsidRDefault="001D0688">
            <w:pPr>
              <w:jc w:val="right"/>
              <w:rPr>
                <w:rFonts w:eastAsia="Times New Roman"/>
              </w:rPr>
            </w:pPr>
          </w:p>
        </w:tc>
      </w:tr>
      <w:tr w:rsidR="00000000" w14:paraId="611346FB" w14:textId="77777777">
        <w:trPr>
          <w:divId w:val="700670290"/>
          <w:jc w:val="center"/>
        </w:trPr>
        <w:tc>
          <w:tcPr>
            <w:tcW w:w="0" w:type="auto"/>
            <w:gridSpan w:val="3"/>
            <w:shd w:val="clear" w:color="auto" w:fill="FFFFFF"/>
            <w:tcMar>
              <w:top w:w="30" w:type="dxa"/>
              <w:left w:w="20" w:type="dxa"/>
              <w:bottom w:w="30" w:type="dxa"/>
              <w:right w:w="20" w:type="dxa"/>
            </w:tcMar>
            <w:vAlign w:val="bottom"/>
            <w:hideMark/>
          </w:tcPr>
          <w:p w14:paraId="20797A6E" w14:textId="77777777" w:rsidR="00000000" w:rsidRDefault="001D0688">
            <w:pPr>
              <w:rPr>
                <w:rFonts w:eastAsia="Times New Roman"/>
              </w:rPr>
            </w:pPr>
            <w:r>
              <w:rPr>
                <w:rFonts w:ascii="Arial" w:eastAsia="Times New Roman" w:hAnsi="Arial" w:cs="Arial"/>
                <w:b/>
                <w:bCs/>
                <w:color w:val="000000"/>
                <w:sz w:val="20"/>
                <w:szCs w:val="20"/>
              </w:rPr>
              <w:t>S&amp;P 500 Index</w:t>
            </w:r>
          </w:p>
        </w:tc>
        <w:tc>
          <w:tcPr>
            <w:tcW w:w="0" w:type="auto"/>
            <w:gridSpan w:val="3"/>
            <w:shd w:val="clear" w:color="auto" w:fill="FFFFFF"/>
            <w:tcMar>
              <w:top w:w="0" w:type="dxa"/>
              <w:left w:w="20" w:type="dxa"/>
              <w:bottom w:w="0" w:type="dxa"/>
              <w:right w:w="20" w:type="dxa"/>
            </w:tcMar>
            <w:vAlign w:val="center"/>
            <w:hideMark/>
          </w:tcPr>
          <w:p w14:paraId="6F5A91FE"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9FBAC8" w14:textId="77777777" w:rsidR="00000000" w:rsidRDefault="001D0688">
            <w:pPr>
              <w:jc w:val="right"/>
              <w:rPr>
                <w:rFonts w:eastAsia="Times New Roman"/>
              </w:rPr>
            </w:pPr>
            <w:r>
              <w:rPr>
                <w:rFonts w:ascii="Arial" w:eastAsia="Times New Roman" w:hAnsi="Arial" w:cs="Arial"/>
                <w:color w:val="000000"/>
                <w:sz w:val="20"/>
                <w:szCs w:val="20"/>
              </w:rPr>
              <w:t>100 </w:t>
            </w:r>
          </w:p>
        </w:tc>
        <w:tc>
          <w:tcPr>
            <w:tcW w:w="0" w:type="auto"/>
            <w:shd w:val="clear" w:color="auto" w:fill="FFFFFF"/>
            <w:tcMar>
              <w:top w:w="30" w:type="dxa"/>
              <w:left w:w="0" w:type="dxa"/>
              <w:bottom w:w="30" w:type="dxa"/>
              <w:right w:w="20" w:type="dxa"/>
            </w:tcMar>
            <w:vAlign w:val="bottom"/>
            <w:hideMark/>
          </w:tcPr>
          <w:p w14:paraId="0ACD47B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55F7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C6D14" w14:textId="77777777" w:rsidR="00000000" w:rsidRDefault="001D0688">
            <w:pPr>
              <w:jc w:val="right"/>
              <w:rPr>
                <w:rFonts w:eastAsia="Times New Roman"/>
              </w:rPr>
            </w:pPr>
            <w:r>
              <w:rPr>
                <w:rFonts w:ascii="Arial" w:eastAsia="Times New Roman" w:hAnsi="Arial" w:cs="Arial"/>
                <w:color w:val="000000"/>
                <w:sz w:val="20"/>
                <w:szCs w:val="20"/>
              </w:rPr>
              <w:t>104.5 </w:t>
            </w:r>
          </w:p>
        </w:tc>
        <w:tc>
          <w:tcPr>
            <w:tcW w:w="0" w:type="auto"/>
            <w:shd w:val="clear" w:color="auto" w:fill="FFFFFF"/>
            <w:tcMar>
              <w:top w:w="30" w:type="dxa"/>
              <w:left w:w="0" w:type="dxa"/>
              <w:bottom w:w="30" w:type="dxa"/>
              <w:right w:w="20" w:type="dxa"/>
            </w:tcMar>
            <w:vAlign w:val="bottom"/>
            <w:hideMark/>
          </w:tcPr>
          <w:p w14:paraId="5AA1585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7F24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6665B" w14:textId="77777777" w:rsidR="00000000" w:rsidRDefault="001D0688">
            <w:pPr>
              <w:jc w:val="right"/>
              <w:rPr>
                <w:rFonts w:eastAsia="Times New Roman"/>
              </w:rPr>
            </w:pPr>
            <w:r>
              <w:rPr>
                <w:rFonts w:ascii="Arial" w:eastAsia="Times New Roman" w:hAnsi="Arial" w:cs="Arial"/>
                <w:color w:val="000000"/>
                <w:sz w:val="20"/>
                <w:szCs w:val="20"/>
              </w:rPr>
              <w:t>129.2 </w:t>
            </w:r>
          </w:p>
        </w:tc>
        <w:tc>
          <w:tcPr>
            <w:tcW w:w="0" w:type="auto"/>
            <w:shd w:val="clear" w:color="auto" w:fill="FFFFFF"/>
            <w:tcMar>
              <w:top w:w="30" w:type="dxa"/>
              <w:left w:w="0" w:type="dxa"/>
              <w:bottom w:w="30" w:type="dxa"/>
              <w:right w:w="20" w:type="dxa"/>
            </w:tcMar>
            <w:vAlign w:val="bottom"/>
            <w:hideMark/>
          </w:tcPr>
          <w:p w14:paraId="01B1A5E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53CA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55219" w14:textId="77777777" w:rsidR="00000000" w:rsidRDefault="001D0688">
            <w:pPr>
              <w:jc w:val="right"/>
              <w:rPr>
                <w:rFonts w:eastAsia="Times New Roman"/>
              </w:rPr>
            </w:pPr>
            <w:r>
              <w:rPr>
                <w:rFonts w:ascii="Arial" w:eastAsia="Times New Roman" w:hAnsi="Arial" w:cs="Arial"/>
                <w:color w:val="000000"/>
                <w:sz w:val="20"/>
                <w:szCs w:val="20"/>
              </w:rPr>
              <w:t>138.7 </w:t>
            </w:r>
          </w:p>
        </w:tc>
        <w:tc>
          <w:tcPr>
            <w:tcW w:w="0" w:type="auto"/>
            <w:shd w:val="clear" w:color="auto" w:fill="FFFFFF"/>
            <w:tcMar>
              <w:top w:w="30" w:type="dxa"/>
              <w:left w:w="0" w:type="dxa"/>
              <w:bottom w:w="30" w:type="dxa"/>
              <w:right w:w="20" w:type="dxa"/>
            </w:tcMar>
            <w:vAlign w:val="bottom"/>
            <w:hideMark/>
          </w:tcPr>
          <w:p w14:paraId="7A0B821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A93A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066A2" w14:textId="77777777" w:rsidR="00000000" w:rsidRDefault="001D0688">
            <w:pPr>
              <w:jc w:val="right"/>
              <w:rPr>
                <w:rFonts w:eastAsia="Times New Roman"/>
              </w:rPr>
            </w:pPr>
            <w:r>
              <w:rPr>
                <w:rFonts w:ascii="Arial" w:eastAsia="Times New Roman" w:hAnsi="Arial" w:cs="Arial"/>
                <w:color w:val="000000"/>
                <w:sz w:val="20"/>
                <w:szCs w:val="20"/>
              </w:rPr>
              <w:t>158.6 </w:t>
            </w:r>
          </w:p>
        </w:tc>
        <w:tc>
          <w:tcPr>
            <w:tcW w:w="0" w:type="auto"/>
            <w:shd w:val="clear" w:color="auto" w:fill="FFFFFF"/>
            <w:tcMar>
              <w:top w:w="30" w:type="dxa"/>
              <w:left w:w="0" w:type="dxa"/>
              <w:bottom w:w="30" w:type="dxa"/>
              <w:right w:w="20" w:type="dxa"/>
            </w:tcMar>
            <w:vAlign w:val="bottom"/>
            <w:hideMark/>
          </w:tcPr>
          <w:p w14:paraId="007E285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DB8F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DBA25" w14:textId="77777777" w:rsidR="00000000" w:rsidRDefault="001D0688">
            <w:pPr>
              <w:jc w:val="right"/>
              <w:rPr>
                <w:rFonts w:eastAsia="Times New Roman"/>
              </w:rPr>
            </w:pPr>
            <w:r>
              <w:rPr>
                <w:rFonts w:ascii="Arial" w:eastAsia="Times New Roman" w:hAnsi="Arial" w:cs="Arial"/>
                <w:color w:val="000000"/>
                <w:sz w:val="20"/>
                <w:szCs w:val="20"/>
              </w:rPr>
              <w:t>174.0 </w:t>
            </w:r>
          </w:p>
        </w:tc>
        <w:tc>
          <w:tcPr>
            <w:tcW w:w="0" w:type="auto"/>
            <w:shd w:val="clear" w:color="auto" w:fill="FFFFFF"/>
            <w:tcMar>
              <w:top w:w="30" w:type="dxa"/>
              <w:left w:w="0" w:type="dxa"/>
              <w:bottom w:w="30" w:type="dxa"/>
              <w:right w:w="20" w:type="dxa"/>
            </w:tcMar>
            <w:vAlign w:val="bottom"/>
            <w:hideMark/>
          </w:tcPr>
          <w:p w14:paraId="1CAAD753" w14:textId="77777777" w:rsidR="00000000" w:rsidRDefault="001D0688">
            <w:pPr>
              <w:jc w:val="right"/>
              <w:rPr>
                <w:rFonts w:eastAsia="Times New Roman"/>
              </w:rPr>
            </w:pPr>
          </w:p>
        </w:tc>
      </w:tr>
      <w:tr w:rsidR="00000000" w14:paraId="501EFEE5" w14:textId="77777777">
        <w:trPr>
          <w:divId w:val="700670290"/>
          <w:jc w:val="center"/>
        </w:trPr>
        <w:tc>
          <w:tcPr>
            <w:tcW w:w="0" w:type="auto"/>
            <w:gridSpan w:val="3"/>
            <w:shd w:val="clear" w:color="auto" w:fill="DCE2EF"/>
            <w:tcMar>
              <w:top w:w="30" w:type="dxa"/>
              <w:left w:w="20" w:type="dxa"/>
              <w:bottom w:w="30" w:type="dxa"/>
              <w:right w:w="20" w:type="dxa"/>
            </w:tcMar>
            <w:vAlign w:val="bottom"/>
            <w:hideMark/>
          </w:tcPr>
          <w:p w14:paraId="3B96F9BE" w14:textId="77777777" w:rsidR="00000000" w:rsidRDefault="001D0688">
            <w:pPr>
              <w:rPr>
                <w:rFonts w:eastAsia="Times New Roman"/>
              </w:rPr>
            </w:pPr>
            <w:r>
              <w:rPr>
                <w:rFonts w:ascii="Arial" w:eastAsia="Times New Roman" w:hAnsi="Arial" w:cs="Arial"/>
                <w:b/>
                <w:bCs/>
                <w:color w:val="000000"/>
                <w:sz w:val="20"/>
                <w:szCs w:val="20"/>
              </w:rPr>
              <w:t>S&amp;P SmallCap 600 Index</w:t>
            </w:r>
          </w:p>
        </w:tc>
        <w:tc>
          <w:tcPr>
            <w:tcW w:w="0" w:type="auto"/>
            <w:gridSpan w:val="3"/>
            <w:shd w:val="clear" w:color="auto" w:fill="DCE2EF"/>
            <w:tcMar>
              <w:top w:w="0" w:type="dxa"/>
              <w:left w:w="20" w:type="dxa"/>
              <w:bottom w:w="0" w:type="dxa"/>
              <w:right w:w="20" w:type="dxa"/>
            </w:tcMar>
            <w:vAlign w:val="center"/>
            <w:hideMark/>
          </w:tcPr>
          <w:p w14:paraId="29F7B50F"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EE9BB6C" w14:textId="77777777" w:rsidR="00000000" w:rsidRDefault="001D0688">
            <w:pPr>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14:paraId="07C7CFD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7D280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753B82" w14:textId="77777777" w:rsidR="00000000" w:rsidRDefault="001D0688">
            <w:pPr>
              <w:jc w:val="right"/>
              <w:rPr>
                <w:rFonts w:eastAsia="Times New Roman"/>
              </w:rPr>
            </w:pPr>
            <w:r>
              <w:rPr>
                <w:rFonts w:ascii="Arial" w:eastAsia="Times New Roman" w:hAnsi="Arial" w:cs="Arial"/>
                <w:color w:val="000000"/>
                <w:sz w:val="20"/>
                <w:szCs w:val="20"/>
              </w:rPr>
              <w:t>106.3 </w:t>
            </w:r>
          </w:p>
        </w:tc>
        <w:tc>
          <w:tcPr>
            <w:tcW w:w="0" w:type="auto"/>
            <w:shd w:val="clear" w:color="auto" w:fill="DCE2EF"/>
            <w:tcMar>
              <w:top w:w="30" w:type="dxa"/>
              <w:left w:w="0" w:type="dxa"/>
              <w:bottom w:w="30" w:type="dxa"/>
              <w:right w:w="20" w:type="dxa"/>
            </w:tcMar>
            <w:vAlign w:val="bottom"/>
            <w:hideMark/>
          </w:tcPr>
          <w:p w14:paraId="2778AF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E1B60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1239D5" w14:textId="77777777" w:rsidR="00000000" w:rsidRDefault="001D0688">
            <w:pPr>
              <w:jc w:val="right"/>
              <w:rPr>
                <w:rFonts w:eastAsia="Times New Roman"/>
              </w:rPr>
            </w:pPr>
            <w:r>
              <w:rPr>
                <w:rFonts w:ascii="Arial" w:eastAsia="Times New Roman" w:hAnsi="Arial" w:cs="Arial"/>
                <w:color w:val="000000"/>
                <w:sz w:val="20"/>
                <w:szCs w:val="20"/>
              </w:rPr>
              <w:t>136.0 </w:t>
            </w:r>
          </w:p>
        </w:tc>
        <w:tc>
          <w:tcPr>
            <w:tcW w:w="0" w:type="auto"/>
            <w:shd w:val="clear" w:color="auto" w:fill="DCE2EF"/>
            <w:tcMar>
              <w:top w:w="30" w:type="dxa"/>
              <w:left w:w="0" w:type="dxa"/>
              <w:bottom w:w="30" w:type="dxa"/>
              <w:right w:w="20" w:type="dxa"/>
            </w:tcMar>
            <w:vAlign w:val="bottom"/>
            <w:hideMark/>
          </w:tcPr>
          <w:p w14:paraId="3F419F2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83A84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DAC6F0" w14:textId="77777777" w:rsidR="00000000" w:rsidRDefault="001D0688">
            <w:pPr>
              <w:jc w:val="right"/>
              <w:rPr>
                <w:rFonts w:eastAsia="Times New Roman"/>
              </w:rPr>
            </w:pPr>
            <w:r>
              <w:rPr>
                <w:rFonts w:ascii="Arial" w:eastAsia="Times New Roman" w:hAnsi="Arial" w:cs="Arial"/>
                <w:color w:val="000000"/>
                <w:sz w:val="20"/>
                <w:szCs w:val="20"/>
              </w:rPr>
              <w:t>143.7 </w:t>
            </w:r>
          </w:p>
        </w:tc>
        <w:tc>
          <w:tcPr>
            <w:tcW w:w="0" w:type="auto"/>
            <w:shd w:val="clear" w:color="auto" w:fill="DCE2EF"/>
            <w:tcMar>
              <w:top w:w="30" w:type="dxa"/>
              <w:left w:w="0" w:type="dxa"/>
              <w:bottom w:w="30" w:type="dxa"/>
              <w:right w:w="20" w:type="dxa"/>
            </w:tcMar>
            <w:vAlign w:val="bottom"/>
            <w:hideMark/>
          </w:tcPr>
          <w:p w14:paraId="700ED2A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B45F6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BCF3AC" w14:textId="77777777" w:rsidR="00000000" w:rsidRDefault="001D0688">
            <w:pPr>
              <w:jc w:val="right"/>
              <w:rPr>
                <w:rFonts w:eastAsia="Times New Roman"/>
              </w:rPr>
            </w:pPr>
            <w:r>
              <w:rPr>
                <w:rFonts w:ascii="Arial" w:eastAsia="Times New Roman" w:hAnsi="Arial" w:cs="Arial"/>
                <w:color w:val="000000"/>
                <w:sz w:val="20"/>
                <w:szCs w:val="20"/>
              </w:rPr>
              <w:t>148.3 </w:t>
            </w:r>
          </w:p>
        </w:tc>
        <w:tc>
          <w:tcPr>
            <w:tcW w:w="0" w:type="auto"/>
            <w:shd w:val="clear" w:color="auto" w:fill="DCE2EF"/>
            <w:tcMar>
              <w:top w:w="30" w:type="dxa"/>
              <w:left w:w="0" w:type="dxa"/>
              <w:bottom w:w="30" w:type="dxa"/>
              <w:right w:w="20" w:type="dxa"/>
            </w:tcMar>
            <w:vAlign w:val="bottom"/>
            <w:hideMark/>
          </w:tcPr>
          <w:p w14:paraId="20DCCDA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C9392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A3938C" w14:textId="77777777" w:rsidR="00000000" w:rsidRDefault="001D0688">
            <w:pPr>
              <w:jc w:val="right"/>
              <w:rPr>
                <w:rFonts w:eastAsia="Times New Roman"/>
              </w:rPr>
            </w:pPr>
            <w:r>
              <w:rPr>
                <w:rFonts w:ascii="Arial" w:eastAsia="Times New Roman" w:hAnsi="Arial" w:cs="Arial"/>
                <w:color w:val="000000"/>
                <w:sz w:val="20"/>
                <w:szCs w:val="20"/>
              </w:rPr>
              <w:t>136.9 </w:t>
            </w:r>
          </w:p>
        </w:tc>
        <w:tc>
          <w:tcPr>
            <w:tcW w:w="0" w:type="auto"/>
            <w:shd w:val="clear" w:color="auto" w:fill="DCE2EF"/>
            <w:tcMar>
              <w:top w:w="30" w:type="dxa"/>
              <w:left w:w="0" w:type="dxa"/>
              <w:bottom w:w="30" w:type="dxa"/>
              <w:right w:w="20" w:type="dxa"/>
            </w:tcMar>
            <w:vAlign w:val="bottom"/>
            <w:hideMark/>
          </w:tcPr>
          <w:p w14:paraId="316022AC" w14:textId="77777777" w:rsidR="00000000" w:rsidRDefault="001D0688">
            <w:pPr>
              <w:jc w:val="right"/>
              <w:rPr>
                <w:rFonts w:eastAsia="Times New Roman"/>
              </w:rPr>
            </w:pPr>
          </w:p>
        </w:tc>
      </w:tr>
    </w:tbl>
    <w:p w14:paraId="50256BEF" w14:textId="77777777" w:rsidR="00000000" w:rsidRDefault="001D0688">
      <w:pPr>
        <w:ind w:firstLine="720"/>
        <w:jc w:val="both"/>
        <w:divId w:val="628971186"/>
        <w:rPr>
          <w:rFonts w:eastAsia="Times New Roman"/>
        </w:rPr>
      </w:pPr>
      <w:r>
        <w:rPr>
          <w:rFonts w:ascii="Arial" w:eastAsia="Times New Roman" w:hAnsi="Arial" w:cs="Arial"/>
          <w:color w:val="000000"/>
          <w:sz w:val="20"/>
          <w:szCs w:val="20"/>
        </w:rPr>
        <w:t>This performance graph shall not be deemed to be “soliciting material” or “filed” with the Securities and Exc</w:t>
      </w:r>
      <w:r>
        <w:rPr>
          <w:rFonts w:ascii="Arial" w:eastAsia="Times New Roman" w:hAnsi="Arial" w:cs="Arial"/>
          <w:color w:val="000000"/>
          <w:sz w:val="20"/>
          <w:szCs w:val="20"/>
        </w:rPr>
        <w:t>hange Commission, or subject to Regulation 14A or 14C, or subject to the liabilities of Section 18 of the Securities Exchange Act of 1934, as amended. The comparisons in the performance graph are based on historical data and are not indicative of, or inten</w:t>
      </w:r>
      <w:r>
        <w:rPr>
          <w:rFonts w:ascii="Arial" w:eastAsia="Times New Roman" w:hAnsi="Arial" w:cs="Arial"/>
          <w:color w:val="000000"/>
          <w:sz w:val="20"/>
          <w:szCs w:val="20"/>
        </w:rPr>
        <w:t>ded to forecast, the possible future performance of our common stock.</w:t>
      </w:r>
    </w:p>
    <w:p w14:paraId="46AA9A5F" w14:textId="77777777" w:rsidR="00000000" w:rsidRDefault="001D0688">
      <w:pPr>
        <w:divId w:val="400107413"/>
        <w:rPr>
          <w:rFonts w:eastAsia="Times New Roman"/>
        </w:rPr>
      </w:pPr>
    </w:p>
    <w:p w14:paraId="19F11398" w14:textId="77777777" w:rsidR="00000000" w:rsidRDefault="001D0688">
      <w:pPr>
        <w:jc w:val="center"/>
        <w:divId w:val="379091839"/>
        <w:rPr>
          <w:rFonts w:eastAsia="Times New Roman"/>
        </w:rPr>
      </w:pPr>
      <w:r>
        <w:rPr>
          <w:rFonts w:ascii="Arial" w:eastAsia="Times New Roman" w:hAnsi="Arial" w:cs="Arial"/>
          <w:color w:val="000000"/>
          <w:sz w:val="20"/>
          <w:szCs w:val="20"/>
        </w:rPr>
        <w:t>18</w:t>
      </w:r>
    </w:p>
    <w:p w14:paraId="508962F8" w14:textId="77777777" w:rsidR="00000000" w:rsidRDefault="001D0688">
      <w:pPr>
        <w:rPr>
          <w:rFonts w:eastAsia="Times New Roman"/>
        </w:rPr>
      </w:pPr>
      <w:r>
        <w:rPr>
          <w:rFonts w:eastAsia="Times New Roman"/>
        </w:rPr>
        <w:pict w14:anchorId="1E924C97">
          <v:rect id="_x0000_i1054" style="width:0;height:1.5pt" o:hralign="center" o:hrstd="t" o:hr="t" fillcolor="#a0a0a0" stroked="f"/>
        </w:pict>
      </w:r>
    </w:p>
    <w:p w14:paraId="41A69923" w14:textId="77777777" w:rsidR="00000000" w:rsidRDefault="001D0688">
      <w:pPr>
        <w:divId w:val="408384910"/>
        <w:rPr>
          <w:rFonts w:eastAsia="Times New Roman"/>
        </w:rPr>
      </w:pPr>
    </w:p>
    <w:p w14:paraId="2F4DB3C6" w14:textId="77777777" w:rsidR="00000000" w:rsidRDefault="001D0688">
      <w:pPr>
        <w:divId w:val="608241530"/>
        <w:rPr>
          <w:rFonts w:eastAsia="Times New Roman"/>
        </w:rPr>
      </w:pPr>
      <w:r>
        <w:rPr>
          <w:rFonts w:ascii="Arial" w:eastAsia="Times New Roman" w:hAnsi="Arial" w:cs="Arial"/>
          <w:b/>
          <w:bCs/>
          <w:color w:val="0046AD"/>
          <w:sz w:val="20"/>
          <w:szCs w:val="20"/>
        </w:rPr>
        <w:t>ITEM 6. SELECTED FINANCIAL DATA.</w:t>
      </w:r>
    </w:p>
    <w:p w14:paraId="52F68786" w14:textId="77777777" w:rsidR="00000000" w:rsidRDefault="001D0688">
      <w:pPr>
        <w:ind w:firstLine="720"/>
        <w:jc w:val="both"/>
        <w:divId w:val="1381662503"/>
        <w:rPr>
          <w:rFonts w:eastAsia="Times New Roman"/>
        </w:rPr>
      </w:pPr>
      <w:r>
        <w:rPr>
          <w:rFonts w:ascii="Arial" w:eastAsia="Times New Roman" w:hAnsi="Arial" w:cs="Arial"/>
          <w:color w:val="000000"/>
          <w:sz w:val="20"/>
          <w:szCs w:val="20"/>
        </w:rPr>
        <w:t>The following selected financial data should be read in conjunction with Item 7., “Management’s Discussion an</w:t>
      </w:r>
      <w:r>
        <w:rPr>
          <w:rFonts w:ascii="Arial" w:eastAsia="Times New Roman" w:hAnsi="Arial" w:cs="Arial"/>
          <w:color w:val="000000"/>
          <w:sz w:val="20"/>
          <w:szCs w:val="20"/>
        </w:rPr>
        <w:t>d Analysis of Financial Condition and Results of Operations,” and Item 8., “Financial Statements and Supplementary Data.” Unless otherwise indicated, all references to years are to our fiscal year, which ends on October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3316"/>
        <w:gridCol w:w="36"/>
        <w:gridCol w:w="132"/>
        <w:gridCol w:w="723"/>
        <w:gridCol w:w="36"/>
        <w:gridCol w:w="36"/>
        <w:gridCol w:w="36"/>
        <w:gridCol w:w="36"/>
        <w:gridCol w:w="132"/>
        <w:gridCol w:w="723"/>
        <w:gridCol w:w="36"/>
        <w:gridCol w:w="36"/>
        <w:gridCol w:w="36"/>
        <w:gridCol w:w="36"/>
        <w:gridCol w:w="132"/>
        <w:gridCol w:w="723"/>
        <w:gridCol w:w="36"/>
        <w:gridCol w:w="36"/>
        <w:gridCol w:w="36"/>
        <w:gridCol w:w="36"/>
        <w:gridCol w:w="132"/>
        <w:gridCol w:w="723"/>
        <w:gridCol w:w="36"/>
        <w:gridCol w:w="36"/>
        <w:gridCol w:w="36"/>
        <w:gridCol w:w="36"/>
        <w:gridCol w:w="132"/>
        <w:gridCol w:w="723"/>
        <w:gridCol w:w="36"/>
      </w:tblGrid>
      <w:tr w:rsidR="00000000" w14:paraId="1ECDBC58" w14:textId="77777777">
        <w:trPr>
          <w:divId w:val="1592272310"/>
          <w:jc w:val="center"/>
        </w:trPr>
        <w:tc>
          <w:tcPr>
            <w:tcW w:w="50" w:type="pct"/>
            <w:vAlign w:val="center"/>
            <w:hideMark/>
          </w:tcPr>
          <w:p w14:paraId="56B9FC4A" w14:textId="77777777" w:rsidR="00000000" w:rsidRDefault="001D0688">
            <w:pPr>
              <w:ind w:firstLine="720"/>
              <w:jc w:val="both"/>
              <w:rPr>
                <w:rFonts w:eastAsia="Times New Roman"/>
              </w:rPr>
            </w:pPr>
          </w:p>
        </w:tc>
        <w:tc>
          <w:tcPr>
            <w:tcW w:w="2638" w:type="pct"/>
            <w:vAlign w:val="center"/>
            <w:hideMark/>
          </w:tcPr>
          <w:p w14:paraId="38109034" w14:textId="77777777" w:rsidR="00000000" w:rsidRDefault="001D0688">
            <w:pPr>
              <w:rPr>
                <w:rFonts w:eastAsia="Times New Roman"/>
                <w:sz w:val="20"/>
                <w:szCs w:val="20"/>
              </w:rPr>
            </w:pPr>
          </w:p>
        </w:tc>
        <w:tc>
          <w:tcPr>
            <w:tcW w:w="5" w:type="pct"/>
            <w:vAlign w:val="center"/>
            <w:hideMark/>
          </w:tcPr>
          <w:p w14:paraId="6E78F540" w14:textId="77777777" w:rsidR="00000000" w:rsidRDefault="001D0688">
            <w:pPr>
              <w:rPr>
                <w:rFonts w:eastAsia="Times New Roman"/>
                <w:sz w:val="20"/>
                <w:szCs w:val="20"/>
              </w:rPr>
            </w:pPr>
          </w:p>
        </w:tc>
        <w:tc>
          <w:tcPr>
            <w:tcW w:w="50" w:type="pct"/>
            <w:vAlign w:val="center"/>
            <w:hideMark/>
          </w:tcPr>
          <w:p w14:paraId="31659AB4" w14:textId="77777777" w:rsidR="00000000" w:rsidRDefault="001D0688">
            <w:pPr>
              <w:rPr>
                <w:rFonts w:eastAsia="Times New Roman"/>
                <w:sz w:val="20"/>
                <w:szCs w:val="20"/>
              </w:rPr>
            </w:pPr>
          </w:p>
        </w:tc>
        <w:tc>
          <w:tcPr>
            <w:tcW w:w="376" w:type="pct"/>
            <w:vAlign w:val="center"/>
            <w:hideMark/>
          </w:tcPr>
          <w:p w14:paraId="21ECA803" w14:textId="77777777" w:rsidR="00000000" w:rsidRDefault="001D0688">
            <w:pPr>
              <w:rPr>
                <w:rFonts w:eastAsia="Times New Roman"/>
                <w:sz w:val="20"/>
                <w:szCs w:val="20"/>
              </w:rPr>
            </w:pPr>
          </w:p>
        </w:tc>
        <w:tc>
          <w:tcPr>
            <w:tcW w:w="5" w:type="pct"/>
            <w:vAlign w:val="center"/>
            <w:hideMark/>
          </w:tcPr>
          <w:p w14:paraId="0EF62C8C" w14:textId="77777777" w:rsidR="00000000" w:rsidRDefault="001D0688">
            <w:pPr>
              <w:rPr>
                <w:rFonts w:eastAsia="Times New Roman"/>
                <w:sz w:val="20"/>
                <w:szCs w:val="20"/>
              </w:rPr>
            </w:pPr>
          </w:p>
        </w:tc>
        <w:tc>
          <w:tcPr>
            <w:tcW w:w="5" w:type="pct"/>
            <w:vAlign w:val="center"/>
            <w:hideMark/>
          </w:tcPr>
          <w:p w14:paraId="1517A5D8" w14:textId="77777777" w:rsidR="00000000" w:rsidRDefault="001D0688">
            <w:pPr>
              <w:rPr>
                <w:rFonts w:eastAsia="Times New Roman"/>
                <w:sz w:val="20"/>
                <w:szCs w:val="20"/>
              </w:rPr>
            </w:pPr>
          </w:p>
        </w:tc>
        <w:tc>
          <w:tcPr>
            <w:tcW w:w="26" w:type="pct"/>
            <w:vAlign w:val="center"/>
            <w:hideMark/>
          </w:tcPr>
          <w:p w14:paraId="4741FEAC" w14:textId="77777777" w:rsidR="00000000" w:rsidRDefault="001D0688">
            <w:pPr>
              <w:rPr>
                <w:rFonts w:eastAsia="Times New Roman"/>
                <w:sz w:val="20"/>
                <w:szCs w:val="20"/>
              </w:rPr>
            </w:pPr>
          </w:p>
        </w:tc>
        <w:tc>
          <w:tcPr>
            <w:tcW w:w="5" w:type="pct"/>
            <w:vAlign w:val="center"/>
            <w:hideMark/>
          </w:tcPr>
          <w:p w14:paraId="49D3F6F5" w14:textId="77777777" w:rsidR="00000000" w:rsidRDefault="001D0688">
            <w:pPr>
              <w:rPr>
                <w:rFonts w:eastAsia="Times New Roman"/>
                <w:sz w:val="20"/>
                <w:szCs w:val="20"/>
              </w:rPr>
            </w:pPr>
          </w:p>
        </w:tc>
        <w:tc>
          <w:tcPr>
            <w:tcW w:w="50" w:type="pct"/>
            <w:vAlign w:val="center"/>
            <w:hideMark/>
          </w:tcPr>
          <w:p w14:paraId="63B5F31D" w14:textId="77777777" w:rsidR="00000000" w:rsidRDefault="001D0688">
            <w:pPr>
              <w:rPr>
                <w:rFonts w:eastAsia="Times New Roman"/>
                <w:sz w:val="20"/>
                <w:szCs w:val="20"/>
              </w:rPr>
            </w:pPr>
          </w:p>
        </w:tc>
        <w:tc>
          <w:tcPr>
            <w:tcW w:w="376" w:type="pct"/>
            <w:vAlign w:val="center"/>
            <w:hideMark/>
          </w:tcPr>
          <w:p w14:paraId="563C7EC5" w14:textId="77777777" w:rsidR="00000000" w:rsidRDefault="001D0688">
            <w:pPr>
              <w:rPr>
                <w:rFonts w:eastAsia="Times New Roman"/>
                <w:sz w:val="20"/>
                <w:szCs w:val="20"/>
              </w:rPr>
            </w:pPr>
          </w:p>
        </w:tc>
        <w:tc>
          <w:tcPr>
            <w:tcW w:w="5" w:type="pct"/>
            <w:vAlign w:val="center"/>
            <w:hideMark/>
          </w:tcPr>
          <w:p w14:paraId="69D8203C" w14:textId="77777777" w:rsidR="00000000" w:rsidRDefault="001D0688">
            <w:pPr>
              <w:rPr>
                <w:rFonts w:eastAsia="Times New Roman"/>
                <w:sz w:val="20"/>
                <w:szCs w:val="20"/>
              </w:rPr>
            </w:pPr>
          </w:p>
        </w:tc>
        <w:tc>
          <w:tcPr>
            <w:tcW w:w="5" w:type="pct"/>
            <w:vAlign w:val="center"/>
            <w:hideMark/>
          </w:tcPr>
          <w:p w14:paraId="23598161" w14:textId="77777777" w:rsidR="00000000" w:rsidRDefault="001D0688">
            <w:pPr>
              <w:rPr>
                <w:rFonts w:eastAsia="Times New Roman"/>
                <w:sz w:val="20"/>
                <w:szCs w:val="20"/>
              </w:rPr>
            </w:pPr>
          </w:p>
        </w:tc>
        <w:tc>
          <w:tcPr>
            <w:tcW w:w="26" w:type="pct"/>
            <w:vAlign w:val="center"/>
            <w:hideMark/>
          </w:tcPr>
          <w:p w14:paraId="3BC52913" w14:textId="77777777" w:rsidR="00000000" w:rsidRDefault="001D0688">
            <w:pPr>
              <w:rPr>
                <w:rFonts w:eastAsia="Times New Roman"/>
                <w:sz w:val="20"/>
                <w:szCs w:val="20"/>
              </w:rPr>
            </w:pPr>
          </w:p>
        </w:tc>
        <w:tc>
          <w:tcPr>
            <w:tcW w:w="5" w:type="pct"/>
            <w:vAlign w:val="center"/>
            <w:hideMark/>
          </w:tcPr>
          <w:p w14:paraId="15C598A5" w14:textId="77777777" w:rsidR="00000000" w:rsidRDefault="001D0688">
            <w:pPr>
              <w:rPr>
                <w:rFonts w:eastAsia="Times New Roman"/>
                <w:sz w:val="20"/>
                <w:szCs w:val="20"/>
              </w:rPr>
            </w:pPr>
          </w:p>
        </w:tc>
        <w:tc>
          <w:tcPr>
            <w:tcW w:w="50" w:type="pct"/>
            <w:vAlign w:val="center"/>
            <w:hideMark/>
          </w:tcPr>
          <w:p w14:paraId="587DA424" w14:textId="77777777" w:rsidR="00000000" w:rsidRDefault="001D0688">
            <w:pPr>
              <w:rPr>
                <w:rFonts w:eastAsia="Times New Roman"/>
                <w:sz w:val="20"/>
                <w:szCs w:val="20"/>
              </w:rPr>
            </w:pPr>
          </w:p>
        </w:tc>
        <w:tc>
          <w:tcPr>
            <w:tcW w:w="376" w:type="pct"/>
            <w:vAlign w:val="center"/>
            <w:hideMark/>
          </w:tcPr>
          <w:p w14:paraId="670EEDBD" w14:textId="77777777" w:rsidR="00000000" w:rsidRDefault="001D0688">
            <w:pPr>
              <w:rPr>
                <w:rFonts w:eastAsia="Times New Roman"/>
                <w:sz w:val="20"/>
                <w:szCs w:val="20"/>
              </w:rPr>
            </w:pPr>
          </w:p>
        </w:tc>
        <w:tc>
          <w:tcPr>
            <w:tcW w:w="5" w:type="pct"/>
            <w:vAlign w:val="center"/>
            <w:hideMark/>
          </w:tcPr>
          <w:p w14:paraId="42C364BF" w14:textId="77777777" w:rsidR="00000000" w:rsidRDefault="001D0688">
            <w:pPr>
              <w:rPr>
                <w:rFonts w:eastAsia="Times New Roman"/>
                <w:sz w:val="20"/>
                <w:szCs w:val="20"/>
              </w:rPr>
            </w:pPr>
          </w:p>
        </w:tc>
        <w:tc>
          <w:tcPr>
            <w:tcW w:w="5" w:type="pct"/>
            <w:vAlign w:val="center"/>
            <w:hideMark/>
          </w:tcPr>
          <w:p w14:paraId="5CFCBB3E" w14:textId="77777777" w:rsidR="00000000" w:rsidRDefault="001D0688">
            <w:pPr>
              <w:rPr>
                <w:rFonts w:eastAsia="Times New Roman"/>
                <w:sz w:val="20"/>
                <w:szCs w:val="20"/>
              </w:rPr>
            </w:pPr>
          </w:p>
        </w:tc>
        <w:tc>
          <w:tcPr>
            <w:tcW w:w="26" w:type="pct"/>
            <w:vAlign w:val="center"/>
            <w:hideMark/>
          </w:tcPr>
          <w:p w14:paraId="66A81AC7" w14:textId="77777777" w:rsidR="00000000" w:rsidRDefault="001D0688">
            <w:pPr>
              <w:rPr>
                <w:rFonts w:eastAsia="Times New Roman"/>
                <w:sz w:val="20"/>
                <w:szCs w:val="20"/>
              </w:rPr>
            </w:pPr>
          </w:p>
        </w:tc>
        <w:tc>
          <w:tcPr>
            <w:tcW w:w="5" w:type="pct"/>
            <w:vAlign w:val="center"/>
            <w:hideMark/>
          </w:tcPr>
          <w:p w14:paraId="5A183BA7" w14:textId="77777777" w:rsidR="00000000" w:rsidRDefault="001D0688">
            <w:pPr>
              <w:rPr>
                <w:rFonts w:eastAsia="Times New Roman"/>
                <w:sz w:val="20"/>
                <w:szCs w:val="20"/>
              </w:rPr>
            </w:pPr>
          </w:p>
        </w:tc>
        <w:tc>
          <w:tcPr>
            <w:tcW w:w="50" w:type="pct"/>
            <w:vAlign w:val="center"/>
            <w:hideMark/>
          </w:tcPr>
          <w:p w14:paraId="6EB55D11" w14:textId="77777777" w:rsidR="00000000" w:rsidRDefault="001D0688">
            <w:pPr>
              <w:rPr>
                <w:rFonts w:eastAsia="Times New Roman"/>
                <w:sz w:val="20"/>
                <w:szCs w:val="20"/>
              </w:rPr>
            </w:pPr>
          </w:p>
        </w:tc>
        <w:tc>
          <w:tcPr>
            <w:tcW w:w="376" w:type="pct"/>
            <w:vAlign w:val="center"/>
            <w:hideMark/>
          </w:tcPr>
          <w:p w14:paraId="3EC0487E" w14:textId="77777777" w:rsidR="00000000" w:rsidRDefault="001D0688">
            <w:pPr>
              <w:rPr>
                <w:rFonts w:eastAsia="Times New Roman"/>
                <w:sz w:val="20"/>
                <w:szCs w:val="20"/>
              </w:rPr>
            </w:pPr>
          </w:p>
        </w:tc>
        <w:tc>
          <w:tcPr>
            <w:tcW w:w="5" w:type="pct"/>
            <w:vAlign w:val="center"/>
            <w:hideMark/>
          </w:tcPr>
          <w:p w14:paraId="71A9D23A" w14:textId="77777777" w:rsidR="00000000" w:rsidRDefault="001D0688">
            <w:pPr>
              <w:rPr>
                <w:rFonts w:eastAsia="Times New Roman"/>
                <w:sz w:val="20"/>
                <w:szCs w:val="20"/>
              </w:rPr>
            </w:pPr>
          </w:p>
        </w:tc>
        <w:tc>
          <w:tcPr>
            <w:tcW w:w="5" w:type="pct"/>
            <w:vAlign w:val="center"/>
            <w:hideMark/>
          </w:tcPr>
          <w:p w14:paraId="1AF2EDB7" w14:textId="77777777" w:rsidR="00000000" w:rsidRDefault="001D0688">
            <w:pPr>
              <w:rPr>
                <w:rFonts w:eastAsia="Times New Roman"/>
                <w:sz w:val="20"/>
                <w:szCs w:val="20"/>
              </w:rPr>
            </w:pPr>
          </w:p>
        </w:tc>
        <w:tc>
          <w:tcPr>
            <w:tcW w:w="26" w:type="pct"/>
            <w:vAlign w:val="center"/>
            <w:hideMark/>
          </w:tcPr>
          <w:p w14:paraId="749635A8" w14:textId="77777777" w:rsidR="00000000" w:rsidRDefault="001D0688">
            <w:pPr>
              <w:rPr>
                <w:rFonts w:eastAsia="Times New Roman"/>
                <w:sz w:val="20"/>
                <w:szCs w:val="20"/>
              </w:rPr>
            </w:pPr>
          </w:p>
        </w:tc>
        <w:tc>
          <w:tcPr>
            <w:tcW w:w="5" w:type="pct"/>
            <w:vAlign w:val="center"/>
            <w:hideMark/>
          </w:tcPr>
          <w:p w14:paraId="4195665E" w14:textId="77777777" w:rsidR="00000000" w:rsidRDefault="001D0688">
            <w:pPr>
              <w:rPr>
                <w:rFonts w:eastAsia="Times New Roman"/>
                <w:sz w:val="20"/>
                <w:szCs w:val="20"/>
              </w:rPr>
            </w:pPr>
          </w:p>
        </w:tc>
        <w:tc>
          <w:tcPr>
            <w:tcW w:w="50" w:type="pct"/>
            <w:vAlign w:val="center"/>
            <w:hideMark/>
          </w:tcPr>
          <w:p w14:paraId="1B84F333" w14:textId="77777777" w:rsidR="00000000" w:rsidRDefault="001D0688">
            <w:pPr>
              <w:rPr>
                <w:rFonts w:eastAsia="Times New Roman"/>
                <w:sz w:val="20"/>
                <w:szCs w:val="20"/>
              </w:rPr>
            </w:pPr>
          </w:p>
        </w:tc>
        <w:tc>
          <w:tcPr>
            <w:tcW w:w="377" w:type="pct"/>
            <w:vAlign w:val="center"/>
            <w:hideMark/>
          </w:tcPr>
          <w:p w14:paraId="5672B734" w14:textId="77777777" w:rsidR="00000000" w:rsidRDefault="001D0688">
            <w:pPr>
              <w:rPr>
                <w:rFonts w:eastAsia="Times New Roman"/>
                <w:sz w:val="20"/>
                <w:szCs w:val="20"/>
              </w:rPr>
            </w:pPr>
          </w:p>
        </w:tc>
        <w:tc>
          <w:tcPr>
            <w:tcW w:w="5" w:type="pct"/>
            <w:vAlign w:val="center"/>
            <w:hideMark/>
          </w:tcPr>
          <w:p w14:paraId="09EB3144" w14:textId="77777777" w:rsidR="00000000" w:rsidRDefault="001D0688">
            <w:pPr>
              <w:rPr>
                <w:rFonts w:eastAsia="Times New Roman"/>
                <w:sz w:val="20"/>
                <w:szCs w:val="20"/>
              </w:rPr>
            </w:pPr>
          </w:p>
        </w:tc>
      </w:tr>
      <w:tr w:rsidR="00000000" w14:paraId="3EF24FB6" w14:textId="77777777">
        <w:trPr>
          <w:divId w:val="1592272310"/>
          <w:jc w:val="center"/>
        </w:trPr>
        <w:tc>
          <w:tcPr>
            <w:tcW w:w="0" w:type="auto"/>
            <w:gridSpan w:val="3"/>
            <w:tcMar>
              <w:top w:w="0" w:type="dxa"/>
              <w:left w:w="20" w:type="dxa"/>
              <w:bottom w:w="0" w:type="dxa"/>
              <w:right w:w="20" w:type="dxa"/>
            </w:tcMar>
            <w:vAlign w:val="center"/>
            <w:hideMark/>
          </w:tcPr>
          <w:p w14:paraId="55BF501D" w14:textId="77777777" w:rsidR="00000000" w:rsidRDefault="001D0688">
            <w:pPr>
              <w:rPr>
                <w:rFonts w:eastAsia="Times New Roman"/>
                <w:sz w:val="20"/>
                <w:szCs w:val="20"/>
              </w:rPr>
            </w:pPr>
          </w:p>
        </w:tc>
        <w:tc>
          <w:tcPr>
            <w:tcW w:w="0" w:type="auto"/>
            <w:gridSpan w:val="27"/>
            <w:tcMar>
              <w:top w:w="30" w:type="dxa"/>
              <w:left w:w="20" w:type="dxa"/>
              <w:bottom w:w="30" w:type="dxa"/>
              <w:right w:w="20" w:type="dxa"/>
            </w:tcMar>
            <w:vAlign w:val="center"/>
            <w:hideMark/>
          </w:tcPr>
          <w:p w14:paraId="277141B4"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6BFE89E3" w14:textId="77777777">
        <w:trPr>
          <w:divId w:val="1592272310"/>
          <w:jc w:val="center"/>
        </w:trPr>
        <w:tc>
          <w:tcPr>
            <w:tcW w:w="0" w:type="auto"/>
            <w:gridSpan w:val="3"/>
            <w:tcMar>
              <w:top w:w="0" w:type="dxa"/>
              <w:left w:w="20" w:type="dxa"/>
              <w:bottom w:w="0" w:type="dxa"/>
              <w:right w:w="20" w:type="dxa"/>
            </w:tcMar>
            <w:vAlign w:val="center"/>
            <w:hideMark/>
          </w:tcPr>
          <w:p w14:paraId="70E8D13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AFB5A7"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25D88CD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9F6D97"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223C2C20"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757B3F" w14:textId="77777777" w:rsidR="00000000" w:rsidRDefault="001D0688">
            <w:pPr>
              <w:jc w:val="center"/>
              <w:rPr>
                <w:rFonts w:eastAsia="Times New Roman"/>
              </w:rPr>
            </w:pPr>
            <w:r>
              <w:rPr>
                <w:rFonts w:ascii="Arial" w:eastAsia="Times New Roman" w:hAnsi="Arial" w:cs="Arial"/>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14:paraId="2B0625DC"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E73A12" w14:textId="77777777" w:rsidR="00000000" w:rsidRDefault="001D0688">
            <w:pPr>
              <w:jc w:val="center"/>
              <w:rPr>
                <w:rFonts w:eastAsia="Times New Roman"/>
              </w:rPr>
            </w:pPr>
            <w:r>
              <w:rPr>
                <w:rFonts w:ascii="Arial" w:eastAsia="Times New Roman" w:hAnsi="Arial" w:cs="Arial"/>
                <w:b/>
                <w:bCs/>
                <w:color w:val="000000"/>
                <w:sz w:val="20"/>
                <w:szCs w:val="20"/>
              </w:rPr>
              <w:t>2017</w:t>
            </w:r>
          </w:p>
        </w:tc>
        <w:tc>
          <w:tcPr>
            <w:tcW w:w="0" w:type="auto"/>
            <w:gridSpan w:val="3"/>
            <w:tcBorders>
              <w:top w:val="single" w:sz="8" w:space="0" w:color="000000"/>
            </w:tcBorders>
            <w:tcMar>
              <w:top w:w="0" w:type="dxa"/>
              <w:left w:w="20" w:type="dxa"/>
              <w:bottom w:w="0" w:type="dxa"/>
              <w:right w:w="20" w:type="dxa"/>
            </w:tcMar>
            <w:vAlign w:val="center"/>
            <w:hideMark/>
          </w:tcPr>
          <w:p w14:paraId="32AB938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46F3A9" w14:textId="77777777" w:rsidR="00000000" w:rsidRDefault="001D0688">
            <w:pPr>
              <w:jc w:val="center"/>
              <w:rPr>
                <w:rFonts w:eastAsia="Times New Roman"/>
              </w:rPr>
            </w:pPr>
            <w:r>
              <w:rPr>
                <w:rFonts w:ascii="Arial" w:eastAsia="Times New Roman" w:hAnsi="Arial" w:cs="Arial"/>
                <w:b/>
                <w:bCs/>
                <w:color w:val="000000"/>
                <w:sz w:val="20"/>
                <w:szCs w:val="20"/>
              </w:rPr>
              <w:t>2016</w:t>
            </w:r>
          </w:p>
        </w:tc>
      </w:tr>
      <w:tr w:rsidR="00000000" w14:paraId="38999714" w14:textId="77777777">
        <w:trPr>
          <w:divId w:val="1592272310"/>
          <w:jc w:val="center"/>
        </w:trPr>
        <w:tc>
          <w:tcPr>
            <w:tcW w:w="0" w:type="auto"/>
            <w:gridSpan w:val="3"/>
            <w:tcMar>
              <w:top w:w="30" w:type="dxa"/>
              <w:left w:w="20" w:type="dxa"/>
              <w:bottom w:w="30" w:type="dxa"/>
              <w:right w:w="20" w:type="dxa"/>
            </w:tcMar>
            <w:vAlign w:val="bottom"/>
            <w:hideMark/>
          </w:tcPr>
          <w:p w14:paraId="1EFCAE19" w14:textId="77777777" w:rsidR="00000000" w:rsidRDefault="001D0688">
            <w:pPr>
              <w:rPr>
                <w:rFonts w:eastAsia="Times New Roman"/>
              </w:rPr>
            </w:pPr>
            <w:r>
              <w:rPr>
                <w:rFonts w:eastAsia="Times New Roman"/>
                <w:i/>
                <w:iCs/>
                <w:color w:val="000000"/>
                <w:sz w:val="18"/>
                <w:szCs w:val="18"/>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5EAFA675"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1391CB3F"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2EE336"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30CF78B8"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56E61D"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7AC6B402"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F4A9E3"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14:paraId="4C26385D"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4D2BE3" w14:textId="77777777" w:rsidR="00000000" w:rsidRDefault="001D0688">
            <w:pPr>
              <w:rPr>
                <w:rFonts w:eastAsia="Times New Roman"/>
              </w:rPr>
            </w:pPr>
            <w:r>
              <w:rPr>
                <w:rFonts w:ascii="Arial" w:eastAsia="Times New Roman" w:hAnsi="Arial" w:cs="Arial"/>
                <w:color w:val="000000"/>
                <w:sz w:val="20"/>
                <w:szCs w:val="20"/>
              </w:rPr>
              <w:t> </w:t>
            </w:r>
          </w:p>
        </w:tc>
      </w:tr>
      <w:tr w:rsidR="00000000" w14:paraId="5006435E"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7745BE97" w14:textId="77777777" w:rsidR="00000000" w:rsidRDefault="001D0688">
            <w:pPr>
              <w:rPr>
                <w:rFonts w:eastAsia="Times New Roman"/>
              </w:rPr>
            </w:pPr>
            <w:r>
              <w:rPr>
                <w:rFonts w:ascii="Arial" w:eastAsia="Times New Roman" w:hAnsi="Arial" w:cs="Arial"/>
                <w:b/>
                <w:bCs/>
                <w:color w:val="000000"/>
                <w:sz w:val="20"/>
                <w:szCs w:val="20"/>
              </w:rPr>
              <w:t>Statements of Comprehensive (Loss) Income Data</w:t>
            </w:r>
          </w:p>
        </w:tc>
        <w:tc>
          <w:tcPr>
            <w:tcW w:w="0" w:type="auto"/>
            <w:gridSpan w:val="3"/>
            <w:shd w:val="clear" w:color="auto" w:fill="DCE2EF"/>
            <w:tcMar>
              <w:top w:w="0" w:type="dxa"/>
              <w:left w:w="20" w:type="dxa"/>
              <w:bottom w:w="0" w:type="dxa"/>
              <w:right w:w="20" w:type="dxa"/>
            </w:tcMar>
            <w:vAlign w:val="center"/>
            <w:hideMark/>
          </w:tcPr>
          <w:p w14:paraId="49ADAF60"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2DCDE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41744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115D12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06BD4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699533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1B5FA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31FD6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D37A43" w14:textId="77777777" w:rsidR="00000000" w:rsidRDefault="001D0688">
            <w:pPr>
              <w:rPr>
                <w:rFonts w:eastAsia="Times New Roman"/>
                <w:sz w:val="20"/>
                <w:szCs w:val="20"/>
              </w:rPr>
            </w:pPr>
          </w:p>
        </w:tc>
      </w:tr>
      <w:tr w:rsidR="00000000" w14:paraId="3E0831F8"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1B533DA0" w14:textId="77777777" w:rsidR="00000000" w:rsidRDefault="001D0688">
            <w:pPr>
              <w:divId w:val="439841274"/>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r>
              <w:rPr>
                <w:rFonts w:ascii="Arial" w:eastAsia="Times New Roman" w:hAnsi="Arial" w:cs="Arial"/>
                <w:color w:val="000000"/>
                <w:sz w:val="13"/>
                <w:szCs w:val="13"/>
              </w:rPr>
              <w:t>(1)(2)(3</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14:paraId="636FD9B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5015E2F" w14:textId="77777777" w:rsidR="00000000" w:rsidRDefault="001D0688">
            <w:pPr>
              <w:jc w:val="right"/>
              <w:rPr>
                <w:rFonts w:eastAsia="Times New Roman"/>
              </w:rPr>
            </w:pPr>
            <w:r>
              <w:rPr>
                <w:rFonts w:ascii="Arial" w:eastAsia="Times New Roman" w:hAnsi="Arial" w:cs="Arial"/>
                <w:color w:val="000000"/>
                <w:sz w:val="20"/>
                <w:szCs w:val="20"/>
              </w:rPr>
              <w:t>5,987.6 </w:t>
            </w:r>
          </w:p>
        </w:tc>
        <w:tc>
          <w:tcPr>
            <w:tcW w:w="0" w:type="auto"/>
            <w:shd w:val="clear" w:color="auto" w:fill="FFFFFF"/>
            <w:tcMar>
              <w:top w:w="30" w:type="dxa"/>
              <w:left w:w="0" w:type="dxa"/>
              <w:bottom w:w="30" w:type="dxa"/>
              <w:right w:w="20" w:type="dxa"/>
            </w:tcMar>
            <w:vAlign w:val="bottom"/>
            <w:hideMark/>
          </w:tcPr>
          <w:p w14:paraId="30871D3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7E520"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9DCDE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4F1B3A5" w14:textId="77777777" w:rsidR="00000000" w:rsidRDefault="001D0688">
            <w:pPr>
              <w:jc w:val="right"/>
              <w:rPr>
                <w:rFonts w:eastAsia="Times New Roman"/>
              </w:rPr>
            </w:pPr>
            <w:r>
              <w:rPr>
                <w:rFonts w:ascii="Arial" w:eastAsia="Times New Roman" w:hAnsi="Arial" w:cs="Arial"/>
                <w:color w:val="000000"/>
                <w:sz w:val="20"/>
                <w:szCs w:val="20"/>
              </w:rPr>
              <w:t>6,498.6 </w:t>
            </w:r>
          </w:p>
        </w:tc>
        <w:tc>
          <w:tcPr>
            <w:tcW w:w="0" w:type="auto"/>
            <w:shd w:val="clear" w:color="auto" w:fill="FFFFFF"/>
            <w:tcMar>
              <w:top w:w="30" w:type="dxa"/>
              <w:left w:w="0" w:type="dxa"/>
              <w:bottom w:w="30" w:type="dxa"/>
              <w:right w:w="20" w:type="dxa"/>
            </w:tcMar>
            <w:vAlign w:val="bottom"/>
            <w:hideMark/>
          </w:tcPr>
          <w:p w14:paraId="2785A3C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8ACCF"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3A5EC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B5319D6" w14:textId="77777777" w:rsidR="00000000" w:rsidRDefault="001D0688">
            <w:pPr>
              <w:jc w:val="right"/>
              <w:rPr>
                <w:rFonts w:eastAsia="Times New Roman"/>
              </w:rPr>
            </w:pPr>
            <w:r>
              <w:rPr>
                <w:rFonts w:ascii="Arial" w:eastAsia="Times New Roman" w:hAnsi="Arial" w:cs="Arial"/>
                <w:color w:val="000000"/>
                <w:sz w:val="20"/>
                <w:szCs w:val="20"/>
              </w:rPr>
              <w:t>6,442.2 </w:t>
            </w:r>
          </w:p>
        </w:tc>
        <w:tc>
          <w:tcPr>
            <w:tcW w:w="0" w:type="auto"/>
            <w:shd w:val="clear" w:color="auto" w:fill="FFFFFF"/>
            <w:tcMar>
              <w:top w:w="30" w:type="dxa"/>
              <w:left w:w="0" w:type="dxa"/>
              <w:bottom w:w="30" w:type="dxa"/>
              <w:right w:w="20" w:type="dxa"/>
            </w:tcMar>
            <w:vAlign w:val="bottom"/>
            <w:hideMark/>
          </w:tcPr>
          <w:p w14:paraId="3E1318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67D0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46982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C4910A0" w14:textId="77777777" w:rsidR="00000000" w:rsidRDefault="001D0688">
            <w:pPr>
              <w:jc w:val="right"/>
              <w:rPr>
                <w:rFonts w:eastAsia="Times New Roman"/>
              </w:rPr>
            </w:pPr>
            <w:r>
              <w:rPr>
                <w:rFonts w:ascii="Arial" w:eastAsia="Times New Roman" w:hAnsi="Arial" w:cs="Arial"/>
                <w:color w:val="000000"/>
                <w:sz w:val="20"/>
                <w:szCs w:val="20"/>
              </w:rPr>
              <w:t>5,453.6 </w:t>
            </w:r>
          </w:p>
        </w:tc>
        <w:tc>
          <w:tcPr>
            <w:tcW w:w="0" w:type="auto"/>
            <w:shd w:val="clear" w:color="auto" w:fill="FFFFFF"/>
            <w:tcMar>
              <w:top w:w="30" w:type="dxa"/>
              <w:left w:w="0" w:type="dxa"/>
              <w:bottom w:w="30" w:type="dxa"/>
              <w:right w:w="20" w:type="dxa"/>
            </w:tcMar>
            <w:vAlign w:val="bottom"/>
            <w:hideMark/>
          </w:tcPr>
          <w:p w14:paraId="7A0FA3E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F2C88"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2C3AF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5DFF718" w14:textId="77777777" w:rsidR="00000000" w:rsidRDefault="001D0688">
            <w:pPr>
              <w:jc w:val="right"/>
              <w:rPr>
                <w:rFonts w:eastAsia="Times New Roman"/>
              </w:rPr>
            </w:pPr>
            <w:r>
              <w:rPr>
                <w:rFonts w:ascii="Arial" w:eastAsia="Times New Roman" w:hAnsi="Arial" w:cs="Arial"/>
                <w:color w:val="000000"/>
                <w:sz w:val="20"/>
                <w:szCs w:val="20"/>
              </w:rPr>
              <w:t>5,144.7 </w:t>
            </w:r>
          </w:p>
        </w:tc>
        <w:tc>
          <w:tcPr>
            <w:tcW w:w="0" w:type="auto"/>
            <w:shd w:val="clear" w:color="auto" w:fill="FFFFFF"/>
            <w:tcMar>
              <w:top w:w="30" w:type="dxa"/>
              <w:left w:w="0" w:type="dxa"/>
              <w:bottom w:w="30" w:type="dxa"/>
              <w:right w:w="20" w:type="dxa"/>
            </w:tcMar>
            <w:vAlign w:val="bottom"/>
            <w:hideMark/>
          </w:tcPr>
          <w:p w14:paraId="1C171EE0" w14:textId="77777777" w:rsidR="00000000" w:rsidRDefault="001D0688">
            <w:pPr>
              <w:jc w:val="right"/>
              <w:rPr>
                <w:rFonts w:eastAsia="Times New Roman"/>
              </w:rPr>
            </w:pPr>
          </w:p>
        </w:tc>
      </w:tr>
      <w:tr w:rsidR="00000000" w14:paraId="647C4439"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5B71D294" w14:textId="77777777" w:rsidR="00000000" w:rsidRDefault="001D0688">
            <w:pPr>
              <w:divId w:val="625890643"/>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38A86FA7" w14:textId="77777777" w:rsidR="00000000" w:rsidRDefault="001D0688">
            <w:pPr>
              <w:jc w:val="right"/>
              <w:rPr>
                <w:rFonts w:eastAsia="Times New Roman"/>
              </w:rPr>
            </w:pPr>
            <w:r>
              <w:rPr>
                <w:rFonts w:ascii="Arial" w:eastAsia="Times New Roman" w:hAnsi="Arial" w:cs="Arial"/>
                <w:color w:val="000000"/>
                <w:sz w:val="20"/>
                <w:szCs w:val="20"/>
              </w:rPr>
              <w:t>95.7 </w:t>
            </w:r>
          </w:p>
        </w:tc>
        <w:tc>
          <w:tcPr>
            <w:tcW w:w="0" w:type="auto"/>
            <w:shd w:val="clear" w:color="auto" w:fill="DCE2EF"/>
            <w:tcMar>
              <w:top w:w="30" w:type="dxa"/>
              <w:left w:w="0" w:type="dxa"/>
              <w:bottom w:w="30" w:type="dxa"/>
              <w:right w:w="20" w:type="dxa"/>
            </w:tcMar>
            <w:vAlign w:val="bottom"/>
            <w:hideMark/>
          </w:tcPr>
          <w:p w14:paraId="30D0251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2CECB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828CF0" w14:textId="77777777" w:rsidR="00000000" w:rsidRDefault="001D0688">
            <w:pPr>
              <w:jc w:val="right"/>
              <w:rPr>
                <w:rFonts w:eastAsia="Times New Roman"/>
              </w:rPr>
            </w:pPr>
            <w:r>
              <w:rPr>
                <w:rFonts w:ascii="Arial" w:eastAsia="Times New Roman" w:hAnsi="Arial" w:cs="Arial"/>
                <w:color w:val="000000"/>
                <w:sz w:val="20"/>
                <w:szCs w:val="20"/>
              </w:rPr>
              <w:t>208.3 </w:t>
            </w:r>
          </w:p>
        </w:tc>
        <w:tc>
          <w:tcPr>
            <w:tcW w:w="0" w:type="auto"/>
            <w:shd w:val="clear" w:color="auto" w:fill="DCE2EF"/>
            <w:tcMar>
              <w:top w:w="30" w:type="dxa"/>
              <w:left w:w="0" w:type="dxa"/>
              <w:bottom w:w="30" w:type="dxa"/>
              <w:right w:w="20" w:type="dxa"/>
            </w:tcMar>
            <w:vAlign w:val="bottom"/>
            <w:hideMark/>
          </w:tcPr>
          <w:p w14:paraId="0565A63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A622F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B98EE52" w14:textId="77777777" w:rsidR="00000000" w:rsidRDefault="001D0688">
            <w:pPr>
              <w:jc w:val="right"/>
              <w:rPr>
                <w:rFonts w:eastAsia="Times New Roman"/>
              </w:rPr>
            </w:pPr>
            <w:r>
              <w:rPr>
                <w:rFonts w:ascii="Arial" w:eastAsia="Times New Roman" w:hAnsi="Arial" w:cs="Arial"/>
                <w:color w:val="000000"/>
                <w:sz w:val="20"/>
                <w:szCs w:val="20"/>
              </w:rPr>
              <w:t>138.6 </w:t>
            </w:r>
          </w:p>
        </w:tc>
        <w:tc>
          <w:tcPr>
            <w:tcW w:w="0" w:type="auto"/>
            <w:shd w:val="clear" w:color="auto" w:fill="DCE2EF"/>
            <w:tcMar>
              <w:top w:w="30" w:type="dxa"/>
              <w:left w:w="0" w:type="dxa"/>
              <w:bottom w:w="30" w:type="dxa"/>
              <w:right w:w="20" w:type="dxa"/>
            </w:tcMar>
            <w:vAlign w:val="bottom"/>
            <w:hideMark/>
          </w:tcPr>
          <w:p w14:paraId="24FB924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27D3D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F68000" w14:textId="77777777" w:rsidR="00000000" w:rsidRDefault="001D0688">
            <w:pPr>
              <w:jc w:val="right"/>
              <w:rPr>
                <w:rFonts w:eastAsia="Times New Roman"/>
              </w:rPr>
            </w:pPr>
            <w:r>
              <w:rPr>
                <w:rFonts w:ascii="Arial" w:eastAsia="Times New Roman" w:hAnsi="Arial" w:cs="Arial"/>
                <w:color w:val="000000"/>
                <w:sz w:val="20"/>
                <w:szCs w:val="20"/>
              </w:rPr>
              <w:t>101.9 </w:t>
            </w:r>
          </w:p>
        </w:tc>
        <w:tc>
          <w:tcPr>
            <w:tcW w:w="0" w:type="auto"/>
            <w:shd w:val="clear" w:color="auto" w:fill="DCE2EF"/>
            <w:tcMar>
              <w:top w:w="30" w:type="dxa"/>
              <w:left w:w="0" w:type="dxa"/>
              <w:bottom w:w="30" w:type="dxa"/>
              <w:right w:w="20" w:type="dxa"/>
            </w:tcMar>
            <w:vAlign w:val="bottom"/>
            <w:hideMark/>
          </w:tcPr>
          <w:p w14:paraId="07994FE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9A0FF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463CE39" w14:textId="77777777" w:rsidR="00000000" w:rsidRDefault="001D0688">
            <w:pPr>
              <w:jc w:val="right"/>
              <w:rPr>
                <w:rFonts w:eastAsia="Times New Roman"/>
              </w:rPr>
            </w:pPr>
            <w:r>
              <w:rPr>
                <w:rFonts w:ascii="Arial" w:eastAsia="Times New Roman" w:hAnsi="Arial" w:cs="Arial"/>
                <w:color w:val="000000"/>
                <w:sz w:val="20"/>
                <w:szCs w:val="20"/>
              </w:rPr>
              <w:t>54.7 </w:t>
            </w:r>
          </w:p>
        </w:tc>
        <w:tc>
          <w:tcPr>
            <w:tcW w:w="0" w:type="auto"/>
            <w:shd w:val="clear" w:color="auto" w:fill="DCE2EF"/>
            <w:tcMar>
              <w:top w:w="30" w:type="dxa"/>
              <w:left w:w="0" w:type="dxa"/>
              <w:bottom w:w="30" w:type="dxa"/>
              <w:right w:w="20" w:type="dxa"/>
            </w:tcMar>
            <w:vAlign w:val="bottom"/>
            <w:hideMark/>
          </w:tcPr>
          <w:p w14:paraId="33EB49D5" w14:textId="77777777" w:rsidR="00000000" w:rsidRDefault="001D0688">
            <w:pPr>
              <w:jc w:val="right"/>
              <w:rPr>
                <w:rFonts w:eastAsia="Times New Roman"/>
              </w:rPr>
            </w:pPr>
          </w:p>
        </w:tc>
      </w:tr>
      <w:tr w:rsidR="00000000" w14:paraId="67064D7C"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0E52225D"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gridSpan w:val="2"/>
            <w:shd w:val="clear" w:color="auto" w:fill="FFFFFF"/>
            <w:tcMar>
              <w:top w:w="30" w:type="dxa"/>
              <w:left w:w="20" w:type="dxa"/>
              <w:bottom w:w="30" w:type="dxa"/>
              <w:right w:w="0" w:type="dxa"/>
            </w:tcMar>
            <w:vAlign w:val="bottom"/>
            <w:hideMark/>
          </w:tcPr>
          <w:p w14:paraId="7FFD1396"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2AE55E7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620E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08E256" w14:textId="77777777" w:rsidR="00000000" w:rsidRDefault="001D0688">
            <w:pPr>
              <w:jc w:val="right"/>
              <w:rPr>
                <w:rFonts w:eastAsia="Times New Roman"/>
              </w:rPr>
            </w:pPr>
            <w:r>
              <w:rPr>
                <w:rFonts w:ascii="Arial" w:eastAsia="Times New Roman" w:hAnsi="Arial" w:cs="Arial"/>
                <w:color w:val="000000"/>
                <w:sz w:val="20"/>
                <w:szCs w:val="20"/>
              </w:rPr>
              <w:t>127.5 </w:t>
            </w:r>
          </w:p>
        </w:tc>
        <w:tc>
          <w:tcPr>
            <w:tcW w:w="0" w:type="auto"/>
            <w:shd w:val="clear" w:color="auto" w:fill="FFFFFF"/>
            <w:tcMar>
              <w:top w:w="30" w:type="dxa"/>
              <w:left w:w="0" w:type="dxa"/>
              <w:bottom w:w="30" w:type="dxa"/>
              <w:right w:w="20" w:type="dxa"/>
            </w:tcMar>
            <w:vAlign w:val="bottom"/>
            <w:hideMark/>
          </w:tcPr>
          <w:p w14:paraId="30DFBB5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3822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44E1D0" w14:textId="77777777" w:rsidR="00000000" w:rsidRDefault="001D0688">
            <w:pPr>
              <w:jc w:val="right"/>
              <w:rPr>
                <w:rFonts w:eastAsia="Times New Roman"/>
              </w:rPr>
            </w:pPr>
            <w:r>
              <w:rPr>
                <w:rFonts w:ascii="Arial" w:eastAsia="Times New Roman" w:hAnsi="Arial" w:cs="Arial"/>
                <w:color w:val="000000"/>
                <w:sz w:val="20"/>
                <w:szCs w:val="20"/>
              </w:rPr>
              <w:t>95.9 </w:t>
            </w:r>
          </w:p>
        </w:tc>
        <w:tc>
          <w:tcPr>
            <w:tcW w:w="0" w:type="auto"/>
            <w:shd w:val="clear" w:color="auto" w:fill="FFFFFF"/>
            <w:tcMar>
              <w:top w:w="30" w:type="dxa"/>
              <w:left w:w="0" w:type="dxa"/>
              <w:bottom w:w="30" w:type="dxa"/>
              <w:right w:w="20" w:type="dxa"/>
            </w:tcMar>
            <w:vAlign w:val="bottom"/>
            <w:hideMark/>
          </w:tcPr>
          <w:p w14:paraId="2897EBF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5137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88BCD" w14:textId="77777777" w:rsidR="00000000" w:rsidRDefault="001D0688">
            <w:pPr>
              <w:jc w:val="right"/>
              <w:rPr>
                <w:rFonts w:eastAsia="Times New Roman"/>
              </w:rPr>
            </w:pPr>
            <w:r>
              <w:rPr>
                <w:rFonts w:ascii="Arial" w:eastAsia="Times New Roman" w:hAnsi="Arial" w:cs="Arial"/>
                <w:color w:val="000000"/>
                <w:sz w:val="20"/>
                <w:szCs w:val="20"/>
              </w:rPr>
              <w:t>78.1 </w:t>
            </w:r>
          </w:p>
        </w:tc>
        <w:tc>
          <w:tcPr>
            <w:tcW w:w="0" w:type="auto"/>
            <w:shd w:val="clear" w:color="auto" w:fill="FFFFFF"/>
            <w:tcMar>
              <w:top w:w="30" w:type="dxa"/>
              <w:left w:w="0" w:type="dxa"/>
              <w:bottom w:w="30" w:type="dxa"/>
              <w:right w:w="20" w:type="dxa"/>
            </w:tcMar>
            <w:vAlign w:val="bottom"/>
            <w:hideMark/>
          </w:tcPr>
          <w:p w14:paraId="42E833E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CFFF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54E2D" w14:textId="77777777" w:rsidR="00000000" w:rsidRDefault="001D0688">
            <w:pPr>
              <w:jc w:val="right"/>
              <w:rPr>
                <w:rFonts w:eastAsia="Times New Roman"/>
              </w:rPr>
            </w:pPr>
            <w:r>
              <w:rPr>
                <w:rFonts w:ascii="Arial" w:eastAsia="Times New Roman" w:hAnsi="Arial" w:cs="Arial"/>
                <w:color w:val="000000"/>
                <w:sz w:val="20"/>
                <w:szCs w:val="20"/>
              </w:rPr>
              <w:t>62.3 </w:t>
            </w:r>
          </w:p>
        </w:tc>
        <w:tc>
          <w:tcPr>
            <w:tcW w:w="0" w:type="auto"/>
            <w:shd w:val="clear" w:color="auto" w:fill="FFFFFF"/>
            <w:tcMar>
              <w:top w:w="30" w:type="dxa"/>
              <w:left w:w="0" w:type="dxa"/>
              <w:bottom w:w="30" w:type="dxa"/>
              <w:right w:w="20" w:type="dxa"/>
            </w:tcMar>
            <w:vAlign w:val="bottom"/>
            <w:hideMark/>
          </w:tcPr>
          <w:p w14:paraId="6AE4CFD7" w14:textId="77777777" w:rsidR="00000000" w:rsidRDefault="001D0688">
            <w:pPr>
              <w:jc w:val="right"/>
              <w:rPr>
                <w:rFonts w:eastAsia="Times New Roman"/>
              </w:rPr>
            </w:pPr>
          </w:p>
        </w:tc>
      </w:tr>
      <w:tr w:rsidR="00000000" w14:paraId="13DB21BB"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77D77AEA" w14:textId="77777777" w:rsidR="00000000" w:rsidRDefault="001D0688">
            <w:pPr>
              <w:divId w:val="1752385087"/>
              <w:rPr>
                <w:rFonts w:eastAsia="Times New Roman"/>
              </w:rPr>
            </w:pPr>
            <w:r>
              <w:rPr>
                <w:rFonts w:ascii="Arial" w:eastAsia="Times New Roman" w:hAnsi="Arial" w:cs="Arial"/>
                <w:color w:val="000000"/>
                <w:sz w:val="20"/>
                <w:szCs w:val="20"/>
              </w:rPr>
              <w:t>Income (loss) from discontinued operations, net of taxe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2093604A"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50E1C55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5C2E8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B7223BF"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14:paraId="14D2386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CA530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FE039A9" w14:textId="77777777" w:rsidR="00000000" w:rsidRDefault="001D0688">
            <w:pPr>
              <w:jc w:val="right"/>
              <w:rPr>
                <w:rFonts w:eastAsia="Times New Roman"/>
              </w:rPr>
            </w:pPr>
            <w:r>
              <w:rPr>
                <w:rFonts w:ascii="Arial" w:eastAsia="Times New Roman" w:hAnsi="Arial" w:cs="Arial"/>
                <w:color w:val="000000"/>
                <w:sz w:val="20"/>
                <w:szCs w:val="20"/>
              </w:rPr>
              <w:t>1.8 </w:t>
            </w:r>
          </w:p>
        </w:tc>
        <w:tc>
          <w:tcPr>
            <w:tcW w:w="0" w:type="auto"/>
            <w:shd w:val="clear" w:color="auto" w:fill="DCE2EF"/>
            <w:tcMar>
              <w:top w:w="30" w:type="dxa"/>
              <w:left w:w="0" w:type="dxa"/>
              <w:bottom w:w="30" w:type="dxa"/>
              <w:right w:w="20" w:type="dxa"/>
            </w:tcMar>
            <w:vAlign w:val="bottom"/>
            <w:hideMark/>
          </w:tcPr>
          <w:p w14:paraId="08110DD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4CDE4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CF81638" w14:textId="77777777" w:rsidR="00000000" w:rsidRDefault="001D0688">
            <w:pPr>
              <w:jc w:val="right"/>
              <w:rPr>
                <w:rFonts w:eastAsia="Times New Roman"/>
              </w:rPr>
            </w:pPr>
            <w:r>
              <w:rPr>
                <w:rFonts w:ascii="Arial" w:eastAsia="Times New Roman" w:hAnsi="Arial" w:cs="Arial"/>
                <w:color w:val="000000"/>
                <w:sz w:val="20"/>
                <w:szCs w:val="20"/>
              </w:rPr>
              <w:t>(74.3)</w:t>
            </w:r>
          </w:p>
        </w:tc>
        <w:tc>
          <w:tcPr>
            <w:tcW w:w="0" w:type="auto"/>
            <w:shd w:val="clear" w:color="auto" w:fill="DCE2EF"/>
            <w:tcMar>
              <w:top w:w="30" w:type="dxa"/>
              <w:left w:w="0" w:type="dxa"/>
              <w:bottom w:w="30" w:type="dxa"/>
              <w:right w:w="20" w:type="dxa"/>
            </w:tcMar>
            <w:vAlign w:val="bottom"/>
            <w:hideMark/>
          </w:tcPr>
          <w:p w14:paraId="647946A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9916A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066978" w14:textId="77777777" w:rsidR="00000000" w:rsidRDefault="001D0688">
            <w:pPr>
              <w:jc w:val="right"/>
              <w:rPr>
                <w:rFonts w:eastAsia="Times New Roman"/>
              </w:rPr>
            </w:pPr>
            <w:r>
              <w:rPr>
                <w:rFonts w:ascii="Arial" w:eastAsia="Times New Roman" w:hAnsi="Arial" w:cs="Arial"/>
                <w:color w:val="000000"/>
                <w:sz w:val="20"/>
                <w:szCs w:val="20"/>
              </w:rPr>
              <w:t>(5.1)</w:t>
            </w:r>
          </w:p>
        </w:tc>
        <w:tc>
          <w:tcPr>
            <w:tcW w:w="0" w:type="auto"/>
            <w:shd w:val="clear" w:color="auto" w:fill="DCE2EF"/>
            <w:tcMar>
              <w:top w:w="30" w:type="dxa"/>
              <w:left w:w="0" w:type="dxa"/>
              <w:bottom w:w="30" w:type="dxa"/>
              <w:right w:w="20" w:type="dxa"/>
            </w:tcMar>
            <w:vAlign w:val="bottom"/>
            <w:hideMark/>
          </w:tcPr>
          <w:p w14:paraId="2008FCE8" w14:textId="77777777" w:rsidR="00000000" w:rsidRDefault="001D0688">
            <w:pPr>
              <w:jc w:val="right"/>
              <w:rPr>
                <w:rFonts w:eastAsia="Times New Roman"/>
              </w:rPr>
            </w:pPr>
          </w:p>
        </w:tc>
      </w:tr>
      <w:tr w:rsidR="00000000" w14:paraId="7244B34B"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58A9C76B" w14:textId="77777777" w:rsidR="00000000" w:rsidRDefault="001D0688">
            <w:pPr>
              <w:rPr>
                <w:rFonts w:eastAsia="Times New Roman"/>
              </w:rPr>
            </w:pPr>
            <w:r>
              <w:rPr>
                <w:rFonts w:ascii="Arial" w:eastAsia="Times New Roman" w:hAnsi="Arial" w:cs="Arial"/>
                <w:b/>
                <w:bCs/>
                <w:color w:val="000000"/>
                <w:sz w:val="20"/>
                <w:szCs w:val="20"/>
              </w:rPr>
              <w:t>Per Share Data</w:t>
            </w:r>
          </w:p>
        </w:tc>
        <w:tc>
          <w:tcPr>
            <w:tcW w:w="0" w:type="auto"/>
            <w:gridSpan w:val="3"/>
            <w:shd w:val="clear" w:color="auto" w:fill="FFFFFF"/>
            <w:tcMar>
              <w:top w:w="0" w:type="dxa"/>
              <w:left w:w="20" w:type="dxa"/>
              <w:bottom w:w="0" w:type="dxa"/>
              <w:right w:w="20" w:type="dxa"/>
            </w:tcMar>
            <w:vAlign w:val="center"/>
            <w:hideMark/>
          </w:tcPr>
          <w:p w14:paraId="04542E77"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72F7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35F1A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5723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7A43F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8E8B9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8CE09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FD89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740DDE" w14:textId="77777777" w:rsidR="00000000" w:rsidRDefault="001D0688">
            <w:pPr>
              <w:rPr>
                <w:rFonts w:eastAsia="Times New Roman"/>
                <w:sz w:val="20"/>
                <w:szCs w:val="20"/>
              </w:rPr>
            </w:pPr>
          </w:p>
        </w:tc>
      </w:tr>
      <w:tr w:rsidR="00000000" w14:paraId="62B10FA6"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509F468C" w14:textId="77777777" w:rsidR="00000000" w:rsidRDefault="001D0688">
            <w:pPr>
              <w:rPr>
                <w:rFonts w:eastAsia="Times New Roman"/>
              </w:rPr>
            </w:pPr>
            <w:r>
              <w:rPr>
                <w:rFonts w:ascii="Arial" w:eastAsia="Times New Roman" w:hAnsi="Arial" w:cs="Arial"/>
                <w:color w:val="000000"/>
                <w:sz w:val="20"/>
                <w:szCs w:val="20"/>
              </w:rPr>
              <w:t>Net income per common share — Basic</w:t>
            </w:r>
          </w:p>
        </w:tc>
        <w:tc>
          <w:tcPr>
            <w:tcW w:w="0" w:type="auto"/>
            <w:gridSpan w:val="3"/>
            <w:shd w:val="clear" w:color="auto" w:fill="DCE2EF"/>
            <w:tcMar>
              <w:top w:w="0" w:type="dxa"/>
              <w:left w:w="20" w:type="dxa"/>
              <w:bottom w:w="0" w:type="dxa"/>
              <w:right w:w="20" w:type="dxa"/>
            </w:tcMar>
            <w:vAlign w:val="center"/>
            <w:hideMark/>
          </w:tcPr>
          <w:p w14:paraId="09623DE8"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EDA6F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2B996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3A9541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0CF03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5686EB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26BF1D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29A80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31F4BF1" w14:textId="77777777" w:rsidR="00000000" w:rsidRDefault="001D0688">
            <w:pPr>
              <w:rPr>
                <w:rFonts w:eastAsia="Times New Roman"/>
                <w:sz w:val="20"/>
                <w:szCs w:val="20"/>
              </w:rPr>
            </w:pPr>
          </w:p>
        </w:tc>
      </w:tr>
      <w:tr w:rsidR="00000000" w14:paraId="179FFA92" w14:textId="77777777">
        <w:trPr>
          <w:divId w:val="1592272310"/>
          <w:jc w:val="center"/>
        </w:trPr>
        <w:tc>
          <w:tcPr>
            <w:tcW w:w="0" w:type="auto"/>
            <w:gridSpan w:val="3"/>
            <w:shd w:val="clear" w:color="auto" w:fill="FFFFFF"/>
            <w:tcMar>
              <w:top w:w="30" w:type="dxa"/>
              <w:left w:w="500" w:type="dxa"/>
              <w:bottom w:w="30" w:type="dxa"/>
              <w:right w:w="20" w:type="dxa"/>
            </w:tcMar>
            <w:vAlign w:val="bottom"/>
            <w:hideMark/>
          </w:tcPr>
          <w:p w14:paraId="3DB24EDD"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14:paraId="7C8852E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4E1EB06"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FFFFFF"/>
            <w:tcMar>
              <w:top w:w="30" w:type="dxa"/>
              <w:left w:w="0" w:type="dxa"/>
              <w:bottom w:w="30" w:type="dxa"/>
              <w:right w:w="20" w:type="dxa"/>
            </w:tcMar>
            <w:vAlign w:val="bottom"/>
            <w:hideMark/>
          </w:tcPr>
          <w:p w14:paraId="3A01FD2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98EF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CDA23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AD52320" w14:textId="77777777" w:rsidR="00000000" w:rsidRDefault="001D0688">
            <w:pPr>
              <w:jc w:val="right"/>
              <w:rPr>
                <w:rFonts w:eastAsia="Times New Roman"/>
              </w:rPr>
            </w:pPr>
            <w:r>
              <w:rPr>
                <w:rFonts w:ascii="Arial" w:eastAsia="Times New Roman" w:hAnsi="Arial" w:cs="Arial"/>
                <w:color w:val="000000"/>
                <w:sz w:val="20"/>
                <w:szCs w:val="20"/>
              </w:rPr>
              <w:t>1.92 </w:t>
            </w:r>
          </w:p>
        </w:tc>
        <w:tc>
          <w:tcPr>
            <w:tcW w:w="0" w:type="auto"/>
            <w:shd w:val="clear" w:color="auto" w:fill="FFFFFF"/>
            <w:tcMar>
              <w:top w:w="30" w:type="dxa"/>
              <w:left w:w="0" w:type="dxa"/>
              <w:bottom w:w="30" w:type="dxa"/>
              <w:right w:w="20" w:type="dxa"/>
            </w:tcMar>
            <w:vAlign w:val="bottom"/>
            <w:hideMark/>
          </w:tcPr>
          <w:p w14:paraId="7DB141F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B80B0"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C4940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56F1A26" w14:textId="77777777" w:rsidR="00000000" w:rsidRDefault="001D0688">
            <w:pPr>
              <w:jc w:val="right"/>
              <w:rPr>
                <w:rFonts w:eastAsia="Times New Roman"/>
              </w:rPr>
            </w:pPr>
            <w:r>
              <w:rPr>
                <w:rFonts w:ascii="Arial" w:eastAsia="Times New Roman" w:hAnsi="Arial" w:cs="Arial"/>
                <w:color w:val="000000"/>
                <w:sz w:val="20"/>
                <w:szCs w:val="20"/>
              </w:rPr>
              <w:t>1.45 </w:t>
            </w:r>
          </w:p>
        </w:tc>
        <w:tc>
          <w:tcPr>
            <w:tcW w:w="0" w:type="auto"/>
            <w:shd w:val="clear" w:color="auto" w:fill="FFFFFF"/>
            <w:tcMar>
              <w:top w:w="30" w:type="dxa"/>
              <w:left w:w="0" w:type="dxa"/>
              <w:bottom w:w="30" w:type="dxa"/>
              <w:right w:w="20" w:type="dxa"/>
            </w:tcMar>
            <w:vAlign w:val="bottom"/>
            <w:hideMark/>
          </w:tcPr>
          <w:p w14:paraId="624ADC3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F6E4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67093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3D85D76" w14:textId="77777777" w:rsidR="00000000" w:rsidRDefault="001D0688">
            <w:pPr>
              <w:jc w:val="right"/>
              <w:rPr>
                <w:rFonts w:eastAsia="Times New Roman"/>
              </w:rPr>
            </w:pPr>
            <w:r>
              <w:rPr>
                <w:rFonts w:ascii="Arial" w:eastAsia="Times New Roman" w:hAnsi="Arial" w:cs="Arial"/>
                <w:color w:val="000000"/>
                <w:sz w:val="20"/>
                <w:szCs w:val="20"/>
              </w:rPr>
              <w:t>1.35 </w:t>
            </w:r>
          </w:p>
        </w:tc>
        <w:tc>
          <w:tcPr>
            <w:tcW w:w="0" w:type="auto"/>
            <w:shd w:val="clear" w:color="auto" w:fill="FFFFFF"/>
            <w:tcMar>
              <w:top w:w="30" w:type="dxa"/>
              <w:left w:w="0" w:type="dxa"/>
              <w:bottom w:w="30" w:type="dxa"/>
              <w:right w:w="20" w:type="dxa"/>
            </w:tcMar>
            <w:vAlign w:val="bottom"/>
            <w:hideMark/>
          </w:tcPr>
          <w:p w14:paraId="7E866EB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51CC6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1A68C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F315A7B" w14:textId="77777777" w:rsidR="00000000" w:rsidRDefault="001D0688">
            <w:pPr>
              <w:jc w:val="right"/>
              <w:rPr>
                <w:rFonts w:eastAsia="Times New Roman"/>
              </w:rPr>
            </w:pPr>
            <w:r>
              <w:rPr>
                <w:rFonts w:ascii="Arial" w:eastAsia="Times New Roman" w:hAnsi="Arial" w:cs="Arial"/>
                <w:color w:val="000000"/>
                <w:sz w:val="20"/>
                <w:szCs w:val="20"/>
              </w:rPr>
              <w:t>1.11 </w:t>
            </w:r>
          </w:p>
        </w:tc>
        <w:tc>
          <w:tcPr>
            <w:tcW w:w="0" w:type="auto"/>
            <w:shd w:val="clear" w:color="auto" w:fill="FFFFFF"/>
            <w:tcMar>
              <w:top w:w="30" w:type="dxa"/>
              <w:left w:w="0" w:type="dxa"/>
              <w:bottom w:w="30" w:type="dxa"/>
              <w:right w:w="20" w:type="dxa"/>
            </w:tcMar>
            <w:vAlign w:val="bottom"/>
            <w:hideMark/>
          </w:tcPr>
          <w:p w14:paraId="7368D428" w14:textId="77777777" w:rsidR="00000000" w:rsidRDefault="001D0688">
            <w:pPr>
              <w:jc w:val="right"/>
              <w:rPr>
                <w:rFonts w:eastAsia="Times New Roman"/>
              </w:rPr>
            </w:pPr>
          </w:p>
        </w:tc>
      </w:tr>
      <w:tr w:rsidR="00000000" w14:paraId="0D250A8D" w14:textId="77777777">
        <w:trPr>
          <w:divId w:val="1592272310"/>
          <w:jc w:val="center"/>
        </w:trPr>
        <w:tc>
          <w:tcPr>
            <w:tcW w:w="0" w:type="auto"/>
            <w:gridSpan w:val="3"/>
            <w:vAlign w:val="center"/>
            <w:hideMark/>
          </w:tcPr>
          <w:p w14:paraId="6F5C6636" w14:textId="77777777" w:rsidR="00000000" w:rsidRDefault="001D0688">
            <w:pPr>
              <w:jc w:val="right"/>
              <w:rPr>
                <w:rFonts w:eastAsia="Times New Roman"/>
                <w:sz w:val="20"/>
                <w:szCs w:val="20"/>
              </w:rPr>
            </w:pPr>
          </w:p>
        </w:tc>
        <w:tc>
          <w:tcPr>
            <w:tcW w:w="0" w:type="auto"/>
            <w:gridSpan w:val="3"/>
            <w:vAlign w:val="center"/>
            <w:hideMark/>
          </w:tcPr>
          <w:p w14:paraId="46CA2824" w14:textId="77777777" w:rsidR="00000000" w:rsidRDefault="001D0688">
            <w:pPr>
              <w:rPr>
                <w:rFonts w:eastAsia="Times New Roman"/>
                <w:sz w:val="20"/>
                <w:szCs w:val="20"/>
              </w:rPr>
            </w:pPr>
          </w:p>
        </w:tc>
        <w:tc>
          <w:tcPr>
            <w:tcW w:w="0" w:type="auto"/>
            <w:gridSpan w:val="3"/>
            <w:vAlign w:val="center"/>
            <w:hideMark/>
          </w:tcPr>
          <w:p w14:paraId="5472D71A" w14:textId="77777777" w:rsidR="00000000" w:rsidRDefault="001D0688">
            <w:pPr>
              <w:rPr>
                <w:rFonts w:eastAsia="Times New Roman"/>
                <w:sz w:val="20"/>
                <w:szCs w:val="20"/>
              </w:rPr>
            </w:pPr>
          </w:p>
        </w:tc>
        <w:tc>
          <w:tcPr>
            <w:tcW w:w="0" w:type="auto"/>
            <w:gridSpan w:val="3"/>
            <w:vAlign w:val="center"/>
            <w:hideMark/>
          </w:tcPr>
          <w:p w14:paraId="54B2DB1C" w14:textId="77777777" w:rsidR="00000000" w:rsidRDefault="001D0688">
            <w:pPr>
              <w:rPr>
                <w:rFonts w:eastAsia="Times New Roman"/>
                <w:sz w:val="20"/>
                <w:szCs w:val="20"/>
              </w:rPr>
            </w:pPr>
          </w:p>
        </w:tc>
        <w:tc>
          <w:tcPr>
            <w:tcW w:w="0" w:type="auto"/>
            <w:gridSpan w:val="3"/>
            <w:vAlign w:val="center"/>
            <w:hideMark/>
          </w:tcPr>
          <w:p w14:paraId="6C8C92C4" w14:textId="77777777" w:rsidR="00000000" w:rsidRDefault="001D0688">
            <w:pPr>
              <w:rPr>
                <w:rFonts w:eastAsia="Times New Roman"/>
                <w:sz w:val="20"/>
                <w:szCs w:val="20"/>
              </w:rPr>
            </w:pPr>
          </w:p>
        </w:tc>
        <w:tc>
          <w:tcPr>
            <w:tcW w:w="0" w:type="auto"/>
            <w:gridSpan w:val="3"/>
            <w:vAlign w:val="center"/>
            <w:hideMark/>
          </w:tcPr>
          <w:p w14:paraId="67E761FC" w14:textId="77777777" w:rsidR="00000000" w:rsidRDefault="001D0688">
            <w:pPr>
              <w:rPr>
                <w:rFonts w:eastAsia="Times New Roman"/>
                <w:sz w:val="20"/>
                <w:szCs w:val="20"/>
              </w:rPr>
            </w:pPr>
          </w:p>
        </w:tc>
        <w:tc>
          <w:tcPr>
            <w:tcW w:w="0" w:type="auto"/>
            <w:gridSpan w:val="3"/>
            <w:vAlign w:val="center"/>
            <w:hideMark/>
          </w:tcPr>
          <w:p w14:paraId="32A6F942" w14:textId="77777777" w:rsidR="00000000" w:rsidRDefault="001D0688">
            <w:pPr>
              <w:rPr>
                <w:rFonts w:eastAsia="Times New Roman"/>
                <w:sz w:val="20"/>
                <w:szCs w:val="20"/>
              </w:rPr>
            </w:pPr>
          </w:p>
        </w:tc>
        <w:tc>
          <w:tcPr>
            <w:tcW w:w="0" w:type="auto"/>
            <w:gridSpan w:val="3"/>
            <w:vAlign w:val="center"/>
            <w:hideMark/>
          </w:tcPr>
          <w:p w14:paraId="4AB5245B" w14:textId="77777777" w:rsidR="00000000" w:rsidRDefault="001D0688">
            <w:pPr>
              <w:rPr>
                <w:rFonts w:eastAsia="Times New Roman"/>
                <w:sz w:val="20"/>
                <w:szCs w:val="20"/>
              </w:rPr>
            </w:pPr>
          </w:p>
        </w:tc>
        <w:tc>
          <w:tcPr>
            <w:tcW w:w="0" w:type="auto"/>
            <w:gridSpan w:val="3"/>
            <w:vAlign w:val="center"/>
            <w:hideMark/>
          </w:tcPr>
          <w:p w14:paraId="2240868F" w14:textId="77777777" w:rsidR="00000000" w:rsidRDefault="001D0688">
            <w:pPr>
              <w:rPr>
                <w:rFonts w:eastAsia="Times New Roman"/>
                <w:sz w:val="20"/>
                <w:szCs w:val="20"/>
              </w:rPr>
            </w:pPr>
          </w:p>
        </w:tc>
        <w:tc>
          <w:tcPr>
            <w:tcW w:w="0" w:type="auto"/>
            <w:gridSpan w:val="3"/>
            <w:vAlign w:val="center"/>
            <w:hideMark/>
          </w:tcPr>
          <w:p w14:paraId="2076EB13" w14:textId="77777777" w:rsidR="00000000" w:rsidRDefault="001D0688">
            <w:pPr>
              <w:rPr>
                <w:rFonts w:eastAsia="Times New Roman"/>
                <w:sz w:val="20"/>
                <w:szCs w:val="20"/>
              </w:rPr>
            </w:pPr>
          </w:p>
        </w:tc>
      </w:tr>
      <w:tr w:rsidR="00000000" w14:paraId="3C4BAD16" w14:textId="77777777">
        <w:trPr>
          <w:divId w:val="1592272310"/>
          <w:jc w:val="center"/>
        </w:trPr>
        <w:tc>
          <w:tcPr>
            <w:tcW w:w="0" w:type="auto"/>
            <w:gridSpan w:val="3"/>
            <w:shd w:val="clear" w:color="auto" w:fill="DCE2EF"/>
            <w:tcMar>
              <w:top w:w="30" w:type="dxa"/>
              <w:left w:w="500" w:type="dxa"/>
              <w:bottom w:w="30" w:type="dxa"/>
              <w:right w:w="20" w:type="dxa"/>
            </w:tcMar>
            <w:vAlign w:val="bottom"/>
            <w:hideMark/>
          </w:tcPr>
          <w:p w14:paraId="6112841C"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shd w:val="clear" w:color="auto" w:fill="DCE2EF"/>
            <w:tcMar>
              <w:top w:w="30" w:type="dxa"/>
              <w:left w:w="20" w:type="dxa"/>
              <w:bottom w:w="30" w:type="dxa"/>
              <w:right w:w="0" w:type="dxa"/>
            </w:tcMar>
            <w:vAlign w:val="bottom"/>
            <w:hideMark/>
          </w:tcPr>
          <w:p w14:paraId="1E630B8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8BEF0D8"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14:paraId="302A796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7FD2E2"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ACA14F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5936B61" w14:textId="77777777" w:rsidR="00000000" w:rsidRDefault="001D0688">
            <w:pPr>
              <w:jc w:val="right"/>
              <w:rPr>
                <w:rFonts w:eastAsia="Times New Roman"/>
              </w:rPr>
            </w:pPr>
            <w:r>
              <w:rPr>
                <w:rFonts w:ascii="Arial" w:eastAsia="Times New Roman" w:hAnsi="Arial" w:cs="Arial"/>
                <w:color w:val="000000"/>
                <w:sz w:val="20"/>
                <w:szCs w:val="20"/>
              </w:rPr>
              <w:t>1.91 </w:t>
            </w:r>
          </w:p>
        </w:tc>
        <w:tc>
          <w:tcPr>
            <w:tcW w:w="0" w:type="auto"/>
            <w:shd w:val="clear" w:color="auto" w:fill="DCE2EF"/>
            <w:tcMar>
              <w:top w:w="30" w:type="dxa"/>
              <w:left w:w="0" w:type="dxa"/>
              <w:bottom w:w="30" w:type="dxa"/>
              <w:right w:w="20" w:type="dxa"/>
            </w:tcMar>
            <w:vAlign w:val="bottom"/>
            <w:hideMark/>
          </w:tcPr>
          <w:p w14:paraId="038B105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FE20D0"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83D8B2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C111F5B" w14:textId="77777777" w:rsidR="00000000" w:rsidRDefault="001D0688">
            <w:pPr>
              <w:jc w:val="right"/>
              <w:rPr>
                <w:rFonts w:eastAsia="Times New Roman"/>
              </w:rPr>
            </w:pPr>
            <w:r>
              <w:rPr>
                <w:rFonts w:ascii="Arial" w:eastAsia="Times New Roman" w:hAnsi="Arial" w:cs="Arial"/>
                <w:color w:val="000000"/>
                <w:sz w:val="20"/>
                <w:szCs w:val="20"/>
              </w:rPr>
              <w:t>1.48 </w:t>
            </w:r>
          </w:p>
        </w:tc>
        <w:tc>
          <w:tcPr>
            <w:tcW w:w="0" w:type="auto"/>
            <w:shd w:val="clear" w:color="auto" w:fill="DCE2EF"/>
            <w:tcMar>
              <w:top w:w="30" w:type="dxa"/>
              <w:left w:w="0" w:type="dxa"/>
              <w:bottom w:w="30" w:type="dxa"/>
              <w:right w:w="20" w:type="dxa"/>
            </w:tcMar>
            <w:vAlign w:val="bottom"/>
            <w:hideMark/>
          </w:tcPr>
          <w:p w14:paraId="07ECB00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2947A5"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0AE55A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B18401C" w14:textId="77777777" w:rsidR="00000000" w:rsidRDefault="001D0688">
            <w:pPr>
              <w:jc w:val="right"/>
              <w:rPr>
                <w:rFonts w:eastAsia="Times New Roman"/>
              </w:rPr>
            </w:pPr>
            <w:r>
              <w:rPr>
                <w:rFonts w:ascii="Arial" w:eastAsia="Times New Roman" w:hAnsi="Arial" w:cs="Arial"/>
                <w:color w:val="000000"/>
                <w:sz w:val="20"/>
                <w:szCs w:val="20"/>
              </w:rPr>
              <w:t>0.07 </w:t>
            </w:r>
          </w:p>
        </w:tc>
        <w:tc>
          <w:tcPr>
            <w:tcW w:w="0" w:type="auto"/>
            <w:shd w:val="clear" w:color="auto" w:fill="DCE2EF"/>
            <w:tcMar>
              <w:top w:w="30" w:type="dxa"/>
              <w:left w:w="0" w:type="dxa"/>
              <w:bottom w:w="30" w:type="dxa"/>
              <w:right w:w="20" w:type="dxa"/>
            </w:tcMar>
            <w:vAlign w:val="bottom"/>
            <w:hideMark/>
          </w:tcPr>
          <w:p w14:paraId="5C60293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1B1CC4"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B2B84F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F98B1A7" w14:textId="77777777" w:rsidR="00000000" w:rsidRDefault="001D0688">
            <w:pPr>
              <w:jc w:val="right"/>
              <w:rPr>
                <w:rFonts w:eastAsia="Times New Roman"/>
              </w:rPr>
            </w:pPr>
            <w:r>
              <w:rPr>
                <w:rFonts w:ascii="Arial" w:eastAsia="Times New Roman" w:hAnsi="Arial" w:cs="Arial"/>
                <w:color w:val="000000"/>
                <w:sz w:val="20"/>
                <w:szCs w:val="20"/>
              </w:rPr>
              <w:t>1.02 </w:t>
            </w:r>
          </w:p>
        </w:tc>
        <w:tc>
          <w:tcPr>
            <w:tcW w:w="0" w:type="auto"/>
            <w:shd w:val="clear" w:color="auto" w:fill="DCE2EF"/>
            <w:tcMar>
              <w:top w:w="30" w:type="dxa"/>
              <w:left w:w="0" w:type="dxa"/>
              <w:bottom w:w="30" w:type="dxa"/>
              <w:right w:w="20" w:type="dxa"/>
            </w:tcMar>
            <w:vAlign w:val="bottom"/>
            <w:hideMark/>
          </w:tcPr>
          <w:p w14:paraId="0FE416CF" w14:textId="77777777" w:rsidR="00000000" w:rsidRDefault="001D0688">
            <w:pPr>
              <w:jc w:val="right"/>
              <w:rPr>
                <w:rFonts w:eastAsia="Times New Roman"/>
              </w:rPr>
            </w:pPr>
          </w:p>
        </w:tc>
      </w:tr>
      <w:tr w:rsidR="00000000" w14:paraId="1D11AFBE"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3E3BED13" w14:textId="77777777" w:rsidR="00000000" w:rsidRDefault="001D0688">
            <w:pPr>
              <w:rPr>
                <w:rFonts w:eastAsia="Times New Roman"/>
              </w:rPr>
            </w:pPr>
            <w:r>
              <w:rPr>
                <w:rFonts w:ascii="Arial" w:eastAsia="Times New Roman" w:hAnsi="Arial" w:cs="Arial"/>
                <w:color w:val="000000"/>
                <w:sz w:val="20"/>
                <w:szCs w:val="20"/>
              </w:rPr>
              <w:t>Net income per common share — Diluted</w:t>
            </w:r>
          </w:p>
        </w:tc>
        <w:tc>
          <w:tcPr>
            <w:tcW w:w="0" w:type="auto"/>
            <w:gridSpan w:val="3"/>
            <w:shd w:val="clear" w:color="auto" w:fill="FFFFFF"/>
            <w:tcMar>
              <w:top w:w="0" w:type="dxa"/>
              <w:left w:w="20" w:type="dxa"/>
              <w:bottom w:w="0" w:type="dxa"/>
              <w:right w:w="20" w:type="dxa"/>
            </w:tcMar>
            <w:vAlign w:val="center"/>
            <w:hideMark/>
          </w:tcPr>
          <w:p w14:paraId="1C02C1B4"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DDB0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585DB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0FAB2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55B5E"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2F167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7CB91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6024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22EE02" w14:textId="77777777" w:rsidR="00000000" w:rsidRDefault="001D0688">
            <w:pPr>
              <w:rPr>
                <w:rFonts w:eastAsia="Times New Roman"/>
                <w:sz w:val="20"/>
                <w:szCs w:val="20"/>
              </w:rPr>
            </w:pPr>
          </w:p>
        </w:tc>
      </w:tr>
      <w:tr w:rsidR="00000000" w14:paraId="34E963AA" w14:textId="77777777">
        <w:trPr>
          <w:divId w:val="1592272310"/>
          <w:jc w:val="center"/>
        </w:trPr>
        <w:tc>
          <w:tcPr>
            <w:tcW w:w="0" w:type="auto"/>
            <w:gridSpan w:val="3"/>
            <w:shd w:val="clear" w:color="auto" w:fill="DCE2EF"/>
            <w:tcMar>
              <w:top w:w="30" w:type="dxa"/>
              <w:left w:w="500" w:type="dxa"/>
              <w:bottom w:w="30" w:type="dxa"/>
              <w:right w:w="20" w:type="dxa"/>
            </w:tcMar>
            <w:vAlign w:val="bottom"/>
            <w:hideMark/>
          </w:tcPr>
          <w:p w14:paraId="4A8FBB4E"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14:paraId="07116A6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22C3E7F"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14:paraId="36666DB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8D098A"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7B39BB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06AB318" w14:textId="77777777" w:rsidR="00000000" w:rsidRDefault="001D0688">
            <w:pPr>
              <w:jc w:val="right"/>
              <w:rPr>
                <w:rFonts w:eastAsia="Times New Roman"/>
              </w:rPr>
            </w:pPr>
            <w:r>
              <w:rPr>
                <w:rFonts w:ascii="Arial" w:eastAsia="Times New Roman" w:hAnsi="Arial" w:cs="Arial"/>
                <w:color w:val="000000"/>
                <w:sz w:val="20"/>
                <w:szCs w:val="20"/>
              </w:rPr>
              <w:t>1.91 </w:t>
            </w:r>
          </w:p>
        </w:tc>
        <w:tc>
          <w:tcPr>
            <w:tcW w:w="0" w:type="auto"/>
            <w:shd w:val="clear" w:color="auto" w:fill="DCE2EF"/>
            <w:tcMar>
              <w:top w:w="30" w:type="dxa"/>
              <w:left w:w="0" w:type="dxa"/>
              <w:bottom w:w="30" w:type="dxa"/>
              <w:right w:w="20" w:type="dxa"/>
            </w:tcMar>
            <w:vAlign w:val="bottom"/>
            <w:hideMark/>
          </w:tcPr>
          <w:p w14:paraId="28658F3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33EF3F"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26E1B8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523DDFF" w14:textId="77777777" w:rsidR="00000000" w:rsidRDefault="001D0688">
            <w:pPr>
              <w:jc w:val="right"/>
              <w:rPr>
                <w:rFonts w:eastAsia="Times New Roman"/>
              </w:rPr>
            </w:pPr>
            <w:r>
              <w:rPr>
                <w:rFonts w:ascii="Arial" w:eastAsia="Times New Roman" w:hAnsi="Arial" w:cs="Arial"/>
                <w:color w:val="000000"/>
                <w:sz w:val="20"/>
                <w:szCs w:val="20"/>
              </w:rPr>
              <w:t>1.45 </w:t>
            </w:r>
          </w:p>
        </w:tc>
        <w:tc>
          <w:tcPr>
            <w:tcW w:w="0" w:type="auto"/>
            <w:shd w:val="clear" w:color="auto" w:fill="DCE2EF"/>
            <w:tcMar>
              <w:top w:w="30" w:type="dxa"/>
              <w:left w:w="0" w:type="dxa"/>
              <w:bottom w:w="30" w:type="dxa"/>
              <w:right w:w="20" w:type="dxa"/>
            </w:tcMar>
            <w:vAlign w:val="bottom"/>
            <w:hideMark/>
          </w:tcPr>
          <w:p w14:paraId="4C08372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38EA38"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C7E6DB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944CE30" w14:textId="77777777" w:rsidR="00000000" w:rsidRDefault="001D0688">
            <w:pPr>
              <w:jc w:val="right"/>
              <w:rPr>
                <w:rFonts w:eastAsia="Times New Roman"/>
              </w:rPr>
            </w:pPr>
            <w:r>
              <w:rPr>
                <w:rFonts w:ascii="Arial" w:eastAsia="Times New Roman" w:hAnsi="Arial" w:cs="Arial"/>
                <w:color w:val="000000"/>
                <w:sz w:val="20"/>
                <w:szCs w:val="20"/>
              </w:rPr>
              <w:t>1.34 </w:t>
            </w:r>
          </w:p>
        </w:tc>
        <w:tc>
          <w:tcPr>
            <w:tcW w:w="0" w:type="auto"/>
            <w:shd w:val="clear" w:color="auto" w:fill="DCE2EF"/>
            <w:tcMar>
              <w:top w:w="30" w:type="dxa"/>
              <w:left w:w="0" w:type="dxa"/>
              <w:bottom w:w="30" w:type="dxa"/>
              <w:right w:w="20" w:type="dxa"/>
            </w:tcMar>
            <w:vAlign w:val="bottom"/>
            <w:hideMark/>
          </w:tcPr>
          <w:p w14:paraId="0FA7022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0B19B2"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5E56E9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DD1A301" w14:textId="77777777" w:rsidR="00000000" w:rsidRDefault="001D0688">
            <w:pPr>
              <w:jc w:val="right"/>
              <w:rPr>
                <w:rFonts w:eastAsia="Times New Roman"/>
              </w:rPr>
            </w:pPr>
            <w:r>
              <w:rPr>
                <w:rFonts w:ascii="Arial" w:eastAsia="Times New Roman" w:hAnsi="Arial" w:cs="Arial"/>
                <w:color w:val="000000"/>
                <w:sz w:val="20"/>
                <w:szCs w:val="20"/>
              </w:rPr>
              <w:t>1.09 </w:t>
            </w:r>
          </w:p>
        </w:tc>
        <w:tc>
          <w:tcPr>
            <w:tcW w:w="0" w:type="auto"/>
            <w:shd w:val="clear" w:color="auto" w:fill="DCE2EF"/>
            <w:tcMar>
              <w:top w:w="30" w:type="dxa"/>
              <w:left w:w="0" w:type="dxa"/>
              <w:bottom w:w="30" w:type="dxa"/>
              <w:right w:w="20" w:type="dxa"/>
            </w:tcMar>
            <w:vAlign w:val="bottom"/>
            <w:hideMark/>
          </w:tcPr>
          <w:p w14:paraId="5E671DA6" w14:textId="77777777" w:rsidR="00000000" w:rsidRDefault="001D0688">
            <w:pPr>
              <w:jc w:val="right"/>
              <w:rPr>
                <w:rFonts w:eastAsia="Times New Roman"/>
              </w:rPr>
            </w:pPr>
          </w:p>
        </w:tc>
      </w:tr>
      <w:tr w:rsidR="00000000" w14:paraId="3341EBD8" w14:textId="77777777">
        <w:trPr>
          <w:divId w:val="1592272310"/>
          <w:jc w:val="center"/>
        </w:trPr>
        <w:tc>
          <w:tcPr>
            <w:tcW w:w="0" w:type="auto"/>
            <w:gridSpan w:val="3"/>
            <w:vAlign w:val="center"/>
            <w:hideMark/>
          </w:tcPr>
          <w:p w14:paraId="78A13BFC" w14:textId="77777777" w:rsidR="00000000" w:rsidRDefault="001D0688">
            <w:pPr>
              <w:jc w:val="right"/>
              <w:rPr>
                <w:rFonts w:eastAsia="Times New Roman"/>
                <w:sz w:val="20"/>
                <w:szCs w:val="20"/>
              </w:rPr>
            </w:pPr>
          </w:p>
        </w:tc>
        <w:tc>
          <w:tcPr>
            <w:tcW w:w="0" w:type="auto"/>
            <w:gridSpan w:val="3"/>
            <w:vAlign w:val="center"/>
            <w:hideMark/>
          </w:tcPr>
          <w:p w14:paraId="5C871A79" w14:textId="77777777" w:rsidR="00000000" w:rsidRDefault="001D0688">
            <w:pPr>
              <w:rPr>
                <w:rFonts w:eastAsia="Times New Roman"/>
                <w:sz w:val="20"/>
                <w:szCs w:val="20"/>
              </w:rPr>
            </w:pPr>
          </w:p>
        </w:tc>
        <w:tc>
          <w:tcPr>
            <w:tcW w:w="0" w:type="auto"/>
            <w:gridSpan w:val="3"/>
            <w:vAlign w:val="center"/>
            <w:hideMark/>
          </w:tcPr>
          <w:p w14:paraId="460F6B66" w14:textId="77777777" w:rsidR="00000000" w:rsidRDefault="001D0688">
            <w:pPr>
              <w:rPr>
                <w:rFonts w:eastAsia="Times New Roman"/>
                <w:sz w:val="20"/>
                <w:szCs w:val="20"/>
              </w:rPr>
            </w:pPr>
          </w:p>
        </w:tc>
        <w:tc>
          <w:tcPr>
            <w:tcW w:w="0" w:type="auto"/>
            <w:gridSpan w:val="3"/>
            <w:vAlign w:val="center"/>
            <w:hideMark/>
          </w:tcPr>
          <w:p w14:paraId="589800EB" w14:textId="77777777" w:rsidR="00000000" w:rsidRDefault="001D0688">
            <w:pPr>
              <w:rPr>
                <w:rFonts w:eastAsia="Times New Roman"/>
                <w:sz w:val="20"/>
                <w:szCs w:val="20"/>
              </w:rPr>
            </w:pPr>
          </w:p>
        </w:tc>
        <w:tc>
          <w:tcPr>
            <w:tcW w:w="0" w:type="auto"/>
            <w:gridSpan w:val="3"/>
            <w:vAlign w:val="center"/>
            <w:hideMark/>
          </w:tcPr>
          <w:p w14:paraId="5A68218B" w14:textId="77777777" w:rsidR="00000000" w:rsidRDefault="001D0688">
            <w:pPr>
              <w:rPr>
                <w:rFonts w:eastAsia="Times New Roman"/>
                <w:sz w:val="20"/>
                <w:szCs w:val="20"/>
              </w:rPr>
            </w:pPr>
          </w:p>
        </w:tc>
        <w:tc>
          <w:tcPr>
            <w:tcW w:w="0" w:type="auto"/>
            <w:gridSpan w:val="3"/>
            <w:vAlign w:val="center"/>
            <w:hideMark/>
          </w:tcPr>
          <w:p w14:paraId="67DBBA18" w14:textId="77777777" w:rsidR="00000000" w:rsidRDefault="001D0688">
            <w:pPr>
              <w:rPr>
                <w:rFonts w:eastAsia="Times New Roman"/>
                <w:sz w:val="20"/>
                <w:szCs w:val="20"/>
              </w:rPr>
            </w:pPr>
          </w:p>
        </w:tc>
        <w:tc>
          <w:tcPr>
            <w:tcW w:w="0" w:type="auto"/>
            <w:gridSpan w:val="3"/>
            <w:vAlign w:val="center"/>
            <w:hideMark/>
          </w:tcPr>
          <w:p w14:paraId="737F1A6F" w14:textId="77777777" w:rsidR="00000000" w:rsidRDefault="001D0688">
            <w:pPr>
              <w:rPr>
                <w:rFonts w:eastAsia="Times New Roman"/>
                <w:sz w:val="20"/>
                <w:szCs w:val="20"/>
              </w:rPr>
            </w:pPr>
          </w:p>
        </w:tc>
        <w:tc>
          <w:tcPr>
            <w:tcW w:w="0" w:type="auto"/>
            <w:gridSpan w:val="3"/>
            <w:vAlign w:val="center"/>
            <w:hideMark/>
          </w:tcPr>
          <w:p w14:paraId="6E260DDB" w14:textId="77777777" w:rsidR="00000000" w:rsidRDefault="001D0688">
            <w:pPr>
              <w:rPr>
                <w:rFonts w:eastAsia="Times New Roman"/>
                <w:sz w:val="20"/>
                <w:szCs w:val="20"/>
              </w:rPr>
            </w:pPr>
          </w:p>
        </w:tc>
        <w:tc>
          <w:tcPr>
            <w:tcW w:w="0" w:type="auto"/>
            <w:gridSpan w:val="3"/>
            <w:vAlign w:val="center"/>
            <w:hideMark/>
          </w:tcPr>
          <w:p w14:paraId="44EE7C60" w14:textId="77777777" w:rsidR="00000000" w:rsidRDefault="001D0688">
            <w:pPr>
              <w:rPr>
                <w:rFonts w:eastAsia="Times New Roman"/>
                <w:sz w:val="20"/>
                <w:szCs w:val="20"/>
              </w:rPr>
            </w:pPr>
          </w:p>
        </w:tc>
        <w:tc>
          <w:tcPr>
            <w:tcW w:w="0" w:type="auto"/>
            <w:gridSpan w:val="3"/>
            <w:vAlign w:val="center"/>
            <w:hideMark/>
          </w:tcPr>
          <w:p w14:paraId="0C26456C" w14:textId="77777777" w:rsidR="00000000" w:rsidRDefault="001D0688">
            <w:pPr>
              <w:rPr>
                <w:rFonts w:eastAsia="Times New Roman"/>
                <w:sz w:val="20"/>
                <w:szCs w:val="20"/>
              </w:rPr>
            </w:pPr>
          </w:p>
        </w:tc>
      </w:tr>
      <w:tr w:rsidR="00000000" w14:paraId="00A8CF2F" w14:textId="77777777">
        <w:trPr>
          <w:divId w:val="1592272310"/>
          <w:jc w:val="center"/>
        </w:trPr>
        <w:tc>
          <w:tcPr>
            <w:tcW w:w="0" w:type="auto"/>
            <w:gridSpan w:val="3"/>
            <w:shd w:val="clear" w:color="auto" w:fill="FFFFFF"/>
            <w:tcMar>
              <w:top w:w="30" w:type="dxa"/>
              <w:left w:w="500" w:type="dxa"/>
              <w:bottom w:w="30" w:type="dxa"/>
              <w:right w:w="20" w:type="dxa"/>
            </w:tcMar>
            <w:vAlign w:val="bottom"/>
            <w:hideMark/>
          </w:tcPr>
          <w:p w14:paraId="03018C5F"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6D72D640"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99248DD"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FFFFFF"/>
            <w:tcMar>
              <w:top w:w="30" w:type="dxa"/>
              <w:left w:w="0" w:type="dxa"/>
              <w:bottom w:w="30" w:type="dxa"/>
              <w:right w:w="20" w:type="dxa"/>
            </w:tcMar>
            <w:vAlign w:val="bottom"/>
            <w:hideMark/>
          </w:tcPr>
          <w:p w14:paraId="2C02418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9439D"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C3E13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4A496BD" w14:textId="77777777" w:rsidR="00000000" w:rsidRDefault="001D0688">
            <w:pPr>
              <w:jc w:val="right"/>
              <w:rPr>
                <w:rFonts w:eastAsia="Times New Roman"/>
              </w:rPr>
            </w:pPr>
            <w:r>
              <w:rPr>
                <w:rFonts w:ascii="Arial" w:eastAsia="Times New Roman" w:hAnsi="Arial" w:cs="Arial"/>
                <w:color w:val="000000"/>
                <w:sz w:val="20"/>
                <w:szCs w:val="20"/>
              </w:rPr>
              <w:t>1.90 </w:t>
            </w:r>
          </w:p>
        </w:tc>
        <w:tc>
          <w:tcPr>
            <w:tcW w:w="0" w:type="auto"/>
            <w:shd w:val="clear" w:color="auto" w:fill="FFFFFF"/>
            <w:tcMar>
              <w:top w:w="30" w:type="dxa"/>
              <w:left w:w="0" w:type="dxa"/>
              <w:bottom w:w="30" w:type="dxa"/>
              <w:right w:w="20" w:type="dxa"/>
            </w:tcMar>
            <w:vAlign w:val="bottom"/>
            <w:hideMark/>
          </w:tcPr>
          <w:p w14:paraId="09377F4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A2CCB"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35407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9F6CB1B" w14:textId="77777777" w:rsidR="00000000" w:rsidRDefault="001D0688">
            <w:pPr>
              <w:jc w:val="right"/>
              <w:rPr>
                <w:rFonts w:eastAsia="Times New Roman"/>
              </w:rPr>
            </w:pPr>
            <w:r>
              <w:rPr>
                <w:rFonts w:ascii="Arial" w:eastAsia="Times New Roman" w:hAnsi="Arial" w:cs="Arial"/>
                <w:color w:val="000000"/>
                <w:sz w:val="20"/>
                <w:szCs w:val="20"/>
              </w:rPr>
              <w:t>1.47 </w:t>
            </w:r>
          </w:p>
        </w:tc>
        <w:tc>
          <w:tcPr>
            <w:tcW w:w="0" w:type="auto"/>
            <w:shd w:val="clear" w:color="auto" w:fill="FFFFFF"/>
            <w:tcMar>
              <w:top w:w="30" w:type="dxa"/>
              <w:left w:w="0" w:type="dxa"/>
              <w:bottom w:w="30" w:type="dxa"/>
              <w:right w:w="20" w:type="dxa"/>
            </w:tcMar>
            <w:vAlign w:val="bottom"/>
            <w:hideMark/>
          </w:tcPr>
          <w:p w14:paraId="2BDA954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E007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85959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AC9E946" w14:textId="77777777" w:rsidR="00000000" w:rsidRDefault="001D0688">
            <w:pPr>
              <w:jc w:val="right"/>
              <w:rPr>
                <w:rFonts w:eastAsia="Times New Roman"/>
              </w:rPr>
            </w:pPr>
            <w:r>
              <w:rPr>
                <w:rFonts w:ascii="Arial" w:eastAsia="Times New Roman" w:hAnsi="Arial" w:cs="Arial"/>
                <w:color w:val="000000"/>
                <w:sz w:val="20"/>
                <w:szCs w:val="20"/>
              </w:rPr>
              <w:t>0.07 </w:t>
            </w:r>
          </w:p>
        </w:tc>
        <w:tc>
          <w:tcPr>
            <w:tcW w:w="0" w:type="auto"/>
            <w:shd w:val="clear" w:color="auto" w:fill="FFFFFF"/>
            <w:tcMar>
              <w:top w:w="30" w:type="dxa"/>
              <w:left w:w="0" w:type="dxa"/>
              <w:bottom w:w="30" w:type="dxa"/>
              <w:right w:w="20" w:type="dxa"/>
            </w:tcMar>
            <w:vAlign w:val="bottom"/>
            <w:hideMark/>
          </w:tcPr>
          <w:p w14:paraId="0F070DA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396BD" w14:textId="77777777" w:rsidR="00000000" w:rsidRDefault="001D0688">
            <w:pPr>
              <w:jc w:val="right"/>
              <w:rPr>
                <w:rFonts w:eastAsia="Times New Roman"/>
                <w:sz w:val="20"/>
                <w:szCs w:val="20"/>
              </w:rPr>
            </w:pPr>
          </w:p>
        </w:tc>
        <w:tc>
          <w:tcPr>
            <w:tcW w:w="0" w:type="auto"/>
            <w:tcMar>
              <w:top w:w="30" w:type="dxa"/>
              <w:left w:w="20" w:type="dxa"/>
              <w:bottom w:w="30" w:type="dxa"/>
              <w:right w:w="0" w:type="dxa"/>
            </w:tcMar>
            <w:vAlign w:val="bottom"/>
            <w:hideMark/>
          </w:tcPr>
          <w:p w14:paraId="4ADA86AF" w14:textId="77777777" w:rsidR="00000000" w:rsidRDefault="001D0688">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3C6DBFFD" w14:textId="77777777" w:rsidR="00000000" w:rsidRDefault="001D0688">
            <w:pPr>
              <w:jc w:val="right"/>
              <w:rPr>
                <w:rFonts w:eastAsia="Times New Roman"/>
              </w:rPr>
            </w:pPr>
            <w:r>
              <w:rPr>
                <w:rFonts w:ascii="Arial" w:eastAsia="Times New Roman" w:hAnsi="Arial" w:cs="Arial"/>
                <w:color w:val="000000"/>
                <w:sz w:val="20"/>
                <w:szCs w:val="20"/>
              </w:rPr>
              <w:t>1.01 </w:t>
            </w:r>
          </w:p>
        </w:tc>
        <w:tc>
          <w:tcPr>
            <w:tcW w:w="0" w:type="auto"/>
            <w:tcMar>
              <w:top w:w="30" w:type="dxa"/>
              <w:left w:w="0" w:type="dxa"/>
              <w:bottom w:w="30" w:type="dxa"/>
              <w:right w:w="20" w:type="dxa"/>
            </w:tcMar>
            <w:vAlign w:val="bottom"/>
            <w:hideMark/>
          </w:tcPr>
          <w:p w14:paraId="596B33A3" w14:textId="77777777" w:rsidR="00000000" w:rsidRDefault="001D0688">
            <w:pPr>
              <w:jc w:val="right"/>
              <w:rPr>
                <w:rFonts w:eastAsia="Times New Roman"/>
              </w:rPr>
            </w:pPr>
          </w:p>
        </w:tc>
      </w:tr>
      <w:tr w:rsidR="00000000" w14:paraId="6C87A033"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6720DED1" w14:textId="77777777" w:rsidR="00000000" w:rsidRDefault="001D0688">
            <w:pPr>
              <w:rPr>
                <w:rFonts w:eastAsia="Times New Roman"/>
              </w:rPr>
            </w:pPr>
            <w:r>
              <w:rPr>
                <w:rFonts w:ascii="Arial" w:eastAsia="Times New Roman" w:hAnsi="Arial" w:cs="Arial"/>
                <w:color w:val="000000"/>
                <w:sz w:val="20"/>
                <w:szCs w:val="20"/>
              </w:rPr>
              <w:t xml:space="preserve">Weighted-average common and common </w:t>
            </w:r>
            <w:r>
              <w:rPr>
                <w:rFonts w:ascii="Arial" w:eastAsia="Times New Roman" w:hAnsi="Arial" w:cs="Arial"/>
                <w:color w:val="000000"/>
                <w:sz w:val="20"/>
                <w:szCs w:val="20"/>
              </w:rPr>
              <w:br/>
              <w:t>equivalent shares outstanding</w:t>
            </w:r>
          </w:p>
        </w:tc>
        <w:tc>
          <w:tcPr>
            <w:tcW w:w="0" w:type="auto"/>
            <w:gridSpan w:val="3"/>
            <w:shd w:val="clear" w:color="auto" w:fill="DCE2EF"/>
            <w:tcMar>
              <w:top w:w="0" w:type="dxa"/>
              <w:left w:w="20" w:type="dxa"/>
              <w:bottom w:w="0" w:type="dxa"/>
              <w:right w:w="20" w:type="dxa"/>
            </w:tcMar>
            <w:vAlign w:val="center"/>
            <w:hideMark/>
          </w:tcPr>
          <w:p w14:paraId="7310E039"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76F06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2F094E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8C34D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D3B8F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6B3FD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D7D9EE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745144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027A8E7" w14:textId="77777777" w:rsidR="00000000" w:rsidRDefault="001D0688">
            <w:pPr>
              <w:rPr>
                <w:rFonts w:eastAsia="Times New Roman"/>
                <w:sz w:val="20"/>
                <w:szCs w:val="20"/>
              </w:rPr>
            </w:pPr>
          </w:p>
        </w:tc>
      </w:tr>
      <w:tr w:rsidR="00000000" w14:paraId="77AFB57A" w14:textId="77777777">
        <w:trPr>
          <w:divId w:val="1592272310"/>
          <w:jc w:val="center"/>
        </w:trPr>
        <w:tc>
          <w:tcPr>
            <w:tcW w:w="0" w:type="auto"/>
            <w:gridSpan w:val="3"/>
            <w:shd w:val="clear" w:color="auto" w:fill="FFFFFF"/>
            <w:tcMar>
              <w:top w:w="30" w:type="dxa"/>
              <w:left w:w="500" w:type="dxa"/>
              <w:bottom w:w="30" w:type="dxa"/>
              <w:right w:w="20" w:type="dxa"/>
            </w:tcMar>
            <w:vAlign w:val="bottom"/>
            <w:hideMark/>
          </w:tcPr>
          <w:p w14:paraId="2A19AF27" w14:textId="77777777" w:rsidR="00000000" w:rsidRDefault="001D0688">
            <w:pPr>
              <w:rPr>
                <w:rFonts w:eastAsia="Times New Roman"/>
              </w:rPr>
            </w:pPr>
            <w:r>
              <w:rPr>
                <w:rFonts w:ascii="Arial" w:eastAsia="Times New Roman" w:hAnsi="Arial" w:cs="Arial"/>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366130ED" w14:textId="77777777" w:rsidR="00000000" w:rsidRDefault="001D0688">
            <w:pPr>
              <w:jc w:val="right"/>
              <w:rPr>
                <w:rFonts w:eastAsia="Times New Roman"/>
              </w:rPr>
            </w:pPr>
            <w:r>
              <w:rPr>
                <w:rFonts w:ascii="Arial" w:eastAsia="Times New Roman" w:hAnsi="Arial" w:cs="Arial"/>
                <w:color w:val="000000"/>
                <w:sz w:val="20"/>
                <w:szCs w:val="20"/>
              </w:rPr>
              <w:t>66.9 </w:t>
            </w:r>
          </w:p>
        </w:tc>
        <w:tc>
          <w:tcPr>
            <w:tcW w:w="0" w:type="auto"/>
            <w:shd w:val="clear" w:color="auto" w:fill="FFFFFF"/>
            <w:tcMar>
              <w:top w:w="30" w:type="dxa"/>
              <w:left w:w="0" w:type="dxa"/>
              <w:bottom w:w="30" w:type="dxa"/>
              <w:right w:w="20" w:type="dxa"/>
            </w:tcMar>
            <w:vAlign w:val="bottom"/>
            <w:hideMark/>
          </w:tcPr>
          <w:p w14:paraId="499ED20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D5AB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F2E4C" w14:textId="77777777" w:rsidR="00000000" w:rsidRDefault="001D0688">
            <w:pPr>
              <w:jc w:val="right"/>
              <w:rPr>
                <w:rFonts w:eastAsia="Times New Roman"/>
              </w:rPr>
            </w:pPr>
            <w:r>
              <w:rPr>
                <w:rFonts w:ascii="Arial" w:eastAsia="Times New Roman" w:hAnsi="Arial" w:cs="Arial"/>
                <w:color w:val="000000"/>
                <w:sz w:val="20"/>
                <w:szCs w:val="20"/>
              </w:rPr>
              <w:t>66.6 </w:t>
            </w:r>
          </w:p>
        </w:tc>
        <w:tc>
          <w:tcPr>
            <w:tcW w:w="0" w:type="auto"/>
            <w:shd w:val="clear" w:color="auto" w:fill="FFFFFF"/>
            <w:tcMar>
              <w:top w:w="30" w:type="dxa"/>
              <w:left w:w="0" w:type="dxa"/>
              <w:bottom w:w="30" w:type="dxa"/>
              <w:right w:w="20" w:type="dxa"/>
            </w:tcMar>
            <w:vAlign w:val="bottom"/>
            <w:hideMark/>
          </w:tcPr>
          <w:p w14:paraId="095FFC7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444E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B53C0D" w14:textId="77777777" w:rsidR="00000000" w:rsidRDefault="001D0688">
            <w:pPr>
              <w:jc w:val="right"/>
              <w:rPr>
                <w:rFonts w:eastAsia="Times New Roman"/>
              </w:rPr>
            </w:pPr>
            <w:r>
              <w:rPr>
                <w:rFonts w:ascii="Arial" w:eastAsia="Times New Roman" w:hAnsi="Arial" w:cs="Arial"/>
                <w:color w:val="000000"/>
                <w:sz w:val="20"/>
                <w:szCs w:val="20"/>
              </w:rPr>
              <w:t>66.1 </w:t>
            </w:r>
          </w:p>
        </w:tc>
        <w:tc>
          <w:tcPr>
            <w:tcW w:w="0" w:type="auto"/>
            <w:shd w:val="clear" w:color="auto" w:fill="FFFFFF"/>
            <w:tcMar>
              <w:top w:w="30" w:type="dxa"/>
              <w:left w:w="0" w:type="dxa"/>
              <w:bottom w:w="30" w:type="dxa"/>
              <w:right w:w="20" w:type="dxa"/>
            </w:tcMar>
            <w:vAlign w:val="bottom"/>
            <w:hideMark/>
          </w:tcPr>
          <w:p w14:paraId="12CD6D2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248D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2273F" w14:textId="77777777" w:rsidR="00000000" w:rsidRDefault="001D0688">
            <w:pPr>
              <w:jc w:val="right"/>
              <w:rPr>
                <w:rFonts w:eastAsia="Times New Roman"/>
              </w:rPr>
            </w:pPr>
            <w:r>
              <w:rPr>
                <w:rFonts w:ascii="Arial" w:eastAsia="Times New Roman" w:hAnsi="Arial" w:cs="Arial"/>
                <w:color w:val="000000"/>
                <w:sz w:val="20"/>
                <w:szCs w:val="20"/>
              </w:rPr>
              <w:t>57.7 </w:t>
            </w:r>
          </w:p>
        </w:tc>
        <w:tc>
          <w:tcPr>
            <w:tcW w:w="0" w:type="auto"/>
            <w:shd w:val="clear" w:color="auto" w:fill="FFFFFF"/>
            <w:tcMar>
              <w:top w:w="30" w:type="dxa"/>
              <w:left w:w="0" w:type="dxa"/>
              <w:bottom w:w="30" w:type="dxa"/>
              <w:right w:w="20" w:type="dxa"/>
            </w:tcMar>
            <w:vAlign w:val="bottom"/>
            <w:hideMark/>
          </w:tcPr>
          <w:p w14:paraId="5C78512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E715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F7346" w14:textId="77777777" w:rsidR="00000000" w:rsidRDefault="001D0688">
            <w:pPr>
              <w:jc w:val="right"/>
              <w:rPr>
                <w:rFonts w:eastAsia="Times New Roman"/>
              </w:rPr>
            </w:pPr>
            <w:r>
              <w:rPr>
                <w:rFonts w:ascii="Arial" w:eastAsia="Times New Roman" w:hAnsi="Arial" w:cs="Arial"/>
                <w:color w:val="000000"/>
                <w:sz w:val="20"/>
                <w:szCs w:val="20"/>
              </w:rPr>
              <w:t>56.3 </w:t>
            </w:r>
          </w:p>
        </w:tc>
        <w:tc>
          <w:tcPr>
            <w:tcW w:w="0" w:type="auto"/>
            <w:shd w:val="clear" w:color="auto" w:fill="FFFFFF"/>
            <w:tcMar>
              <w:top w:w="30" w:type="dxa"/>
              <w:left w:w="0" w:type="dxa"/>
              <w:bottom w:w="30" w:type="dxa"/>
              <w:right w:w="20" w:type="dxa"/>
            </w:tcMar>
            <w:vAlign w:val="bottom"/>
            <w:hideMark/>
          </w:tcPr>
          <w:p w14:paraId="3755F549" w14:textId="77777777" w:rsidR="00000000" w:rsidRDefault="001D0688">
            <w:pPr>
              <w:jc w:val="right"/>
              <w:rPr>
                <w:rFonts w:eastAsia="Times New Roman"/>
              </w:rPr>
            </w:pPr>
          </w:p>
        </w:tc>
      </w:tr>
      <w:tr w:rsidR="00000000" w14:paraId="3EBB6581" w14:textId="77777777">
        <w:trPr>
          <w:divId w:val="1592272310"/>
          <w:jc w:val="center"/>
        </w:trPr>
        <w:tc>
          <w:tcPr>
            <w:tcW w:w="0" w:type="auto"/>
            <w:gridSpan w:val="3"/>
            <w:shd w:val="clear" w:color="auto" w:fill="DCE2EF"/>
            <w:tcMar>
              <w:top w:w="30" w:type="dxa"/>
              <w:left w:w="500" w:type="dxa"/>
              <w:bottom w:w="30" w:type="dxa"/>
              <w:right w:w="20" w:type="dxa"/>
            </w:tcMar>
            <w:vAlign w:val="bottom"/>
            <w:hideMark/>
          </w:tcPr>
          <w:p w14:paraId="2AD1FFDC" w14:textId="77777777" w:rsidR="00000000" w:rsidRDefault="001D0688">
            <w:pPr>
              <w:rPr>
                <w:rFonts w:eastAsia="Times New Roman"/>
              </w:rPr>
            </w:pPr>
            <w:r>
              <w:rPr>
                <w:rFonts w:ascii="Arial" w:eastAsia="Times New Roman" w:hAnsi="Arial" w:cs="Arial"/>
                <w:color w:val="000000"/>
                <w:sz w:val="20"/>
                <w:szCs w:val="20"/>
              </w:rPr>
              <w:t>Diluted</w:t>
            </w:r>
          </w:p>
        </w:tc>
        <w:tc>
          <w:tcPr>
            <w:tcW w:w="0" w:type="auto"/>
            <w:gridSpan w:val="2"/>
            <w:shd w:val="clear" w:color="auto" w:fill="DCE2EF"/>
            <w:tcMar>
              <w:top w:w="30" w:type="dxa"/>
              <w:left w:w="20" w:type="dxa"/>
              <w:bottom w:w="30" w:type="dxa"/>
              <w:right w:w="0" w:type="dxa"/>
            </w:tcMar>
            <w:vAlign w:val="bottom"/>
            <w:hideMark/>
          </w:tcPr>
          <w:p w14:paraId="55515C2F" w14:textId="77777777" w:rsidR="00000000" w:rsidRDefault="001D0688">
            <w:pPr>
              <w:jc w:val="right"/>
              <w:rPr>
                <w:rFonts w:eastAsia="Times New Roman"/>
              </w:rPr>
            </w:pPr>
            <w:r>
              <w:rPr>
                <w:rFonts w:ascii="Arial" w:eastAsia="Times New Roman" w:hAnsi="Arial" w:cs="Arial"/>
                <w:color w:val="000000"/>
                <w:sz w:val="20"/>
                <w:szCs w:val="20"/>
              </w:rPr>
              <w:t>67.3 </w:t>
            </w:r>
          </w:p>
        </w:tc>
        <w:tc>
          <w:tcPr>
            <w:tcW w:w="0" w:type="auto"/>
            <w:shd w:val="clear" w:color="auto" w:fill="DCE2EF"/>
            <w:tcMar>
              <w:top w:w="30" w:type="dxa"/>
              <w:left w:w="0" w:type="dxa"/>
              <w:bottom w:w="30" w:type="dxa"/>
              <w:right w:w="20" w:type="dxa"/>
            </w:tcMar>
            <w:vAlign w:val="bottom"/>
            <w:hideMark/>
          </w:tcPr>
          <w:p w14:paraId="2D4A58E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4284D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EF18E7" w14:textId="77777777" w:rsidR="00000000" w:rsidRDefault="001D0688">
            <w:pPr>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14:paraId="519B25D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08883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5EACA1" w14:textId="77777777" w:rsidR="00000000" w:rsidRDefault="001D0688">
            <w:pPr>
              <w:jc w:val="right"/>
              <w:rPr>
                <w:rFonts w:eastAsia="Times New Roman"/>
              </w:rPr>
            </w:pPr>
            <w:r>
              <w:rPr>
                <w:rFonts w:ascii="Arial" w:eastAsia="Times New Roman" w:hAnsi="Arial" w:cs="Arial"/>
                <w:color w:val="000000"/>
                <w:sz w:val="20"/>
                <w:szCs w:val="20"/>
              </w:rPr>
              <w:t>66.4 </w:t>
            </w:r>
          </w:p>
        </w:tc>
        <w:tc>
          <w:tcPr>
            <w:tcW w:w="0" w:type="auto"/>
            <w:shd w:val="clear" w:color="auto" w:fill="DCE2EF"/>
            <w:tcMar>
              <w:top w:w="30" w:type="dxa"/>
              <w:left w:w="0" w:type="dxa"/>
              <w:bottom w:w="30" w:type="dxa"/>
              <w:right w:w="20" w:type="dxa"/>
            </w:tcMar>
            <w:vAlign w:val="bottom"/>
            <w:hideMark/>
          </w:tcPr>
          <w:p w14:paraId="6D115F9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8E4D5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3B2408" w14:textId="77777777" w:rsidR="00000000" w:rsidRDefault="001D0688">
            <w:pPr>
              <w:jc w:val="right"/>
              <w:rPr>
                <w:rFonts w:eastAsia="Times New Roman"/>
              </w:rPr>
            </w:pPr>
            <w:r>
              <w:rPr>
                <w:rFonts w:ascii="Arial" w:eastAsia="Times New Roman" w:hAnsi="Arial" w:cs="Arial"/>
                <w:color w:val="000000"/>
                <w:sz w:val="20"/>
                <w:szCs w:val="20"/>
              </w:rPr>
              <w:t>58.3 </w:t>
            </w:r>
          </w:p>
        </w:tc>
        <w:tc>
          <w:tcPr>
            <w:tcW w:w="0" w:type="auto"/>
            <w:shd w:val="clear" w:color="auto" w:fill="DCE2EF"/>
            <w:tcMar>
              <w:top w:w="30" w:type="dxa"/>
              <w:left w:w="0" w:type="dxa"/>
              <w:bottom w:w="30" w:type="dxa"/>
              <w:right w:w="20" w:type="dxa"/>
            </w:tcMar>
            <w:vAlign w:val="bottom"/>
            <w:hideMark/>
          </w:tcPr>
          <w:p w14:paraId="2BE21DA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99365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CC75052" w14:textId="77777777" w:rsidR="00000000" w:rsidRDefault="001D0688">
            <w:pPr>
              <w:jc w:val="right"/>
              <w:rPr>
                <w:rFonts w:eastAsia="Times New Roman"/>
              </w:rPr>
            </w:pPr>
            <w:r>
              <w:rPr>
                <w:rFonts w:ascii="Arial" w:eastAsia="Times New Roman" w:hAnsi="Arial" w:cs="Arial"/>
                <w:color w:val="000000"/>
                <w:sz w:val="20"/>
                <w:szCs w:val="20"/>
              </w:rPr>
              <w:t>56.9 </w:t>
            </w:r>
          </w:p>
        </w:tc>
        <w:tc>
          <w:tcPr>
            <w:tcW w:w="0" w:type="auto"/>
            <w:shd w:val="clear" w:color="auto" w:fill="DCE2EF"/>
            <w:tcMar>
              <w:top w:w="30" w:type="dxa"/>
              <w:left w:w="0" w:type="dxa"/>
              <w:bottom w:w="30" w:type="dxa"/>
              <w:right w:w="20" w:type="dxa"/>
            </w:tcMar>
            <w:vAlign w:val="bottom"/>
            <w:hideMark/>
          </w:tcPr>
          <w:p w14:paraId="45613F04" w14:textId="77777777" w:rsidR="00000000" w:rsidRDefault="001D0688">
            <w:pPr>
              <w:jc w:val="right"/>
              <w:rPr>
                <w:rFonts w:eastAsia="Times New Roman"/>
              </w:rPr>
            </w:pPr>
          </w:p>
        </w:tc>
      </w:tr>
      <w:tr w:rsidR="00000000" w14:paraId="6D03830C"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3631D2AA" w14:textId="77777777" w:rsidR="00000000" w:rsidRDefault="001D0688">
            <w:pPr>
              <w:rPr>
                <w:rFonts w:eastAsia="Times New Roman"/>
              </w:rPr>
            </w:pPr>
            <w:r>
              <w:rPr>
                <w:rFonts w:ascii="Arial" w:eastAsia="Times New Roman" w:hAnsi="Arial" w:cs="Arial"/>
                <w:color w:val="000000"/>
                <w:sz w:val="20"/>
                <w:szCs w:val="20"/>
              </w:rPr>
              <w:t>Dividends declared per common share</w:t>
            </w:r>
          </w:p>
        </w:tc>
        <w:tc>
          <w:tcPr>
            <w:tcW w:w="0" w:type="auto"/>
            <w:shd w:val="clear" w:color="auto" w:fill="FFFFFF"/>
            <w:tcMar>
              <w:top w:w="30" w:type="dxa"/>
              <w:left w:w="20" w:type="dxa"/>
              <w:bottom w:w="30" w:type="dxa"/>
              <w:right w:w="0" w:type="dxa"/>
            </w:tcMar>
            <w:vAlign w:val="bottom"/>
            <w:hideMark/>
          </w:tcPr>
          <w:p w14:paraId="306BA49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C951C3A" w14:textId="77777777" w:rsidR="00000000" w:rsidRDefault="001D0688">
            <w:pPr>
              <w:jc w:val="right"/>
              <w:rPr>
                <w:rFonts w:eastAsia="Times New Roman"/>
              </w:rPr>
            </w:pPr>
            <w:r>
              <w:rPr>
                <w:rFonts w:ascii="Arial" w:eastAsia="Times New Roman" w:hAnsi="Arial" w:cs="Arial"/>
                <w:color w:val="000000"/>
                <w:sz w:val="20"/>
                <w:szCs w:val="20"/>
              </w:rPr>
              <w:t>0.740 </w:t>
            </w:r>
          </w:p>
        </w:tc>
        <w:tc>
          <w:tcPr>
            <w:tcW w:w="0" w:type="auto"/>
            <w:shd w:val="clear" w:color="auto" w:fill="FFFFFF"/>
            <w:tcMar>
              <w:top w:w="30" w:type="dxa"/>
              <w:left w:w="0" w:type="dxa"/>
              <w:bottom w:w="30" w:type="dxa"/>
              <w:right w:w="20" w:type="dxa"/>
            </w:tcMar>
            <w:vAlign w:val="bottom"/>
            <w:hideMark/>
          </w:tcPr>
          <w:p w14:paraId="6F68B6D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AFA73"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A6C500"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CE065D1" w14:textId="77777777" w:rsidR="00000000" w:rsidRDefault="001D0688">
            <w:pPr>
              <w:jc w:val="right"/>
              <w:rPr>
                <w:rFonts w:eastAsia="Times New Roman"/>
              </w:rPr>
            </w:pPr>
            <w:r>
              <w:rPr>
                <w:rFonts w:ascii="Arial" w:eastAsia="Times New Roman" w:hAnsi="Arial" w:cs="Arial"/>
                <w:color w:val="000000"/>
                <w:sz w:val="20"/>
                <w:szCs w:val="20"/>
              </w:rPr>
              <w:t>0.720 </w:t>
            </w:r>
          </w:p>
        </w:tc>
        <w:tc>
          <w:tcPr>
            <w:tcW w:w="0" w:type="auto"/>
            <w:shd w:val="clear" w:color="auto" w:fill="FFFFFF"/>
            <w:tcMar>
              <w:top w:w="30" w:type="dxa"/>
              <w:left w:w="0" w:type="dxa"/>
              <w:bottom w:w="30" w:type="dxa"/>
              <w:right w:w="20" w:type="dxa"/>
            </w:tcMar>
            <w:vAlign w:val="bottom"/>
            <w:hideMark/>
          </w:tcPr>
          <w:p w14:paraId="47AEF47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47416"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462C15"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F161564" w14:textId="77777777" w:rsidR="00000000" w:rsidRDefault="001D0688">
            <w:pPr>
              <w:jc w:val="right"/>
              <w:rPr>
                <w:rFonts w:eastAsia="Times New Roman"/>
              </w:rPr>
            </w:pPr>
            <w:r>
              <w:rPr>
                <w:rFonts w:ascii="Arial" w:eastAsia="Times New Roman" w:hAnsi="Arial" w:cs="Arial"/>
                <w:color w:val="000000"/>
                <w:sz w:val="20"/>
                <w:szCs w:val="20"/>
              </w:rPr>
              <w:t>0.700 </w:t>
            </w:r>
          </w:p>
        </w:tc>
        <w:tc>
          <w:tcPr>
            <w:tcW w:w="0" w:type="auto"/>
            <w:shd w:val="clear" w:color="auto" w:fill="FFFFFF"/>
            <w:tcMar>
              <w:top w:w="30" w:type="dxa"/>
              <w:left w:w="0" w:type="dxa"/>
              <w:bottom w:w="30" w:type="dxa"/>
              <w:right w:w="20" w:type="dxa"/>
            </w:tcMar>
            <w:vAlign w:val="bottom"/>
            <w:hideMark/>
          </w:tcPr>
          <w:p w14:paraId="0D3F8F8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1B443"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1D4B1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9D6F957" w14:textId="77777777" w:rsidR="00000000" w:rsidRDefault="001D0688">
            <w:pPr>
              <w:jc w:val="right"/>
              <w:rPr>
                <w:rFonts w:eastAsia="Times New Roman"/>
              </w:rPr>
            </w:pPr>
            <w:r>
              <w:rPr>
                <w:rFonts w:ascii="Arial" w:eastAsia="Times New Roman" w:hAnsi="Arial" w:cs="Arial"/>
                <w:color w:val="000000"/>
                <w:sz w:val="20"/>
                <w:szCs w:val="20"/>
              </w:rPr>
              <w:t>0.680 </w:t>
            </w:r>
          </w:p>
        </w:tc>
        <w:tc>
          <w:tcPr>
            <w:tcW w:w="0" w:type="auto"/>
            <w:shd w:val="clear" w:color="auto" w:fill="FFFFFF"/>
            <w:tcMar>
              <w:top w:w="30" w:type="dxa"/>
              <w:left w:w="0" w:type="dxa"/>
              <w:bottom w:w="30" w:type="dxa"/>
              <w:right w:w="20" w:type="dxa"/>
            </w:tcMar>
            <w:vAlign w:val="bottom"/>
            <w:hideMark/>
          </w:tcPr>
          <w:p w14:paraId="672850B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DCC69" w14:textId="77777777" w:rsidR="00000000" w:rsidRDefault="001D0688">
            <w:pPr>
              <w:jc w:val="right"/>
              <w:rPr>
                <w:rFonts w:eastAsia="Times New Roman"/>
                <w:sz w:val="20"/>
                <w:szCs w:val="20"/>
              </w:rPr>
            </w:pPr>
          </w:p>
        </w:tc>
        <w:tc>
          <w:tcPr>
            <w:tcW w:w="0" w:type="auto"/>
            <w:tcMar>
              <w:top w:w="30" w:type="dxa"/>
              <w:left w:w="20" w:type="dxa"/>
              <w:bottom w:w="30" w:type="dxa"/>
              <w:right w:w="0" w:type="dxa"/>
            </w:tcMar>
            <w:vAlign w:val="bottom"/>
            <w:hideMark/>
          </w:tcPr>
          <w:p w14:paraId="76878DA4" w14:textId="77777777" w:rsidR="00000000" w:rsidRDefault="001D0688">
            <w:pPr>
              <w:rPr>
                <w:rFonts w:eastAsia="Times New Roman"/>
              </w:rPr>
            </w:pPr>
            <w:r>
              <w:rPr>
                <w:rFonts w:ascii="Arial" w:eastAsia="Times New Roman" w:hAnsi="Arial" w:cs="Arial"/>
                <w:color w:val="000000"/>
                <w:sz w:val="20"/>
                <w:szCs w:val="20"/>
              </w:rPr>
              <w:t>$</w:t>
            </w:r>
          </w:p>
        </w:tc>
        <w:tc>
          <w:tcPr>
            <w:tcW w:w="0" w:type="auto"/>
            <w:tcMar>
              <w:top w:w="30" w:type="dxa"/>
              <w:left w:w="0" w:type="dxa"/>
              <w:bottom w:w="30" w:type="dxa"/>
              <w:right w:w="0" w:type="dxa"/>
            </w:tcMar>
            <w:vAlign w:val="bottom"/>
            <w:hideMark/>
          </w:tcPr>
          <w:p w14:paraId="4951C0F1" w14:textId="77777777" w:rsidR="00000000" w:rsidRDefault="001D0688">
            <w:pPr>
              <w:jc w:val="right"/>
              <w:rPr>
                <w:rFonts w:eastAsia="Times New Roman"/>
              </w:rPr>
            </w:pPr>
            <w:r>
              <w:rPr>
                <w:rFonts w:ascii="Arial" w:eastAsia="Times New Roman" w:hAnsi="Arial" w:cs="Arial"/>
                <w:color w:val="000000"/>
                <w:sz w:val="20"/>
                <w:szCs w:val="20"/>
              </w:rPr>
              <w:t>0.660 </w:t>
            </w:r>
          </w:p>
        </w:tc>
        <w:tc>
          <w:tcPr>
            <w:tcW w:w="0" w:type="auto"/>
            <w:tcMar>
              <w:top w:w="30" w:type="dxa"/>
              <w:left w:w="0" w:type="dxa"/>
              <w:bottom w:w="30" w:type="dxa"/>
              <w:right w:w="20" w:type="dxa"/>
            </w:tcMar>
            <w:vAlign w:val="bottom"/>
            <w:hideMark/>
          </w:tcPr>
          <w:p w14:paraId="6063BAD6" w14:textId="77777777" w:rsidR="00000000" w:rsidRDefault="001D0688">
            <w:pPr>
              <w:jc w:val="right"/>
              <w:rPr>
                <w:rFonts w:eastAsia="Times New Roman"/>
              </w:rPr>
            </w:pPr>
          </w:p>
        </w:tc>
      </w:tr>
      <w:tr w:rsidR="00000000" w14:paraId="1A18F586"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3AC7655C" w14:textId="77777777" w:rsidR="00000000" w:rsidRDefault="001D0688">
            <w:pPr>
              <w:rPr>
                <w:rFonts w:eastAsia="Times New Roman"/>
              </w:rPr>
            </w:pPr>
            <w:r>
              <w:rPr>
                <w:rFonts w:ascii="Arial" w:eastAsia="Times New Roman" w:hAnsi="Arial" w:cs="Arial"/>
                <w:b/>
                <w:bCs/>
                <w:color w:val="000000"/>
                <w:sz w:val="20"/>
                <w:szCs w:val="20"/>
              </w:rPr>
              <w:t>Statements of Cash Flow Data</w:t>
            </w:r>
          </w:p>
        </w:tc>
        <w:tc>
          <w:tcPr>
            <w:tcW w:w="0" w:type="auto"/>
            <w:gridSpan w:val="3"/>
            <w:shd w:val="clear" w:color="auto" w:fill="DCE2EF"/>
            <w:tcMar>
              <w:top w:w="0" w:type="dxa"/>
              <w:left w:w="20" w:type="dxa"/>
              <w:bottom w:w="0" w:type="dxa"/>
              <w:right w:w="20" w:type="dxa"/>
            </w:tcMar>
            <w:vAlign w:val="center"/>
            <w:hideMark/>
          </w:tcPr>
          <w:p w14:paraId="0E8859F5"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EFD62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F89C2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8C085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127FE7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5907E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091BE8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471A0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CBF8332" w14:textId="77777777" w:rsidR="00000000" w:rsidRDefault="001D0688">
            <w:pPr>
              <w:rPr>
                <w:rFonts w:eastAsia="Times New Roman"/>
                <w:sz w:val="20"/>
                <w:szCs w:val="20"/>
              </w:rPr>
            </w:pPr>
          </w:p>
        </w:tc>
      </w:tr>
      <w:tr w:rsidR="00000000" w14:paraId="69E702D1"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4A8FDFC9" w14:textId="77777777" w:rsidR="00000000" w:rsidRDefault="001D0688">
            <w:pPr>
              <w:divId w:val="2139638108"/>
              <w:rPr>
                <w:rFonts w:eastAsia="Times New Roman"/>
              </w:rPr>
            </w:pPr>
            <w:r>
              <w:rPr>
                <w:rFonts w:ascii="Arial" w:eastAsia="Times New Roman" w:hAnsi="Arial" w:cs="Arial"/>
                <w:color w:val="000000"/>
                <w:sz w:val="20"/>
                <w:szCs w:val="20"/>
              </w:rPr>
              <w:t>Net cash provided by operating activities of continuing</w:t>
            </w:r>
          </w:p>
          <w:p w14:paraId="0C88EE26" w14:textId="77777777" w:rsidR="00000000" w:rsidRDefault="001D0688">
            <w:pPr>
              <w:divId w:val="2076661589"/>
              <w:rPr>
                <w:rFonts w:eastAsia="Times New Roman"/>
              </w:rPr>
            </w:pPr>
            <w:r>
              <w:rPr>
                <w:rFonts w:ascii="Arial" w:eastAsia="Times New Roman" w:hAnsi="Arial" w:cs="Arial"/>
                <w:color w:val="000000"/>
                <w:sz w:val="20"/>
                <w:szCs w:val="20"/>
              </w:rPr>
              <w:t>   operations</w:t>
            </w:r>
          </w:p>
        </w:tc>
        <w:tc>
          <w:tcPr>
            <w:tcW w:w="0" w:type="auto"/>
            <w:shd w:val="clear" w:color="auto" w:fill="FFFFFF"/>
            <w:tcMar>
              <w:top w:w="30" w:type="dxa"/>
              <w:left w:w="20" w:type="dxa"/>
              <w:bottom w:w="30" w:type="dxa"/>
              <w:right w:w="0" w:type="dxa"/>
            </w:tcMar>
            <w:vAlign w:val="bottom"/>
            <w:hideMark/>
          </w:tcPr>
          <w:p w14:paraId="7C24F04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022069E" w14:textId="77777777" w:rsidR="00000000" w:rsidRDefault="001D0688">
            <w:pPr>
              <w:jc w:val="right"/>
              <w:rPr>
                <w:rFonts w:eastAsia="Times New Roman"/>
              </w:rPr>
            </w:pPr>
            <w:r>
              <w:rPr>
                <w:rFonts w:ascii="Arial" w:eastAsia="Times New Roman" w:hAnsi="Arial" w:cs="Arial"/>
                <w:color w:val="000000"/>
                <w:sz w:val="20"/>
                <w:szCs w:val="20"/>
              </w:rPr>
              <w:t>457.4 </w:t>
            </w:r>
          </w:p>
        </w:tc>
        <w:tc>
          <w:tcPr>
            <w:tcW w:w="0" w:type="auto"/>
            <w:shd w:val="clear" w:color="auto" w:fill="FFFFFF"/>
            <w:tcMar>
              <w:top w:w="30" w:type="dxa"/>
              <w:left w:w="0" w:type="dxa"/>
              <w:bottom w:w="30" w:type="dxa"/>
              <w:right w:w="20" w:type="dxa"/>
            </w:tcMar>
            <w:vAlign w:val="bottom"/>
            <w:hideMark/>
          </w:tcPr>
          <w:p w14:paraId="2464B1F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B3C86"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1DAF9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5E5A4DE" w14:textId="77777777" w:rsidR="00000000" w:rsidRDefault="001D0688">
            <w:pPr>
              <w:jc w:val="right"/>
              <w:rPr>
                <w:rFonts w:eastAsia="Times New Roman"/>
              </w:rPr>
            </w:pPr>
            <w:r>
              <w:rPr>
                <w:rFonts w:ascii="Arial" w:eastAsia="Times New Roman" w:hAnsi="Arial" w:cs="Arial"/>
                <w:color w:val="000000"/>
                <w:sz w:val="20"/>
                <w:szCs w:val="20"/>
              </w:rPr>
              <w:t>262.8 </w:t>
            </w:r>
          </w:p>
        </w:tc>
        <w:tc>
          <w:tcPr>
            <w:tcW w:w="0" w:type="auto"/>
            <w:shd w:val="clear" w:color="auto" w:fill="FFFFFF"/>
            <w:tcMar>
              <w:top w:w="30" w:type="dxa"/>
              <w:left w:w="0" w:type="dxa"/>
              <w:bottom w:w="30" w:type="dxa"/>
              <w:right w:w="20" w:type="dxa"/>
            </w:tcMar>
            <w:vAlign w:val="bottom"/>
            <w:hideMark/>
          </w:tcPr>
          <w:p w14:paraId="35F2CC4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30A98"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0A446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6EF25CB" w14:textId="77777777" w:rsidR="00000000" w:rsidRDefault="001D0688">
            <w:pPr>
              <w:jc w:val="right"/>
              <w:rPr>
                <w:rFonts w:eastAsia="Times New Roman"/>
              </w:rPr>
            </w:pPr>
            <w:r>
              <w:rPr>
                <w:rFonts w:ascii="Arial" w:eastAsia="Times New Roman" w:hAnsi="Arial" w:cs="Arial"/>
                <w:color w:val="000000"/>
                <w:sz w:val="20"/>
                <w:szCs w:val="20"/>
              </w:rPr>
              <w:t>299.7 </w:t>
            </w:r>
          </w:p>
        </w:tc>
        <w:tc>
          <w:tcPr>
            <w:tcW w:w="0" w:type="auto"/>
            <w:shd w:val="clear" w:color="auto" w:fill="FFFFFF"/>
            <w:tcMar>
              <w:top w:w="30" w:type="dxa"/>
              <w:left w:w="0" w:type="dxa"/>
              <w:bottom w:w="30" w:type="dxa"/>
              <w:right w:w="20" w:type="dxa"/>
            </w:tcMar>
            <w:vAlign w:val="bottom"/>
            <w:hideMark/>
          </w:tcPr>
          <w:p w14:paraId="7F89B8A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EE68B"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5F3BB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C8381F3" w14:textId="77777777" w:rsidR="00000000" w:rsidRDefault="001D0688">
            <w:pPr>
              <w:jc w:val="right"/>
              <w:rPr>
                <w:rFonts w:eastAsia="Times New Roman"/>
              </w:rPr>
            </w:pPr>
            <w:r>
              <w:rPr>
                <w:rFonts w:ascii="Arial" w:eastAsia="Times New Roman" w:hAnsi="Arial" w:cs="Arial"/>
                <w:color w:val="000000"/>
                <w:sz w:val="20"/>
                <w:szCs w:val="20"/>
              </w:rPr>
              <w:t>101.7 </w:t>
            </w:r>
          </w:p>
        </w:tc>
        <w:tc>
          <w:tcPr>
            <w:tcW w:w="0" w:type="auto"/>
            <w:shd w:val="clear" w:color="auto" w:fill="FFFFFF"/>
            <w:tcMar>
              <w:top w:w="30" w:type="dxa"/>
              <w:left w:w="0" w:type="dxa"/>
              <w:bottom w:w="30" w:type="dxa"/>
              <w:right w:w="20" w:type="dxa"/>
            </w:tcMar>
            <w:vAlign w:val="bottom"/>
            <w:hideMark/>
          </w:tcPr>
          <w:p w14:paraId="6C1D1B4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C17A9"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146FF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717E15E" w14:textId="77777777" w:rsidR="00000000" w:rsidRDefault="001D0688">
            <w:pPr>
              <w:jc w:val="right"/>
              <w:rPr>
                <w:rFonts w:eastAsia="Times New Roman"/>
              </w:rPr>
            </w:pPr>
            <w:r>
              <w:rPr>
                <w:rFonts w:ascii="Arial" w:eastAsia="Times New Roman" w:hAnsi="Arial" w:cs="Arial"/>
                <w:color w:val="000000"/>
                <w:sz w:val="20"/>
                <w:szCs w:val="20"/>
              </w:rPr>
              <w:t>110.5 </w:t>
            </w:r>
          </w:p>
        </w:tc>
        <w:tc>
          <w:tcPr>
            <w:tcW w:w="0" w:type="auto"/>
            <w:shd w:val="clear" w:color="auto" w:fill="FFFFFF"/>
            <w:tcMar>
              <w:top w:w="30" w:type="dxa"/>
              <w:left w:w="0" w:type="dxa"/>
              <w:bottom w:w="30" w:type="dxa"/>
              <w:right w:w="20" w:type="dxa"/>
            </w:tcMar>
            <w:vAlign w:val="bottom"/>
            <w:hideMark/>
          </w:tcPr>
          <w:p w14:paraId="1A2DCB90" w14:textId="77777777" w:rsidR="00000000" w:rsidRDefault="001D0688">
            <w:pPr>
              <w:jc w:val="right"/>
              <w:rPr>
                <w:rFonts w:eastAsia="Times New Roman"/>
              </w:rPr>
            </w:pPr>
          </w:p>
        </w:tc>
      </w:tr>
      <w:tr w:rsidR="00000000" w14:paraId="7D8816BA" w14:textId="77777777">
        <w:trPr>
          <w:divId w:val="1592272310"/>
          <w:jc w:val="center"/>
        </w:trPr>
        <w:tc>
          <w:tcPr>
            <w:tcW w:w="0" w:type="auto"/>
            <w:gridSpan w:val="3"/>
            <w:vAlign w:val="center"/>
            <w:hideMark/>
          </w:tcPr>
          <w:p w14:paraId="5E63EBE8" w14:textId="77777777" w:rsidR="00000000" w:rsidRDefault="001D0688">
            <w:pPr>
              <w:jc w:val="right"/>
              <w:rPr>
                <w:rFonts w:eastAsia="Times New Roman"/>
                <w:sz w:val="20"/>
                <w:szCs w:val="20"/>
              </w:rPr>
            </w:pPr>
          </w:p>
        </w:tc>
        <w:tc>
          <w:tcPr>
            <w:tcW w:w="0" w:type="auto"/>
            <w:gridSpan w:val="3"/>
            <w:vAlign w:val="center"/>
            <w:hideMark/>
          </w:tcPr>
          <w:p w14:paraId="3A5E1745" w14:textId="77777777" w:rsidR="00000000" w:rsidRDefault="001D0688">
            <w:pPr>
              <w:rPr>
                <w:rFonts w:eastAsia="Times New Roman"/>
                <w:sz w:val="20"/>
                <w:szCs w:val="20"/>
              </w:rPr>
            </w:pPr>
          </w:p>
        </w:tc>
        <w:tc>
          <w:tcPr>
            <w:tcW w:w="0" w:type="auto"/>
            <w:gridSpan w:val="3"/>
            <w:vAlign w:val="center"/>
            <w:hideMark/>
          </w:tcPr>
          <w:p w14:paraId="46AF92CC" w14:textId="77777777" w:rsidR="00000000" w:rsidRDefault="001D0688">
            <w:pPr>
              <w:rPr>
                <w:rFonts w:eastAsia="Times New Roman"/>
                <w:sz w:val="20"/>
                <w:szCs w:val="20"/>
              </w:rPr>
            </w:pPr>
          </w:p>
        </w:tc>
        <w:tc>
          <w:tcPr>
            <w:tcW w:w="0" w:type="auto"/>
            <w:gridSpan w:val="3"/>
            <w:vAlign w:val="center"/>
            <w:hideMark/>
          </w:tcPr>
          <w:p w14:paraId="589F890E" w14:textId="77777777" w:rsidR="00000000" w:rsidRDefault="001D0688">
            <w:pPr>
              <w:rPr>
                <w:rFonts w:eastAsia="Times New Roman"/>
                <w:sz w:val="20"/>
                <w:szCs w:val="20"/>
              </w:rPr>
            </w:pPr>
          </w:p>
        </w:tc>
        <w:tc>
          <w:tcPr>
            <w:tcW w:w="0" w:type="auto"/>
            <w:gridSpan w:val="3"/>
            <w:vAlign w:val="center"/>
            <w:hideMark/>
          </w:tcPr>
          <w:p w14:paraId="7B59BBF8" w14:textId="77777777" w:rsidR="00000000" w:rsidRDefault="001D0688">
            <w:pPr>
              <w:rPr>
                <w:rFonts w:eastAsia="Times New Roman"/>
                <w:sz w:val="20"/>
                <w:szCs w:val="20"/>
              </w:rPr>
            </w:pPr>
          </w:p>
        </w:tc>
        <w:tc>
          <w:tcPr>
            <w:tcW w:w="0" w:type="auto"/>
            <w:gridSpan w:val="3"/>
            <w:vAlign w:val="center"/>
            <w:hideMark/>
          </w:tcPr>
          <w:p w14:paraId="3C8D09C9" w14:textId="77777777" w:rsidR="00000000" w:rsidRDefault="001D0688">
            <w:pPr>
              <w:rPr>
                <w:rFonts w:eastAsia="Times New Roman"/>
                <w:sz w:val="20"/>
                <w:szCs w:val="20"/>
              </w:rPr>
            </w:pPr>
          </w:p>
        </w:tc>
        <w:tc>
          <w:tcPr>
            <w:tcW w:w="0" w:type="auto"/>
            <w:gridSpan w:val="3"/>
            <w:vAlign w:val="center"/>
            <w:hideMark/>
          </w:tcPr>
          <w:p w14:paraId="09BD450E" w14:textId="77777777" w:rsidR="00000000" w:rsidRDefault="001D0688">
            <w:pPr>
              <w:rPr>
                <w:rFonts w:eastAsia="Times New Roman"/>
                <w:sz w:val="20"/>
                <w:szCs w:val="20"/>
              </w:rPr>
            </w:pPr>
          </w:p>
        </w:tc>
        <w:tc>
          <w:tcPr>
            <w:tcW w:w="0" w:type="auto"/>
            <w:gridSpan w:val="3"/>
            <w:vAlign w:val="center"/>
            <w:hideMark/>
          </w:tcPr>
          <w:p w14:paraId="3D0EE62E" w14:textId="77777777" w:rsidR="00000000" w:rsidRDefault="001D0688">
            <w:pPr>
              <w:rPr>
                <w:rFonts w:eastAsia="Times New Roman"/>
                <w:sz w:val="20"/>
                <w:szCs w:val="20"/>
              </w:rPr>
            </w:pPr>
          </w:p>
        </w:tc>
        <w:tc>
          <w:tcPr>
            <w:tcW w:w="0" w:type="auto"/>
            <w:gridSpan w:val="3"/>
            <w:vAlign w:val="center"/>
            <w:hideMark/>
          </w:tcPr>
          <w:p w14:paraId="7FA1401C" w14:textId="77777777" w:rsidR="00000000" w:rsidRDefault="001D0688">
            <w:pPr>
              <w:rPr>
                <w:rFonts w:eastAsia="Times New Roman"/>
                <w:sz w:val="20"/>
                <w:szCs w:val="20"/>
              </w:rPr>
            </w:pPr>
          </w:p>
        </w:tc>
        <w:tc>
          <w:tcPr>
            <w:tcW w:w="0" w:type="auto"/>
            <w:gridSpan w:val="3"/>
            <w:vAlign w:val="center"/>
            <w:hideMark/>
          </w:tcPr>
          <w:p w14:paraId="6825645C" w14:textId="77777777" w:rsidR="00000000" w:rsidRDefault="001D0688">
            <w:pPr>
              <w:rPr>
                <w:rFonts w:eastAsia="Times New Roman"/>
                <w:sz w:val="20"/>
                <w:szCs w:val="20"/>
              </w:rPr>
            </w:pPr>
          </w:p>
        </w:tc>
      </w:tr>
      <w:tr w:rsidR="00000000" w14:paraId="59664863"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68DCE0B1" w14:textId="77777777" w:rsidR="00000000" w:rsidRDefault="001D0688">
            <w:pPr>
              <w:divId w:val="1892687867"/>
              <w:rPr>
                <w:rFonts w:eastAsia="Times New Roman"/>
              </w:rPr>
            </w:pPr>
            <w:r>
              <w:rPr>
                <w:rFonts w:ascii="Arial" w:eastAsia="Times New Roman" w:hAnsi="Arial" w:cs="Arial"/>
                <w:color w:val="000000"/>
                <w:sz w:val="20"/>
                <w:szCs w:val="20"/>
              </w:rPr>
              <w:t>Income tax payments (refunds), ne</w:t>
            </w:r>
            <w:r>
              <w:rPr>
                <w:rFonts w:ascii="Arial" w:eastAsia="Times New Roman" w:hAnsi="Arial" w:cs="Arial"/>
                <w:color w:val="000000"/>
                <w:sz w:val="20"/>
                <w:szCs w:val="20"/>
              </w:rPr>
              <w:t>t</w:t>
            </w:r>
            <w:r>
              <w:rPr>
                <w:rFonts w:ascii="Arial" w:eastAsia="Times New Roman" w:hAnsi="Arial" w:cs="Arial"/>
                <w:color w:val="000000"/>
                <w:sz w:val="13"/>
                <w:szCs w:val="13"/>
              </w:rPr>
              <w:t>(6</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7CA4E1B4" w14:textId="77777777" w:rsidR="00000000" w:rsidRDefault="001D0688">
            <w:pPr>
              <w:jc w:val="right"/>
              <w:rPr>
                <w:rFonts w:eastAsia="Times New Roman"/>
              </w:rPr>
            </w:pPr>
            <w:r>
              <w:rPr>
                <w:rFonts w:ascii="Arial" w:eastAsia="Times New Roman" w:hAnsi="Arial" w:cs="Arial"/>
                <w:color w:val="000000"/>
                <w:sz w:val="20"/>
                <w:szCs w:val="20"/>
              </w:rPr>
              <w:t>82.2 </w:t>
            </w:r>
          </w:p>
        </w:tc>
        <w:tc>
          <w:tcPr>
            <w:tcW w:w="0" w:type="auto"/>
            <w:shd w:val="clear" w:color="auto" w:fill="DCE2EF"/>
            <w:tcMar>
              <w:top w:w="30" w:type="dxa"/>
              <w:left w:w="0" w:type="dxa"/>
              <w:bottom w:w="30" w:type="dxa"/>
              <w:right w:w="20" w:type="dxa"/>
            </w:tcMar>
            <w:vAlign w:val="bottom"/>
            <w:hideMark/>
          </w:tcPr>
          <w:p w14:paraId="5C73BCD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1F4C4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BF36E2" w14:textId="77777777" w:rsidR="00000000" w:rsidRDefault="001D0688">
            <w:pPr>
              <w:jc w:val="right"/>
              <w:rPr>
                <w:rFonts w:eastAsia="Times New Roman"/>
              </w:rPr>
            </w:pPr>
            <w:r>
              <w:rPr>
                <w:rFonts w:ascii="Arial" w:eastAsia="Times New Roman" w:hAnsi="Arial" w:cs="Arial"/>
                <w:color w:val="000000"/>
                <w:sz w:val="20"/>
                <w:szCs w:val="20"/>
              </w:rPr>
              <w:t>20.6 </w:t>
            </w:r>
          </w:p>
        </w:tc>
        <w:tc>
          <w:tcPr>
            <w:tcW w:w="0" w:type="auto"/>
            <w:shd w:val="clear" w:color="auto" w:fill="DCE2EF"/>
            <w:tcMar>
              <w:top w:w="30" w:type="dxa"/>
              <w:left w:w="0" w:type="dxa"/>
              <w:bottom w:w="30" w:type="dxa"/>
              <w:right w:w="20" w:type="dxa"/>
            </w:tcMar>
            <w:vAlign w:val="bottom"/>
            <w:hideMark/>
          </w:tcPr>
          <w:p w14:paraId="18A9612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01FCD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4CFFB3" w14:textId="77777777" w:rsidR="00000000" w:rsidRDefault="001D0688">
            <w:pPr>
              <w:jc w:val="right"/>
              <w:rPr>
                <w:rFonts w:eastAsia="Times New Roman"/>
              </w:rPr>
            </w:pPr>
            <w:r>
              <w:rPr>
                <w:rFonts w:ascii="Arial" w:eastAsia="Times New Roman" w:hAnsi="Arial" w:cs="Arial"/>
                <w:color w:val="000000"/>
                <w:sz w:val="20"/>
                <w:szCs w:val="20"/>
              </w:rPr>
              <w:t>(1.0)</w:t>
            </w:r>
          </w:p>
        </w:tc>
        <w:tc>
          <w:tcPr>
            <w:tcW w:w="0" w:type="auto"/>
            <w:shd w:val="clear" w:color="auto" w:fill="DCE2EF"/>
            <w:tcMar>
              <w:top w:w="30" w:type="dxa"/>
              <w:left w:w="0" w:type="dxa"/>
              <w:bottom w:w="30" w:type="dxa"/>
              <w:right w:w="20" w:type="dxa"/>
            </w:tcMar>
            <w:vAlign w:val="bottom"/>
            <w:hideMark/>
          </w:tcPr>
          <w:p w14:paraId="2CFA2FB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05A0C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F6B516" w14:textId="77777777" w:rsidR="00000000" w:rsidRDefault="001D0688">
            <w:pPr>
              <w:jc w:val="right"/>
              <w:rPr>
                <w:rFonts w:eastAsia="Times New Roman"/>
              </w:rPr>
            </w:pPr>
            <w:r>
              <w:rPr>
                <w:rFonts w:ascii="Arial" w:eastAsia="Times New Roman" w:hAnsi="Arial" w:cs="Arial"/>
                <w:color w:val="000000"/>
                <w:sz w:val="20"/>
                <w:szCs w:val="20"/>
              </w:rPr>
              <w:t>11.8 </w:t>
            </w:r>
          </w:p>
        </w:tc>
        <w:tc>
          <w:tcPr>
            <w:tcW w:w="0" w:type="auto"/>
            <w:shd w:val="clear" w:color="auto" w:fill="DCE2EF"/>
            <w:tcMar>
              <w:top w:w="30" w:type="dxa"/>
              <w:left w:w="0" w:type="dxa"/>
              <w:bottom w:w="30" w:type="dxa"/>
              <w:right w:w="20" w:type="dxa"/>
            </w:tcMar>
            <w:vAlign w:val="bottom"/>
            <w:hideMark/>
          </w:tcPr>
          <w:p w14:paraId="7A8DD3F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08EBA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44CED1" w14:textId="77777777" w:rsidR="00000000" w:rsidRDefault="001D0688">
            <w:pPr>
              <w:jc w:val="right"/>
              <w:rPr>
                <w:rFonts w:eastAsia="Times New Roman"/>
              </w:rPr>
            </w:pPr>
            <w:r>
              <w:rPr>
                <w:rFonts w:ascii="Arial" w:eastAsia="Times New Roman" w:hAnsi="Arial" w:cs="Arial"/>
                <w:color w:val="000000"/>
                <w:sz w:val="20"/>
                <w:szCs w:val="20"/>
              </w:rPr>
              <w:t>12.6 </w:t>
            </w:r>
          </w:p>
        </w:tc>
        <w:tc>
          <w:tcPr>
            <w:tcW w:w="0" w:type="auto"/>
            <w:shd w:val="clear" w:color="auto" w:fill="DCE2EF"/>
            <w:tcMar>
              <w:top w:w="30" w:type="dxa"/>
              <w:left w:w="0" w:type="dxa"/>
              <w:bottom w:w="30" w:type="dxa"/>
              <w:right w:w="20" w:type="dxa"/>
            </w:tcMar>
            <w:vAlign w:val="bottom"/>
            <w:hideMark/>
          </w:tcPr>
          <w:p w14:paraId="15BEF268" w14:textId="77777777" w:rsidR="00000000" w:rsidRDefault="001D0688">
            <w:pPr>
              <w:jc w:val="right"/>
              <w:rPr>
                <w:rFonts w:eastAsia="Times New Roman"/>
              </w:rPr>
            </w:pPr>
          </w:p>
        </w:tc>
      </w:tr>
      <w:tr w:rsidR="00000000" w14:paraId="6FEF6F47" w14:textId="77777777">
        <w:trPr>
          <w:divId w:val="1592272310"/>
          <w:trHeight w:val="280"/>
          <w:jc w:val="center"/>
        </w:trPr>
        <w:tc>
          <w:tcPr>
            <w:tcW w:w="0" w:type="auto"/>
            <w:gridSpan w:val="3"/>
            <w:shd w:val="clear" w:color="auto" w:fill="FFFFFF"/>
            <w:tcMar>
              <w:top w:w="0" w:type="dxa"/>
              <w:left w:w="20" w:type="dxa"/>
              <w:bottom w:w="0" w:type="dxa"/>
              <w:right w:w="20" w:type="dxa"/>
            </w:tcMar>
            <w:vAlign w:val="center"/>
            <w:hideMark/>
          </w:tcPr>
          <w:p w14:paraId="43F3D82E"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B92AD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AE251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D0F3C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25547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26290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00DC8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1982A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64FC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1F82F3" w14:textId="77777777" w:rsidR="00000000" w:rsidRDefault="001D0688">
            <w:pPr>
              <w:rPr>
                <w:rFonts w:eastAsia="Times New Roman"/>
                <w:sz w:val="20"/>
                <w:szCs w:val="20"/>
              </w:rPr>
            </w:pPr>
          </w:p>
        </w:tc>
      </w:tr>
      <w:tr w:rsidR="00000000" w14:paraId="6E161A09" w14:textId="77777777">
        <w:trPr>
          <w:divId w:val="1592272310"/>
          <w:jc w:val="center"/>
        </w:trPr>
        <w:tc>
          <w:tcPr>
            <w:tcW w:w="0" w:type="auto"/>
            <w:gridSpan w:val="3"/>
            <w:shd w:val="clear" w:color="auto" w:fill="DCE2EF"/>
            <w:tcMar>
              <w:top w:w="0" w:type="dxa"/>
              <w:left w:w="20" w:type="dxa"/>
              <w:bottom w:w="0" w:type="dxa"/>
              <w:right w:w="20" w:type="dxa"/>
            </w:tcMar>
            <w:vAlign w:val="center"/>
            <w:hideMark/>
          </w:tcPr>
          <w:p w14:paraId="4F8CF02D" w14:textId="77777777" w:rsidR="00000000" w:rsidRDefault="001D0688">
            <w:pPr>
              <w:rPr>
                <w:rFonts w:eastAsia="Times New Roman"/>
                <w:sz w:val="20"/>
                <w:szCs w:val="20"/>
              </w:rPr>
            </w:pPr>
          </w:p>
        </w:tc>
        <w:tc>
          <w:tcPr>
            <w:tcW w:w="0" w:type="auto"/>
            <w:gridSpan w:val="27"/>
            <w:shd w:val="clear" w:color="auto" w:fill="DCE2EF"/>
            <w:tcMar>
              <w:top w:w="30" w:type="dxa"/>
              <w:left w:w="20" w:type="dxa"/>
              <w:bottom w:w="30" w:type="dxa"/>
              <w:right w:w="20" w:type="dxa"/>
            </w:tcMar>
            <w:vAlign w:val="bottom"/>
            <w:hideMark/>
          </w:tcPr>
          <w:p w14:paraId="6CE6D213" w14:textId="77777777" w:rsidR="00000000" w:rsidRDefault="001D0688">
            <w:pPr>
              <w:jc w:val="center"/>
              <w:rPr>
                <w:rFonts w:eastAsia="Times New Roman"/>
              </w:rPr>
            </w:pPr>
            <w:r>
              <w:rPr>
                <w:rFonts w:ascii="Arial" w:eastAsia="Times New Roman" w:hAnsi="Arial" w:cs="Arial"/>
                <w:b/>
                <w:bCs/>
                <w:color w:val="000000"/>
                <w:sz w:val="20"/>
                <w:szCs w:val="20"/>
              </w:rPr>
              <w:t>At October 31,</w:t>
            </w:r>
          </w:p>
        </w:tc>
      </w:tr>
      <w:tr w:rsidR="00000000" w14:paraId="6366066D"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60F1C447" w14:textId="77777777" w:rsidR="00000000" w:rsidRDefault="001D0688">
            <w:pPr>
              <w:rPr>
                <w:rFonts w:eastAsia="Times New Roman"/>
              </w:rPr>
            </w:pPr>
            <w:r>
              <w:rPr>
                <w:rFonts w:eastAsia="Times New Roman"/>
                <w:i/>
                <w:iCs/>
                <w:color w:val="000000"/>
                <w:sz w:val="18"/>
                <w:szCs w:val="18"/>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603BF1F"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C7CE3F"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401364"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34A844"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427F061" w14:textId="77777777" w:rsidR="00000000" w:rsidRDefault="001D0688">
            <w:pPr>
              <w:jc w:val="center"/>
              <w:rPr>
                <w:rFonts w:eastAsia="Times New Roman"/>
              </w:rPr>
            </w:pPr>
            <w:r>
              <w:rPr>
                <w:rFonts w:ascii="Arial" w:eastAsia="Times New Roman" w:hAnsi="Arial" w:cs="Arial"/>
                <w:b/>
                <w:bCs/>
                <w:color w:val="000000"/>
                <w:sz w:val="20"/>
                <w:szCs w:val="20"/>
              </w:rPr>
              <w:t>2018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3D6B24"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E441CDE" w14:textId="77777777" w:rsidR="00000000" w:rsidRDefault="001D0688">
            <w:pPr>
              <w:jc w:val="center"/>
              <w:rPr>
                <w:rFonts w:eastAsia="Times New Roman"/>
              </w:rPr>
            </w:pPr>
            <w:r>
              <w:rPr>
                <w:rFonts w:ascii="Arial" w:eastAsia="Times New Roman" w:hAnsi="Arial" w:cs="Arial"/>
                <w:b/>
                <w:bCs/>
                <w:color w:val="000000"/>
                <w:sz w:val="20"/>
                <w:szCs w:val="20"/>
              </w:rPr>
              <w:t>2017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1453DA"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E1BEEC" w14:textId="77777777" w:rsidR="00000000" w:rsidRDefault="001D0688">
            <w:pPr>
              <w:jc w:val="center"/>
              <w:rPr>
                <w:rFonts w:eastAsia="Times New Roman"/>
              </w:rPr>
            </w:pPr>
            <w:r>
              <w:rPr>
                <w:rFonts w:ascii="Arial" w:eastAsia="Times New Roman" w:hAnsi="Arial" w:cs="Arial"/>
                <w:b/>
                <w:bCs/>
                <w:color w:val="000000"/>
                <w:sz w:val="20"/>
                <w:szCs w:val="20"/>
              </w:rPr>
              <w:t>2016</w:t>
            </w:r>
          </w:p>
        </w:tc>
      </w:tr>
      <w:tr w:rsidR="00000000" w14:paraId="7BCF8074"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5C116142" w14:textId="77777777" w:rsidR="00000000" w:rsidRDefault="001D0688">
            <w:pPr>
              <w:rPr>
                <w:rFonts w:eastAsia="Times New Roman"/>
              </w:rPr>
            </w:pPr>
            <w:r>
              <w:rPr>
                <w:rFonts w:ascii="Arial" w:eastAsia="Times New Roman" w:hAnsi="Arial" w:cs="Arial"/>
                <w:b/>
                <w:bCs/>
                <w:color w:val="000000"/>
                <w:sz w:val="20"/>
                <w:szCs w:val="20"/>
              </w:rPr>
              <w:t>Balance Sheet Data</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1CCFCC4"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09B23C"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F07892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248EF3"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88D09E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5C27023"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F54BA8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0853971"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1F980D0" w14:textId="77777777" w:rsidR="00000000" w:rsidRDefault="001D0688">
            <w:pPr>
              <w:rPr>
                <w:rFonts w:eastAsia="Times New Roman"/>
                <w:sz w:val="20"/>
                <w:szCs w:val="20"/>
              </w:rPr>
            </w:pPr>
          </w:p>
        </w:tc>
      </w:tr>
      <w:tr w:rsidR="00000000" w14:paraId="6E6C0960"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627FDAA0" w14:textId="77777777" w:rsidR="00000000" w:rsidRDefault="001D0688">
            <w:pPr>
              <w:rPr>
                <w:rFonts w:eastAsia="Times New Roman"/>
              </w:rPr>
            </w:pPr>
            <w:r>
              <w:rPr>
                <w:rFonts w:ascii="Arial" w:eastAsia="Times New Roman" w:hAnsi="Arial" w:cs="Arial"/>
                <w:color w:val="000000"/>
                <w:sz w:val="20"/>
                <w:szCs w:val="20"/>
              </w:rPr>
              <w:t>Total assets</w:t>
            </w:r>
          </w:p>
        </w:tc>
        <w:tc>
          <w:tcPr>
            <w:tcW w:w="0" w:type="auto"/>
            <w:shd w:val="clear" w:color="auto" w:fill="FFFFFF"/>
            <w:tcMar>
              <w:top w:w="30" w:type="dxa"/>
              <w:left w:w="20" w:type="dxa"/>
              <w:bottom w:w="30" w:type="dxa"/>
              <w:right w:w="0" w:type="dxa"/>
            </w:tcMar>
            <w:vAlign w:val="bottom"/>
            <w:hideMark/>
          </w:tcPr>
          <w:p w14:paraId="5DF308F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FABA13B" w14:textId="77777777" w:rsidR="00000000" w:rsidRDefault="001D0688">
            <w:pPr>
              <w:jc w:val="right"/>
              <w:rPr>
                <w:rFonts w:eastAsia="Times New Roman"/>
              </w:rPr>
            </w:pPr>
            <w:r>
              <w:rPr>
                <w:rFonts w:ascii="Arial" w:eastAsia="Times New Roman" w:hAnsi="Arial" w:cs="Arial"/>
                <w:color w:val="000000"/>
                <w:sz w:val="20"/>
                <w:szCs w:val="20"/>
              </w:rPr>
              <w:t>3,776.9 </w:t>
            </w:r>
          </w:p>
        </w:tc>
        <w:tc>
          <w:tcPr>
            <w:tcW w:w="0" w:type="auto"/>
            <w:shd w:val="clear" w:color="auto" w:fill="FFFFFF"/>
            <w:tcMar>
              <w:top w:w="30" w:type="dxa"/>
              <w:left w:w="0" w:type="dxa"/>
              <w:bottom w:w="30" w:type="dxa"/>
              <w:right w:w="20" w:type="dxa"/>
            </w:tcMar>
            <w:vAlign w:val="bottom"/>
            <w:hideMark/>
          </w:tcPr>
          <w:p w14:paraId="0655227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6D98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A4351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49652EE" w14:textId="77777777" w:rsidR="00000000" w:rsidRDefault="001D0688">
            <w:pPr>
              <w:jc w:val="right"/>
              <w:rPr>
                <w:rFonts w:eastAsia="Times New Roman"/>
              </w:rPr>
            </w:pPr>
            <w:r>
              <w:rPr>
                <w:rFonts w:ascii="Arial" w:eastAsia="Times New Roman" w:hAnsi="Arial" w:cs="Arial"/>
                <w:color w:val="000000"/>
                <w:sz w:val="20"/>
                <w:szCs w:val="20"/>
              </w:rPr>
              <w:t>3,692.6 </w:t>
            </w:r>
          </w:p>
        </w:tc>
        <w:tc>
          <w:tcPr>
            <w:tcW w:w="0" w:type="auto"/>
            <w:shd w:val="clear" w:color="auto" w:fill="FFFFFF"/>
            <w:tcMar>
              <w:top w:w="30" w:type="dxa"/>
              <w:left w:w="0" w:type="dxa"/>
              <w:bottom w:w="30" w:type="dxa"/>
              <w:right w:w="20" w:type="dxa"/>
            </w:tcMar>
            <w:vAlign w:val="bottom"/>
            <w:hideMark/>
          </w:tcPr>
          <w:p w14:paraId="75F8538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9E897"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4CD4A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D87D94D" w14:textId="77777777" w:rsidR="00000000" w:rsidRDefault="001D0688">
            <w:pPr>
              <w:jc w:val="right"/>
              <w:rPr>
                <w:rFonts w:eastAsia="Times New Roman"/>
              </w:rPr>
            </w:pPr>
            <w:r>
              <w:rPr>
                <w:rFonts w:ascii="Arial" w:eastAsia="Times New Roman" w:hAnsi="Arial" w:cs="Arial"/>
                <w:color w:val="000000"/>
                <w:sz w:val="20"/>
                <w:szCs w:val="20"/>
              </w:rPr>
              <w:t>3,627.5 </w:t>
            </w:r>
          </w:p>
        </w:tc>
        <w:tc>
          <w:tcPr>
            <w:tcW w:w="0" w:type="auto"/>
            <w:shd w:val="clear" w:color="auto" w:fill="FFFFFF"/>
            <w:tcMar>
              <w:top w:w="30" w:type="dxa"/>
              <w:left w:w="0" w:type="dxa"/>
              <w:bottom w:w="30" w:type="dxa"/>
              <w:right w:w="20" w:type="dxa"/>
            </w:tcMar>
            <w:vAlign w:val="bottom"/>
            <w:hideMark/>
          </w:tcPr>
          <w:p w14:paraId="4FA81A6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0949BD"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5EC89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941A56B" w14:textId="77777777" w:rsidR="00000000" w:rsidRDefault="001D0688">
            <w:pPr>
              <w:jc w:val="right"/>
              <w:rPr>
                <w:rFonts w:eastAsia="Times New Roman"/>
              </w:rPr>
            </w:pPr>
            <w:r>
              <w:rPr>
                <w:rFonts w:ascii="Arial" w:eastAsia="Times New Roman" w:hAnsi="Arial" w:cs="Arial"/>
                <w:color w:val="000000"/>
                <w:sz w:val="20"/>
                <w:szCs w:val="20"/>
              </w:rPr>
              <w:t>3,812.6 </w:t>
            </w:r>
          </w:p>
        </w:tc>
        <w:tc>
          <w:tcPr>
            <w:tcW w:w="0" w:type="auto"/>
            <w:shd w:val="clear" w:color="auto" w:fill="FFFFFF"/>
            <w:tcMar>
              <w:top w:w="30" w:type="dxa"/>
              <w:left w:w="0" w:type="dxa"/>
              <w:bottom w:w="30" w:type="dxa"/>
              <w:right w:w="20" w:type="dxa"/>
            </w:tcMar>
            <w:vAlign w:val="bottom"/>
            <w:hideMark/>
          </w:tcPr>
          <w:p w14:paraId="5673B09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99B72"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DD260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0099F10" w14:textId="77777777" w:rsidR="00000000" w:rsidRDefault="001D0688">
            <w:pPr>
              <w:jc w:val="right"/>
              <w:rPr>
                <w:rFonts w:eastAsia="Times New Roman"/>
              </w:rPr>
            </w:pPr>
            <w:r>
              <w:rPr>
                <w:rFonts w:ascii="Arial" w:eastAsia="Times New Roman" w:hAnsi="Arial" w:cs="Arial"/>
                <w:color w:val="000000"/>
                <w:sz w:val="20"/>
                <w:szCs w:val="20"/>
              </w:rPr>
              <w:t>2,278.8 </w:t>
            </w:r>
          </w:p>
        </w:tc>
        <w:tc>
          <w:tcPr>
            <w:tcW w:w="0" w:type="auto"/>
            <w:shd w:val="clear" w:color="auto" w:fill="FFFFFF"/>
            <w:tcMar>
              <w:top w:w="30" w:type="dxa"/>
              <w:left w:w="0" w:type="dxa"/>
              <w:bottom w:w="30" w:type="dxa"/>
              <w:right w:w="20" w:type="dxa"/>
            </w:tcMar>
            <w:vAlign w:val="bottom"/>
            <w:hideMark/>
          </w:tcPr>
          <w:p w14:paraId="0C27D03A" w14:textId="77777777" w:rsidR="00000000" w:rsidRDefault="001D0688">
            <w:pPr>
              <w:jc w:val="right"/>
              <w:rPr>
                <w:rFonts w:eastAsia="Times New Roman"/>
              </w:rPr>
            </w:pPr>
          </w:p>
        </w:tc>
      </w:tr>
      <w:tr w:rsidR="00000000" w14:paraId="1FE3755A"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41B09A3C" w14:textId="77777777" w:rsidR="00000000" w:rsidRDefault="001D0688">
            <w:pPr>
              <w:divId w:val="1900968629"/>
              <w:rPr>
                <w:rFonts w:eastAsia="Times New Roman"/>
              </w:rPr>
            </w:pPr>
            <w:r>
              <w:rPr>
                <w:rFonts w:ascii="Arial" w:eastAsia="Times New Roman" w:hAnsi="Arial" w:cs="Arial"/>
                <w:color w:val="000000"/>
                <w:sz w:val="20"/>
                <w:szCs w:val="20"/>
              </w:rPr>
              <w:t>Trade accounts receivable, net of allowance</w:t>
            </w:r>
            <w:r>
              <w:rPr>
                <w:rFonts w:ascii="Arial" w:eastAsia="Times New Roman" w:hAnsi="Arial" w:cs="Arial"/>
                <w:color w:val="000000"/>
                <w:sz w:val="20"/>
                <w:szCs w:val="20"/>
              </w:rPr>
              <w:t>s</w:t>
            </w:r>
            <w:r>
              <w:rPr>
                <w:rFonts w:ascii="Arial" w:eastAsia="Times New Roman" w:hAnsi="Arial" w:cs="Arial"/>
                <w:color w:val="000000"/>
                <w:sz w:val="13"/>
                <w:szCs w:val="13"/>
              </w:rPr>
              <w:t>(7</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2F19C8E3" w14:textId="77777777" w:rsidR="00000000" w:rsidRDefault="001D0688">
            <w:pPr>
              <w:jc w:val="right"/>
              <w:rPr>
                <w:rFonts w:eastAsia="Times New Roman"/>
              </w:rPr>
            </w:pPr>
            <w:r>
              <w:rPr>
                <w:rFonts w:ascii="Arial" w:eastAsia="Times New Roman" w:hAnsi="Arial" w:cs="Arial"/>
                <w:color w:val="000000"/>
                <w:sz w:val="20"/>
                <w:szCs w:val="20"/>
              </w:rPr>
              <w:t>854.2 </w:t>
            </w:r>
          </w:p>
        </w:tc>
        <w:tc>
          <w:tcPr>
            <w:tcW w:w="0" w:type="auto"/>
            <w:shd w:val="clear" w:color="auto" w:fill="DCE2EF"/>
            <w:tcMar>
              <w:top w:w="30" w:type="dxa"/>
              <w:left w:w="0" w:type="dxa"/>
              <w:bottom w:w="30" w:type="dxa"/>
              <w:right w:w="20" w:type="dxa"/>
            </w:tcMar>
            <w:vAlign w:val="bottom"/>
            <w:hideMark/>
          </w:tcPr>
          <w:p w14:paraId="0B3C852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CE11F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B9361C2" w14:textId="77777777" w:rsidR="00000000" w:rsidRDefault="001D0688">
            <w:pPr>
              <w:jc w:val="right"/>
              <w:rPr>
                <w:rFonts w:eastAsia="Times New Roman"/>
              </w:rPr>
            </w:pPr>
            <w:r>
              <w:rPr>
                <w:rFonts w:ascii="Arial" w:eastAsia="Times New Roman" w:hAnsi="Arial" w:cs="Arial"/>
                <w:color w:val="000000"/>
                <w:sz w:val="20"/>
                <w:szCs w:val="20"/>
              </w:rPr>
              <w:t>1,013.2 </w:t>
            </w:r>
          </w:p>
        </w:tc>
        <w:tc>
          <w:tcPr>
            <w:tcW w:w="0" w:type="auto"/>
            <w:shd w:val="clear" w:color="auto" w:fill="DCE2EF"/>
            <w:tcMar>
              <w:top w:w="30" w:type="dxa"/>
              <w:left w:w="0" w:type="dxa"/>
              <w:bottom w:w="30" w:type="dxa"/>
              <w:right w:w="20" w:type="dxa"/>
            </w:tcMar>
            <w:vAlign w:val="bottom"/>
            <w:hideMark/>
          </w:tcPr>
          <w:p w14:paraId="001A18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1AB7D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0BA7A0" w14:textId="77777777" w:rsidR="00000000" w:rsidRDefault="001D0688">
            <w:pPr>
              <w:jc w:val="right"/>
              <w:rPr>
                <w:rFonts w:eastAsia="Times New Roman"/>
              </w:rPr>
            </w:pPr>
            <w:r>
              <w:rPr>
                <w:rFonts w:ascii="Arial" w:eastAsia="Times New Roman" w:hAnsi="Arial" w:cs="Arial"/>
                <w:color w:val="000000"/>
                <w:sz w:val="20"/>
                <w:szCs w:val="20"/>
              </w:rPr>
              <w:t>1,014.1 </w:t>
            </w:r>
          </w:p>
        </w:tc>
        <w:tc>
          <w:tcPr>
            <w:tcW w:w="0" w:type="auto"/>
            <w:shd w:val="clear" w:color="auto" w:fill="DCE2EF"/>
            <w:tcMar>
              <w:top w:w="30" w:type="dxa"/>
              <w:left w:w="0" w:type="dxa"/>
              <w:bottom w:w="30" w:type="dxa"/>
              <w:right w:w="20" w:type="dxa"/>
            </w:tcMar>
            <w:vAlign w:val="bottom"/>
            <w:hideMark/>
          </w:tcPr>
          <w:p w14:paraId="2A2A51E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4957F2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3B9DAC" w14:textId="77777777" w:rsidR="00000000" w:rsidRDefault="001D0688">
            <w:pPr>
              <w:jc w:val="right"/>
              <w:rPr>
                <w:rFonts w:eastAsia="Times New Roman"/>
              </w:rPr>
            </w:pPr>
            <w:r>
              <w:rPr>
                <w:rFonts w:ascii="Arial" w:eastAsia="Times New Roman" w:hAnsi="Arial" w:cs="Arial"/>
                <w:color w:val="000000"/>
                <w:sz w:val="20"/>
                <w:szCs w:val="20"/>
              </w:rPr>
              <w:t>1,038.1 </w:t>
            </w:r>
          </w:p>
        </w:tc>
        <w:tc>
          <w:tcPr>
            <w:tcW w:w="0" w:type="auto"/>
            <w:shd w:val="clear" w:color="auto" w:fill="DCE2EF"/>
            <w:tcMar>
              <w:top w:w="30" w:type="dxa"/>
              <w:left w:w="0" w:type="dxa"/>
              <w:bottom w:w="30" w:type="dxa"/>
              <w:right w:w="20" w:type="dxa"/>
            </w:tcMar>
            <w:vAlign w:val="bottom"/>
            <w:hideMark/>
          </w:tcPr>
          <w:p w14:paraId="181CAEE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6ECD2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C126F5" w14:textId="77777777" w:rsidR="00000000" w:rsidRDefault="001D0688">
            <w:pPr>
              <w:jc w:val="right"/>
              <w:rPr>
                <w:rFonts w:eastAsia="Times New Roman"/>
              </w:rPr>
            </w:pPr>
            <w:r>
              <w:rPr>
                <w:rFonts w:ascii="Arial" w:eastAsia="Times New Roman" w:hAnsi="Arial" w:cs="Arial"/>
                <w:color w:val="000000"/>
                <w:sz w:val="20"/>
                <w:szCs w:val="20"/>
              </w:rPr>
              <w:t>803.7 </w:t>
            </w:r>
          </w:p>
        </w:tc>
        <w:tc>
          <w:tcPr>
            <w:tcW w:w="0" w:type="auto"/>
            <w:shd w:val="clear" w:color="auto" w:fill="DCE2EF"/>
            <w:tcMar>
              <w:top w:w="30" w:type="dxa"/>
              <w:left w:w="0" w:type="dxa"/>
              <w:bottom w:w="30" w:type="dxa"/>
              <w:right w:w="20" w:type="dxa"/>
            </w:tcMar>
            <w:vAlign w:val="bottom"/>
            <w:hideMark/>
          </w:tcPr>
          <w:p w14:paraId="25008462" w14:textId="77777777" w:rsidR="00000000" w:rsidRDefault="001D0688">
            <w:pPr>
              <w:jc w:val="right"/>
              <w:rPr>
                <w:rFonts w:eastAsia="Times New Roman"/>
              </w:rPr>
            </w:pPr>
          </w:p>
        </w:tc>
      </w:tr>
      <w:tr w:rsidR="00000000" w14:paraId="29A12576"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7419B7B0" w14:textId="77777777" w:rsidR="00000000" w:rsidRDefault="001D0688">
            <w:pPr>
              <w:divId w:val="568001620"/>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(8</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9A8CB68" w14:textId="77777777" w:rsidR="00000000" w:rsidRDefault="001D0688">
            <w:pPr>
              <w:jc w:val="right"/>
              <w:rPr>
                <w:rFonts w:eastAsia="Times New Roman"/>
              </w:rPr>
            </w:pPr>
            <w:r>
              <w:rPr>
                <w:rFonts w:ascii="Arial" w:eastAsia="Times New Roman" w:hAnsi="Arial" w:cs="Arial"/>
                <w:color w:val="000000"/>
                <w:sz w:val="20"/>
                <w:szCs w:val="20"/>
              </w:rPr>
              <w:t>1,671.4 </w:t>
            </w:r>
          </w:p>
        </w:tc>
        <w:tc>
          <w:tcPr>
            <w:tcW w:w="0" w:type="auto"/>
            <w:shd w:val="clear" w:color="auto" w:fill="FFFFFF"/>
            <w:tcMar>
              <w:top w:w="30" w:type="dxa"/>
              <w:left w:w="0" w:type="dxa"/>
              <w:bottom w:w="30" w:type="dxa"/>
              <w:right w:w="20" w:type="dxa"/>
            </w:tcMar>
            <w:vAlign w:val="bottom"/>
            <w:hideMark/>
          </w:tcPr>
          <w:p w14:paraId="7B9020F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E32F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06429D" w14:textId="77777777" w:rsidR="00000000" w:rsidRDefault="001D0688">
            <w:pPr>
              <w:jc w:val="right"/>
              <w:rPr>
                <w:rFonts w:eastAsia="Times New Roman"/>
              </w:rPr>
            </w:pPr>
            <w:r>
              <w:rPr>
                <w:rFonts w:ascii="Arial" w:eastAsia="Times New Roman" w:hAnsi="Arial" w:cs="Arial"/>
                <w:color w:val="000000"/>
                <w:sz w:val="20"/>
                <w:szCs w:val="20"/>
              </w:rPr>
              <w:t>1,835.4 </w:t>
            </w:r>
          </w:p>
        </w:tc>
        <w:tc>
          <w:tcPr>
            <w:tcW w:w="0" w:type="auto"/>
            <w:shd w:val="clear" w:color="auto" w:fill="FFFFFF"/>
            <w:tcMar>
              <w:top w:w="30" w:type="dxa"/>
              <w:left w:w="0" w:type="dxa"/>
              <w:bottom w:w="30" w:type="dxa"/>
              <w:right w:w="20" w:type="dxa"/>
            </w:tcMar>
            <w:vAlign w:val="bottom"/>
            <w:hideMark/>
          </w:tcPr>
          <w:p w14:paraId="6D3657C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D33A5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72514F" w14:textId="77777777" w:rsidR="00000000" w:rsidRDefault="001D0688">
            <w:pPr>
              <w:jc w:val="right"/>
              <w:rPr>
                <w:rFonts w:eastAsia="Times New Roman"/>
              </w:rPr>
            </w:pPr>
            <w:r>
              <w:rPr>
                <w:rFonts w:ascii="Arial" w:eastAsia="Times New Roman" w:hAnsi="Arial" w:cs="Arial"/>
                <w:color w:val="000000"/>
                <w:sz w:val="20"/>
                <w:szCs w:val="20"/>
              </w:rPr>
              <w:t>1,834.8 </w:t>
            </w:r>
          </w:p>
        </w:tc>
        <w:tc>
          <w:tcPr>
            <w:tcW w:w="0" w:type="auto"/>
            <w:shd w:val="clear" w:color="auto" w:fill="FFFFFF"/>
            <w:tcMar>
              <w:top w:w="30" w:type="dxa"/>
              <w:left w:w="0" w:type="dxa"/>
              <w:bottom w:w="30" w:type="dxa"/>
              <w:right w:w="20" w:type="dxa"/>
            </w:tcMar>
            <w:vAlign w:val="bottom"/>
            <w:hideMark/>
          </w:tcPr>
          <w:p w14:paraId="4EA6098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88B5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62F6A" w14:textId="77777777" w:rsidR="00000000" w:rsidRDefault="001D0688">
            <w:pPr>
              <w:jc w:val="right"/>
              <w:rPr>
                <w:rFonts w:eastAsia="Times New Roman"/>
              </w:rPr>
            </w:pPr>
            <w:r>
              <w:rPr>
                <w:rFonts w:ascii="Arial" w:eastAsia="Times New Roman" w:hAnsi="Arial" w:cs="Arial"/>
                <w:color w:val="000000"/>
                <w:sz w:val="20"/>
                <w:szCs w:val="20"/>
              </w:rPr>
              <w:t>1,864.2 </w:t>
            </w:r>
          </w:p>
        </w:tc>
        <w:tc>
          <w:tcPr>
            <w:tcW w:w="0" w:type="auto"/>
            <w:shd w:val="clear" w:color="auto" w:fill="FFFFFF"/>
            <w:tcMar>
              <w:top w:w="30" w:type="dxa"/>
              <w:left w:w="0" w:type="dxa"/>
              <w:bottom w:w="30" w:type="dxa"/>
              <w:right w:w="20" w:type="dxa"/>
            </w:tcMar>
            <w:vAlign w:val="bottom"/>
            <w:hideMark/>
          </w:tcPr>
          <w:p w14:paraId="06A5F92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452E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FDBD9D" w14:textId="77777777" w:rsidR="00000000" w:rsidRDefault="001D0688">
            <w:pPr>
              <w:jc w:val="right"/>
              <w:rPr>
                <w:rFonts w:eastAsia="Times New Roman"/>
              </w:rPr>
            </w:pPr>
            <w:r>
              <w:rPr>
                <w:rFonts w:ascii="Arial" w:eastAsia="Times New Roman" w:hAnsi="Arial" w:cs="Arial"/>
                <w:color w:val="000000"/>
                <w:sz w:val="20"/>
                <w:szCs w:val="20"/>
              </w:rPr>
              <w:t>912.8 </w:t>
            </w:r>
          </w:p>
        </w:tc>
        <w:tc>
          <w:tcPr>
            <w:tcW w:w="0" w:type="auto"/>
            <w:shd w:val="clear" w:color="auto" w:fill="FFFFFF"/>
            <w:tcMar>
              <w:top w:w="30" w:type="dxa"/>
              <w:left w:w="0" w:type="dxa"/>
              <w:bottom w:w="30" w:type="dxa"/>
              <w:right w:w="20" w:type="dxa"/>
            </w:tcMar>
            <w:vAlign w:val="bottom"/>
            <w:hideMark/>
          </w:tcPr>
          <w:p w14:paraId="32600B60" w14:textId="77777777" w:rsidR="00000000" w:rsidRDefault="001D0688">
            <w:pPr>
              <w:jc w:val="right"/>
              <w:rPr>
                <w:rFonts w:eastAsia="Times New Roman"/>
              </w:rPr>
            </w:pPr>
          </w:p>
        </w:tc>
      </w:tr>
      <w:tr w:rsidR="00000000" w14:paraId="7FBC6AB6"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2626F390" w14:textId="77777777" w:rsidR="00000000" w:rsidRDefault="001D0688">
            <w:pPr>
              <w:divId w:val="322856119"/>
              <w:rPr>
                <w:rFonts w:eastAsia="Times New Roman"/>
              </w:rPr>
            </w:pPr>
            <w:r>
              <w:rPr>
                <w:rFonts w:ascii="Arial" w:eastAsia="Times New Roman" w:hAnsi="Arial" w:cs="Arial"/>
                <w:color w:val="000000"/>
                <w:sz w:val="20"/>
                <w:szCs w:val="20"/>
              </w:rPr>
              <w:t>Other intangible assets, net of accumulated amortizatio</w:t>
            </w:r>
            <w:r>
              <w:rPr>
                <w:rFonts w:ascii="Arial" w:eastAsia="Times New Roman" w:hAnsi="Arial" w:cs="Arial"/>
                <w:color w:val="000000"/>
                <w:sz w:val="20"/>
                <w:szCs w:val="20"/>
              </w:rPr>
              <w:t>n</w:t>
            </w:r>
            <w:r>
              <w:rPr>
                <w:rFonts w:ascii="Arial" w:eastAsia="Times New Roman" w:hAnsi="Arial" w:cs="Arial"/>
                <w:color w:val="000000"/>
                <w:sz w:val="13"/>
                <w:szCs w:val="13"/>
              </w:rPr>
              <w:t>(9</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3F5AB108" w14:textId="77777777" w:rsidR="00000000" w:rsidRDefault="001D0688">
            <w:pPr>
              <w:jc w:val="right"/>
              <w:rPr>
                <w:rFonts w:eastAsia="Times New Roman"/>
              </w:rPr>
            </w:pPr>
            <w:r>
              <w:rPr>
                <w:rFonts w:ascii="Arial" w:eastAsia="Times New Roman" w:hAnsi="Arial" w:cs="Arial"/>
                <w:color w:val="000000"/>
                <w:sz w:val="20"/>
                <w:szCs w:val="20"/>
              </w:rPr>
              <w:t>239.7 </w:t>
            </w:r>
          </w:p>
        </w:tc>
        <w:tc>
          <w:tcPr>
            <w:tcW w:w="0" w:type="auto"/>
            <w:shd w:val="clear" w:color="auto" w:fill="DCE2EF"/>
            <w:tcMar>
              <w:top w:w="30" w:type="dxa"/>
              <w:left w:w="0" w:type="dxa"/>
              <w:bottom w:w="30" w:type="dxa"/>
              <w:right w:w="20" w:type="dxa"/>
            </w:tcMar>
            <w:vAlign w:val="bottom"/>
            <w:hideMark/>
          </w:tcPr>
          <w:p w14:paraId="154651F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C2D38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E390235" w14:textId="77777777" w:rsidR="00000000" w:rsidRDefault="001D0688">
            <w:pPr>
              <w:jc w:val="right"/>
              <w:rPr>
                <w:rFonts w:eastAsia="Times New Roman"/>
              </w:rPr>
            </w:pPr>
            <w:r>
              <w:rPr>
                <w:rFonts w:ascii="Arial" w:eastAsia="Times New Roman" w:hAnsi="Arial" w:cs="Arial"/>
                <w:color w:val="000000"/>
                <w:sz w:val="20"/>
                <w:szCs w:val="20"/>
              </w:rPr>
              <w:t>297.2 </w:t>
            </w:r>
          </w:p>
        </w:tc>
        <w:tc>
          <w:tcPr>
            <w:tcW w:w="0" w:type="auto"/>
            <w:shd w:val="clear" w:color="auto" w:fill="DCE2EF"/>
            <w:tcMar>
              <w:top w:w="30" w:type="dxa"/>
              <w:left w:w="0" w:type="dxa"/>
              <w:bottom w:w="30" w:type="dxa"/>
              <w:right w:w="20" w:type="dxa"/>
            </w:tcMar>
            <w:vAlign w:val="bottom"/>
            <w:hideMark/>
          </w:tcPr>
          <w:p w14:paraId="4C169F3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E7EE4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AC208F" w14:textId="77777777" w:rsidR="00000000" w:rsidRDefault="001D0688">
            <w:pPr>
              <w:jc w:val="right"/>
              <w:rPr>
                <w:rFonts w:eastAsia="Times New Roman"/>
              </w:rPr>
            </w:pPr>
            <w:r>
              <w:rPr>
                <w:rFonts w:ascii="Arial" w:eastAsia="Times New Roman" w:hAnsi="Arial" w:cs="Arial"/>
                <w:color w:val="000000"/>
                <w:sz w:val="20"/>
                <w:szCs w:val="20"/>
              </w:rPr>
              <w:t>355.7 </w:t>
            </w:r>
          </w:p>
        </w:tc>
        <w:tc>
          <w:tcPr>
            <w:tcW w:w="0" w:type="auto"/>
            <w:shd w:val="clear" w:color="auto" w:fill="DCE2EF"/>
            <w:tcMar>
              <w:top w:w="30" w:type="dxa"/>
              <w:left w:w="0" w:type="dxa"/>
              <w:bottom w:w="30" w:type="dxa"/>
              <w:right w:w="20" w:type="dxa"/>
            </w:tcMar>
            <w:vAlign w:val="bottom"/>
            <w:hideMark/>
          </w:tcPr>
          <w:p w14:paraId="3C69EBD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893B1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AC0293" w14:textId="77777777" w:rsidR="00000000" w:rsidRDefault="001D0688">
            <w:pPr>
              <w:jc w:val="right"/>
              <w:rPr>
                <w:rFonts w:eastAsia="Times New Roman"/>
              </w:rPr>
            </w:pPr>
            <w:r>
              <w:rPr>
                <w:rFonts w:ascii="Arial" w:eastAsia="Times New Roman" w:hAnsi="Arial" w:cs="Arial"/>
                <w:color w:val="000000"/>
                <w:sz w:val="20"/>
                <w:szCs w:val="20"/>
              </w:rPr>
              <w:t>430.1 </w:t>
            </w:r>
          </w:p>
        </w:tc>
        <w:tc>
          <w:tcPr>
            <w:tcW w:w="0" w:type="auto"/>
            <w:shd w:val="clear" w:color="auto" w:fill="DCE2EF"/>
            <w:tcMar>
              <w:top w:w="30" w:type="dxa"/>
              <w:left w:w="0" w:type="dxa"/>
              <w:bottom w:w="30" w:type="dxa"/>
              <w:right w:w="20" w:type="dxa"/>
            </w:tcMar>
            <w:vAlign w:val="bottom"/>
            <w:hideMark/>
          </w:tcPr>
          <w:p w14:paraId="76EB7D7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3A3E8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7E0009" w14:textId="77777777" w:rsidR="00000000" w:rsidRDefault="001D0688">
            <w:pPr>
              <w:jc w:val="right"/>
              <w:rPr>
                <w:rFonts w:eastAsia="Times New Roman"/>
              </w:rPr>
            </w:pPr>
            <w:r>
              <w:rPr>
                <w:rFonts w:ascii="Arial" w:eastAsia="Times New Roman" w:hAnsi="Arial" w:cs="Arial"/>
                <w:color w:val="000000"/>
                <w:sz w:val="20"/>
                <w:szCs w:val="20"/>
              </w:rPr>
              <w:t>103.8 </w:t>
            </w:r>
          </w:p>
        </w:tc>
        <w:tc>
          <w:tcPr>
            <w:tcW w:w="0" w:type="auto"/>
            <w:shd w:val="clear" w:color="auto" w:fill="DCE2EF"/>
            <w:tcMar>
              <w:top w:w="30" w:type="dxa"/>
              <w:left w:w="0" w:type="dxa"/>
              <w:bottom w:w="30" w:type="dxa"/>
              <w:right w:w="20" w:type="dxa"/>
            </w:tcMar>
            <w:vAlign w:val="bottom"/>
            <w:hideMark/>
          </w:tcPr>
          <w:p w14:paraId="78D4332E" w14:textId="77777777" w:rsidR="00000000" w:rsidRDefault="001D0688">
            <w:pPr>
              <w:jc w:val="right"/>
              <w:rPr>
                <w:rFonts w:eastAsia="Times New Roman"/>
              </w:rPr>
            </w:pPr>
          </w:p>
        </w:tc>
      </w:tr>
      <w:tr w:rsidR="00000000" w14:paraId="6104BBA1" w14:textId="77777777">
        <w:trPr>
          <w:divId w:val="1592272310"/>
          <w:jc w:val="center"/>
        </w:trPr>
        <w:tc>
          <w:tcPr>
            <w:tcW w:w="0" w:type="auto"/>
            <w:gridSpan w:val="3"/>
            <w:shd w:val="clear" w:color="auto" w:fill="FFFFFF"/>
            <w:tcMar>
              <w:top w:w="30" w:type="dxa"/>
              <w:left w:w="20" w:type="dxa"/>
              <w:bottom w:w="30" w:type="dxa"/>
              <w:right w:w="20" w:type="dxa"/>
            </w:tcMar>
            <w:vAlign w:val="bottom"/>
            <w:hideMark/>
          </w:tcPr>
          <w:p w14:paraId="7A56C3D2" w14:textId="77777777" w:rsidR="00000000" w:rsidRDefault="001D0688">
            <w:pPr>
              <w:divId w:val="1404180363"/>
              <w:rPr>
                <w:rFonts w:eastAsia="Times New Roman"/>
              </w:rPr>
            </w:pPr>
            <w:r>
              <w:rPr>
                <w:rFonts w:ascii="Arial" w:eastAsia="Times New Roman" w:hAnsi="Arial" w:cs="Arial"/>
                <w:color w:val="000000"/>
                <w:sz w:val="20"/>
                <w:szCs w:val="20"/>
              </w:rPr>
              <w:t>Long-term debt, ne</w:t>
            </w:r>
            <w:r>
              <w:rPr>
                <w:rFonts w:ascii="Arial" w:eastAsia="Times New Roman" w:hAnsi="Arial" w:cs="Arial"/>
                <w:color w:val="000000"/>
                <w:sz w:val="20"/>
                <w:szCs w:val="20"/>
              </w:rPr>
              <w:t>t</w:t>
            </w:r>
            <w:r>
              <w:rPr>
                <w:rFonts w:ascii="Arial" w:eastAsia="Times New Roman" w:hAnsi="Arial" w:cs="Arial"/>
                <w:color w:val="000000"/>
                <w:sz w:val="13"/>
                <w:szCs w:val="13"/>
              </w:rPr>
              <w:t>(10</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6DA34B4B" w14:textId="77777777" w:rsidR="00000000" w:rsidRDefault="001D0688">
            <w:pPr>
              <w:jc w:val="right"/>
              <w:rPr>
                <w:rFonts w:eastAsia="Times New Roman"/>
              </w:rPr>
            </w:pPr>
            <w:r>
              <w:rPr>
                <w:rFonts w:ascii="Arial" w:eastAsia="Times New Roman" w:hAnsi="Arial" w:cs="Arial"/>
                <w:color w:val="000000"/>
                <w:sz w:val="20"/>
                <w:szCs w:val="20"/>
              </w:rPr>
              <w:t>603.0 </w:t>
            </w:r>
          </w:p>
        </w:tc>
        <w:tc>
          <w:tcPr>
            <w:tcW w:w="0" w:type="auto"/>
            <w:shd w:val="clear" w:color="auto" w:fill="FFFFFF"/>
            <w:tcMar>
              <w:top w:w="30" w:type="dxa"/>
              <w:left w:w="0" w:type="dxa"/>
              <w:bottom w:w="30" w:type="dxa"/>
              <w:right w:w="20" w:type="dxa"/>
            </w:tcMar>
            <w:vAlign w:val="bottom"/>
            <w:hideMark/>
          </w:tcPr>
          <w:p w14:paraId="2C8C6DC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BB2E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9F778" w14:textId="77777777" w:rsidR="00000000" w:rsidRDefault="001D0688">
            <w:pPr>
              <w:jc w:val="right"/>
              <w:rPr>
                <w:rFonts w:eastAsia="Times New Roman"/>
              </w:rPr>
            </w:pPr>
            <w:r>
              <w:rPr>
                <w:rFonts w:ascii="Arial" w:eastAsia="Times New Roman" w:hAnsi="Arial" w:cs="Arial"/>
                <w:color w:val="000000"/>
                <w:sz w:val="20"/>
                <w:szCs w:val="20"/>
              </w:rPr>
              <w:t>744.2 </w:t>
            </w:r>
          </w:p>
        </w:tc>
        <w:tc>
          <w:tcPr>
            <w:tcW w:w="0" w:type="auto"/>
            <w:shd w:val="clear" w:color="auto" w:fill="FFFFFF"/>
            <w:tcMar>
              <w:top w:w="30" w:type="dxa"/>
              <w:left w:w="0" w:type="dxa"/>
              <w:bottom w:w="30" w:type="dxa"/>
              <w:right w:w="20" w:type="dxa"/>
            </w:tcMar>
            <w:vAlign w:val="bottom"/>
            <w:hideMark/>
          </w:tcPr>
          <w:p w14:paraId="54C783F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F997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4F3D2E" w14:textId="77777777" w:rsidR="00000000" w:rsidRDefault="001D0688">
            <w:pPr>
              <w:jc w:val="right"/>
              <w:rPr>
                <w:rFonts w:eastAsia="Times New Roman"/>
              </w:rPr>
            </w:pPr>
            <w:r>
              <w:rPr>
                <w:rFonts w:ascii="Arial" w:eastAsia="Times New Roman" w:hAnsi="Arial" w:cs="Arial"/>
                <w:color w:val="000000"/>
                <w:sz w:val="20"/>
                <w:szCs w:val="20"/>
              </w:rPr>
              <w:t>902.0 </w:t>
            </w:r>
          </w:p>
        </w:tc>
        <w:tc>
          <w:tcPr>
            <w:tcW w:w="0" w:type="auto"/>
            <w:shd w:val="clear" w:color="auto" w:fill="FFFFFF"/>
            <w:tcMar>
              <w:top w:w="30" w:type="dxa"/>
              <w:left w:w="0" w:type="dxa"/>
              <w:bottom w:w="30" w:type="dxa"/>
              <w:right w:w="20" w:type="dxa"/>
            </w:tcMar>
            <w:vAlign w:val="bottom"/>
            <w:hideMark/>
          </w:tcPr>
          <w:p w14:paraId="02EAC41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23B1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0CD4D" w14:textId="77777777" w:rsidR="00000000" w:rsidRDefault="001D0688">
            <w:pPr>
              <w:jc w:val="right"/>
              <w:rPr>
                <w:rFonts w:eastAsia="Times New Roman"/>
              </w:rPr>
            </w:pPr>
            <w:r>
              <w:rPr>
                <w:rFonts w:ascii="Arial" w:eastAsia="Times New Roman" w:hAnsi="Arial" w:cs="Arial"/>
                <w:color w:val="000000"/>
                <w:sz w:val="20"/>
                <w:szCs w:val="20"/>
              </w:rPr>
              <w:t>1,161.3 </w:t>
            </w:r>
          </w:p>
        </w:tc>
        <w:tc>
          <w:tcPr>
            <w:tcW w:w="0" w:type="auto"/>
            <w:shd w:val="clear" w:color="auto" w:fill="FFFFFF"/>
            <w:tcMar>
              <w:top w:w="30" w:type="dxa"/>
              <w:left w:w="0" w:type="dxa"/>
              <w:bottom w:w="30" w:type="dxa"/>
              <w:right w:w="20" w:type="dxa"/>
            </w:tcMar>
            <w:vAlign w:val="bottom"/>
            <w:hideMark/>
          </w:tcPr>
          <w:p w14:paraId="46E0D07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9429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B5B0A" w14:textId="77777777" w:rsidR="00000000" w:rsidRDefault="001D0688">
            <w:pPr>
              <w:jc w:val="right"/>
              <w:rPr>
                <w:rFonts w:eastAsia="Times New Roman"/>
              </w:rPr>
            </w:pPr>
            <w:r>
              <w:rPr>
                <w:rFonts w:ascii="Arial" w:eastAsia="Times New Roman" w:hAnsi="Arial" w:cs="Arial"/>
                <w:color w:val="000000"/>
                <w:sz w:val="20"/>
                <w:szCs w:val="20"/>
              </w:rPr>
              <w:t>268.3 </w:t>
            </w:r>
          </w:p>
        </w:tc>
        <w:tc>
          <w:tcPr>
            <w:tcW w:w="0" w:type="auto"/>
            <w:shd w:val="clear" w:color="auto" w:fill="FFFFFF"/>
            <w:tcMar>
              <w:top w:w="30" w:type="dxa"/>
              <w:left w:w="0" w:type="dxa"/>
              <w:bottom w:w="30" w:type="dxa"/>
              <w:right w:w="20" w:type="dxa"/>
            </w:tcMar>
            <w:vAlign w:val="bottom"/>
            <w:hideMark/>
          </w:tcPr>
          <w:p w14:paraId="0A90687A" w14:textId="77777777" w:rsidR="00000000" w:rsidRDefault="001D0688">
            <w:pPr>
              <w:jc w:val="right"/>
              <w:rPr>
                <w:rFonts w:eastAsia="Times New Roman"/>
              </w:rPr>
            </w:pPr>
          </w:p>
        </w:tc>
      </w:tr>
      <w:tr w:rsidR="00000000" w14:paraId="1ABCF38A" w14:textId="77777777">
        <w:trPr>
          <w:divId w:val="1592272310"/>
          <w:jc w:val="center"/>
        </w:trPr>
        <w:tc>
          <w:tcPr>
            <w:tcW w:w="0" w:type="auto"/>
            <w:gridSpan w:val="3"/>
            <w:shd w:val="clear" w:color="auto" w:fill="DCE2EF"/>
            <w:tcMar>
              <w:top w:w="30" w:type="dxa"/>
              <w:left w:w="20" w:type="dxa"/>
              <w:bottom w:w="30" w:type="dxa"/>
              <w:right w:w="20" w:type="dxa"/>
            </w:tcMar>
            <w:vAlign w:val="bottom"/>
            <w:hideMark/>
          </w:tcPr>
          <w:p w14:paraId="0D9EE8E2" w14:textId="77777777" w:rsidR="00000000" w:rsidRDefault="001D0688">
            <w:pPr>
              <w:rPr>
                <w:rFonts w:eastAsia="Times New Roman"/>
              </w:rPr>
            </w:pPr>
            <w:r>
              <w:rPr>
                <w:rFonts w:ascii="Arial" w:eastAsia="Times New Roman" w:hAnsi="Arial" w:cs="Arial"/>
                <w:color w:val="000000"/>
                <w:sz w:val="20"/>
                <w:szCs w:val="20"/>
              </w:rPr>
              <w:t>Insurance claims</w:t>
            </w:r>
          </w:p>
        </w:tc>
        <w:tc>
          <w:tcPr>
            <w:tcW w:w="0" w:type="auto"/>
            <w:gridSpan w:val="2"/>
            <w:shd w:val="clear" w:color="auto" w:fill="DCE2EF"/>
            <w:tcMar>
              <w:top w:w="30" w:type="dxa"/>
              <w:left w:w="20" w:type="dxa"/>
              <w:bottom w:w="30" w:type="dxa"/>
              <w:right w:w="0" w:type="dxa"/>
            </w:tcMar>
            <w:vAlign w:val="bottom"/>
            <w:hideMark/>
          </w:tcPr>
          <w:p w14:paraId="2458CDF7" w14:textId="77777777" w:rsidR="00000000" w:rsidRDefault="001D0688">
            <w:pPr>
              <w:jc w:val="right"/>
              <w:rPr>
                <w:rFonts w:eastAsia="Times New Roman"/>
              </w:rPr>
            </w:pPr>
            <w:r>
              <w:rPr>
                <w:rFonts w:ascii="Arial" w:eastAsia="Times New Roman" w:hAnsi="Arial" w:cs="Arial"/>
                <w:color w:val="000000"/>
                <w:sz w:val="20"/>
                <w:szCs w:val="20"/>
              </w:rPr>
              <w:t>521.5 </w:t>
            </w:r>
          </w:p>
        </w:tc>
        <w:tc>
          <w:tcPr>
            <w:tcW w:w="0" w:type="auto"/>
            <w:shd w:val="clear" w:color="auto" w:fill="DCE2EF"/>
            <w:tcMar>
              <w:top w:w="30" w:type="dxa"/>
              <w:left w:w="0" w:type="dxa"/>
              <w:bottom w:w="30" w:type="dxa"/>
              <w:right w:w="20" w:type="dxa"/>
            </w:tcMar>
            <w:vAlign w:val="bottom"/>
            <w:hideMark/>
          </w:tcPr>
          <w:p w14:paraId="7DE2487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03890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AC8C36" w14:textId="77777777" w:rsidR="00000000" w:rsidRDefault="001D0688">
            <w:pPr>
              <w:jc w:val="right"/>
              <w:rPr>
                <w:rFonts w:eastAsia="Times New Roman"/>
              </w:rPr>
            </w:pPr>
            <w:r>
              <w:rPr>
                <w:rFonts w:ascii="Arial" w:eastAsia="Times New Roman" w:hAnsi="Arial" w:cs="Arial"/>
                <w:color w:val="000000"/>
                <w:sz w:val="20"/>
                <w:szCs w:val="20"/>
              </w:rPr>
              <w:t>515.0 </w:t>
            </w:r>
          </w:p>
        </w:tc>
        <w:tc>
          <w:tcPr>
            <w:tcW w:w="0" w:type="auto"/>
            <w:shd w:val="clear" w:color="auto" w:fill="DCE2EF"/>
            <w:tcMar>
              <w:top w:w="30" w:type="dxa"/>
              <w:left w:w="0" w:type="dxa"/>
              <w:bottom w:w="30" w:type="dxa"/>
              <w:right w:w="20" w:type="dxa"/>
            </w:tcMar>
            <w:vAlign w:val="bottom"/>
            <w:hideMark/>
          </w:tcPr>
          <w:p w14:paraId="658BD62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A3442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7B3A0E" w14:textId="77777777" w:rsidR="00000000" w:rsidRDefault="001D0688">
            <w:pPr>
              <w:jc w:val="right"/>
              <w:rPr>
                <w:rFonts w:eastAsia="Times New Roman"/>
              </w:rPr>
            </w:pPr>
            <w:r>
              <w:rPr>
                <w:rFonts w:ascii="Arial" w:eastAsia="Times New Roman" w:hAnsi="Arial" w:cs="Arial"/>
                <w:color w:val="000000"/>
                <w:sz w:val="20"/>
                <w:szCs w:val="20"/>
              </w:rPr>
              <w:t>510.3 </w:t>
            </w:r>
          </w:p>
        </w:tc>
        <w:tc>
          <w:tcPr>
            <w:tcW w:w="0" w:type="auto"/>
            <w:shd w:val="clear" w:color="auto" w:fill="DCE2EF"/>
            <w:tcMar>
              <w:top w:w="30" w:type="dxa"/>
              <w:left w:w="0" w:type="dxa"/>
              <w:bottom w:w="30" w:type="dxa"/>
              <w:right w:w="20" w:type="dxa"/>
            </w:tcMar>
            <w:vAlign w:val="bottom"/>
            <w:hideMark/>
          </w:tcPr>
          <w:p w14:paraId="5C6EFE6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22B50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876778" w14:textId="77777777" w:rsidR="00000000" w:rsidRDefault="001D0688">
            <w:pPr>
              <w:jc w:val="right"/>
              <w:rPr>
                <w:rFonts w:eastAsia="Times New Roman"/>
              </w:rPr>
            </w:pPr>
            <w:r>
              <w:rPr>
                <w:rFonts w:ascii="Arial" w:eastAsia="Times New Roman" w:hAnsi="Arial" w:cs="Arial"/>
                <w:color w:val="000000"/>
                <w:sz w:val="20"/>
                <w:szCs w:val="20"/>
              </w:rPr>
              <w:t>495.4 </w:t>
            </w:r>
          </w:p>
        </w:tc>
        <w:tc>
          <w:tcPr>
            <w:tcW w:w="0" w:type="auto"/>
            <w:shd w:val="clear" w:color="auto" w:fill="DCE2EF"/>
            <w:tcMar>
              <w:top w:w="30" w:type="dxa"/>
              <w:left w:w="0" w:type="dxa"/>
              <w:bottom w:w="30" w:type="dxa"/>
              <w:right w:w="20" w:type="dxa"/>
            </w:tcMar>
            <w:vAlign w:val="bottom"/>
            <w:hideMark/>
          </w:tcPr>
          <w:p w14:paraId="6C993A9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697E1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316D38D" w14:textId="77777777" w:rsidR="00000000" w:rsidRDefault="001D0688">
            <w:pPr>
              <w:jc w:val="right"/>
              <w:rPr>
                <w:rFonts w:eastAsia="Times New Roman"/>
              </w:rPr>
            </w:pPr>
            <w:r>
              <w:rPr>
                <w:rFonts w:ascii="Arial" w:eastAsia="Times New Roman" w:hAnsi="Arial" w:cs="Arial"/>
                <w:color w:val="000000"/>
                <w:sz w:val="20"/>
                <w:szCs w:val="20"/>
              </w:rPr>
              <w:t>423.8 </w:t>
            </w:r>
          </w:p>
        </w:tc>
        <w:tc>
          <w:tcPr>
            <w:tcW w:w="0" w:type="auto"/>
            <w:shd w:val="clear" w:color="auto" w:fill="DCE2EF"/>
            <w:tcMar>
              <w:top w:w="30" w:type="dxa"/>
              <w:left w:w="0" w:type="dxa"/>
              <w:bottom w:w="30" w:type="dxa"/>
              <w:right w:w="20" w:type="dxa"/>
            </w:tcMar>
            <w:vAlign w:val="bottom"/>
            <w:hideMark/>
          </w:tcPr>
          <w:p w14:paraId="7DBEC5F3" w14:textId="77777777" w:rsidR="00000000" w:rsidRDefault="001D0688">
            <w:pPr>
              <w:jc w:val="right"/>
              <w:rPr>
                <w:rFonts w:eastAsia="Times New Roman"/>
              </w:rPr>
            </w:pPr>
          </w:p>
        </w:tc>
      </w:tr>
    </w:tbl>
    <w:p w14:paraId="5DD7BD23" w14:textId="77777777" w:rsidR="00000000" w:rsidRDefault="001D0688">
      <w:pPr>
        <w:ind w:hanging="270"/>
        <w:jc w:val="both"/>
        <w:divId w:val="135071326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Revenues in 2020 were negatively impacted by Pandemic-related disruptions across our businesses and the loss of certain accounts. However, t</w:t>
      </w:r>
      <w:r>
        <w:rPr>
          <w:rFonts w:ascii="Arial" w:eastAsia="Times New Roman" w:hAnsi="Arial" w:cs="Arial"/>
          <w:color w:val="000000"/>
          <w:sz w:val="18"/>
          <w:szCs w:val="18"/>
        </w:rPr>
        <w:t xml:space="preserve">his decrease was partially offset by an increase in Pandemic-related work orders and new services, including EnhancedClean, and by the expansion of certain accounts and new business. </w:t>
      </w:r>
    </w:p>
    <w:p w14:paraId="387FD6E9" w14:textId="77777777" w:rsidR="00000000" w:rsidRDefault="001D0688">
      <w:pPr>
        <w:ind w:hanging="270"/>
        <w:jc w:val="both"/>
        <w:divId w:val="118601443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Revenues in 2020 and 2019 reflect the adoption of Accounting Standar</w:t>
      </w:r>
      <w:r>
        <w:rPr>
          <w:rFonts w:ascii="Arial" w:eastAsia="Times New Roman" w:hAnsi="Arial" w:cs="Arial"/>
          <w:color w:val="000000"/>
          <w:sz w:val="18"/>
          <w:szCs w:val="18"/>
        </w:rPr>
        <w:t xml:space="preserve">ds Update (“ASU”) 2014-09, </w:t>
      </w:r>
      <w:r>
        <w:rPr>
          <w:rFonts w:ascii="Arial" w:eastAsia="Times New Roman" w:hAnsi="Arial" w:cs="Arial"/>
          <w:i/>
          <w:iCs/>
          <w:color w:val="000000"/>
          <w:sz w:val="18"/>
          <w:szCs w:val="18"/>
        </w:rPr>
        <w:t>Revenue from Contracts with Customers</w:t>
      </w:r>
      <w:r>
        <w:rPr>
          <w:rFonts w:ascii="Arial" w:eastAsia="Times New Roman" w:hAnsi="Arial" w:cs="Arial"/>
          <w:color w:val="000000"/>
          <w:sz w:val="18"/>
          <w:szCs w:val="18"/>
        </w:rPr>
        <w:t xml:space="preserve"> (Topic 606), and ASU 2017-10,</w:t>
      </w:r>
      <w:r>
        <w:rPr>
          <w:rFonts w:ascii="Arial" w:eastAsia="Times New Roman" w:hAnsi="Arial" w:cs="Arial"/>
          <w:i/>
          <w:iCs/>
          <w:color w:val="000000"/>
          <w:sz w:val="18"/>
          <w:szCs w:val="18"/>
        </w:rPr>
        <w:t xml:space="preserve"> Service Concession Arrangements (Topic 853): Determining the Customer of the Operation Services</w:t>
      </w:r>
      <w:r>
        <w:rPr>
          <w:rFonts w:ascii="Arial" w:eastAsia="Times New Roman" w:hAnsi="Arial" w:cs="Arial"/>
          <w:color w:val="000000"/>
          <w:sz w:val="18"/>
          <w:szCs w:val="18"/>
        </w:rPr>
        <w:t>. Following the adoption of Topic 853, for the years ended October</w:t>
      </w:r>
      <w:r>
        <w:rPr>
          <w:rFonts w:ascii="Arial" w:eastAsia="Times New Roman" w:hAnsi="Arial" w:cs="Arial"/>
          <w:color w:val="000000"/>
          <w:sz w:val="18"/>
          <w:szCs w:val="18"/>
        </w:rPr>
        <w:t xml:space="preserve"> 31, 2020 and 2019, rent expenses of $29.8 million and $48.6 million, respectively, related to service concession arrangements are now presented as reductions of revenues, but were previously presented as operating expenses. Refer to Note 2, “Basis of Pres</w:t>
      </w:r>
      <w:r>
        <w:rPr>
          <w:rFonts w:ascii="Arial" w:eastAsia="Times New Roman" w:hAnsi="Arial" w:cs="Arial"/>
          <w:color w:val="000000"/>
          <w:sz w:val="18"/>
          <w:szCs w:val="18"/>
        </w:rPr>
        <w:t>entation and Significant Accounting Policies,” and Note 3, “Revenues,” in the Financial Statements for additional information regarding service concessions.</w:t>
      </w:r>
    </w:p>
    <w:p w14:paraId="1B647167" w14:textId="77777777" w:rsidR="00000000" w:rsidRDefault="001D0688">
      <w:pPr>
        <w:jc w:val="center"/>
        <w:divId w:val="1253590491"/>
        <w:rPr>
          <w:rFonts w:eastAsia="Times New Roman"/>
        </w:rPr>
      </w:pPr>
      <w:r>
        <w:rPr>
          <w:rFonts w:ascii="Arial" w:eastAsia="Times New Roman" w:hAnsi="Arial" w:cs="Arial"/>
          <w:color w:val="000000"/>
          <w:sz w:val="20"/>
          <w:szCs w:val="20"/>
        </w:rPr>
        <w:t>19</w:t>
      </w:r>
    </w:p>
    <w:p w14:paraId="775F3E34" w14:textId="77777777" w:rsidR="00000000" w:rsidRDefault="001D0688">
      <w:pPr>
        <w:rPr>
          <w:rFonts w:eastAsia="Times New Roman"/>
        </w:rPr>
      </w:pPr>
      <w:r>
        <w:rPr>
          <w:rFonts w:eastAsia="Times New Roman"/>
        </w:rPr>
        <w:pict w14:anchorId="6D90ECF5">
          <v:rect id="_x0000_i1055" style="width:0;height:1.5pt" o:hralign="center" o:hrstd="t" o:hr="t" fillcolor="#a0a0a0" stroked="f"/>
        </w:pict>
      </w:r>
    </w:p>
    <w:p w14:paraId="1BE23D2A" w14:textId="77777777" w:rsidR="00000000" w:rsidRDefault="001D0688">
      <w:pPr>
        <w:divId w:val="2051219606"/>
        <w:rPr>
          <w:rFonts w:eastAsia="Times New Roman"/>
        </w:rPr>
      </w:pPr>
    </w:p>
    <w:p w14:paraId="515139DE" w14:textId="77777777" w:rsidR="00000000" w:rsidRDefault="001D0688">
      <w:pPr>
        <w:ind w:hanging="270"/>
        <w:jc w:val="both"/>
        <w:divId w:val="108279426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Revenues in 2018 included $858.1 million of incrementa</w:t>
      </w:r>
      <w:r>
        <w:rPr>
          <w:rFonts w:ascii="Arial" w:eastAsia="Times New Roman" w:hAnsi="Arial" w:cs="Arial"/>
          <w:color w:val="000000"/>
          <w:sz w:val="18"/>
          <w:szCs w:val="18"/>
        </w:rPr>
        <w:t>l revenue from acquisitions, primarily $855.7 million related to the acquisition of GCA. Revenues in 2017 included $208.1 million of incremental revenue from acquisitions, including $169.7 million related to GCA.</w:t>
      </w:r>
    </w:p>
    <w:p w14:paraId="3425C9AC" w14:textId="77777777" w:rsidR="00000000" w:rsidRDefault="001D0688">
      <w:pPr>
        <w:ind w:hanging="270"/>
        <w:jc w:val="both"/>
        <w:divId w:val="22684451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Factors affecting comparability of oper</w:t>
      </w:r>
      <w:r>
        <w:rPr>
          <w:rFonts w:ascii="Arial" w:eastAsia="Times New Roman" w:hAnsi="Arial" w:cs="Arial"/>
          <w:color w:val="000000"/>
          <w:sz w:val="18"/>
          <w:szCs w:val="18"/>
        </w:rPr>
        <w:t>ating profit consisted of the following:</w:t>
      </w:r>
    </w:p>
    <w:p w14:paraId="28B6A507" w14:textId="77777777" w:rsidR="00000000" w:rsidRDefault="001D0688">
      <w:pPr>
        <w:ind w:hanging="360"/>
        <w:jc w:val="both"/>
        <w:divId w:val="1424522978"/>
        <w:rPr>
          <w:rFonts w:eastAsia="Times New Roman"/>
        </w:rPr>
      </w:pPr>
      <w:r>
        <w:rPr>
          <w:rFonts w:ascii="Arial" w:eastAsia="Times New Roman" w:hAnsi="Arial" w:cs="Arial"/>
          <w:color w:val="000000"/>
          <w:sz w:val="18"/>
          <w:szCs w:val="18"/>
        </w:rPr>
        <w:t>•Operating profit in 2020 was negatively impacted by impairment charges recorded on goodwill and intangible assets totaling $172.8 million due to the adverse impact of market and business conditions resulting from t</w:t>
      </w:r>
      <w:r>
        <w:rPr>
          <w:rFonts w:ascii="Arial" w:eastAsia="Times New Roman" w:hAnsi="Arial" w:cs="Arial"/>
          <w:color w:val="000000"/>
          <w:sz w:val="18"/>
          <w:szCs w:val="18"/>
        </w:rPr>
        <w:t>he Pandemic. Operating profit was also negatively impacted by: account compression resulting from Pandemic-related disruptions in certain markets; a $17.6 million reserve on notes receivable related to a unique, entertainment-related project within Technic</w:t>
      </w:r>
      <w:r>
        <w:rPr>
          <w:rFonts w:ascii="Arial" w:eastAsia="Times New Roman" w:hAnsi="Arial" w:cs="Arial"/>
          <w:color w:val="000000"/>
          <w:sz w:val="18"/>
          <w:szCs w:val="18"/>
        </w:rPr>
        <w:t>al Solutions, mainly associated with increasing credit risk resulting from the Pandemic; $13.1 million of investments in EnhancedClean, other Pandemic-related projects, and certain corporate initiatives; and a $12.9 million increase in bad debt expense pri</w:t>
      </w:r>
      <w:r>
        <w:rPr>
          <w:rFonts w:ascii="Arial" w:eastAsia="Times New Roman" w:hAnsi="Arial" w:cs="Arial"/>
          <w:color w:val="000000"/>
          <w:sz w:val="18"/>
          <w:szCs w:val="18"/>
        </w:rPr>
        <w:t>marily due to specific reserves established for client receivables associated with increasing credit risk in certain industries (including for clients with deteriorating credit ratings and resulting bankruptcies) arising from the Pandemic. The decrease was</w:t>
      </w:r>
      <w:r>
        <w:rPr>
          <w:rFonts w:ascii="Arial" w:eastAsia="Times New Roman" w:hAnsi="Arial" w:cs="Arial"/>
          <w:color w:val="000000"/>
          <w:sz w:val="18"/>
          <w:szCs w:val="18"/>
        </w:rPr>
        <w:t xml:space="preserve"> partially offset by: the management of direct labor and related personnel costs during the Pandemic; various human capital management cost reduction measures; higher margins on work orders and new services, including EnhancedClean, relating to the Pandemi</w:t>
      </w:r>
      <w:r>
        <w:rPr>
          <w:rFonts w:ascii="Arial" w:eastAsia="Times New Roman" w:hAnsi="Arial" w:cs="Arial"/>
          <w:color w:val="000000"/>
          <w:sz w:val="18"/>
          <w:szCs w:val="18"/>
        </w:rPr>
        <w:t>c; the loss of certain lower margin accounts; and a $26.8 million decrease in self-insurance reserves, related to adjustments for prior years.</w:t>
      </w:r>
    </w:p>
    <w:p w14:paraId="01E5B358" w14:textId="77777777" w:rsidR="00000000" w:rsidRDefault="001D0688">
      <w:pPr>
        <w:ind w:hanging="360"/>
        <w:jc w:val="both"/>
        <w:divId w:val="1349064646"/>
        <w:rPr>
          <w:rFonts w:eastAsia="Times New Roman"/>
        </w:rPr>
      </w:pPr>
      <w:r>
        <w:rPr>
          <w:rFonts w:ascii="Arial" w:eastAsia="Times New Roman" w:hAnsi="Arial" w:cs="Arial"/>
          <w:color w:val="000000"/>
          <w:sz w:val="18"/>
          <w:szCs w:val="18"/>
        </w:rPr>
        <w:t>•Operating profit in 2019 was positively impacted by higher gross margin, $14.5 million lower restructuring and r</w:t>
      </w:r>
      <w:r>
        <w:rPr>
          <w:rFonts w:ascii="Arial" w:eastAsia="Times New Roman" w:hAnsi="Arial" w:cs="Arial"/>
          <w:color w:val="000000"/>
          <w:sz w:val="18"/>
          <w:szCs w:val="18"/>
        </w:rPr>
        <w:t>elated expenses, and a $13.6 million lower self-insurance adjustment related to prior year claims. Additionally, 2019 benefited from the absence of $26.5 million of impairment charges recognized during 2018.</w:t>
      </w:r>
    </w:p>
    <w:p w14:paraId="641DFA7A" w14:textId="77777777" w:rsidR="00000000" w:rsidRDefault="001D0688">
      <w:pPr>
        <w:ind w:hanging="360"/>
        <w:jc w:val="both"/>
        <w:divId w:val="557399149"/>
        <w:rPr>
          <w:rFonts w:eastAsia="Times New Roman"/>
        </w:rPr>
      </w:pPr>
      <w:r>
        <w:rPr>
          <w:rFonts w:ascii="Arial" w:eastAsia="Times New Roman" w:hAnsi="Arial" w:cs="Arial"/>
          <w:color w:val="000000"/>
          <w:sz w:val="18"/>
          <w:szCs w:val="18"/>
        </w:rPr>
        <w:t>•Operating profit in 2018 was positively impacte</w:t>
      </w:r>
      <w:r>
        <w:rPr>
          <w:rFonts w:ascii="Arial" w:eastAsia="Times New Roman" w:hAnsi="Arial" w:cs="Arial"/>
          <w:color w:val="000000"/>
          <w:sz w:val="18"/>
          <w:szCs w:val="18"/>
        </w:rPr>
        <w:t>d by $67.6 million of incremental operating profit resulting from the GCA acquisition and an $11.8 million lower self-insurance adjustment, partially offset by $34.4 million of higher amortization expense and impairment charges of $26.5 million. Additional</w:t>
      </w:r>
      <w:r>
        <w:rPr>
          <w:rFonts w:ascii="Arial" w:eastAsia="Times New Roman" w:hAnsi="Arial" w:cs="Arial"/>
          <w:color w:val="000000"/>
          <w:sz w:val="18"/>
          <w:szCs w:val="18"/>
        </w:rPr>
        <w:t>ly, 2018 benefited from the absence of $24.2 million of transaction expenses incurred in 2017 related to the GCA acquisition, but this benefit was partially offset by the absence of a $17.4 million impairment recovery recorded in 2017 related to our Govern</w:t>
      </w:r>
      <w:r>
        <w:rPr>
          <w:rFonts w:ascii="Arial" w:eastAsia="Times New Roman" w:hAnsi="Arial" w:cs="Arial"/>
          <w:color w:val="000000"/>
          <w:sz w:val="18"/>
          <w:szCs w:val="18"/>
        </w:rPr>
        <w:t xml:space="preserve">ment Services business. </w:t>
      </w:r>
    </w:p>
    <w:p w14:paraId="6D1F0D69" w14:textId="77777777" w:rsidR="00000000" w:rsidRDefault="001D0688">
      <w:pPr>
        <w:ind w:hanging="360"/>
        <w:jc w:val="both"/>
        <w:divId w:val="1291738832"/>
        <w:rPr>
          <w:rFonts w:eastAsia="Times New Roman"/>
        </w:rPr>
      </w:pPr>
      <w:r>
        <w:rPr>
          <w:rFonts w:ascii="Arial" w:eastAsia="Times New Roman" w:hAnsi="Arial" w:cs="Arial"/>
          <w:color w:val="000000"/>
          <w:sz w:val="18"/>
          <w:szCs w:val="18"/>
        </w:rPr>
        <w:t xml:space="preserve">•Operating profit in 2017 benefited from a $17.4 million impairment recovery, a $10.9 million lower self-insurance adjustment, a reduction in restructuring and related expenses, and procurement and organizational savings from our </w:t>
      </w:r>
      <w:r>
        <w:rPr>
          <w:rFonts w:ascii="Arial" w:eastAsia="Times New Roman" w:hAnsi="Arial" w:cs="Arial"/>
          <w:b/>
          <w:bCs/>
          <w:color w:val="FF9C1D"/>
          <w:sz w:val="18"/>
          <w:szCs w:val="18"/>
        </w:rPr>
        <w:t>2</w:t>
      </w:r>
      <w:r>
        <w:rPr>
          <w:rFonts w:ascii="Arial" w:eastAsia="Times New Roman" w:hAnsi="Arial" w:cs="Arial"/>
          <w:b/>
          <w:bCs/>
          <w:color w:val="FF9C1D"/>
          <w:sz w:val="18"/>
          <w:szCs w:val="18"/>
        </w:rPr>
        <w:t>020</w:t>
      </w:r>
      <w:r>
        <w:rPr>
          <w:rFonts w:ascii="Arial" w:eastAsia="Times New Roman" w:hAnsi="Arial" w:cs="Arial"/>
          <w:b/>
          <w:bCs/>
          <w:color w:val="000000"/>
          <w:sz w:val="18"/>
          <w:szCs w:val="18"/>
        </w:rPr>
        <w:t xml:space="preserve"> </w:t>
      </w:r>
      <w:r>
        <w:rPr>
          <w:rFonts w:ascii="Arial" w:eastAsia="Times New Roman" w:hAnsi="Arial" w:cs="Arial"/>
          <w:b/>
          <w:bCs/>
          <w:color w:val="326ABD"/>
          <w:sz w:val="18"/>
          <w:szCs w:val="18"/>
        </w:rPr>
        <w:t>Vision</w:t>
      </w:r>
      <w:r>
        <w:rPr>
          <w:rFonts w:ascii="Arial" w:eastAsia="Times New Roman" w:hAnsi="Arial" w:cs="Arial"/>
          <w:color w:val="000000"/>
          <w:sz w:val="18"/>
          <w:szCs w:val="18"/>
        </w:rPr>
        <w:t xml:space="preserve"> initiatives, all partially offset by $24.2 million of transaction expenses related to the GCA acquisition.</w:t>
      </w:r>
    </w:p>
    <w:p w14:paraId="5B5265FC" w14:textId="77777777" w:rsidR="00000000" w:rsidRDefault="001D0688">
      <w:pPr>
        <w:ind w:hanging="360"/>
        <w:jc w:val="both"/>
        <w:divId w:val="1736394026"/>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Operating profit in 2016 was negatively impacted by insurance expense of $49.6 million, consisting of a $32.9 million unfavorable self-insurance adjustment related to prior year claims and $16.7 million of higher insurance expense due to an increase in the</w:t>
      </w:r>
      <w:r>
        <w:rPr>
          <w:rFonts w:ascii="Arial" w:eastAsia="Times New Roman" w:hAnsi="Arial" w:cs="Arial"/>
          <w:color w:val="000000"/>
          <w:sz w:val="18"/>
          <w:szCs w:val="18"/>
        </w:rPr>
        <w:t xml:space="preserve"> rate used to record our insurance reserves during 2016. Operating profit was also unfavorably impacted by $29.0 million of </w:t>
      </w:r>
      <w:r>
        <w:rPr>
          <w:rFonts w:ascii="Arial" w:eastAsia="Times New Roman" w:hAnsi="Arial" w:cs="Arial"/>
          <w:b/>
          <w:bCs/>
          <w:color w:val="FF9C1D"/>
          <w:sz w:val="18"/>
          <w:szCs w:val="18"/>
        </w:rPr>
        <w:t>2020</w:t>
      </w:r>
      <w:r>
        <w:rPr>
          <w:rFonts w:ascii="Arial" w:eastAsia="Times New Roman" w:hAnsi="Arial" w:cs="Arial"/>
          <w:b/>
          <w:bCs/>
          <w:color w:val="326ABD"/>
          <w:sz w:val="18"/>
          <w:szCs w:val="18"/>
        </w:rPr>
        <w:t xml:space="preserve"> Vision</w:t>
      </w:r>
      <w:r>
        <w:rPr>
          <w:rFonts w:ascii="Arial" w:eastAsia="Times New Roman" w:hAnsi="Arial" w:cs="Arial"/>
          <w:color w:val="000000"/>
          <w:sz w:val="18"/>
          <w:szCs w:val="18"/>
        </w:rPr>
        <w:t xml:space="preserve"> restructuring and related charges and a $22.5 million impairment charge for our Government Services business, consisting</w:t>
      </w:r>
      <w:r>
        <w:rPr>
          <w:rFonts w:ascii="Arial" w:eastAsia="Times New Roman" w:hAnsi="Arial" w:cs="Arial"/>
          <w:color w:val="000000"/>
          <w:sz w:val="18"/>
          <w:szCs w:val="18"/>
        </w:rPr>
        <w:t xml:space="preserve"> of both goodwill and long-lived asset charges. Operating profit in 2016 was favorably impacted by approximately $22 million in savings from our </w:t>
      </w:r>
      <w:r>
        <w:rPr>
          <w:rFonts w:ascii="Arial" w:eastAsia="Times New Roman" w:hAnsi="Arial" w:cs="Arial"/>
          <w:b/>
          <w:bCs/>
          <w:color w:val="FF9C1D"/>
          <w:sz w:val="18"/>
          <w:szCs w:val="18"/>
        </w:rPr>
        <w:t xml:space="preserve">2020 </w:t>
      </w:r>
      <w:r>
        <w:rPr>
          <w:rFonts w:ascii="Arial" w:eastAsia="Times New Roman" w:hAnsi="Arial" w:cs="Arial"/>
          <w:b/>
          <w:bCs/>
          <w:color w:val="326ABD"/>
          <w:sz w:val="18"/>
          <w:szCs w:val="18"/>
        </w:rPr>
        <w:t>Vision</w:t>
      </w:r>
      <w:r>
        <w:rPr>
          <w:rFonts w:ascii="Arial" w:eastAsia="Times New Roman" w:hAnsi="Arial" w:cs="Arial"/>
          <w:color w:val="000000"/>
          <w:sz w:val="18"/>
          <w:szCs w:val="18"/>
        </w:rPr>
        <w:t xml:space="preserve"> initiatives. </w:t>
      </w:r>
    </w:p>
    <w:p w14:paraId="031F63AB" w14:textId="77777777" w:rsidR="00000000" w:rsidRDefault="001D0688">
      <w:pPr>
        <w:ind w:hanging="270"/>
        <w:jc w:val="both"/>
        <w:divId w:val="1884706140"/>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We had income from discontinued operations in 2018 of $1.8 million due to an insu</w:t>
      </w:r>
      <w:r>
        <w:rPr>
          <w:rFonts w:ascii="Arial" w:eastAsia="Times New Roman" w:hAnsi="Arial" w:cs="Arial"/>
          <w:color w:val="000000"/>
          <w:sz w:val="18"/>
          <w:szCs w:val="18"/>
        </w:rPr>
        <w:t>rance reimbursement on a legal settlement and collection of previously written off receivables, partially offset by union audit settlements. The loss from discontinued operations in 2017 included legal settlements associated with our former Security busine</w:t>
      </w:r>
      <w:r>
        <w:rPr>
          <w:rFonts w:ascii="Arial" w:eastAsia="Times New Roman" w:hAnsi="Arial" w:cs="Arial"/>
          <w:color w:val="000000"/>
          <w:sz w:val="18"/>
          <w:szCs w:val="18"/>
        </w:rPr>
        <w:t>ss of $120.0 million.</w:t>
      </w:r>
    </w:p>
    <w:p w14:paraId="663F58E8" w14:textId="77777777" w:rsidR="00000000" w:rsidRDefault="001D0688">
      <w:pPr>
        <w:ind w:hanging="270"/>
        <w:jc w:val="both"/>
        <w:divId w:val="1250387552"/>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 xml:space="preserve"> </w:t>
      </w:r>
      <w:r>
        <w:rPr>
          <w:rFonts w:ascii="Arial" w:eastAsia="Times New Roman" w:hAnsi="Arial" w:cs="Arial"/>
          <w:color w:val="000000"/>
          <w:sz w:val="18"/>
          <w:szCs w:val="18"/>
        </w:rPr>
        <w:t>Net income tax payments during 2018 were impacted by a $19.4 million refund received for prior year legal settlements. Additionally, we had cash tax savings of approximately $8 million for 2020, $6 million for 2019, and $7 million</w:t>
      </w:r>
      <w:r>
        <w:rPr>
          <w:rFonts w:ascii="Arial" w:eastAsia="Times New Roman" w:hAnsi="Arial" w:cs="Arial"/>
          <w:color w:val="000000"/>
          <w:sz w:val="18"/>
          <w:szCs w:val="18"/>
        </w:rPr>
        <w:t xml:space="preserve"> for 2018 and $10 million for each of 2017 and 2016 related to coverage provided by IFM Assurance Company, our wholly-owned captive insurance company. </w:t>
      </w:r>
    </w:p>
    <w:p w14:paraId="2742A88F" w14:textId="77777777" w:rsidR="00000000" w:rsidRDefault="001D0688">
      <w:pPr>
        <w:ind w:hanging="270"/>
        <w:jc w:val="both"/>
        <w:divId w:val="259723099"/>
        <w:rPr>
          <w:rFonts w:eastAsia="Times New Roman"/>
        </w:rPr>
      </w:pPr>
      <w:r>
        <w:rPr>
          <w:rFonts w:ascii="Arial" w:eastAsia="Times New Roman" w:hAnsi="Arial" w:cs="Arial"/>
          <w:color w:val="000000"/>
          <w:sz w:val="12"/>
          <w:szCs w:val="12"/>
        </w:rPr>
        <w:t>(7)</w:t>
      </w:r>
      <w:r>
        <w:rPr>
          <w:rFonts w:ascii="Arial" w:eastAsia="Times New Roman" w:hAnsi="Arial" w:cs="Arial"/>
          <w:color w:val="000000"/>
          <w:sz w:val="12"/>
          <w:szCs w:val="12"/>
        </w:rPr>
        <w:t xml:space="preserve"> </w:t>
      </w:r>
      <w:r>
        <w:rPr>
          <w:rFonts w:ascii="Arial" w:eastAsia="Times New Roman" w:hAnsi="Arial" w:cs="Arial"/>
          <w:color w:val="000000"/>
          <w:sz w:val="18"/>
          <w:szCs w:val="18"/>
        </w:rPr>
        <w:t>Trade accounts receivable, net of allowances, decreased by $159.0 million as of October 31, 2020. Th</w:t>
      </w:r>
      <w:r>
        <w:rPr>
          <w:rFonts w:ascii="Arial" w:eastAsia="Times New Roman" w:hAnsi="Arial" w:cs="Arial"/>
          <w:color w:val="000000"/>
          <w:sz w:val="18"/>
          <w:szCs w:val="18"/>
        </w:rPr>
        <w:t xml:space="preserve">is decrease was driven by a decrease in revenue relating to the Pandemic and our focus on collection of client receivables. Trade accounts receivable, net of allowances, increased by $118.1 million on September 1, 2017, as a result of the GCA acquisition. </w:t>
      </w:r>
    </w:p>
    <w:p w14:paraId="43492C1F" w14:textId="77777777" w:rsidR="00000000" w:rsidRDefault="001D0688">
      <w:pPr>
        <w:ind w:hanging="270"/>
        <w:jc w:val="both"/>
        <w:divId w:val="739861820"/>
        <w:rPr>
          <w:rFonts w:eastAsia="Times New Roman"/>
        </w:rPr>
      </w:pPr>
      <w:r>
        <w:rPr>
          <w:rFonts w:ascii="Arial" w:eastAsia="Times New Roman" w:hAnsi="Arial" w:cs="Arial"/>
          <w:color w:val="000000"/>
          <w:sz w:val="12"/>
          <w:szCs w:val="12"/>
        </w:rPr>
        <w:t>(8)</w:t>
      </w:r>
      <w:r>
        <w:rPr>
          <w:rFonts w:ascii="Arial" w:eastAsia="Times New Roman" w:hAnsi="Arial" w:cs="Arial"/>
          <w:color w:val="000000"/>
          <w:sz w:val="12"/>
          <w:szCs w:val="12"/>
        </w:rPr>
        <w:t xml:space="preserve"> </w:t>
      </w:r>
      <w:r>
        <w:rPr>
          <w:rFonts w:ascii="Arial" w:eastAsia="Times New Roman" w:hAnsi="Arial" w:cs="Arial"/>
          <w:color w:val="000000"/>
          <w:sz w:val="18"/>
          <w:szCs w:val="18"/>
        </w:rPr>
        <w:t>In 2020, goodwill decreased due to an impairment charge totaling $163.8 million ($99.3 million related to Education, $55.5 million related to Aviation, and $9.0 million related to our U.K. Technical Solutions business) driven by the impact of the Pand</w:t>
      </w:r>
      <w:r>
        <w:rPr>
          <w:rFonts w:ascii="Arial" w:eastAsia="Times New Roman" w:hAnsi="Arial" w:cs="Arial"/>
          <w:color w:val="000000"/>
          <w:sz w:val="18"/>
          <w:szCs w:val="18"/>
        </w:rPr>
        <w:t xml:space="preserve">emic. Goodwill decreased in 2018 due to an impairment charge of $20.3 million related to Westway Services Holdings (2014) Ltd. (“Westway”) and to a $7.0 million adjustment to the final GCA purchase price allocation. Goodwill increased by $933.9 million on </w:t>
      </w:r>
      <w:r>
        <w:rPr>
          <w:rFonts w:ascii="Arial" w:eastAsia="Times New Roman" w:hAnsi="Arial" w:cs="Arial"/>
          <w:color w:val="000000"/>
          <w:sz w:val="18"/>
          <w:szCs w:val="18"/>
        </w:rPr>
        <w:t xml:space="preserve">September 1, 2017, as a result of the GCA acquisition. </w:t>
      </w:r>
    </w:p>
    <w:p w14:paraId="692E879D" w14:textId="77777777" w:rsidR="00000000" w:rsidRDefault="001D0688">
      <w:pPr>
        <w:ind w:hanging="270"/>
        <w:jc w:val="both"/>
        <w:divId w:val="1165170512"/>
        <w:rPr>
          <w:rFonts w:eastAsia="Times New Roman"/>
        </w:rPr>
      </w:pPr>
      <w:r>
        <w:rPr>
          <w:rFonts w:ascii="Arial" w:eastAsia="Times New Roman" w:hAnsi="Arial" w:cs="Arial"/>
          <w:color w:val="000000"/>
          <w:sz w:val="12"/>
          <w:szCs w:val="12"/>
        </w:rPr>
        <w:t>(9)</w:t>
      </w:r>
      <w:r>
        <w:rPr>
          <w:rFonts w:ascii="Arial" w:eastAsia="Times New Roman" w:hAnsi="Arial" w:cs="Arial"/>
          <w:color w:val="000000"/>
          <w:sz w:val="12"/>
          <w:szCs w:val="12"/>
        </w:rPr>
        <w:t xml:space="preserve"> </w:t>
      </w:r>
      <w:r>
        <w:rPr>
          <w:rFonts w:ascii="Arial" w:eastAsia="Times New Roman" w:hAnsi="Arial" w:cs="Arial"/>
          <w:color w:val="000000"/>
          <w:sz w:val="18"/>
          <w:szCs w:val="18"/>
        </w:rPr>
        <w:t>In 2020, other intangible assets, net of accumulated amortization, were reduced by impairment charges of $5.6 million related to Aviation and $3.4 million related to our U.K. Technical Solutions b</w:t>
      </w:r>
      <w:r>
        <w:rPr>
          <w:rFonts w:ascii="Arial" w:eastAsia="Times New Roman" w:hAnsi="Arial" w:cs="Arial"/>
          <w:color w:val="000000"/>
          <w:sz w:val="18"/>
          <w:szCs w:val="18"/>
        </w:rPr>
        <w:t>usiness driven by the impact of the Pandemic. In 2018, other intangible assets, net of accumulated amortization, were reduced by an impairment charge of $6.2 million related to Westway and a $1.0 million adjustment to the final GCA purchase price allocatio</w:t>
      </w:r>
      <w:r>
        <w:rPr>
          <w:rFonts w:ascii="Arial" w:eastAsia="Times New Roman" w:hAnsi="Arial" w:cs="Arial"/>
          <w:color w:val="000000"/>
          <w:sz w:val="18"/>
          <w:szCs w:val="18"/>
        </w:rPr>
        <w:t>n. During 2017, we recorded $349.0 million of other intangible assets as a result of the GCA acquisition.</w:t>
      </w:r>
    </w:p>
    <w:p w14:paraId="39157085" w14:textId="77777777" w:rsidR="00000000" w:rsidRDefault="001D0688">
      <w:pPr>
        <w:ind w:hanging="270"/>
        <w:jc w:val="both"/>
        <w:divId w:val="1414660788"/>
        <w:rPr>
          <w:rFonts w:eastAsia="Times New Roman"/>
        </w:rPr>
      </w:pPr>
      <w:r>
        <w:rPr>
          <w:rFonts w:ascii="Arial" w:eastAsia="Times New Roman" w:hAnsi="Arial" w:cs="Arial"/>
          <w:color w:val="000000"/>
          <w:sz w:val="12"/>
          <w:szCs w:val="12"/>
        </w:rPr>
        <w:t>(10)</w:t>
      </w:r>
      <w:r>
        <w:rPr>
          <w:rFonts w:ascii="Arial" w:eastAsia="Times New Roman" w:hAnsi="Arial" w:cs="Arial"/>
          <w:color w:val="000000"/>
          <w:sz w:val="12"/>
          <w:szCs w:val="12"/>
        </w:rPr>
        <w:t xml:space="preserve"> </w:t>
      </w:r>
      <w:r>
        <w:rPr>
          <w:rFonts w:ascii="Arial" w:eastAsia="Times New Roman" w:hAnsi="Arial" w:cs="Arial"/>
          <w:color w:val="000000"/>
          <w:sz w:val="18"/>
          <w:szCs w:val="18"/>
        </w:rPr>
        <w:t>On September 1, 2017, we refinanced and replaced our existing $800.0 million credit facility with a new secured $1.7 billion credit facility, whi</w:t>
      </w:r>
      <w:r>
        <w:rPr>
          <w:rFonts w:ascii="Arial" w:eastAsia="Times New Roman" w:hAnsi="Arial" w:cs="Arial"/>
          <w:color w:val="000000"/>
          <w:sz w:val="18"/>
          <w:szCs w:val="18"/>
        </w:rPr>
        <w:t xml:space="preserve">ch we partially used to fund the GCA acquisition. </w:t>
      </w:r>
    </w:p>
    <w:p w14:paraId="068A7A08" w14:textId="77777777" w:rsidR="00000000" w:rsidRDefault="001D0688">
      <w:pPr>
        <w:jc w:val="both"/>
        <w:divId w:val="975111578"/>
        <w:rPr>
          <w:rFonts w:eastAsia="Times New Roman"/>
        </w:rPr>
      </w:pPr>
    </w:p>
    <w:p w14:paraId="097844F9" w14:textId="77777777" w:rsidR="00000000" w:rsidRDefault="001D0688">
      <w:pPr>
        <w:jc w:val="center"/>
        <w:divId w:val="1943371659"/>
        <w:rPr>
          <w:rFonts w:eastAsia="Times New Roman"/>
        </w:rPr>
      </w:pPr>
      <w:r>
        <w:rPr>
          <w:rFonts w:ascii="Arial" w:eastAsia="Times New Roman" w:hAnsi="Arial" w:cs="Arial"/>
          <w:color w:val="000000"/>
          <w:sz w:val="20"/>
          <w:szCs w:val="20"/>
        </w:rPr>
        <w:t>20</w:t>
      </w:r>
    </w:p>
    <w:p w14:paraId="65FAC38B" w14:textId="77777777" w:rsidR="00000000" w:rsidRDefault="001D0688">
      <w:pPr>
        <w:rPr>
          <w:rFonts w:eastAsia="Times New Roman"/>
        </w:rPr>
      </w:pPr>
      <w:r>
        <w:rPr>
          <w:rFonts w:eastAsia="Times New Roman"/>
        </w:rPr>
        <w:pict w14:anchorId="6BDF645E">
          <v:rect id="_x0000_i1056" style="width:0;height:1.5pt" o:hralign="center" o:hrstd="t" o:hr="t" fillcolor="#a0a0a0" stroked="f"/>
        </w:pict>
      </w:r>
    </w:p>
    <w:p w14:paraId="602CA973" w14:textId="77777777" w:rsidR="00000000" w:rsidRDefault="001D0688">
      <w:pPr>
        <w:divId w:val="968053033"/>
        <w:rPr>
          <w:rFonts w:eastAsia="Times New Roman"/>
        </w:rPr>
      </w:pPr>
    </w:p>
    <w:p w14:paraId="2C6D8795" w14:textId="77777777" w:rsidR="00000000" w:rsidRDefault="001D0688">
      <w:pPr>
        <w:jc w:val="both"/>
        <w:divId w:val="1394812794"/>
        <w:rPr>
          <w:rFonts w:eastAsia="Times New Roman"/>
        </w:rPr>
      </w:pPr>
      <w:r>
        <w:rPr>
          <w:rFonts w:ascii="Arial" w:eastAsia="Times New Roman" w:hAnsi="Arial" w:cs="Arial"/>
          <w:b/>
          <w:bCs/>
          <w:color w:val="0046AD"/>
          <w:sz w:val="20"/>
          <w:szCs w:val="20"/>
        </w:rPr>
        <w:t>ITEM 7. MANAGEMENT’S DISCUSSION AND ANALYSIS OF FINANCIAL CONDITION AND RESULTS OF OPERATIONS.</w:t>
      </w:r>
    </w:p>
    <w:p w14:paraId="00F71AB3" w14:textId="77777777" w:rsidR="00000000" w:rsidRDefault="001D0688">
      <w:pPr>
        <w:ind w:firstLine="720"/>
        <w:jc w:val="both"/>
        <w:divId w:val="381832441"/>
        <w:rPr>
          <w:rFonts w:eastAsia="Times New Roman"/>
        </w:rPr>
      </w:pPr>
      <w:r>
        <w:rPr>
          <w:rFonts w:ascii="Arial" w:eastAsia="Times New Roman" w:hAnsi="Arial" w:cs="Arial"/>
          <w:color w:val="000000"/>
          <w:sz w:val="20"/>
          <w:szCs w:val="20"/>
        </w:rPr>
        <w:t>The following MD&amp;A is intended to facilitate an understanding of th</w:t>
      </w:r>
      <w:r>
        <w:rPr>
          <w:rFonts w:ascii="Arial" w:eastAsia="Times New Roman" w:hAnsi="Arial" w:cs="Arial"/>
          <w:color w:val="000000"/>
          <w:sz w:val="20"/>
          <w:szCs w:val="20"/>
        </w:rPr>
        <w:t>e results of operations and financial condition of ABM. This MD&amp;A is provided as a supplement to, and should be read in conjunction with, our Financial Statements. This MD&amp;A contains both historical and forward-looking statements, within the meaning of the</w:t>
      </w:r>
      <w:r>
        <w:rPr>
          <w:rFonts w:ascii="Arial" w:eastAsia="Times New Roman" w:hAnsi="Arial" w:cs="Arial"/>
          <w:color w:val="000000"/>
          <w:sz w:val="20"/>
          <w:szCs w:val="20"/>
        </w:rPr>
        <w:t xml:space="preserve"> Private Securities Litigation Reform Act of 1995, that involve risks and uncertainties. We make forward-looking statements related to future expectations, estimates, and projections that are uncertain and often contain words such as “anticipate,” “believe</w:t>
      </w:r>
      <w:r>
        <w:rPr>
          <w:rFonts w:ascii="Arial" w:eastAsia="Times New Roman" w:hAnsi="Arial" w:cs="Arial"/>
          <w:color w:val="000000"/>
          <w:sz w:val="20"/>
          <w:szCs w:val="20"/>
        </w:rPr>
        <w:t>,” “could,” “estimate,” “expect,” “forecast,” “intend,” “likely,” “may,” “outlook,” “plan,” “predict,” “should,” “target,” or other similar words or phrases. These statements are not guarantees of future performance and are subject to known and unknown ris</w:t>
      </w:r>
      <w:r>
        <w:rPr>
          <w:rFonts w:ascii="Arial" w:eastAsia="Times New Roman" w:hAnsi="Arial" w:cs="Arial"/>
          <w:color w:val="000000"/>
          <w:sz w:val="20"/>
          <w:szCs w:val="20"/>
        </w:rPr>
        <w:t>ks, uncertainties, and assumptions that are difficult to predict. Factors that might cause such differences include, but are not limited to, those discussed in Part 1. of this Form 10-K under Item 1A., “Risk Factors,” which are incorporated herein by refer</w:t>
      </w:r>
      <w:r>
        <w:rPr>
          <w:rFonts w:ascii="Arial" w:eastAsia="Times New Roman" w:hAnsi="Arial" w:cs="Arial"/>
          <w:color w:val="000000"/>
          <w:sz w:val="20"/>
          <w:szCs w:val="20"/>
        </w:rPr>
        <w:t>ence. Our future results and financial condition may be materially different from those we currently anticipate.</w:t>
      </w:r>
    </w:p>
    <w:p w14:paraId="22C80804" w14:textId="77777777" w:rsidR="00000000" w:rsidRDefault="001D0688">
      <w:pPr>
        <w:ind w:firstLine="720"/>
        <w:jc w:val="both"/>
        <w:divId w:val="300497237"/>
        <w:rPr>
          <w:rFonts w:eastAsia="Times New Roman"/>
        </w:rPr>
      </w:pPr>
      <w:r>
        <w:rPr>
          <w:rFonts w:ascii="Arial" w:eastAsia="Times New Roman" w:hAnsi="Arial" w:cs="Arial"/>
          <w:color w:val="000000"/>
          <w:sz w:val="20"/>
          <w:szCs w:val="20"/>
        </w:rPr>
        <w:t>Throughout the MD&amp;</w:t>
      </w:r>
      <w:r>
        <w:rPr>
          <w:rFonts w:ascii="Arial" w:eastAsia="Times New Roman" w:hAnsi="Arial" w:cs="Arial"/>
          <w:color w:val="000000"/>
          <w:sz w:val="20"/>
          <w:szCs w:val="20"/>
        </w:rPr>
        <w:t xml:space="preserve">A, amounts and percentages may not recalculate due to rounding. Unless otherwise indicated, all information in the MD&amp;A and references to years are based on our fiscal year, which ends on October 31. </w:t>
      </w:r>
    </w:p>
    <w:p w14:paraId="6EE843C3" w14:textId="77777777" w:rsidR="00000000" w:rsidRDefault="001D0688">
      <w:pPr>
        <w:ind w:firstLine="720"/>
        <w:jc w:val="both"/>
        <w:divId w:val="2115784499"/>
        <w:rPr>
          <w:rFonts w:eastAsia="Times New Roman"/>
        </w:rPr>
      </w:pPr>
      <w:r>
        <w:rPr>
          <w:rFonts w:ascii="Arial" w:eastAsia="Times New Roman" w:hAnsi="Arial" w:cs="Arial"/>
          <w:color w:val="000000"/>
          <w:sz w:val="20"/>
          <w:szCs w:val="20"/>
        </w:rPr>
        <w:t xml:space="preserve">Effective November 1, 2019, we adopted ASU 2016-02, </w:t>
      </w:r>
      <w:r>
        <w:rPr>
          <w:rFonts w:ascii="Arial" w:eastAsia="Times New Roman" w:hAnsi="Arial" w:cs="Arial"/>
          <w:i/>
          <w:iCs/>
          <w:color w:val="000000"/>
          <w:sz w:val="20"/>
          <w:szCs w:val="20"/>
        </w:rPr>
        <w:t>Lea</w:t>
      </w:r>
      <w:r>
        <w:rPr>
          <w:rFonts w:ascii="Arial" w:eastAsia="Times New Roman" w:hAnsi="Arial" w:cs="Arial"/>
          <w:i/>
          <w:iCs/>
          <w:color w:val="000000"/>
          <w:sz w:val="20"/>
          <w:szCs w:val="20"/>
        </w:rPr>
        <w:t>ses</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 xml:space="preserve">(Topic 842) </w:t>
      </w:r>
      <w:r>
        <w:rPr>
          <w:rFonts w:ascii="Arial" w:eastAsia="Times New Roman" w:hAnsi="Arial" w:cs="Arial"/>
          <w:color w:val="000000"/>
          <w:sz w:val="20"/>
          <w:szCs w:val="20"/>
        </w:rPr>
        <w:t>and related amendments, using a modified retrospective approach; prior period Financial Statements were not adjusted. Refer to Note 2, “Basis of Presentation and Significant Accounting Policies,” and Note 4, “Leases,” in the Financial Statements for additi</w:t>
      </w:r>
      <w:r>
        <w:rPr>
          <w:rFonts w:ascii="Arial" w:eastAsia="Times New Roman" w:hAnsi="Arial" w:cs="Arial"/>
          <w:color w:val="000000"/>
          <w:sz w:val="20"/>
          <w:szCs w:val="20"/>
        </w:rPr>
        <w:t xml:space="preserve">onal information regarding the impact of adoption. </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0FBF2623" w14:textId="77777777">
        <w:trPr>
          <w:divId w:val="243612185"/>
        </w:trPr>
        <w:tc>
          <w:tcPr>
            <w:tcW w:w="50" w:type="pct"/>
            <w:vAlign w:val="center"/>
            <w:hideMark/>
          </w:tcPr>
          <w:p w14:paraId="5F7C9207" w14:textId="77777777" w:rsidR="00000000" w:rsidRDefault="001D0688">
            <w:pPr>
              <w:ind w:firstLine="720"/>
              <w:jc w:val="both"/>
              <w:rPr>
                <w:rFonts w:eastAsia="Times New Roman"/>
              </w:rPr>
            </w:pPr>
          </w:p>
        </w:tc>
        <w:tc>
          <w:tcPr>
            <w:tcW w:w="4945" w:type="pct"/>
            <w:vAlign w:val="center"/>
            <w:hideMark/>
          </w:tcPr>
          <w:p w14:paraId="48FAF447" w14:textId="77777777" w:rsidR="00000000" w:rsidRDefault="001D0688">
            <w:pPr>
              <w:rPr>
                <w:rFonts w:eastAsia="Times New Roman"/>
                <w:sz w:val="20"/>
                <w:szCs w:val="20"/>
              </w:rPr>
            </w:pPr>
          </w:p>
        </w:tc>
        <w:tc>
          <w:tcPr>
            <w:tcW w:w="5" w:type="pct"/>
            <w:vAlign w:val="center"/>
            <w:hideMark/>
          </w:tcPr>
          <w:p w14:paraId="5E7A2A8C" w14:textId="77777777" w:rsidR="00000000" w:rsidRDefault="001D0688">
            <w:pPr>
              <w:rPr>
                <w:rFonts w:eastAsia="Times New Roman"/>
                <w:sz w:val="20"/>
                <w:szCs w:val="20"/>
              </w:rPr>
            </w:pPr>
          </w:p>
        </w:tc>
      </w:tr>
      <w:tr w:rsidR="00000000" w14:paraId="71D5BBE4" w14:textId="77777777">
        <w:trPr>
          <w:divId w:val="243612185"/>
        </w:trPr>
        <w:tc>
          <w:tcPr>
            <w:tcW w:w="0" w:type="auto"/>
            <w:gridSpan w:val="3"/>
            <w:tcBorders>
              <w:bottom w:val="single" w:sz="8" w:space="0" w:color="E98300"/>
            </w:tcBorders>
            <w:shd w:val="clear" w:color="auto" w:fill="FFFFFF"/>
            <w:tcMar>
              <w:top w:w="30" w:type="dxa"/>
              <w:left w:w="20" w:type="dxa"/>
              <w:bottom w:w="30" w:type="dxa"/>
              <w:right w:w="20" w:type="dxa"/>
            </w:tcMar>
            <w:vAlign w:val="bottom"/>
            <w:hideMark/>
          </w:tcPr>
          <w:p w14:paraId="3326C80F" w14:textId="77777777" w:rsidR="00000000" w:rsidRDefault="001D0688">
            <w:pPr>
              <w:divId w:val="1739286093"/>
              <w:rPr>
                <w:rFonts w:eastAsia="Times New Roman"/>
              </w:rPr>
            </w:pPr>
            <w:r>
              <w:rPr>
                <w:rFonts w:ascii="Arial" w:eastAsia="Times New Roman" w:hAnsi="Arial" w:cs="Arial"/>
                <w:b/>
                <w:bCs/>
                <w:color w:val="0046AD"/>
                <w:sz w:val="20"/>
                <w:szCs w:val="20"/>
              </w:rPr>
              <w:t>Business Overview</w:t>
            </w:r>
          </w:p>
        </w:tc>
      </w:tr>
    </w:tbl>
    <w:p w14:paraId="2F960EDE" w14:textId="77777777" w:rsidR="00000000" w:rsidRDefault="001D0688">
      <w:pPr>
        <w:ind w:firstLine="720"/>
        <w:jc w:val="both"/>
        <w:divId w:val="1980723037"/>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Our principal operations are in </w:t>
      </w:r>
      <w:r>
        <w:rPr>
          <w:rFonts w:ascii="Arial" w:eastAsia="Times New Roman" w:hAnsi="Arial" w:cs="Arial"/>
          <w:color w:val="000000"/>
          <w:sz w:val="20"/>
          <w:szCs w:val="20"/>
        </w:rPr>
        <w:t>the United States, and in 2020 our U.S. operations generated approximately 94% of our revenues.</w:t>
      </w:r>
    </w:p>
    <w:p w14:paraId="2AC52A00" w14:textId="77777777" w:rsidR="00000000" w:rsidRDefault="001D0688">
      <w:pPr>
        <w:jc w:val="both"/>
        <w:divId w:val="1745031588"/>
        <w:rPr>
          <w:rFonts w:eastAsia="Times New Roman"/>
        </w:rPr>
      </w:pPr>
      <w:r>
        <w:rPr>
          <w:rFonts w:ascii="Arial" w:eastAsia="Times New Roman" w:hAnsi="Arial" w:cs="Arial"/>
          <w:b/>
          <w:bCs/>
          <w:color w:val="0046AD"/>
          <w:sz w:val="20"/>
          <w:szCs w:val="20"/>
        </w:rPr>
        <w:t>Strategic Growth</w:t>
      </w:r>
    </w:p>
    <w:p w14:paraId="68E9032F" w14:textId="77777777" w:rsidR="00000000" w:rsidRDefault="001D0688">
      <w:pPr>
        <w:ind w:firstLine="720"/>
        <w:jc w:val="both"/>
        <w:divId w:val="1034304361"/>
        <w:rPr>
          <w:rFonts w:eastAsia="Times New Roman"/>
        </w:rPr>
      </w:pPr>
      <w:r>
        <w:rPr>
          <w:rFonts w:ascii="Arial" w:eastAsia="Times New Roman" w:hAnsi="Arial" w:cs="Arial"/>
          <w:color w:val="000000"/>
          <w:sz w:val="20"/>
          <w:szCs w:val="20"/>
        </w:rPr>
        <w:t>We remain focused on long-term, profitable growth related to both new and existing clients within our industry groups and across our many service lines. Our revenue growth strategy is predicated on pursuing new sales and targeting a favorable retention rat</w:t>
      </w:r>
      <w:r>
        <w:rPr>
          <w:rFonts w:ascii="Arial" w:eastAsia="Times New Roman" w:hAnsi="Arial" w:cs="Arial"/>
          <w:color w:val="000000"/>
          <w:sz w:val="20"/>
          <w:szCs w:val="20"/>
        </w:rPr>
        <w:t>e among existing contracts. Cross-selling and up-selling projects and services is also an integral part of our strategy. We believe operational leverage from our strategic growth initiatives, coupled with our continued focus on efficiency, will increase pr</w:t>
      </w:r>
      <w:r>
        <w:rPr>
          <w:rFonts w:ascii="Arial" w:eastAsia="Times New Roman" w:hAnsi="Arial" w:cs="Arial"/>
          <w:color w:val="000000"/>
          <w:sz w:val="20"/>
          <w:szCs w:val="20"/>
        </w:rPr>
        <w:t xml:space="preserve">ofitability. </w:t>
      </w:r>
    </w:p>
    <w:p w14:paraId="4E2C2353" w14:textId="77777777" w:rsidR="00000000" w:rsidRDefault="001D0688">
      <w:pPr>
        <w:jc w:val="both"/>
        <w:divId w:val="1315795829"/>
        <w:rPr>
          <w:rFonts w:eastAsia="Times New Roman"/>
        </w:rPr>
      </w:pPr>
      <w:r>
        <w:rPr>
          <w:rFonts w:ascii="Arial" w:eastAsia="Times New Roman" w:hAnsi="Arial" w:cs="Arial"/>
          <w:b/>
          <w:bCs/>
          <w:color w:val="0046AD"/>
          <w:sz w:val="20"/>
          <w:szCs w:val="20"/>
        </w:rPr>
        <w:t>Systems and Technology Transformation</w:t>
      </w:r>
    </w:p>
    <w:p w14:paraId="0E540DA8" w14:textId="77777777" w:rsidR="00000000" w:rsidRDefault="001D0688">
      <w:pPr>
        <w:ind w:firstLine="720"/>
        <w:jc w:val="both"/>
        <w:divId w:val="1980499649"/>
        <w:rPr>
          <w:rFonts w:eastAsia="Times New Roman"/>
        </w:rPr>
      </w:pPr>
      <w:r>
        <w:rPr>
          <w:rFonts w:ascii="Arial" w:eastAsia="Times New Roman" w:hAnsi="Arial" w:cs="Arial"/>
          <w:color w:val="000000"/>
          <w:sz w:val="20"/>
          <w:szCs w:val="20"/>
        </w:rPr>
        <w:t>We have initiated many technology-based modernization efforts that we believe will enable us to operate more efficiently and provide us with greater data and insights to enhance our business management ca</w:t>
      </w:r>
      <w:r>
        <w:rPr>
          <w:rFonts w:ascii="Arial" w:eastAsia="Times New Roman" w:hAnsi="Arial" w:cs="Arial"/>
          <w:color w:val="000000"/>
          <w:sz w:val="20"/>
          <w:szCs w:val="20"/>
        </w:rPr>
        <w:t xml:space="preserve">pabilities. We believe these new tools and systems will equip us for long-term success and position us for an even stronger and more prosperous future. </w:t>
      </w:r>
    </w:p>
    <w:p w14:paraId="499CAC17" w14:textId="77777777" w:rsidR="00000000" w:rsidRDefault="001D0688">
      <w:pPr>
        <w:jc w:val="both"/>
        <w:divId w:val="840630981"/>
        <w:rPr>
          <w:rFonts w:eastAsia="Times New Roman"/>
        </w:rPr>
      </w:pPr>
      <w:r>
        <w:rPr>
          <w:rFonts w:ascii="Arial" w:eastAsia="Times New Roman" w:hAnsi="Arial" w:cs="Arial"/>
          <w:i/>
          <w:iCs/>
          <w:color w:val="0046AD"/>
          <w:sz w:val="20"/>
          <w:szCs w:val="20"/>
        </w:rPr>
        <w:t>Human Resources and Labor Management</w:t>
      </w:r>
    </w:p>
    <w:p w14:paraId="1A82C1D4" w14:textId="77777777" w:rsidR="00000000" w:rsidRDefault="001D0688">
      <w:pPr>
        <w:ind w:firstLine="720"/>
        <w:jc w:val="both"/>
        <w:divId w:val="1083795933"/>
        <w:rPr>
          <w:rFonts w:eastAsia="Times New Roman"/>
        </w:rPr>
      </w:pPr>
      <w:r>
        <w:rPr>
          <w:rFonts w:ascii="Arial" w:eastAsia="Times New Roman" w:hAnsi="Arial" w:cs="Arial"/>
          <w:color w:val="000000"/>
          <w:sz w:val="20"/>
          <w:szCs w:val="20"/>
        </w:rPr>
        <w:t>During 2019 we launched our new cloud-based human capital manageme</w:t>
      </w:r>
      <w:r>
        <w:rPr>
          <w:rFonts w:ascii="Arial" w:eastAsia="Times New Roman" w:hAnsi="Arial" w:cs="Arial"/>
          <w:color w:val="000000"/>
          <w:sz w:val="20"/>
          <w:szCs w:val="20"/>
        </w:rPr>
        <w:t>nt system. This investment will create an HR structure that centralizes and standardizes hiring and training practices to help us make more informed decisions and ultimately manage certain costs. We have also introduced new tools to help our operators mana</w:t>
      </w:r>
      <w:r>
        <w:rPr>
          <w:rFonts w:ascii="Arial" w:eastAsia="Times New Roman" w:hAnsi="Arial" w:cs="Arial"/>
          <w:color w:val="000000"/>
          <w:sz w:val="20"/>
          <w:szCs w:val="20"/>
        </w:rPr>
        <w:t xml:space="preserve">ge labor more efficiently, and we continue to invest in attracting, developing, and retaining talent. </w:t>
      </w:r>
    </w:p>
    <w:p w14:paraId="2552A2D5" w14:textId="77777777" w:rsidR="00000000" w:rsidRDefault="001D0688">
      <w:pPr>
        <w:jc w:val="both"/>
        <w:divId w:val="1725907004"/>
        <w:rPr>
          <w:rFonts w:eastAsia="Times New Roman"/>
        </w:rPr>
      </w:pPr>
      <w:r>
        <w:rPr>
          <w:rFonts w:ascii="Arial" w:eastAsia="Times New Roman" w:hAnsi="Arial" w:cs="Arial"/>
          <w:i/>
          <w:iCs/>
          <w:color w:val="0046AD"/>
          <w:sz w:val="20"/>
          <w:szCs w:val="20"/>
        </w:rPr>
        <w:t>Enterprise Resource Planning</w:t>
      </w:r>
    </w:p>
    <w:p w14:paraId="6E3D7D6C" w14:textId="77777777" w:rsidR="00000000" w:rsidRDefault="001D0688">
      <w:pPr>
        <w:ind w:firstLine="720"/>
        <w:jc w:val="both"/>
        <w:divId w:val="1458909774"/>
        <w:rPr>
          <w:rFonts w:eastAsia="Times New Roman"/>
        </w:rPr>
      </w:pPr>
      <w:r>
        <w:rPr>
          <w:rFonts w:ascii="Arial" w:eastAsia="Times New Roman" w:hAnsi="Arial" w:cs="Arial"/>
          <w:color w:val="000000"/>
          <w:sz w:val="20"/>
          <w:szCs w:val="20"/>
        </w:rPr>
        <w:t xml:space="preserve">During 2019 and the first quarter of 2020 we also made progress with the multi-phased deployment of our new ERP system, and </w:t>
      </w:r>
      <w:r>
        <w:rPr>
          <w:rFonts w:ascii="Arial" w:eastAsia="Times New Roman" w:hAnsi="Arial" w:cs="Arial"/>
          <w:color w:val="000000"/>
          <w:sz w:val="20"/>
          <w:szCs w:val="20"/>
        </w:rPr>
        <w:t>in the future we anticipate having a unified system where we can integrate our legacy ABM and our legacy GCA finance environments for the first time. This newly combined system will streamline the operational and financial execution of our business and lea</w:t>
      </w:r>
      <w:r>
        <w:rPr>
          <w:rFonts w:ascii="Arial" w:eastAsia="Times New Roman" w:hAnsi="Arial" w:cs="Arial"/>
          <w:color w:val="000000"/>
          <w:sz w:val="20"/>
          <w:szCs w:val="20"/>
        </w:rPr>
        <w:t>d to more effective decision making in the future. Due to the Pandemic-related disruptions, the implementation of the new ERP system was temporarily suspended in the second and third quarters of 2020. In the fourth quarter of 2020, we re-engaged the implem</w:t>
      </w:r>
      <w:r>
        <w:rPr>
          <w:rFonts w:ascii="Arial" w:eastAsia="Times New Roman" w:hAnsi="Arial" w:cs="Arial"/>
          <w:color w:val="000000"/>
          <w:sz w:val="20"/>
          <w:szCs w:val="20"/>
        </w:rPr>
        <w:t>entation.</w:t>
      </w:r>
    </w:p>
    <w:p w14:paraId="48019357" w14:textId="77777777" w:rsidR="00000000" w:rsidRDefault="001D0688">
      <w:pPr>
        <w:jc w:val="both"/>
        <w:divId w:val="1859149423"/>
        <w:rPr>
          <w:rFonts w:eastAsia="Times New Roman"/>
        </w:rPr>
      </w:pPr>
    </w:p>
    <w:p w14:paraId="7F7E5B3A" w14:textId="77777777" w:rsidR="00000000" w:rsidRDefault="001D0688">
      <w:pPr>
        <w:jc w:val="center"/>
        <w:divId w:val="1709911270"/>
        <w:rPr>
          <w:rFonts w:eastAsia="Times New Roman"/>
        </w:rPr>
      </w:pPr>
      <w:r>
        <w:rPr>
          <w:rFonts w:ascii="Arial" w:eastAsia="Times New Roman" w:hAnsi="Arial" w:cs="Arial"/>
          <w:color w:val="000000"/>
          <w:sz w:val="20"/>
          <w:szCs w:val="20"/>
        </w:rPr>
        <w:t>21</w:t>
      </w:r>
    </w:p>
    <w:p w14:paraId="2D7EAC1E" w14:textId="77777777" w:rsidR="00000000" w:rsidRDefault="001D0688">
      <w:pPr>
        <w:rPr>
          <w:rFonts w:eastAsia="Times New Roman"/>
        </w:rPr>
      </w:pPr>
      <w:r>
        <w:rPr>
          <w:rFonts w:eastAsia="Times New Roman"/>
        </w:rPr>
        <w:pict w14:anchorId="741A639B">
          <v:rect id="_x0000_i1057" style="width:0;height:1.5pt" o:hralign="center" o:hrstd="t" o:hr="t" fillcolor="#a0a0a0" stroked="f"/>
        </w:pict>
      </w:r>
    </w:p>
    <w:p w14:paraId="6F9DD20A" w14:textId="77777777" w:rsidR="00000000" w:rsidRDefault="001D0688">
      <w:pPr>
        <w:divId w:val="87585185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5CD5927F" w14:textId="77777777">
        <w:trPr>
          <w:divId w:val="379983713"/>
        </w:trPr>
        <w:tc>
          <w:tcPr>
            <w:tcW w:w="50" w:type="pct"/>
            <w:vAlign w:val="center"/>
            <w:hideMark/>
          </w:tcPr>
          <w:p w14:paraId="148FACFE" w14:textId="77777777" w:rsidR="00000000" w:rsidRDefault="001D0688">
            <w:pPr>
              <w:rPr>
                <w:rFonts w:eastAsia="Times New Roman"/>
              </w:rPr>
            </w:pPr>
          </w:p>
        </w:tc>
        <w:tc>
          <w:tcPr>
            <w:tcW w:w="4945" w:type="pct"/>
            <w:vAlign w:val="center"/>
            <w:hideMark/>
          </w:tcPr>
          <w:p w14:paraId="66EC3A5A" w14:textId="77777777" w:rsidR="00000000" w:rsidRDefault="001D0688">
            <w:pPr>
              <w:rPr>
                <w:rFonts w:eastAsia="Times New Roman"/>
                <w:sz w:val="20"/>
                <w:szCs w:val="20"/>
              </w:rPr>
            </w:pPr>
          </w:p>
        </w:tc>
        <w:tc>
          <w:tcPr>
            <w:tcW w:w="5" w:type="pct"/>
            <w:vAlign w:val="center"/>
            <w:hideMark/>
          </w:tcPr>
          <w:p w14:paraId="0F8783BD" w14:textId="77777777" w:rsidR="00000000" w:rsidRDefault="001D0688">
            <w:pPr>
              <w:rPr>
                <w:rFonts w:eastAsia="Times New Roman"/>
                <w:sz w:val="20"/>
                <w:szCs w:val="20"/>
              </w:rPr>
            </w:pPr>
          </w:p>
        </w:tc>
      </w:tr>
      <w:tr w:rsidR="00000000" w14:paraId="2F9E07E2" w14:textId="77777777">
        <w:trPr>
          <w:divId w:val="379983713"/>
        </w:trPr>
        <w:tc>
          <w:tcPr>
            <w:tcW w:w="0" w:type="auto"/>
            <w:gridSpan w:val="3"/>
            <w:tcBorders>
              <w:bottom w:val="single" w:sz="8" w:space="0" w:color="E98300"/>
            </w:tcBorders>
            <w:shd w:val="clear" w:color="auto" w:fill="FFFFFF"/>
            <w:tcMar>
              <w:top w:w="30" w:type="dxa"/>
              <w:left w:w="20" w:type="dxa"/>
              <w:bottom w:w="30" w:type="dxa"/>
              <w:right w:w="20" w:type="dxa"/>
            </w:tcMar>
            <w:vAlign w:val="bottom"/>
            <w:hideMark/>
          </w:tcPr>
          <w:p w14:paraId="0861EBC1" w14:textId="77777777" w:rsidR="00000000" w:rsidRDefault="001D0688">
            <w:pPr>
              <w:divId w:val="1894273388"/>
              <w:rPr>
                <w:rFonts w:eastAsia="Times New Roman"/>
              </w:rPr>
            </w:pPr>
            <w:r>
              <w:rPr>
                <w:rFonts w:ascii="Arial" w:eastAsia="Times New Roman" w:hAnsi="Arial" w:cs="Arial"/>
                <w:b/>
                <w:bCs/>
                <w:color w:val="0046AD"/>
                <w:sz w:val="20"/>
                <w:szCs w:val="20"/>
              </w:rPr>
              <w:t>Developments and Trends</w:t>
            </w:r>
          </w:p>
        </w:tc>
      </w:tr>
    </w:tbl>
    <w:p w14:paraId="5CA1287D" w14:textId="77777777" w:rsidR="00000000" w:rsidRDefault="001D0688">
      <w:pPr>
        <w:jc w:val="both"/>
        <w:divId w:val="1972050144"/>
        <w:rPr>
          <w:rFonts w:eastAsia="Times New Roman"/>
        </w:rPr>
      </w:pPr>
      <w:r>
        <w:rPr>
          <w:rFonts w:ascii="Arial" w:eastAsia="Times New Roman" w:hAnsi="Arial" w:cs="Arial"/>
          <w:b/>
          <w:bCs/>
          <w:color w:val="0046AD"/>
          <w:sz w:val="20"/>
          <w:szCs w:val="20"/>
        </w:rPr>
        <w:t>COVID-19 Pandemic</w:t>
      </w:r>
    </w:p>
    <w:p w14:paraId="2D9B36E0" w14:textId="77777777" w:rsidR="00000000" w:rsidRDefault="001D0688">
      <w:pPr>
        <w:ind w:firstLine="720"/>
        <w:jc w:val="both"/>
        <w:divId w:val="1544369607"/>
        <w:rPr>
          <w:rFonts w:eastAsia="Times New Roman"/>
        </w:rPr>
      </w:pPr>
      <w:r>
        <w:rPr>
          <w:rFonts w:ascii="Arial" w:eastAsia="Times New Roman" w:hAnsi="Arial" w:cs="Arial"/>
          <w:color w:val="000000"/>
          <w:sz w:val="20"/>
          <w:szCs w:val="20"/>
        </w:rPr>
        <w:t>COVID-19 has resulted in a worldwide health Pandemic. To date, COVID-19 has surfaced in nearly all regions around the world and resulted in business slowdowns and shutdowns, as well as global travel restrictions. We, along with many of our clients, have be</w:t>
      </w:r>
      <w:r>
        <w:rPr>
          <w:rFonts w:ascii="Arial" w:eastAsia="Times New Roman" w:hAnsi="Arial" w:cs="Arial"/>
          <w:color w:val="000000"/>
          <w:sz w:val="20"/>
          <w:szCs w:val="20"/>
        </w:rPr>
        <w:t>en impacted by recommendations and/or mandates from federal, state, and local authorities to practice social distancing, to refrain from gathering in groups, and, in some areas, to refrain from non-essential movements outside of homes. The Pandemic has als</w:t>
      </w:r>
      <w:r>
        <w:rPr>
          <w:rFonts w:ascii="Arial" w:eastAsia="Times New Roman" w:hAnsi="Arial" w:cs="Arial"/>
          <w:color w:val="000000"/>
          <w:sz w:val="20"/>
          <w:szCs w:val="20"/>
        </w:rPr>
        <w:t>o created unanticipated circumstances and uncertainty, disruption, and significant volatility in the broader economy. Refer to “Consolidated Results of Operations” and “Results of Operations by Segment” for additional information related to the impact of t</w:t>
      </w:r>
      <w:r>
        <w:rPr>
          <w:rFonts w:ascii="Arial" w:eastAsia="Times New Roman" w:hAnsi="Arial" w:cs="Arial"/>
          <w:color w:val="000000"/>
          <w:sz w:val="20"/>
          <w:szCs w:val="20"/>
        </w:rPr>
        <w:t xml:space="preserve">he Pandemic on our financial results. </w:t>
      </w:r>
    </w:p>
    <w:p w14:paraId="369505B1" w14:textId="77777777" w:rsidR="00000000" w:rsidRDefault="001D0688">
      <w:pPr>
        <w:ind w:firstLine="720"/>
        <w:jc w:val="both"/>
        <w:divId w:val="582646488"/>
        <w:rPr>
          <w:rFonts w:eastAsia="Times New Roman"/>
        </w:rPr>
      </w:pPr>
      <w:r>
        <w:rPr>
          <w:rFonts w:ascii="Arial" w:eastAsia="Times New Roman" w:hAnsi="Arial" w:cs="Arial"/>
          <w:color w:val="000000"/>
          <w:sz w:val="20"/>
          <w:szCs w:val="20"/>
        </w:rPr>
        <w:t>Given the unprecedented and uncertain nature and potential duration of this situation, we cannot reasonably estimate the full extent of the impact the Pandemic will have on our financial condition, results of operatio</w:t>
      </w:r>
      <w:r>
        <w:rPr>
          <w:rFonts w:ascii="Arial" w:eastAsia="Times New Roman" w:hAnsi="Arial" w:cs="Arial"/>
          <w:color w:val="000000"/>
          <w:sz w:val="20"/>
          <w:szCs w:val="20"/>
        </w:rPr>
        <w:t xml:space="preserve">ns, or cash flows. The ultimate extent of the effects of the Pandemic on our company is highly uncertain and will depend on future developments, and such effects could exist for an extended period of time even after the Pandemic subsides. </w:t>
      </w:r>
    </w:p>
    <w:p w14:paraId="0E083ABC" w14:textId="77777777" w:rsidR="00000000" w:rsidRDefault="001D0688">
      <w:pPr>
        <w:ind w:firstLine="720"/>
        <w:jc w:val="both"/>
        <w:divId w:val="1269047837"/>
        <w:rPr>
          <w:rFonts w:eastAsia="Times New Roman"/>
        </w:rPr>
      </w:pPr>
      <w:r>
        <w:rPr>
          <w:rFonts w:ascii="Arial" w:eastAsia="Times New Roman" w:hAnsi="Arial" w:cs="Arial"/>
          <w:color w:val="000000"/>
          <w:sz w:val="20"/>
          <w:szCs w:val="20"/>
        </w:rPr>
        <w:t>Our priority has</w:t>
      </w:r>
      <w:r>
        <w:rPr>
          <w:rFonts w:ascii="Arial" w:eastAsia="Times New Roman" w:hAnsi="Arial" w:cs="Arial"/>
          <w:color w:val="000000"/>
          <w:sz w:val="20"/>
          <w:szCs w:val="20"/>
        </w:rPr>
        <w:t xml:space="preserve"> been and continues to be the health, safety, and support of our employees, our clients, and the communities that we serve. We have also taken actions to strengthen our liquidity, cash flows, and financial position to help mitigate potential future impacts</w:t>
      </w:r>
      <w:r>
        <w:rPr>
          <w:rFonts w:ascii="Arial" w:eastAsia="Times New Roman" w:hAnsi="Arial" w:cs="Arial"/>
          <w:color w:val="000000"/>
          <w:sz w:val="20"/>
          <w:szCs w:val="20"/>
        </w:rPr>
        <w:t xml:space="preserve"> on our operations and financial performance. These priorities and measures include, but are not limited to, the following:</w:t>
      </w:r>
    </w:p>
    <w:p w14:paraId="6CC1F332" w14:textId="77777777" w:rsidR="00000000" w:rsidRDefault="001D0688">
      <w:pPr>
        <w:ind w:firstLine="720"/>
        <w:jc w:val="both"/>
        <w:divId w:val="977302687"/>
        <w:rPr>
          <w:rFonts w:eastAsia="Times New Roman"/>
        </w:rPr>
      </w:pPr>
      <w:r>
        <w:rPr>
          <w:rFonts w:ascii="Arial" w:eastAsia="Times New Roman" w:hAnsi="Arial" w:cs="Arial"/>
          <w:i/>
          <w:iCs/>
          <w:color w:val="0046AD"/>
          <w:sz w:val="20"/>
          <w:szCs w:val="20"/>
        </w:rPr>
        <w:t>Health and Safety of our Employees and Clients</w:t>
      </w:r>
    </w:p>
    <w:p w14:paraId="679BA824" w14:textId="77777777" w:rsidR="00000000" w:rsidRDefault="001D0688">
      <w:pPr>
        <w:ind w:firstLine="720"/>
        <w:jc w:val="both"/>
        <w:divId w:val="309604382"/>
        <w:rPr>
          <w:rFonts w:eastAsia="Times New Roman"/>
        </w:rPr>
      </w:pPr>
      <w:r>
        <w:rPr>
          <w:rFonts w:ascii="Arial" w:eastAsia="Times New Roman" w:hAnsi="Arial" w:cs="Arial"/>
          <w:color w:val="000000"/>
          <w:sz w:val="20"/>
          <w:szCs w:val="20"/>
        </w:rPr>
        <w:t>As the Pandemic has developed, we have taken steps to support our employees and clien</w:t>
      </w:r>
      <w:r>
        <w:rPr>
          <w:rFonts w:ascii="Arial" w:eastAsia="Times New Roman" w:hAnsi="Arial" w:cs="Arial"/>
          <w:color w:val="000000"/>
          <w:sz w:val="20"/>
          <w:szCs w:val="20"/>
        </w:rPr>
        <w:t>ts based on recommendations from various global experts, including the World Health Organization, the Centers for Disease Control and Prevention, the Occupational Safety and Health Administration, and the U.K. National Health Service. To help protect our e</w:t>
      </w:r>
      <w:r>
        <w:rPr>
          <w:rFonts w:ascii="Arial" w:eastAsia="Times New Roman" w:hAnsi="Arial" w:cs="Arial"/>
          <w:color w:val="000000"/>
          <w:sz w:val="20"/>
          <w:szCs w:val="20"/>
        </w:rPr>
        <w:t>mployees and our clients, face masks and other personal protective equipment (“PPE”) are being used by our employees. We have also encouraged our employees to practice social distancing and wash hands frequently. Additionally, we transitioned many office-b</w:t>
      </w:r>
      <w:r>
        <w:rPr>
          <w:rFonts w:ascii="Arial" w:eastAsia="Times New Roman" w:hAnsi="Arial" w:cs="Arial"/>
          <w:color w:val="000000"/>
          <w:sz w:val="20"/>
          <w:szCs w:val="20"/>
        </w:rPr>
        <w:t xml:space="preserve">ased employees to a remote work environment, suspended non-essential travel, and adopted technologies to allow employees to effectively perform their functions remotely. </w:t>
      </w:r>
    </w:p>
    <w:p w14:paraId="598E6B55" w14:textId="77777777" w:rsidR="00000000" w:rsidRDefault="001D0688">
      <w:pPr>
        <w:ind w:firstLine="720"/>
        <w:jc w:val="both"/>
        <w:divId w:val="288361980"/>
        <w:rPr>
          <w:rFonts w:eastAsia="Times New Roman"/>
        </w:rPr>
      </w:pPr>
      <w:r>
        <w:rPr>
          <w:rFonts w:ascii="Arial" w:eastAsia="Times New Roman" w:hAnsi="Arial" w:cs="Arial"/>
          <w:i/>
          <w:iCs/>
          <w:color w:val="0046AD"/>
          <w:sz w:val="20"/>
          <w:szCs w:val="20"/>
        </w:rPr>
        <w:t>Client Focus</w:t>
      </w:r>
    </w:p>
    <w:p w14:paraId="47B87831" w14:textId="77777777" w:rsidR="00000000" w:rsidRDefault="001D0688">
      <w:pPr>
        <w:ind w:firstLine="720"/>
        <w:jc w:val="both"/>
        <w:divId w:val="104037103"/>
        <w:rPr>
          <w:rFonts w:eastAsia="Times New Roman"/>
        </w:rPr>
      </w:pPr>
      <w:r>
        <w:rPr>
          <w:rFonts w:ascii="Arial" w:eastAsia="Times New Roman" w:hAnsi="Arial" w:cs="Arial"/>
          <w:color w:val="000000"/>
          <w:sz w:val="20"/>
          <w:szCs w:val="20"/>
        </w:rPr>
        <w:t>Over the past few years, we have focused on consolidating purchasing act</w:t>
      </w:r>
      <w:r>
        <w:rPr>
          <w:rFonts w:ascii="Arial" w:eastAsia="Times New Roman" w:hAnsi="Arial" w:cs="Arial"/>
          <w:color w:val="000000"/>
          <w:sz w:val="20"/>
          <w:szCs w:val="20"/>
        </w:rPr>
        <w:t>ivities to leverage our scale and identify preferred suppliers. While we have seen a reduction in the availability of supplies and an increase in costs, our procurement efforts have helped create a positive supply chain for our company and clients during t</w:t>
      </w:r>
      <w:r>
        <w:rPr>
          <w:rFonts w:ascii="Arial" w:eastAsia="Times New Roman" w:hAnsi="Arial" w:cs="Arial"/>
          <w:color w:val="000000"/>
          <w:sz w:val="20"/>
          <w:szCs w:val="20"/>
        </w:rPr>
        <w:t xml:space="preserve">he Pandemic, particularly as city and state mandates on PPE for employees have arisen. We will continue to monitor our supply chain for potential impacts as future developments unfold. </w:t>
      </w:r>
    </w:p>
    <w:p w14:paraId="0AE7C140" w14:textId="77777777" w:rsidR="00000000" w:rsidRDefault="001D0688">
      <w:pPr>
        <w:ind w:firstLine="720"/>
        <w:jc w:val="both"/>
        <w:divId w:val="1340549697"/>
        <w:rPr>
          <w:rFonts w:eastAsia="Times New Roman"/>
        </w:rPr>
      </w:pPr>
      <w:r>
        <w:rPr>
          <w:rFonts w:ascii="Arial" w:eastAsia="Times New Roman" w:hAnsi="Arial" w:cs="Arial"/>
          <w:color w:val="000000"/>
          <w:sz w:val="20"/>
          <w:szCs w:val="20"/>
        </w:rPr>
        <w:t xml:space="preserve">The Pandemic continues to create a dynamic client environment, and we </w:t>
      </w:r>
      <w:r>
        <w:rPr>
          <w:rFonts w:ascii="Arial" w:eastAsia="Times New Roman" w:hAnsi="Arial" w:cs="Arial"/>
          <w:color w:val="000000"/>
          <w:sz w:val="20"/>
          <w:szCs w:val="20"/>
        </w:rPr>
        <w:t>are working diligently to ensure our clients’ changing staffing and service needs are met. We are also developing new cleaning initiatives in accordance with various protocols issued by global experts, including deep cleaning services, special project clea</w:t>
      </w:r>
      <w:r>
        <w:rPr>
          <w:rFonts w:ascii="Arial" w:eastAsia="Times New Roman" w:hAnsi="Arial" w:cs="Arial"/>
          <w:color w:val="000000"/>
          <w:sz w:val="20"/>
          <w:szCs w:val="20"/>
        </w:rPr>
        <w:t xml:space="preserve">ning services, and other work orders. </w:t>
      </w:r>
    </w:p>
    <w:p w14:paraId="77ED78BB" w14:textId="77777777" w:rsidR="00000000" w:rsidRDefault="001D0688">
      <w:pPr>
        <w:ind w:firstLine="720"/>
        <w:jc w:val="both"/>
        <w:divId w:val="426586791"/>
        <w:rPr>
          <w:rFonts w:eastAsia="Times New Roman"/>
        </w:rPr>
      </w:pPr>
      <w:r>
        <w:rPr>
          <w:rFonts w:ascii="Arial" w:eastAsia="Times New Roman" w:hAnsi="Arial" w:cs="Arial"/>
          <w:color w:val="000000"/>
          <w:sz w:val="20"/>
          <w:szCs w:val="20"/>
        </w:rPr>
        <w:t>In April 2020, we announced our EnhancedClea</w:t>
      </w:r>
      <w:r>
        <w:rPr>
          <w:rFonts w:ascii="Arial" w:eastAsia="Times New Roman" w:hAnsi="Arial" w:cs="Arial"/>
          <w:color w:val="000000"/>
          <w:sz w:val="20"/>
          <w:szCs w:val="20"/>
        </w:rPr>
        <w:t>n</w:t>
      </w:r>
      <w:r>
        <w:rPr>
          <w:rFonts w:ascii="Arial" w:eastAsia="Times New Roman" w:hAnsi="Arial" w:cs="Arial"/>
          <w:color w:val="000000"/>
          <w:sz w:val="13"/>
          <w:szCs w:val="13"/>
        </w:rPr>
        <w:t>T</w:t>
      </w:r>
      <w:r>
        <w:rPr>
          <w:rFonts w:ascii="Arial" w:eastAsia="Times New Roman" w:hAnsi="Arial" w:cs="Arial"/>
          <w:color w:val="000000"/>
          <w:sz w:val="13"/>
          <w:szCs w:val="13"/>
        </w:rPr>
        <w:t>M</w:t>
      </w:r>
      <w:r>
        <w:rPr>
          <w:rFonts w:ascii="Arial" w:eastAsia="Times New Roman" w:hAnsi="Arial" w:cs="Arial"/>
          <w:color w:val="000000"/>
          <w:sz w:val="20"/>
          <w:szCs w:val="20"/>
        </w:rPr>
        <w:t xml:space="preserve"> Program (“EnhancedClean”</w:t>
      </w:r>
      <w:r>
        <w:rPr>
          <w:rFonts w:ascii="Arial" w:eastAsia="Times New Roman" w:hAnsi="Arial" w:cs="Arial"/>
          <w:color w:val="000000"/>
          <w:sz w:val="20"/>
          <w:szCs w:val="20"/>
        </w:rPr>
        <w:t>), an innovative solution that helps provide clients with healthy spaces. We designed EnhancedClean under the guidance of experts on infectious diseases and industrial hygiene to help provide our clients with processes that use hospital-grade disinfectants</w:t>
      </w:r>
      <w:r>
        <w:rPr>
          <w:rFonts w:ascii="Arial" w:eastAsia="Times New Roman" w:hAnsi="Arial" w:cs="Arial"/>
          <w:color w:val="000000"/>
          <w:sz w:val="20"/>
          <w:szCs w:val="20"/>
        </w:rPr>
        <w:t>, specialized equipment, and innovative solutions and technology. These solutions include: hygiene and safety protocols, utilization of disinfecting procedures and products for high-touch surfaces, employment of PPE, and communication and training protocol</w:t>
      </w:r>
      <w:r>
        <w:rPr>
          <w:rFonts w:ascii="Arial" w:eastAsia="Times New Roman" w:hAnsi="Arial" w:cs="Arial"/>
          <w:color w:val="000000"/>
          <w:sz w:val="20"/>
          <w:szCs w:val="20"/>
        </w:rPr>
        <w:t>s.</w:t>
      </w:r>
    </w:p>
    <w:p w14:paraId="6C3D9EE2" w14:textId="77777777" w:rsidR="00000000" w:rsidRDefault="001D0688">
      <w:pPr>
        <w:ind w:firstLine="720"/>
        <w:jc w:val="both"/>
        <w:divId w:val="1176113644"/>
        <w:rPr>
          <w:rFonts w:eastAsia="Times New Roman"/>
        </w:rPr>
      </w:pPr>
      <w:r>
        <w:rPr>
          <w:rFonts w:ascii="Arial" w:eastAsia="Times New Roman" w:hAnsi="Arial" w:cs="Arial"/>
          <w:i/>
          <w:iCs/>
          <w:color w:val="0046AD"/>
          <w:sz w:val="20"/>
          <w:szCs w:val="20"/>
        </w:rPr>
        <w:t xml:space="preserve">Expense Management </w:t>
      </w:r>
    </w:p>
    <w:p w14:paraId="1305352C" w14:textId="77777777" w:rsidR="00000000" w:rsidRDefault="001D0688">
      <w:pPr>
        <w:ind w:firstLine="720"/>
        <w:jc w:val="both"/>
        <w:divId w:val="553661911"/>
        <w:rPr>
          <w:rFonts w:eastAsia="Times New Roman"/>
        </w:rPr>
      </w:pPr>
      <w:r>
        <w:rPr>
          <w:rFonts w:ascii="Arial" w:eastAsia="Times New Roman" w:hAnsi="Arial" w:cs="Arial"/>
          <w:color w:val="000000"/>
          <w:sz w:val="20"/>
          <w:szCs w:val="20"/>
        </w:rPr>
        <w:t>As we adapted to the changing demand environment resulting from the Pandemic, during 2020 we implemented numerous cost cutting actions, such as:</w:t>
      </w:r>
    </w:p>
    <w:p w14:paraId="49D59035" w14:textId="77777777" w:rsidR="00000000" w:rsidRDefault="001D0688">
      <w:pPr>
        <w:ind w:hanging="360"/>
        <w:jc w:val="both"/>
        <w:divId w:val="493836737"/>
        <w:rPr>
          <w:rFonts w:eastAsia="Times New Roman"/>
        </w:rPr>
      </w:pPr>
      <w:r>
        <w:rPr>
          <w:rFonts w:ascii="Arial" w:eastAsia="Times New Roman" w:hAnsi="Arial" w:cs="Arial"/>
          <w:color w:val="000000"/>
          <w:sz w:val="20"/>
          <w:szCs w:val="20"/>
        </w:rPr>
        <w:t>•Various human capital management actions, including: temporary pay reductions for execu</w:t>
      </w:r>
      <w:r>
        <w:rPr>
          <w:rFonts w:ascii="Arial" w:eastAsia="Times New Roman" w:hAnsi="Arial" w:cs="Arial"/>
          <w:color w:val="000000"/>
          <w:sz w:val="20"/>
          <w:szCs w:val="20"/>
        </w:rPr>
        <w:t xml:space="preserve">tives, certain employees, and our Board of Directors, with full pay reinstated as of August 1, 2020; </w:t>
      </w:r>
    </w:p>
    <w:p w14:paraId="210A1613" w14:textId="77777777" w:rsidR="00000000" w:rsidRDefault="001D0688">
      <w:pPr>
        <w:jc w:val="center"/>
        <w:divId w:val="1467091771"/>
        <w:rPr>
          <w:rFonts w:eastAsia="Times New Roman"/>
        </w:rPr>
      </w:pPr>
      <w:r>
        <w:rPr>
          <w:rFonts w:ascii="Arial" w:eastAsia="Times New Roman" w:hAnsi="Arial" w:cs="Arial"/>
          <w:color w:val="000000"/>
          <w:sz w:val="20"/>
          <w:szCs w:val="20"/>
        </w:rPr>
        <w:t>22</w:t>
      </w:r>
    </w:p>
    <w:p w14:paraId="1AFDA20F" w14:textId="77777777" w:rsidR="00000000" w:rsidRDefault="001D0688">
      <w:pPr>
        <w:rPr>
          <w:rFonts w:eastAsia="Times New Roman"/>
        </w:rPr>
      </w:pPr>
      <w:r>
        <w:rPr>
          <w:rFonts w:eastAsia="Times New Roman"/>
        </w:rPr>
        <w:pict w14:anchorId="336C1C15">
          <v:rect id="_x0000_i1058" style="width:0;height:1.5pt" o:hralign="center" o:hrstd="t" o:hr="t" fillcolor="#a0a0a0" stroked="f"/>
        </w:pict>
      </w:r>
    </w:p>
    <w:p w14:paraId="0F3ED40C" w14:textId="77777777" w:rsidR="00000000" w:rsidRDefault="001D0688">
      <w:pPr>
        <w:divId w:val="1334453811"/>
        <w:rPr>
          <w:rFonts w:eastAsia="Times New Roman"/>
        </w:rPr>
      </w:pPr>
    </w:p>
    <w:p w14:paraId="7859857B" w14:textId="77777777" w:rsidR="00000000" w:rsidRDefault="001D0688">
      <w:pPr>
        <w:jc w:val="both"/>
        <w:divId w:val="1493175057"/>
        <w:rPr>
          <w:rFonts w:eastAsia="Times New Roman"/>
        </w:rPr>
      </w:pPr>
      <w:r>
        <w:rPr>
          <w:rFonts w:ascii="Arial" w:eastAsia="Times New Roman" w:hAnsi="Arial" w:cs="Arial"/>
          <w:color w:val="000000"/>
          <w:sz w:val="20"/>
          <w:szCs w:val="20"/>
        </w:rPr>
        <w:t>temporary furloughs or reduced working hours for certain staff and management employees, most of whom returned to work effective August 1, 2020; and the temporary suspension of certain benefits, including our 401(k) ma</w:t>
      </w:r>
      <w:r>
        <w:rPr>
          <w:rFonts w:ascii="Arial" w:eastAsia="Times New Roman" w:hAnsi="Arial" w:cs="Arial"/>
          <w:color w:val="000000"/>
          <w:sz w:val="20"/>
          <w:szCs w:val="20"/>
        </w:rPr>
        <w:t xml:space="preserve">tch, which will be reinstated effective January 1, 2021; </w:t>
      </w:r>
    </w:p>
    <w:p w14:paraId="1D62B792" w14:textId="77777777" w:rsidR="00000000" w:rsidRDefault="001D0688">
      <w:pPr>
        <w:ind w:hanging="360"/>
        <w:jc w:val="both"/>
        <w:divId w:val="117918677"/>
        <w:rPr>
          <w:rFonts w:eastAsia="Times New Roman"/>
        </w:rPr>
      </w:pPr>
      <w:r>
        <w:rPr>
          <w:rFonts w:ascii="Arial" w:eastAsia="Times New Roman" w:hAnsi="Arial" w:cs="Arial"/>
          <w:color w:val="000000"/>
          <w:sz w:val="20"/>
          <w:szCs w:val="20"/>
        </w:rPr>
        <w:t>•Actively managing direct labor and related personnel costs, including furloughs or reduced hours for certain service employees in markets significantly impacted by business slowdowns and shutdowns;</w:t>
      </w:r>
    </w:p>
    <w:p w14:paraId="6F29277D" w14:textId="77777777" w:rsidR="00000000" w:rsidRDefault="001D0688">
      <w:pPr>
        <w:ind w:hanging="360"/>
        <w:jc w:val="both"/>
        <w:divId w:val="1005205560"/>
        <w:rPr>
          <w:rFonts w:eastAsia="Times New Roman"/>
        </w:rPr>
      </w:pPr>
      <w:r>
        <w:rPr>
          <w:rFonts w:ascii="Arial" w:eastAsia="Times New Roman" w:hAnsi="Arial" w:cs="Arial"/>
          <w:color w:val="000000"/>
          <w:sz w:val="20"/>
          <w:szCs w:val="20"/>
        </w:rPr>
        <w:t>•Reducing our planned capital expenditures and operating expenditures for 2020, including the postponement of various technology initiatives (such as implementing our ERP system) that were deemed non-critical to our operations, some of which we re-engaged</w:t>
      </w:r>
      <w:r>
        <w:rPr>
          <w:rFonts w:ascii="Arial" w:eastAsia="Times New Roman" w:hAnsi="Arial" w:cs="Arial"/>
          <w:color w:val="000000"/>
          <w:sz w:val="20"/>
          <w:szCs w:val="20"/>
        </w:rPr>
        <w:t xml:space="preserve"> during the fourth quarter; and limiting travel and entertainment expenses; and </w:t>
      </w:r>
    </w:p>
    <w:p w14:paraId="18DCE33E" w14:textId="77777777" w:rsidR="00000000" w:rsidRDefault="001D0688">
      <w:pPr>
        <w:ind w:hanging="360"/>
        <w:jc w:val="both"/>
        <w:divId w:val="1675649437"/>
        <w:rPr>
          <w:rFonts w:eastAsia="Times New Roman"/>
        </w:rPr>
      </w:pPr>
      <w:r>
        <w:rPr>
          <w:rFonts w:ascii="Arial" w:eastAsia="Times New Roman" w:hAnsi="Arial" w:cs="Arial"/>
          <w:color w:val="000000"/>
          <w:sz w:val="20"/>
          <w:szCs w:val="20"/>
        </w:rPr>
        <w:t>•Reducing our sales expenses and discretionary spending projects across the Company.</w:t>
      </w:r>
    </w:p>
    <w:p w14:paraId="6D068CAD" w14:textId="77777777" w:rsidR="00000000" w:rsidRDefault="001D0688">
      <w:pPr>
        <w:ind w:firstLine="720"/>
        <w:jc w:val="both"/>
        <w:divId w:val="1923374141"/>
        <w:rPr>
          <w:rFonts w:eastAsia="Times New Roman"/>
        </w:rPr>
      </w:pPr>
      <w:r>
        <w:rPr>
          <w:rFonts w:ascii="Arial" w:eastAsia="Times New Roman" w:hAnsi="Arial" w:cs="Arial"/>
          <w:i/>
          <w:iCs/>
          <w:color w:val="0046AD"/>
          <w:sz w:val="20"/>
          <w:szCs w:val="20"/>
        </w:rPr>
        <w:t>Liquidity, Cash Flows, and Financial Position</w:t>
      </w:r>
    </w:p>
    <w:p w14:paraId="2F4FA9CE" w14:textId="77777777" w:rsidR="00000000" w:rsidRDefault="001D0688">
      <w:pPr>
        <w:ind w:firstLine="720"/>
        <w:jc w:val="both"/>
        <w:divId w:val="878400506"/>
        <w:rPr>
          <w:rFonts w:eastAsia="Times New Roman"/>
        </w:rPr>
      </w:pPr>
      <w:r>
        <w:rPr>
          <w:rFonts w:ascii="Arial" w:eastAsia="Times New Roman" w:hAnsi="Arial" w:cs="Arial"/>
          <w:color w:val="000000"/>
          <w:sz w:val="20"/>
          <w:szCs w:val="20"/>
        </w:rPr>
        <w:t xml:space="preserve">As of October 31, 2020, </w:t>
      </w:r>
      <w:r>
        <w:rPr>
          <w:rFonts w:ascii="Arial" w:eastAsia="Times New Roman" w:hAnsi="Arial" w:cs="Arial"/>
          <w:color w:val="000000"/>
          <w:sz w:val="20"/>
          <w:szCs w:val="20"/>
          <w:shd w:val="clear" w:color="auto" w:fill="FFFFFF"/>
        </w:rPr>
        <w:t>we had $394.2 millio</w:t>
      </w:r>
      <w:r>
        <w:rPr>
          <w:rFonts w:ascii="Arial" w:eastAsia="Times New Roman" w:hAnsi="Arial" w:cs="Arial"/>
          <w:color w:val="000000"/>
          <w:sz w:val="20"/>
          <w:szCs w:val="20"/>
          <w:shd w:val="clear" w:color="auto" w:fill="FFFFFF"/>
        </w:rPr>
        <w:t>n of cash and cash equivalents, and we had net cash provided by operating activities of $457.5 million during th</w:t>
      </w:r>
      <w:r>
        <w:rPr>
          <w:rFonts w:ascii="Arial" w:eastAsia="Times New Roman" w:hAnsi="Arial" w:cs="Arial"/>
          <w:color w:val="000000"/>
          <w:sz w:val="20"/>
          <w:szCs w:val="20"/>
        </w:rPr>
        <w:t>e year ended October 31, 2020. We have taken and continue to take actions to help preserve cash, increase liquidity, and strengthen our financia</w:t>
      </w:r>
      <w:r>
        <w:rPr>
          <w:rFonts w:ascii="Arial" w:eastAsia="Times New Roman" w:hAnsi="Arial" w:cs="Arial"/>
          <w:color w:val="000000"/>
          <w:sz w:val="20"/>
          <w:szCs w:val="20"/>
        </w:rPr>
        <w:t>l position, including:</w:t>
      </w:r>
    </w:p>
    <w:p w14:paraId="1E321F7A" w14:textId="77777777" w:rsidR="00000000" w:rsidRDefault="001D0688">
      <w:pPr>
        <w:ind w:hanging="360"/>
        <w:jc w:val="both"/>
        <w:divId w:val="1156339838"/>
        <w:rPr>
          <w:rFonts w:eastAsia="Times New Roman"/>
        </w:rPr>
      </w:pPr>
      <w:r>
        <w:rPr>
          <w:rFonts w:ascii="Arial" w:eastAsia="Times New Roman" w:hAnsi="Arial" w:cs="Arial"/>
          <w:color w:val="000000"/>
          <w:sz w:val="20"/>
          <w:szCs w:val="20"/>
        </w:rPr>
        <w:t>•Borrowing approximately $300 million under our line of credit in March 2020, which represented all remaining amounts then available under our Credit Facility, as a precautionary measure to provide increased liquidity and preserve fi</w:t>
      </w:r>
      <w:r>
        <w:rPr>
          <w:rFonts w:ascii="Arial" w:eastAsia="Times New Roman" w:hAnsi="Arial" w:cs="Arial"/>
          <w:color w:val="000000"/>
          <w:sz w:val="20"/>
          <w:szCs w:val="20"/>
        </w:rPr>
        <w:t xml:space="preserve">nancial flexibility due to uncertainty resulting from the Pandemic (refer to “Liquidity and Capital Resources” for more information). During the quarter ended July 31, 2020, we repaid substantially all of these amounts borrowed under the revolving line of </w:t>
      </w:r>
      <w:r>
        <w:rPr>
          <w:rFonts w:ascii="Arial" w:eastAsia="Times New Roman" w:hAnsi="Arial" w:cs="Arial"/>
          <w:color w:val="000000"/>
          <w:sz w:val="20"/>
          <w:szCs w:val="20"/>
        </w:rPr>
        <w:t>credit without penalty. We have not borrowed additionally in the fourth quarter of 2020;</w:t>
      </w:r>
    </w:p>
    <w:p w14:paraId="03EE446B" w14:textId="77777777" w:rsidR="00000000" w:rsidRDefault="001D0688">
      <w:pPr>
        <w:ind w:hanging="360"/>
        <w:jc w:val="both"/>
        <w:divId w:val="2089224109"/>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Amending our Credit Facility on May 28, 2020, to further enhance our financial flexibility as a precautionary measure in response to uncertainty arising from the Pand</w:t>
      </w:r>
      <w:r>
        <w:rPr>
          <w:rFonts w:ascii="Arial" w:eastAsia="Times New Roman" w:hAnsi="Arial" w:cs="Arial"/>
          <w:color w:val="000000"/>
          <w:sz w:val="20"/>
          <w:szCs w:val="20"/>
        </w:rPr>
        <w:t>emic (refer to “Liquidity and Capital Resources” for more information);</w:t>
      </w:r>
    </w:p>
    <w:p w14:paraId="66C38014" w14:textId="77777777" w:rsidR="00000000" w:rsidRDefault="001D0688">
      <w:pPr>
        <w:ind w:hanging="360"/>
        <w:jc w:val="both"/>
        <w:divId w:val="1987783055"/>
        <w:rPr>
          <w:rFonts w:eastAsia="Times New Roman"/>
        </w:rPr>
      </w:pPr>
      <w:r>
        <w:rPr>
          <w:rFonts w:ascii="Arial" w:eastAsia="Times New Roman" w:hAnsi="Arial" w:cs="Arial"/>
          <w:color w:val="000000"/>
          <w:sz w:val="20"/>
          <w:szCs w:val="20"/>
        </w:rPr>
        <w:t xml:space="preserve">•Focusing on collection of client receivables and monitoring the adequacy of our reserves; </w:t>
      </w:r>
    </w:p>
    <w:p w14:paraId="75157CD8" w14:textId="77777777" w:rsidR="00000000" w:rsidRDefault="001D0688">
      <w:pPr>
        <w:ind w:hanging="360"/>
        <w:jc w:val="both"/>
        <w:divId w:val="1695691783"/>
        <w:rPr>
          <w:rFonts w:eastAsia="Times New Roman"/>
        </w:rPr>
      </w:pPr>
      <w:r>
        <w:rPr>
          <w:rFonts w:ascii="Arial" w:eastAsia="Times New Roman" w:hAnsi="Arial" w:cs="Arial"/>
          <w:color w:val="000000"/>
          <w:sz w:val="20"/>
          <w:szCs w:val="20"/>
        </w:rPr>
        <w:t xml:space="preserve">•Extending vendor payment terms where possible; </w:t>
      </w:r>
    </w:p>
    <w:p w14:paraId="546354CB" w14:textId="77777777" w:rsidR="00000000" w:rsidRDefault="001D0688">
      <w:pPr>
        <w:ind w:hanging="360"/>
        <w:jc w:val="both"/>
        <w:divId w:val="87628188"/>
        <w:rPr>
          <w:rFonts w:eastAsia="Times New Roman"/>
        </w:rPr>
      </w:pPr>
      <w:r>
        <w:rPr>
          <w:rFonts w:ascii="Arial" w:eastAsia="Times New Roman" w:hAnsi="Arial" w:cs="Arial"/>
          <w:color w:val="000000"/>
          <w:sz w:val="20"/>
          <w:szCs w:val="20"/>
        </w:rPr>
        <w:t>•Utilizing certain governmental relief effo</w:t>
      </w:r>
      <w:r>
        <w:rPr>
          <w:rFonts w:ascii="Arial" w:eastAsia="Times New Roman" w:hAnsi="Arial" w:cs="Arial"/>
          <w:color w:val="000000"/>
          <w:sz w:val="20"/>
          <w:szCs w:val="20"/>
        </w:rPr>
        <w:t xml:space="preserve">rts (as further described below); and </w:t>
      </w:r>
    </w:p>
    <w:p w14:paraId="01B8C000" w14:textId="77777777" w:rsidR="00000000" w:rsidRDefault="001D0688">
      <w:pPr>
        <w:ind w:hanging="360"/>
        <w:jc w:val="both"/>
        <w:divId w:val="211816826"/>
        <w:rPr>
          <w:rFonts w:eastAsia="Times New Roman"/>
        </w:rPr>
      </w:pPr>
      <w:r>
        <w:rPr>
          <w:rFonts w:ascii="Arial" w:eastAsia="Times New Roman" w:hAnsi="Arial" w:cs="Arial"/>
          <w:color w:val="000000"/>
          <w:sz w:val="20"/>
          <w:szCs w:val="20"/>
        </w:rPr>
        <w:t xml:space="preserve">•Suspending share repurchases under our share repurchase program. </w:t>
      </w:r>
    </w:p>
    <w:p w14:paraId="27AA61B8" w14:textId="77777777" w:rsidR="00000000" w:rsidRDefault="001D0688">
      <w:pPr>
        <w:ind w:firstLine="720"/>
        <w:jc w:val="both"/>
        <w:divId w:val="1925727048"/>
        <w:rPr>
          <w:rFonts w:eastAsia="Times New Roman"/>
        </w:rPr>
      </w:pPr>
      <w:r>
        <w:rPr>
          <w:rFonts w:ascii="Arial" w:eastAsia="Times New Roman" w:hAnsi="Arial" w:cs="Arial"/>
          <w:color w:val="000000"/>
          <w:sz w:val="20"/>
          <w:szCs w:val="20"/>
        </w:rPr>
        <w:t>As a result of the actions taken above, we were able to strengthen our cash flow in fiscal 2020, allowing us to pay down our line of credit borrowings</w:t>
      </w:r>
      <w:r>
        <w:rPr>
          <w:rFonts w:ascii="Arial" w:eastAsia="Times New Roman" w:hAnsi="Arial" w:cs="Arial"/>
          <w:color w:val="000000"/>
          <w:sz w:val="20"/>
          <w:szCs w:val="20"/>
        </w:rPr>
        <w:t xml:space="preserve">. As of October 31, 2020, this resulted in a borrowing capacity of </w:t>
      </w:r>
      <w:r>
        <w:rPr>
          <w:rFonts w:ascii="Arial" w:eastAsia="Times New Roman" w:hAnsi="Arial" w:cs="Arial"/>
          <w:color w:val="000000"/>
          <w:sz w:val="20"/>
          <w:szCs w:val="20"/>
          <w:shd w:val="clear" w:color="auto" w:fill="FFFFFF"/>
        </w:rPr>
        <w:t>$596.6 million,</w:t>
      </w:r>
      <w:r>
        <w:rPr>
          <w:rFonts w:ascii="Arial" w:eastAsia="Times New Roman" w:hAnsi="Arial" w:cs="Arial"/>
          <w:color w:val="000000"/>
          <w:sz w:val="20"/>
          <w:szCs w:val="20"/>
        </w:rPr>
        <w:t xml:space="preserve"> reflecting covenant restrictions. In addition, we had </w:t>
      </w:r>
      <w:r>
        <w:rPr>
          <w:rFonts w:ascii="Arial" w:eastAsia="Times New Roman" w:hAnsi="Arial" w:cs="Arial"/>
          <w:color w:val="000000"/>
          <w:sz w:val="20"/>
          <w:szCs w:val="20"/>
          <w:shd w:val="clear" w:color="auto" w:fill="FFFFFF"/>
        </w:rPr>
        <w:t xml:space="preserve">$394.2 million of cash and cash equivalents, as </w:t>
      </w:r>
      <w:r>
        <w:rPr>
          <w:rFonts w:ascii="Arial" w:eastAsia="Times New Roman" w:hAnsi="Arial" w:cs="Arial"/>
          <w:color w:val="000000"/>
          <w:sz w:val="20"/>
          <w:szCs w:val="20"/>
        </w:rPr>
        <w:t>noted above.</w:t>
      </w:r>
    </w:p>
    <w:p w14:paraId="4E739FA5" w14:textId="77777777" w:rsidR="00000000" w:rsidRDefault="001D0688">
      <w:pPr>
        <w:ind w:firstLine="720"/>
        <w:jc w:val="both"/>
        <w:divId w:val="1104836512"/>
        <w:rPr>
          <w:rFonts w:eastAsia="Times New Roman"/>
        </w:rPr>
      </w:pPr>
      <w:r>
        <w:rPr>
          <w:rFonts w:ascii="Arial" w:eastAsia="Times New Roman" w:hAnsi="Arial" w:cs="Arial"/>
          <w:color w:val="000000"/>
          <w:sz w:val="20"/>
          <w:szCs w:val="20"/>
        </w:rPr>
        <w:t>In response to the Pandemic, Congress enacted the Coronavi</w:t>
      </w:r>
      <w:r>
        <w:rPr>
          <w:rFonts w:ascii="Arial" w:eastAsia="Times New Roman" w:hAnsi="Arial" w:cs="Arial"/>
          <w:color w:val="000000"/>
          <w:sz w:val="20"/>
          <w:szCs w:val="20"/>
        </w:rPr>
        <w:t>rus Aid, Relief, and Economic Security Act (“CARES Act”) on March 27, 2020. The CARES Act provides various stimulus measures, including several income tax and payroll tax provisions. Among the payroll tax provisions is the creation of a refundable credit f</w:t>
      </w:r>
      <w:r>
        <w:rPr>
          <w:rFonts w:ascii="Arial" w:eastAsia="Times New Roman" w:hAnsi="Arial" w:cs="Arial"/>
          <w:color w:val="000000"/>
          <w:sz w:val="20"/>
          <w:szCs w:val="20"/>
        </w:rPr>
        <w:t>or employee retention and the deferral of certain payroll tax remittances through December 31, 2020, to future years (with 50% of the deferred amount due by December 31, 2021, and the remaining 50% due by December 31, 2022). We evaluated the impact of busi</w:t>
      </w:r>
      <w:r>
        <w:rPr>
          <w:rFonts w:ascii="Arial" w:eastAsia="Times New Roman" w:hAnsi="Arial" w:cs="Arial"/>
          <w:color w:val="000000"/>
          <w:sz w:val="20"/>
          <w:szCs w:val="20"/>
        </w:rPr>
        <w:t>ness tax provisions in the CARES Act. The impact of the income tax provisions was not material. The impact of the payroll tax provisions was the deferral of approximately</w:t>
      </w:r>
      <w:r>
        <w:rPr>
          <w:rFonts w:ascii="Arial" w:eastAsia="Times New Roman" w:hAnsi="Arial" w:cs="Arial"/>
          <w:color w:val="000000"/>
          <w:sz w:val="20"/>
          <w:szCs w:val="20"/>
          <w:shd w:val="clear" w:color="auto" w:fill="FFFFFF"/>
        </w:rPr>
        <w:t xml:space="preserve"> $101 million </w:t>
      </w:r>
      <w:r>
        <w:rPr>
          <w:rFonts w:ascii="Arial" w:eastAsia="Times New Roman" w:hAnsi="Arial" w:cs="Arial"/>
          <w:color w:val="000000"/>
          <w:sz w:val="20"/>
          <w:szCs w:val="20"/>
        </w:rPr>
        <w:t xml:space="preserve">of payroll tax as of October 31, 2020. Additionally, we received grants </w:t>
      </w:r>
      <w:r>
        <w:rPr>
          <w:rFonts w:ascii="Arial" w:eastAsia="Times New Roman" w:hAnsi="Arial" w:cs="Arial"/>
          <w:color w:val="000000"/>
          <w:sz w:val="20"/>
          <w:szCs w:val="20"/>
        </w:rPr>
        <w:t xml:space="preserve">under the United Kingdom’s job retention scheme to reimburse us for a portion of certain furloughed employees’ salaries. </w:t>
      </w:r>
    </w:p>
    <w:p w14:paraId="44C05894" w14:textId="77777777" w:rsidR="00000000" w:rsidRDefault="001D0688">
      <w:pPr>
        <w:ind w:firstLine="720"/>
        <w:jc w:val="both"/>
        <w:divId w:val="1752240274"/>
        <w:rPr>
          <w:rFonts w:eastAsia="Times New Roman"/>
        </w:rPr>
      </w:pPr>
      <w:r>
        <w:rPr>
          <w:rFonts w:ascii="Arial" w:eastAsia="Times New Roman" w:hAnsi="Arial" w:cs="Arial"/>
          <w:color w:val="000000"/>
          <w:sz w:val="20"/>
          <w:szCs w:val="20"/>
        </w:rPr>
        <w:t>The Pandemic is an unprecedented situation and is continuously evolving. Since we cannot predict the duration or scope of the Pandemic</w:t>
      </w:r>
      <w:r>
        <w:rPr>
          <w:rFonts w:ascii="Arial" w:eastAsia="Times New Roman" w:hAnsi="Arial" w:cs="Arial"/>
          <w:color w:val="000000"/>
          <w:sz w:val="20"/>
          <w:szCs w:val="20"/>
        </w:rPr>
        <w:t xml:space="preserve">, we cannot fully anticipate or reasonably estimate all the ways in which the current global health crisis and financial market conditions could adversely impact our business in 2021 or in the future. Even after the Pandemic has moderated and the business </w:t>
      </w:r>
      <w:r>
        <w:rPr>
          <w:rFonts w:ascii="Arial" w:eastAsia="Times New Roman" w:hAnsi="Arial" w:cs="Arial"/>
          <w:color w:val="000000"/>
          <w:sz w:val="20"/>
          <w:szCs w:val="20"/>
        </w:rPr>
        <w:t xml:space="preserve">and social distancing restrictions have eased, we may continue to experience adverse effects on our business, consolidated results of operations, financial position, and cash flows resulting from a recessionary economic environment that may persist. </w:t>
      </w:r>
    </w:p>
    <w:p w14:paraId="2213053A" w14:textId="77777777" w:rsidR="00000000" w:rsidRDefault="001D0688">
      <w:pPr>
        <w:jc w:val="center"/>
        <w:divId w:val="1063991653"/>
        <w:rPr>
          <w:rFonts w:eastAsia="Times New Roman"/>
        </w:rPr>
      </w:pPr>
      <w:r>
        <w:rPr>
          <w:rFonts w:ascii="Arial" w:eastAsia="Times New Roman" w:hAnsi="Arial" w:cs="Arial"/>
          <w:color w:val="000000"/>
          <w:sz w:val="20"/>
          <w:szCs w:val="20"/>
        </w:rPr>
        <w:t>23</w:t>
      </w:r>
    </w:p>
    <w:p w14:paraId="4EBC4548" w14:textId="77777777" w:rsidR="00000000" w:rsidRDefault="001D0688">
      <w:pPr>
        <w:rPr>
          <w:rFonts w:eastAsia="Times New Roman"/>
        </w:rPr>
      </w:pPr>
      <w:r>
        <w:rPr>
          <w:rFonts w:eastAsia="Times New Roman"/>
        </w:rPr>
        <w:pict w14:anchorId="557E2553">
          <v:rect id="_x0000_i1059" style="width:0;height:1.5pt" o:hralign="center" o:hrstd="t" o:hr="t" fillcolor="#a0a0a0" stroked="f"/>
        </w:pict>
      </w:r>
    </w:p>
    <w:p w14:paraId="27BAB260" w14:textId="77777777" w:rsidR="00000000" w:rsidRDefault="001D0688">
      <w:pPr>
        <w:divId w:val="1453982310"/>
        <w:rPr>
          <w:rFonts w:eastAsia="Times New Roman"/>
        </w:rPr>
      </w:pPr>
    </w:p>
    <w:p w14:paraId="4059D0D6" w14:textId="77777777" w:rsidR="00000000" w:rsidRDefault="001D0688">
      <w:pPr>
        <w:ind w:firstLine="720"/>
        <w:jc w:val="both"/>
        <w:divId w:val="1125391673"/>
        <w:rPr>
          <w:rFonts w:eastAsia="Times New Roman"/>
        </w:rPr>
      </w:pPr>
      <w:r>
        <w:rPr>
          <w:rFonts w:ascii="Arial" w:eastAsia="Times New Roman" w:hAnsi="Arial" w:cs="Arial"/>
          <w:color w:val="000000"/>
          <w:sz w:val="20"/>
          <w:szCs w:val="20"/>
        </w:rPr>
        <w:t>The Pandemic has had a profoundly negative impact on the public health and safety of the global and American public. As a result, the global and U.S. economies continue to experience significant uncertainty. Gross domestic product has demonstrated consider</w:t>
      </w:r>
      <w:r>
        <w:rPr>
          <w:rFonts w:ascii="Arial" w:eastAsia="Times New Roman" w:hAnsi="Arial" w:cs="Arial"/>
          <w:color w:val="000000"/>
          <w:sz w:val="20"/>
          <w:szCs w:val="20"/>
        </w:rPr>
        <w:t xml:space="preserve">able volatility since the onset of the Pandemic, contracting to a historic and sudden low during 2020. The unemployment rate has more than doubled, as well, given the struggling macroeconomic environment. These factors have led to lower demand for some of </w:t>
      </w:r>
      <w:r>
        <w:rPr>
          <w:rFonts w:ascii="Arial" w:eastAsia="Times New Roman" w:hAnsi="Arial" w:cs="Arial"/>
          <w:color w:val="000000"/>
          <w:sz w:val="20"/>
          <w:szCs w:val="20"/>
        </w:rPr>
        <w:t>our services in certain end-markets. To date, the Pandemic has impacted and is expected to continue impacting global communities and commerce for the foreseeable future.</w:t>
      </w:r>
    </w:p>
    <w:p w14:paraId="50AD71EA" w14:textId="77777777" w:rsidR="00000000" w:rsidRDefault="001D0688">
      <w:pPr>
        <w:jc w:val="both"/>
        <w:divId w:val="513881529"/>
        <w:rPr>
          <w:rFonts w:eastAsia="Times New Roman"/>
        </w:rPr>
      </w:pPr>
      <w:r>
        <w:rPr>
          <w:rFonts w:ascii="Arial" w:eastAsia="Times New Roman" w:hAnsi="Arial" w:cs="Arial"/>
          <w:b/>
          <w:bCs/>
          <w:color w:val="0046AD"/>
          <w:sz w:val="20"/>
          <w:szCs w:val="20"/>
        </w:rPr>
        <w:t>Restructuring and Related Costs</w:t>
      </w:r>
    </w:p>
    <w:p w14:paraId="28F8057C" w14:textId="77777777" w:rsidR="00000000" w:rsidRDefault="001D0688">
      <w:pPr>
        <w:ind w:firstLine="720"/>
        <w:jc w:val="both"/>
        <w:divId w:val="253324214"/>
        <w:rPr>
          <w:rFonts w:eastAsia="Times New Roman"/>
        </w:rPr>
      </w:pPr>
      <w:r>
        <w:rPr>
          <w:rFonts w:ascii="Arial" w:eastAsia="Times New Roman" w:hAnsi="Arial" w:cs="Arial"/>
          <w:color w:val="000000"/>
          <w:sz w:val="20"/>
          <w:szCs w:val="20"/>
        </w:rPr>
        <w:t>We may periodically engage in various restructuring ac</w:t>
      </w:r>
      <w:r>
        <w:rPr>
          <w:rFonts w:ascii="Arial" w:eastAsia="Times New Roman" w:hAnsi="Arial" w:cs="Arial"/>
          <w:color w:val="000000"/>
          <w:sz w:val="20"/>
          <w:szCs w:val="20"/>
        </w:rPr>
        <w:t>tivities intended to drive long-term profitable growth and increase operational efficiency, which can include streamlining and realigning our overall organizational structure and reallocating resources. These activities may result in restructuring costs re</w:t>
      </w:r>
      <w:r>
        <w:rPr>
          <w:rFonts w:ascii="Arial" w:eastAsia="Times New Roman" w:hAnsi="Arial" w:cs="Arial"/>
          <w:color w:val="000000"/>
          <w:sz w:val="20"/>
          <w:szCs w:val="20"/>
        </w:rPr>
        <w:t xml:space="preserve">lated to employee severance, other project fees, external support fees, lease exit costs, and asset impairment charges. </w:t>
      </w:r>
    </w:p>
    <w:p w14:paraId="4DF739F7" w14:textId="77777777" w:rsidR="00000000" w:rsidRDefault="001D0688">
      <w:pPr>
        <w:jc w:val="both"/>
        <w:divId w:val="1322193550"/>
        <w:rPr>
          <w:rFonts w:eastAsia="Times New Roman"/>
        </w:rPr>
      </w:pPr>
      <w:r>
        <w:rPr>
          <w:rFonts w:ascii="Arial" w:eastAsia="Times New Roman" w:hAnsi="Arial" w:cs="Arial"/>
          <w:b/>
          <w:bCs/>
          <w:i/>
          <w:iCs/>
          <w:color w:val="0046AD"/>
          <w:sz w:val="20"/>
          <w:szCs w:val="20"/>
        </w:rPr>
        <w:t>GCA Restructuring and Other Initiatives</w:t>
      </w:r>
    </w:p>
    <w:p w14:paraId="2077A35B" w14:textId="77777777" w:rsidR="00000000" w:rsidRDefault="001D0688">
      <w:pPr>
        <w:ind w:firstLine="720"/>
        <w:jc w:val="both"/>
        <w:divId w:val="1378117280"/>
        <w:rPr>
          <w:rFonts w:eastAsia="Times New Roman"/>
        </w:rPr>
      </w:pPr>
      <w:r>
        <w:rPr>
          <w:rFonts w:ascii="Arial" w:eastAsia="Times New Roman" w:hAnsi="Arial" w:cs="Arial"/>
          <w:color w:val="000000"/>
          <w:sz w:val="20"/>
          <w:szCs w:val="20"/>
        </w:rPr>
        <w:t>Following the acquisition of GCA, during the first quarter of 2018, we initiated a restructurin</w:t>
      </w:r>
      <w:r>
        <w:rPr>
          <w:rFonts w:ascii="Arial" w:eastAsia="Times New Roman" w:hAnsi="Arial" w:cs="Arial"/>
          <w:color w:val="000000"/>
          <w:sz w:val="20"/>
          <w:szCs w:val="20"/>
        </w:rPr>
        <w:t>g program to achieve cost synergies and subsequently incurred expenses primarily related to employee severance, the migration and upgrade of several key technology platforms, and the consolidation of certain real estate leases. Additionally, during 2019, w</w:t>
      </w:r>
      <w:r>
        <w:rPr>
          <w:rFonts w:ascii="Arial" w:eastAsia="Times New Roman" w:hAnsi="Arial" w:cs="Arial"/>
          <w:color w:val="000000"/>
          <w:sz w:val="20"/>
          <w:szCs w:val="20"/>
        </w:rPr>
        <w:t>e reorganized our former Healthcare business and incurred immaterial severance expense. In early 2020, we continued our technology-based modernization efforts, including standardizing our financial systems. However, due to the Pandemic, the majority of the</w:t>
      </w:r>
      <w:r>
        <w:rPr>
          <w:rFonts w:ascii="Arial" w:eastAsia="Times New Roman" w:hAnsi="Arial" w:cs="Arial"/>
          <w:color w:val="000000"/>
          <w:sz w:val="20"/>
          <w:szCs w:val="20"/>
        </w:rPr>
        <w:t>se projects have been temporarily suspended since the second quarter of 2020.</w:t>
      </w:r>
    </w:p>
    <w:tbl>
      <w:tblPr>
        <w:tblW w:w="4992" w:type="pct"/>
        <w:tblCellMar>
          <w:top w:w="15" w:type="dxa"/>
          <w:left w:w="15" w:type="dxa"/>
          <w:bottom w:w="15" w:type="dxa"/>
          <w:right w:w="15" w:type="dxa"/>
        </w:tblCellMar>
        <w:tblLook w:val="04A0" w:firstRow="1" w:lastRow="0" w:firstColumn="1" w:lastColumn="0" w:noHBand="0" w:noVBand="1"/>
      </w:tblPr>
      <w:tblGrid>
        <w:gridCol w:w="38"/>
        <w:gridCol w:w="4847"/>
        <w:gridCol w:w="36"/>
        <w:gridCol w:w="36"/>
        <w:gridCol w:w="36"/>
        <w:gridCol w:w="36"/>
        <w:gridCol w:w="134"/>
        <w:gridCol w:w="1408"/>
        <w:gridCol w:w="37"/>
        <w:gridCol w:w="36"/>
        <w:gridCol w:w="36"/>
        <w:gridCol w:w="36"/>
        <w:gridCol w:w="133"/>
        <w:gridCol w:w="1408"/>
        <w:gridCol w:w="36"/>
      </w:tblGrid>
      <w:tr w:rsidR="00000000" w14:paraId="1D83AF9A" w14:textId="77777777">
        <w:trPr>
          <w:divId w:val="934753815"/>
        </w:trPr>
        <w:tc>
          <w:tcPr>
            <w:tcW w:w="50" w:type="pct"/>
            <w:vAlign w:val="center"/>
            <w:hideMark/>
          </w:tcPr>
          <w:p w14:paraId="28C29FBE" w14:textId="77777777" w:rsidR="00000000" w:rsidRDefault="001D0688">
            <w:pPr>
              <w:ind w:firstLine="720"/>
              <w:jc w:val="both"/>
              <w:rPr>
                <w:rFonts w:eastAsia="Times New Roman"/>
              </w:rPr>
            </w:pPr>
          </w:p>
        </w:tc>
        <w:tc>
          <w:tcPr>
            <w:tcW w:w="2953" w:type="pct"/>
            <w:vAlign w:val="center"/>
            <w:hideMark/>
          </w:tcPr>
          <w:p w14:paraId="4D771304" w14:textId="77777777" w:rsidR="00000000" w:rsidRDefault="001D0688">
            <w:pPr>
              <w:rPr>
                <w:rFonts w:eastAsia="Times New Roman"/>
                <w:sz w:val="20"/>
                <w:szCs w:val="20"/>
              </w:rPr>
            </w:pPr>
          </w:p>
        </w:tc>
        <w:tc>
          <w:tcPr>
            <w:tcW w:w="5" w:type="pct"/>
            <w:vAlign w:val="center"/>
            <w:hideMark/>
          </w:tcPr>
          <w:p w14:paraId="6C2155DE" w14:textId="77777777" w:rsidR="00000000" w:rsidRDefault="001D0688">
            <w:pPr>
              <w:rPr>
                <w:rFonts w:eastAsia="Times New Roman"/>
                <w:sz w:val="20"/>
                <w:szCs w:val="20"/>
              </w:rPr>
            </w:pPr>
          </w:p>
        </w:tc>
        <w:tc>
          <w:tcPr>
            <w:tcW w:w="5" w:type="pct"/>
            <w:vAlign w:val="center"/>
            <w:hideMark/>
          </w:tcPr>
          <w:p w14:paraId="55E8288C" w14:textId="77777777" w:rsidR="00000000" w:rsidRDefault="001D0688">
            <w:pPr>
              <w:rPr>
                <w:rFonts w:eastAsia="Times New Roman"/>
                <w:sz w:val="20"/>
                <w:szCs w:val="20"/>
              </w:rPr>
            </w:pPr>
          </w:p>
        </w:tc>
        <w:tc>
          <w:tcPr>
            <w:tcW w:w="26" w:type="pct"/>
            <w:vAlign w:val="center"/>
            <w:hideMark/>
          </w:tcPr>
          <w:p w14:paraId="46686949" w14:textId="77777777" w:rsidR="00000000" w:rsidRDefault="001D0688">
            <w:pPr>
              <w:rPr>
                <w:rFonts w:eastAsia="Times New Roman"/>
                <w:sz w:val="20"/>
                <w:szCs w:val="20"/>
              </w:rPr>
            </w:pPr>
          </w:p>
        </w:tc>
        <w:tc>
          <w:tcPr>
            <w:tcW w:w="5" w:type="pct"/>
            <w:vAlign w:val="center"/>
            <w:hideMark/>
          </w:tcPr>
          <w:p w14:paraId="2E9BFAF9" w14:textId="77777777" w:rsidR="00000000" w:rsidRDefault="001D0688">
            <w:pPr>
              <w:rPr>
                <w:rFonts w:eastAsia="Times New Roman"/>
                <w:sz w:val="20"/>
                <w:szCs w:val="20"/>
              </w:rPr>
            </w:pPr>
          </w:p>
        </w:tc>
        <w:tc>
          <w:tcPr>
            <w:tcW w:w="50" w:type="pct"/>
            <w:vAlign w:val="center"/>
            <w:hideMark/>
          </w:tcPr>
          <w:p w14:paraId="30F7FA0D" w14:textId="77777777" w:rsidR="00000000" w:rsidRDefault="001D0688">
            <w:pPr>
              <w:rPr>
                <w:rFonts w:eastAsia="Times New Roman"/>
                <w:sz w:val="20"/>
                <w:szCs w:val="20"/>
              </w:rPr>
            </w:pPr>
          </w:p>
        </w:tc>
        <w:tc>
          <w:tcPr>
            <w:tcW w:w="904" w:type="pct"/>
            <w:vAlign w:val="center"/>
            <w:hideMark/>
          </w:tcPr>
          <w:p w14:paraId="34408529" w14:textId="77777777" w:rsidR="00000000" w:rsidRDefault="001D0688">
            <w:pPr>
              <w:rPr>
                <w:rFonts w:eastAsia="Times New Roman"/>
                <w:sz w:val="20"/>
                <w:szCs w:val="20"/>
              </w:rPr>
            </w:pPr>
          </w:p>
        </w:tc>
        <w:tc>
          <w:tcPr>
            <w:tcW w:w="5" w:type="pct"/>
            <w:vAlign w:val="center"/>
            <w:hideMark/>
          </w:tcPr>
          <w:p w14:paraId="2A4157D4" w14:textId="77777777" w:rsidR="00000000" w:rsidRDefault="001D0688">
            <w:pPr>
              <w:rPr>
                <w:rFonts w:eastAsia="Times New Roman"/>
                <w:sz w:val="20"/>
                <w:szCs w:val="20"/>
              </w:rPr>
            </w:pPr>
          </w:p>
        </w:tc>
        <w:tc>
          <w:tcPr>
            <w:tcW w:w="5" w:type="pct"/>
            <w:vAlign w:val="center"/>
            <w:hideMark/>
          </w:tcPr>
          <w:p w14:paraId="27D32301" w14:textId="77777777" w:rsidR="00000000" w:rsidRDefault="001D0688">
            <w:pPr>
              <w:rPr>
                <w:rFonts w:eastAsia="Times New Roman"/>
                <w:sz w:val="20"/>
                <w:szCs w:val="20"/>
              </w:rPr>
            </w:pPr>
          </w:p>
        </w:tc>
        <w:tc>
          <w:tcPr>
            <w:tcW w:w="26" w:type="pct"/>
            <w:vAlign w:val="center"/>
            <w:hideMark/>
          </w:tcPr>
          <w:p w14:paraId="69F29FAC" w14:textId="77777777" w:rsidR="00000000" w:rsidRDefault="001D0688">
            <w:pPr>
              <w:rPr>
                <w:rFonts w:eastAsia="Times New Roman"/>
                <w:sz w:val="20"/>
                <w:szCs w:val="20"/>
              </w:rPr>
            </w:pPr>
          </w:p>
        </w:tc>
        <w:tc>
          <w:tcPr>
            <w:tcW w:w="5" w:type="pct"/>
            <w:vAlign w:val="center"/>
            <w:hideMark/>
          </w:tcPr>
          <w:p w14:paraId="1BE4802C" w14:textId="77777777" w:rsidR="00000000" w:rsidRDefault="001D0688">
            <w:pPr>
              <w:rPr>
                <w:rFonts w:eastAsia="Times New Roman"/>
                <w:sz w:val="20"/>
                <w:szCs w:val="20"/>
              </w:rPr>
            </w:pPr>
          </w:p>
        </w:tc>
        <w:tc>
          <w:tcPr>
            <w:tcW w:w="50" w:type="pct"/>
            <w:vAlign w:val="center"/>
            <w:hideMark/>
          </w:tcPr>
          <w:p w14:paraId="2815E709" w14:textId="77777777" w:rsidR="00000000" w:rsidRDefault="001D0688">
            <w:pPr>
              <w:rPr>
                <w:rFonts w:eastAsia="Times New Roman"/>
                <w:sz w:val="20"/>
                <w:szCs w:val="20"/>
              </w:rPr>
            </w:pPr>
          </w:p>
        </w:tc>
        <w:tc>
          <w:tcPr>
            <w:tcW w:w="904" w:type="pct"/>
            <w:vAlign w:val="center"/>
            <w:hideMark/>
          </w:tcPr>
          <w:p w14:paraId="6B4D0FF2" w14:textId="77777777" w:rsidR="00000000" w:rsidRDefault="001D0688">
            <w:pPr>
              <w:rPr>
                <w:rFonts w:eastAsia="Times New Roman"/>
                <w:sz w:val="20"/>
                <w:szCs w:val="20"/>
              </w:rPr>
            </w:pPr>
          </w:p>
        </w:tc>
        <w:tc>
          <w:tcPr>
            <w:tcW w:w="5" w:type="pct"/>
            <w:vAlign w:val="center"/>
            <w:hideMark/>
          </w:tcPr>
          <w:p w14:paraId="0669A24A" w14:textId="77777777" w:rsidR="00000000" w:rsidRDefault="001D0688">
            <w:pPr>
              <w:rPr>
                <w:rFonts w:eastAsia="Times New Roman"/>
                <w:sz w:val="20"/>
                <w:szCs w:val="20"/>
              </w:rPr>
            </w:pPr>
          </w:p>
        </w:tc>
      </w:tr>
      <w:tr w:rsidR="00000000" w14:paraId="55304C58" w14:textId="77777777">
        <w:trPr>
          <w:divId w:val="934753815"/>
        </w:trPr>
        <w:tc>
          <w:tcPr>
            <w:tcW w:w="0" w:type="auto"/>
            <w:gridSpan w:val="3"/>
            <w:tcMar>
              <w:top w:w="0" w:type="dxa"/>
              <w:left w:w="20" w:type="dxa"/>
              <w:bottom w:w="0" w:type="dxa"/>
              <w:right w:w="20" w:type="dxa"/>
            </w:tcMar>
            <w:vAlign w:val="center"/>
            <w:hideMark/>
          </w:tcPr>
          <w:p w14:paraId="5FF45BB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C6E90B5"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78B24FCF" w14:textId="77777777" w:rsidR="00000000" w:rsidRDefault="001D0688">
            <w:pPr>
              <w:jc w:val="center"/>
              <w:rPr>
                <w:rFonts w:eastAsia="Times New Roman"/>
              </w:rPr>
            </w:pPr>
            <w:r>
              <w:rPr>
                <w:rFonts w:ascii="Arial" w:eastAsia="Times New Roman" w:hAnsi="Arial" w:cs="Arial"/>
                <w:b/>
                <w:bCs/>
                <w:color w:val="000000"/>
                <w:sz w:val="20"/>
                <w:szCs w:val="20"/>
              </w:rPr>
              <w:t>Year Ended</w:t>
            </w:r>
          </w:p>
        </w:tc>
        <w:tc>
          <w:tcPr>
            <w:tcW w:w="0" w:type="auto"/>
            <w:gridSpan w:val="3"/>
            <w:tcMar>
              <w:top w:w="0" w:type="dxa"/>
              <w:left w:w="20" w:type="dxa"/>
              <w:bottom w:w="0" w:type="dxa"/>
              <w:right w:w="20" w:type="dxa"/>
            </w:tcMar>
            <w:vAlign w:val="center"/>
            <w:hideMark/>
          </w:tcPr>
          <w:p w14:paraId="6BACB327"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5B61E237" w14:textId="77777777" w:rsidR="00000000" w:rsidRDefault="001D0688">
            <w:pPr>
              <w:rPr>
                <w:rFonts w:eastAsia="Times New Roman"/>
                <w:sz w:val="20"/>
                <w:szCs w:val="20"/>
              </w:rPr>
            </w:pPr>
          </w:p>
        </w:tc>
      </w:tr>
      <w:tr w:rsidR="00000000" w14:paraId="12CE3C6F" w14:textId="77777777">
        <w:trPr>
          <w:divId w:val="934753815"/>
        </w:trPr>
        <w:tc>
          <w:tcPr>
            <w:tcW w:w="0" w:type="auto"/>
            <w:gridSpan w:val="3"/>
            <w:tcMar>
              <w:top w:w="30" w:type="dxa"/>
              <w:left w:w="20" w:type="dxa"/>
              <w:bottom w:w="30" w:type="dxa"/>
              <w:right w:w="20" w:type="dxa"/>
            </w:tcMar>
            <w:vAlign w:val="bottom"/>
            <w:hideMark/>
          </w:tcPr>
          <w:p w14:paraId="38EDA92E"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1080220E"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1EA72C7C"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c>
          <w:tcPr>
            <w:tcW w:w="0" w:type="auto"/>
            <w:gridSpan w:val="3"/>
            <w:tcMar>
              <w:top w:w="0" w:type="dxa"/>
              <w:left w:w="20" w:type="dxa"/>
              <w:bottom w:w="0" w:type="dxa"/>
              <w:right w:w="20" w:type="dxa"/>
            </w:tcMar>
            <w:vAlign w:val="center"/>
            <w:hideMark/>
          </w:tcPr>
          <w:p w14:paraId="0E6249C5"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BB4D14C" w14:textId="77777777" w:rsidR="00000000" w:rsidRDefault="001D0688">
            <w:pPr>
              <w:jc w:val="center"/>
              <w:rPr>
                <w:rFonts w:eastAsia="Times New Roman"/>
              </w:rPr>
            </w:pPr>
            <w:r>
              <w:rPr>
                <w:rFonts w:ascii="Arial" w:eastAsia="Times New Roman" w:hAnsi="Arial" w:cs="Arial"/>
                <w:b/>
                <w:bCs/>
                <w:color w:val="000000"/>
                <w:sz w:val="20"/>
                <w:szCs w:val="20"/>
              </w:rPr>
              <w:t>Cumulative</w:t>
            </w:r>
          </w:p>
        </w:tc>
      </w:tr>
      <w:tr w:rsidR="00000000" w14:paraId="19660967" w14:textId="77777777">
        <w:trPr>
          <w:divId w:val="934753815"/>
        </w:trPr>
        <w:tc>
          <w:tcPr>
            <w:tcW w:w="0" w:type="auto"/>
            <w:gridSpan w:val="3"/>
            <w:shd w:val="clear" w:color="auto" w:fill="DCE2EF"/>
            <w:tcMar>
              <w:top w:w="30" w:type="dxa"/>
              <w:left w:w="20" w:type="dxa"/>
              <w:bottom w:w="30" w:type="dxa"/>
              <w:right w:w="20" w:type="dxa"/>
            </w:tcMar>
            <w:vAlign w:val="bottom"/>
            <w:hideMark/>
          </w:tcPr>
          <w:p w14:paraId="0CF1307D" w14:textId="77777777" w:rsidR="00000000" w:rsidRDefault="001D0688">
            <w:pPr>
              <w:rPr>
                <w:rFonts w:eastAsia="Times New Roman"/>
              </w:rPr>
            </w:pPr>
            <w:r>
              <w:rPr>
                <w:rFonts w:ascii="Arial" w:eastAsia="Times New Roman" w:hAnsi="Arial" w:cs="Arial"/>
                <w:color w:val="000000"/>
                <w:sz w:val="20"/>
                <w:szCs w:val="20"/>
              </w:rPr>
              <w:t>Employee severance</w:t>
            </w:r>
          </w:p>
        </w:tc>
        <w:tc>
          <w:tcPr>
            <w:tcW w:w="0" w:type="auto"/>
            <w:gridSpan w:val="3"/>
            <w:shd w:val="clear" w:color="auto" w:fill="DCE2EF"/>
            <w:tcMar>
              <w:top w:w="0" w:type="dxa"/>
              <w:left w:w="20" w:type="dxa"/>
              <w:bottom w:w="0" w:type="dxa"/>
              <w:right w:w="20" w:type="dxa"/>
            </w:tcMar>
            <w:vAlign w:val="center"/>
            <w:hideMark/>
          </w:tcPr>
          <w:p w14:paraId="1BDDEDCD"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BF8826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7AF7458" w14:textId="77777777" w:rsidR="00000000" w:rsidRDefault="001D0688">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0F466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0C0586"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23CE36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4ED050A" w14:textId="77777777" w:rsidR="00000000" w:rsidRDefault="001D0688">
            <w:pPr>
              <w:jc w:val="right"/>
              <w:rPr>
                <w:rFonts w:eastAsia="Times New Roman"/>
              </w:rPr>
            </w:pPr>
            <w:r>
              <w:rPr>
                <w:rFonts w:ascii="Arial" w:eastAsia="Times New Roman" w:hAnsi="Arial" w:cs="Arial"/>
                <w:color w:val="000000"/>
                <w:sz w:val="20"/>
                <w:szCs w:val="20"/>
              </w:rPr>
              <w:t>18.3 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E73EEE" w14:textId="77777777" w:rsidR="00000000" w:rsidRDefault="001D0688">
            <w:pPr>
              <w:jc w:val="right"/>
              <w:rPr>
                <w:rFonts w:eastAsia="Times New Roman"/>
              </w:rPr>
            </w:pPr>
          </w:p>
        </w:tc>
      </w:tr>
      <w:tr w:rsidR="00000000" w14:paraId="0BB8B430" w14:textId="77777777">
        <w:trPr>
          <w:divId w:val="934753815"/>
        </w:trPr>
        <w:tc>
          <w:tcPr>
            <w:tcW w:w="0" w:type="auto"/>
            <w:gridSpan w:val="3"/>
            <w:shd w:val="clear" w:color="auto" w:fill="FFFFFF"/>
            <w:tcMar>
              <w:top w:w="30" w:type="dxa"/>
              <w:left w:w="20" w:type="dxa"/>
              <w:bottom w:w="30" w:type="dxa"/>
              <w:right w:w="20" w:type="dxa"/>
            </w:tcMar>
            <w:vAlign w:val="bottom"/>
            <w:hideMark/>
          </w:tcPr>
          <w:p w14:paraId="7A837F31" w14:textId="77777777" w:rsidR="00000000" w:rsidRDefault="001D0688">
            <w:pPr>
              <w:rPr>
                <w:rFonts w:eastAsia="Times New Roman"/>
              </w:rPr>
            </w:pPr>
            <w:r>
              <w:rPr>
                <w:rFonts w:ascii="Arial" w:eastAsia="Times New Roman" w:hAnsi="Arial" w:cs="Arial"/>
                <w:color w:val="000000"/>
                <w:sz w:val="20"/>
                <w:szCs w:val="20"/>
              </w:rPr>
              <w:t>Other project fees</w:t>
            </w:r>
          </w:p>
        </w:tc>
        <w:tc>
          <w:tcPr>
            <w:tcW w:w="0" w:type="auto"/>
            <w:gridSpan w:val="3"/>
            <w:shd w:val="clear" w:color="auto" w:fill="FFFFFF"/>
            <w:tcMar>
              <w:top w:w="0" w:type="dxa"/>
              <w:left w:w="20" w:type="dxa"/>
              <w:bottom w:w="0" w:type="dxa"/>
              <w:right w:w="20" w:type="dxa"/>
            </w:tcMar>
            <w:vAlign w:val="center"/>
            <w:hideMark/>
          </w:tcPr>
          <w:p w14:paraId="21B385A5"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1AD4BE" w14:textId="77777777" w:rsidR="00000000" w:rsidRDefault="001D0688">
            <w:pPr>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14:paraId="43607A0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5514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CE81E" w14:textId="77777777" w:rsidR="00000000" w:rsidRDefault="001D0688">
            <w:pPr>
              <w:jc w:val="right"/>
              <w:rPr>
                <w:rFonts w:eastAsia="Times New Roman"/>
              </w:rPr>
            </w:pPr>
            <w:r>
              <w:rPr>
                <w:rFonts w:ascii="Arial" w:eastAsia="Times New Roman" w:hAnsi="Arial" w:cs="Arial"/>
                <w:color w:val="000000"/>
                <w:sz w:val="20"/>
                <w:szCs w:val="20"/>
              </w:rPr>
              <w:t>15.5 </w:t>
            </w:r>
          </w:p>
        </w:tc>
        <w:tc>
          <w:tcPr>
            <w:tcW w:w="0" w:type="auto"/>
            <w:shd w:val="clear" w:color="auto" w:fill="FFFFFF"/>
            <w:tcMar>
              <w:top w:w="30" w:type="dxa"/>
              <w:left w:w="0" w:type="dxa"/>
              <w:bottom w:w="30" w:type="dxa"/>
              <w:right w:w="20" w:type="dxa"/>
            </w:tcMar>
            <w:vAlign w:val="bottom"/>
            <w:hideMark/>
          </w:tcPr>
          <w:p w14:paraId="69E18503" w14:textId="77777777" w:rsidR="00000000" w:rsidRDefault="001D0688">
            <w:pPr>
              <w:jc w:val="right"/>
              <w:rPr>
                <w:rFonts w:eastAsia="Times New Roman"/>
              </w:rPr>
            </w:pPr>
          </w:p>
        </w:tc>
      </w:tr>
      <w:tr w:rsidR="00000000" w14:paraId="0FEB8110" w14:textId="77777777">
        <w:trPr>
          <w:divId w:val="934753815"/>
        </w:trPr>
        <w:tc>
          <w:tcPr>
            <w:tcW w:w="0" w:type="auto"/>
            <w:gridSpan w:val="3"/>
            <w:shd w:val="clear" w:color="auto" w:fill="DCE2EF"/>
            <w:tcMar>
              <w:top w:w="30" w:type="dxa"/>
              <w:left w:w="20" w:type="dxa"/>
              <w:bottom w:w="30" w:type="dxa"/>
              <w:right w:w="20" w:type="dxa"/>
            </w:tcMar>
            <w:vAlign w:val="bottom"/>
            <w:hideMark/>
          </w:tcPr>
          <w:p w14:paraId="47E53EB9" w14:textId="77777777" w:rsidR="00000000" w:rsidRDefault="001D0688">
            <w:pPr>
              <w:rPr>
                <w:rFonts w:eastAsia="Times New Roman"/>
              </w:rPr>
            </w:pPr>
            <w:r>
              <w:rPr>
                <w:rFonts w:ascii="Arial" w:eastAsia="Times New Roman" w:hAnsi="Arial" w:cs="Arial"/>
                <w:color w:val="000000"/>
                <w:sz w:val="20"/>
                <w:szCs w:val="20"/>
              </w:rPr>
              <w:t>External support fees</w:t>
            </w:r>
          </w:p>
        </w:tc>
        <w:tc>
          <w:tcPr>
            <w:tcW w:w="0" w:type="auto"/>
            <w:gridSpan w:val="3"/>
            <w:shd w:val="clear" w:color="auto" w:fill="DCE2EF"/>
            <w:tcMar>
              <w:top w:w="0" w:type="dxa"/>
              <w:left w:w="20" w:type="dxa"/>
              <w:bottom w:w="0" w:type="dxa"/>
              <w:right w:w="20" w:type="dxa"/>
            </w:tcMar>
            <w:vAlign w:val="center"/>
            <w:hideMark/>
          </w:tcPr>
          <w:p w14:paraId="40A41C45"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2DD4D78" w14:textId="77777777" w:rsidR="00000000" w:rsidRDefault="001D0688">
            <w:pPr>
              <w:jc w:val="right"/>
              <w:rPr>
                <w:rFonts w:eastAsia="Times New Roman"/>
              </w:rPr>
            </w:pPr>
            <w:r>
              <w:rPr>
                <w:rFonts w:ascii="Arial" w:eastAsia="Times New Roman" w:hAnsi="Arial" w:cs="Arial"/>
                <w:color w:val="000000"/>
                <w:sz w:val="20"/>
                <w:szCs w:val="20"/>
              </w:rPr>
              <w:t>1.4 </w:t>
            </w:r>
          </w:p>
        </w:tc>
        <w:tc>
          <w:tcPr>
            <w:tcW w:w="0" w:type="auto"/>
            <w:shd w:val="clear" w:color="auto" w:fill="DCE2EF"/>
            <w:tcMar>
              <w:top w:w="30" w:type="dxa"/>
              <w:left w:w="0" w:type="dxa"/>
              <w:bottom w:w="30" w:type="dxa"/>
              <w:right w:w="20" w:type="dxa"/>
            </w:tcMar>
            <w:vAlign w:val="bottom"/>
            <w:hideMark/>
          </w:tcPr>
          <w:p w14:paraId="2EF1DC9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A8918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0E4C25C" w14:textId="77777777" w:rsidR="00000000" w:rsidRDefault="001D0688">
            <w:pPr>
              <w:jc w:val="right"/>
              <w:rPr>
                <w:rFonts w:eastAsia="Times New Roman"/>
              </w:rPr>
            </w:pPr>
            <w:r>
              <w:rPr>
                <w:rFonts w:ascii="Arial" w:eastAsia="Times New Roman" w:hAnsi="Arial" w:cs="Arial"/>
                <w:color w:val="000000"/>
                <w:sz w:val="20"/>
                <w:szCs w:val="20"/>
              </w:rPr>
              <w:t>4.9 </w:t>
            </w:r>
          </w:p>
        </w:tc>
        <w:tc>
          <w:tcPr>
            <w:tcW w:w="0" w:type="auto"/>
            <w:shd w:val="clear" w:color="auto" w:fill="DCE2EF"/>
            <w:tcMar>
              <w:top w:w="30" w:type="dxa"/>
              <w:left w:w="0" w:type="dxa"/>
              <w:bottom w:w="30" w:type="dxa"/>
              <w:right w:w="20" w:type="dxa"/>
            </w:tcMar>
            <w:vAlign w:val="bottom"/>
            <w:hideMark/>
          </w:tcPr>
          <w:p w14:paraId="73013217" w14:textId="77777777" w:rsidR="00000000" w:rsidRDefault="001D0688">
            <w:pPr>
              <w:jc w:val="right"/>
              <w:rPr>
                <w:rFonts w:eastAsia="Times New Roman"/>
              </w:rPr>
            </w:pPr>
          </w:p>
        </w:tc>
      </w:tr>
      <w:tr w:rsidR="00000000" w14:paraId="0EDA728F" w14:textId="77777777">
        <w:trPr>
          <w:divId w:val="934753815"/>
        </w:trPr>
        <w:tc>
          <w:tcPr>
            <w:tcW w:w="0" w:type="auto"/>
            <w:gridSpan w:val="3"/>
            <w:shd w:val="clear" w:color="auto" w:fill="FFFFFF"/>
            <w:tcMar>
              <w:top w:w="30" w:type="dxa"/>
              <w:left w:w="20" w:type="dxa"/>
              <w:bottom w:w="30" w:type="dxa"/>
              <w:right w:w="20" w:type="dxa"/>
            </w:tcMar>
            <w:vAlign w:val="bottom"/>
            <w:hideMark/>
          </w:tcPr>
          <w:p w14:paraId="58C2FB15" w14:textId="77777777" w:rsidR="00000000" w:rsidRDefault="001D0688">
            <w:pPr>
              <w:rPr>
                <w:rFonts w:eastAsia="Times New Roman"/>
              </w:rPr>
            </w:pPr>
            <w:r>
              <w:rPr>
                <w:rFonts w:ascii="Arial" w:eastAsia="Times New Roman" w:hAnsi="Arial" w:cs="Arial"/>
                <w:color w:val="000000"/>
                <w:sz w:val="20"/>
                <w:szCs w:val="20"/>
              </w:rPr>
              <w:t>Lease exit costs</w:t>
            </w:r>
          </w:p>
        </w:tc>
        <w:tc>
          <w:tcPr>
            <w:tcW w:w="0" w:type="auto"/>
            <w:gridSpan w:val="3"/>
            <w:shd w:val="clear" w:color="auto" w:fill="FFFFFF"/>
            <w:tcMar>
              <w:top w:w="0" w:type="dxa"/>
              <w:left w:w="20" w:type="dxa"/>
              <w:bottom w:w="0" w:type="dxa"/>
              <w:right w:w="20" w:type="dxa"/>
            </w:tcMar>
            <w:vAlign w:val="center"/>
            <w:hideMark/>
          </w:tcPr>
          <w:p w14:paraId="4B273E47"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8D07FA" w14:textId="77777777" w:rsidR="00000000" w:rsidRDefault="001D0688">
            <w:pPr>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14:paraId="2C77E80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CFEB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50987" w14:textId="77777777" w:rsidR="00000000" w:rsidRDefault="001D0688">
            <w:pPr>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709B3F5B" w14:textId="77777777" w:rsidR="00000000" w:rsidRDefault="001D0688">
            <w:pPr>
              <w:jc w:val="right"/>
              <w:rPr>
                <w:rFonts w:eastAsia="Times New Roman"/>
              </w:rPr>
            </w:pPr>
          </w:p>
        </w:tc>
      </w:tr>
      <w:tr w:rsidR="00000000" w14:paraId="6C426BC1" w14:textId="77777777">
        <w:trPr>
          <w:divId w:val="934753815"/>
        </w:trPr>
        <w:tc>
          <w:tcPr>
            <w:tcW w:w="0" w:type="auto"/>
            <w:gridSpan w:val="3"/>
            <w:vAlign w:val="center"/>
            <w:hideMark/>
          </w:tcPr>
          <w:p w14:paraId="6D699790" w14:textId="77777777" w:rsidR="00000000" w:rsidRDefault="001D0688">
            <w:pPr>
              <w:jc w:val="right"/>
              <w:rPr>
                <w:rFonts w:eastAsia="Times New Roman"/>
                <w:sz w:val="20"/>
                <w:szCs w:val="20"/>
              </w:rPr>
            </w:pPr>
          </w:p>
        </w:tc>
        <w:tc>
          <w:tcPr>
            <w:tcW w:w="0" w:type="auto"/>
            <w:gridSpan w:val="3"/>
            <w:vAlign w:val="center"/>
            <w:hideMark/>
          </w:tcPr>
          <w:p w14:paraId="06E85153" w14:textId="77777777" w:rsidR="00000000" w:rsidRDefault="001D0688">
            <w:pPr>
              <w:rPr>
                <w:rFonts w:eastAsia="Times New Roman"/>
                <w:sz w:val="20"/>
                <w:szCs w:val="20"/>
              </w:rPr>
            </w:pPr>
          </w:p>
        </w:tc>
        <w:tc>
          <w:tcPr>
            <w:tcW w:w="0" w:type="auto"/>
            <w:gridSpan w:val="3"/>
            <w:vAlign w:val="center"/>
            <w:hideMark/>
          </w:tcPr>
          <w:p w14:paraId="198480BF" w14:textId="77777777" w:rsidR="00000000" w:rsidRDefault="001D0688">
            <w:pPr>
              <w:rPr>
                <w:rFonts w:eastAsia="Times New Roman"/>
                <w:sz w:val="20"/>
                <w:szCs w:val="20"/>
              </w:rPr>
            </w:pPr>
          </w:p>
        </w:tc>
        <w:tc>
          <w:tcPr>
            <w:tcW w:w="0" w:type="auto"/>
            <w:gridSpan w:val="3"/>
            <w:vAlign w:val="center"/>
            <w:hideMark/>
          </w:tcPr>
          <w:p w14:paraId="0B4BDD95" w14:textId="77777777" w:rsidR="00000000" w:rsidRDefault="001D0688">
            <w:pPr>
              <w:rPr>
                <w:rFonts w:eastAsia="Times New Roman"/>
                <w:sz w:val="20"/>
                <w:szCs w:val="20"/>
              </w:rPr>
            </w:pPr>
          </w:p>
        </w:tc>
        <w:tc>
          <w:tcPr>
            <w:tcW w:w="0" w:type="auto"/>
            <w:gridSpan w:val="3"/>
            <w:vAlign w:val="center"/>
            <w:hideMark/>
          </w:tcPr>
          <w:p w14:paraId="78804776" w14:textId="77777777" w:rsidR="00000000" w:rsidRDefault="001D0688">
            <w:pPr>
              <w:rPr>
                <w:rFonts w:eastAsia="Times New Roman"/>
                <w:sz w:val="20"/>
                <w:szCs w:val="20"/>
              </w:rPr>
            </w:pPr>
          </w:p>
        </w:tc>
      </w:tr>
      <w:tr w:rsidR="00000000" w14:paraId="12D5FFCB" w14:textId="77777777">
        <w:trPr>
          <w:divId w:val="934753815"/>
        </w:trPr>
        <w:tc>
          <w:tcPr>
            <w:tcW w:w="0" w:type="auto"/>
            <w:gridSpan w:val="3"/>
            <w:shd w:val="clear" w:color="auto" w:fill="DCE2EF"/>
            <w:tcMar>
              <w:top w:w="30" w:type="dxa"/>
              <w:left w:w="20" w:type="dxa"/>
              <w:bottom w:w="30" w:type="dxa"/>
              <w:right w:w="20" w:type="dxa"/>
            </w:tcMar>
            <w:vAlign w:val="bottom"/>
            <w:hideMark/>
          </w:tcPr>
          <w:p w14:paraId="4B2CCEE9" w14:textId="77777777" w:rsidR="00000000" w:rsidRDefault="001D0688">
            <w:pPr>
              <w:rPr>
                <w:rFonts w:eastAsia="Times New Roman"/>
              </w:rPr>
            </w:pPr>
            <w:r>
              <w:rPr>
                <w:rFonts w:ascii="Arial" w:eastAsia="Times New Roman" w:hAnsi="Arial" w:cs="Arial"/>
                <w:b/>
                <w:bCs/>
                <w:color w:val="000000"/>
                <w:sz w:val="20"/>
                <w:szCs w:val="20"/>
              </w:rPr>
              <w:t xml:space="preserve">Total </w:t>
            </w:r>
          </w:p>
        </w:tc>
        <w:tc>
          <w:tcPr>
            <w:tcW w:w="0" w:type="auto"/>
            <w:gridSpan w:val="3"/>
            <w:shd w:val="clear" w:color="auto" w:fill="DCE2EF"/>
            <w:tcMar>
              <w:top w:w="0" w:type="dxa"/>
              <w:left w:w="20" w:type="dxa"/>
              <w:bottom w:w="0" w:type="dxa"/>
              <w:right w:w="20" w:type="dxa"/>
            </w:tcMar>
            <w:vAlign w:val="center"/>
            <w:hideMark/>
          </w:tcPr>
          <w:p w14:paraId="110AADF8" w14:textId="77777777" w:rsidR="00000000" w:rsidRDefault="001D0688">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1C0B718" w14:textId="77777777" w:rsidR="00000000" w:rsidRDefault="001D0688">
            <w:pPr>
              <w:rPr>
                <w:rFonts w:eastAsia="Times New Roman"/>
              </w:rPr>
            </w:pPr>
            <w:r>
              <w:rPr>
                <w:rFonts w:ascii="Arial" w:eastAsia="Times New Roman" w:hAnsi="Arial" w:cs="Arial"/>
                <w:b/>
                <w:bCs/>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93CEFCE" w14:textId="77777777" w:rsidR="00000000" w:rsidRDefault="001D0688">
            <w:pPr>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1C894B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FF0DDF"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1C3FD8C" w14:textId="77777777" w:rsidR="00000000" w:rsidRDefault="001D0688">
            <w:pPr>
              <w:rPr>
                <w:rFonts w:eastAsia="Times New Roman"/>
              </w:rPr>
            </w:pPr>
            <w:r>
              <w:rPr>
                <w:rFonts w:ascii="Arial" w:eastAsia="Times New Roman" w:hAnsi="Arial" w:cs="Arial"/>
                <w:b/>
                <w:bCs/>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6E2E663" w14:textId="77777777" w:rsidR="00000000" w:rsidRDefault="001D0688">
            <w:pPr>
              <w:jc w:val="right"/>
              <w:rPr>
                <w:rFonts w:eastAsia="Times New Roman"/>
              </w:rPr>
            </w:pPr>
            <w:r>
              <w:rPr>
                <w:rFonts w:ascii="Arial" w:eastAsia="Times New Roman" w:hAnsi="Arial" w:cs="Arial"/>
                <w:b/>
                <w:bCs/>
                <w:color w:val="000000"/>
                <w:sz w:val="20"/>
                <w:szCs w:val="20"/>
              </w:rPr>
              <w:t>42.2</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9AD27A0" w14:textId="77777777" w:rsidR="00000000" w:rsidRDefault="001D0688">
            <w:pPr>
              <w:jc w:val="right"/>
              <w:rPr>
                <w:rFonts w:eastAsia="Times New Roman"/>
              </w:rPr>
            </w:pPr>
          </w:p>
        </w:tc>
      </w:tr>
    </w:tbl>
    <w:p w14:paraId="36C2B9FB" w14:textId="77777777" w:rsidR="00000000" w:rsidRDefault="001D0688">
      <w:pPr>
        <w:divId w:val="593440184"/>
        <w:rPr>
          <w:rFonts w:eastAsia="Times New Roman"/>
        </w:rPr>
      </w:pPr>
      <w:r>
        <w:rPr>
          <w:rFonts w:ascii="Arial" w:eastAsia="Times New Roman" w:hAnsi="Arial" w:cs="Arial"/>
          <w:b/>
          <w:bCs/>
          <w:color w:val="0046AD"/>
          <w:sz w:val="20"/>
          <w:szCs w:val="20"/>
        </w:rPr>
        <w:t>Ins</w:t>
      </w:r>
      <w:r>
        <w:rPr>
          <w:rFonts w:ascii="Arial" w:eastAsia="Times New Roman" w:hAnsi="Arial" w:cs="Arial"/>
          <w:b/>
          <w:bCs/>
          <w:color w:val="0046AD"/>
          <w:sz w:val="20"/>
          <w:szCs w:val="20"/>
        </w:rPr>
        <w:t>urance Reserves</w:t>
      </w:r>
    </w:p>
    <w:p w14:paraId="6765A49A" w14:textId="77777777" w:rsidR="00000000" w:rsidRDefault="001D0688">
      <w:pPr>
        <w:ind w:firstLine="720"/>
        <w:jc w:val="both"/>
        <w:divId w:val="1914654978"/>
        <w:rPr>
          <w:rFonts w:eastAsia="Times New Roman"/>
        </w:rPr>
      </w:pPr>
      <w:r>
        <w:rPr>
          <w:rFonts w:ascii="Arial" w:eastAsia="Times New Roman" w:hAnsi="Arial" w:cs="Arial"/>
          <w:color w:val="000000"/>
          <w:sz w:val="20"/>
          <w:szCs w:val="20"/>
        </w:rPr>
        <w:t xml:space="preserve">We use a combination of insured and self-insurance programs to cover workers’ compensation, general liability, automobile liability, property damage, and other insurable risks. Insurance claim liabilities represent our estimate of retained </w:t>
      </w:r>
      <w:r>
        <w:rPr>
          <w:rFonts w:ascii="Arial" w:eastAsia="Times New Roman" w:hAnsi="Arial" w:cs="Arial"/>
          <w:color w:val="000000"/>
          <w:sz w:val="20"/>
          <w:szCs w:val="20"/>
        </w:rPr>
        <w:t>risks without regard to insurance coverage. We retain a substantial portion of the risk related to certain workers’ compensation and medical claims. Liabilities associated with these losses include estimates of both filed claims and incurred but not report</w:t>
      </w:r>
      <w:r>
        <w:rPr>
          <w:rFonts w:ascii="Arial" w:eastAsia="Times New Roman" w:hAnsi="Arial" w:cs="Arial"/>
          <w:color w:val="000000"/>
          <w:sz w:val="20"/>
          <w:szCs w:val="20"/>
        </w:rPr>
        <w:t>ed claims (“IBNR Claims”).</w:t>
      </w:r>
    </w:p>
    <w:p w14:paraId="4168A0A8" w14:textId="77777777" w:rsidR="00000000" w:rsidRDefault="001D0688">
      <w:pPr>
        <w:ind w:firstLine="720"/>
        <w:jc w:val="both"/>
        <w:divId w:val="1641108199"/>
        <w:rPr>
          <w:rFonts w:eastAsia="Times New Roman"/>
        </w:rPr>
      </w:pPr>
      <w:r>
        <w:rPr>
          <w:rFonts w:ascii="Arial" w:eastAsia="Times New Roman" w:hAnsi="Arial" w:cs="Arial"/>
          <w:color w:val="000000"/>
          <w:sz w:val="20"/>
          <w:szCs w:val="20"/>
        </w:rPr>
        <w:t>With the assistance of third-party actuaries, we periodically review our estimate of ultimate losses for IBNR Claims and adjust our required self-insurance reserves as appropriate. As part of this evaluation, we review the status</w:t>
      </w:r>
      <w:r>
        <w:rPr>
          <w:rFonts w:ascii="Arial" w:eastAsia="Times New Roman" w:hAnsi="Arial" w:cs="Arial"/>
          <w:color w:val="000000"/>
          <w:sz w:val="20"/>
          <w:szCs w:val="20"/>
        </w:rPr>
        <w:t xml:space="preserve"> of existing and new claim reserves as established by third-party claims administrators. The third-party claims administrators establish the case reserves based upon known factors related to the type and severity of the claims, demographic factors, legisla</w:t>
      </w:r>
      <w:r>
        <w:rPr>
          <w:rFonts w:ascii="Arial" w:eastAsia="Times New Roman" w:hAnsi="Arial" w:cs="Arial"/>
          <w:color w:val="000000"/>
          <w:sz w:val="20"/>
          <w:szCs w:val="20"/>
        </w:rPr>
        <w:t>tive matters, and case law, as appropriate. We compare actual trends to expected trends and monitor claims developments. The specific case reserves estimated by the third-party administrators are provided to an actuary who assists us in projecting an actua</w:t>
      </w:r>
      <w:r>
        <w:rPr>
          <w:rFonts w:ascii="Arial" w:eastAsia="Times New Roman" w:hAnsi="Arial" w:cs="Arial"/>
          <w:color w:val="000000"/>
          <w:sz w:val="20"/>
          <w:szCs w:val="20"/>
        </w:rPr>
        <w:t>rial estimate of the overall ultimate losses for our self-insured or high deductible programs, which includes the case reserves plus an actuarial estimate of reserves required for additional developments, such as IBNR Claims. We utilize the results of actu</w:t>
      </w:r>
      <w:r>
        <w:rPr>
          <w:rFonts w:ascii="Arial" w:eastAsia="Times New Roman" w:hAnsi="Arial" w:cs="Arial"/>
          <w:color w:val="000000"/>
          <w:sz w:val="20"/>
          <w:szCs w:val="20"/>
        </w:rPr>
        <w:t>arial studies to estimate our insurance rates and insurance reserves for future periods and to adjust reserves, if appropriate, for prior years.</w:t>
      </w:r>
    </w:p>
    <w:p w14:paraId="65E81868" w14:textId="77777777" w:rsidR="00000000" w:rsidRDefault="001D0688">
      <w:pPr>
        <w:ind w:firstLine="720"/>
        <w:jc w:val="both"/>
        <w:divId w:val="1971477984"/>
        <w:rPr>
          <w:rFonts w:eastAsia="Times New Roman"/>
        </w:rPr>
      </w:pPr>
      <w:r>
        <w:rPr>
          <w:rFonts w:ascii="Arial" w:eastAsia="Times New Roman" w:hAnsi="Arial" w:cs="Arial"/>
          <w:color w:val="000000"/>
          <w:sz w:val="20"/>
          <w:szCs w:val="20"/>
        </w:rPr>
        <w:t>The actuarial reviews demonstrate that the changes we have made to our risk management program continue to posi</w:t>
      </w:r>
      <w:r>
        <w:rPr>
          <w:rFonts w:ascii="Arial" w:eastAsia="Times New Roman" w:hAnsi="Arial" w:cs="Arial"/>
          <w:color w:val="000000"/>
          <w:sz w:val="20"/>
          <w:szCs w:val="20"/>
        </w:rPr>
        <w:t>tively impact the frequency and severity of claims. The claims management strategies and programs that we have implemented have resulted in improvements. Furthermore, we continue to adjust our reserves consistent with known fact patterns. Based on the resu</w:t>
      </w:r>
      <w:r>
        <w:rPr>
          <w:rFonts w:ascii="Arial" w:eastAsia="Times New Roman" w:hAnsi="Arial" w:cs="Arial"/>
          <w:color w:val="000000"/>
          <w:sz w:val="20"/>
          <w:szCs w:val="20"/>
        </w:rPr>
        <w:t>lts of the actuarial reviews performed, we decreased our total reserves for known claims as well as our estimate of the loss amounts associated with IBNR Claims by $36.6 million, $30.2 million of which relates to prior years, during 2020. In 2019, we decre</w:t>
      </w:r>
      <w:r>
        <w:rPr>
          <w:rFonts w:ascii="Arial" w:eastAsia="Times New Roman" w:hAnsi="Arial" w:cs="Arial"/>
          <w:color w:val="000000"/>
          <w:sz w:val="20"/>
          <w:szCs w:val="20"/>
        </w:rPr>
        <w:t>ased our total reserves related to prior year claims by $3.4 million.</w:t>
      </w:r>
    </w:p>
    <w:p w14:paraId="13FD43A5" w14:textId="77777777" w:rsidR="00000000" w:rsidRDefault="001D0688">
      <w:pPr>
        <w:jc w:val="center"/>
        <w:divId w:val="2109278240"/>
        <w:rPr>
          <w:rFonts w:eastAsia="Times New Roman"/>
        </w:rPr>
      </w:pPr>
      <w:r>
        <w:rPr>
          <w:rFonts w:ascii="Arial" w:eastAsia="Times New Roman" w:hAnsi="Arial" w:cs="Arial"/>
          <w:color w:val="000000"/>
          <w:sz w:val="20"/>
          <w:szCs w:val="20"/>
        </w:rPr>
        <w:t>24</w:t>
      </w:r>
    </w:p>
    <w:p w14:paraId="7618E010" w14:textId="77777777" w:rsidR="00000000" w:rsidRDefault="001D0688">
      <w:pPr>
        <w:rPr>
          <w:rFonts w:eastAsia="Times New Roman"/>
        </w:rPr>
      </w:pPr>
      <w:r>
        <w:rPr>
          <w:rFonts w:eastAsia="Times New Roman"/>
        </w:rPr>
        <w:pict w14:anchorId="636AB6DE">
          <v:rect id="_x0000_i1060" style="width:0;height:1.5pt" o:hralign="center" o:hrstd="t" o:hr="t" fillcolor="#a0a0a0" stroked="f"/>
        </w:pict>
      </w:r>
    </w:p>
    <w:p w14:paraId="3358BED3" w14:textId="77777777" w:rsidR="00000000" w:rsidRDefault="001D0688">
      <w:pPr>
        <w:divId w:val="1873806430"/>
        <w:rPr>
          <w:rFonts w:eastAsia="Times New Roman"/>
        </w:rPr>
      </w:pPr>
    </w:p>
    <w:p w14:paraId="6E9D659D" w14:textId="77777777" w:rsidR="00000000" w:rsidRDefault="001D0688">
      <w:pPr>
        <w:divId w:val="61099601"/>
        <w:rPr>
          <w:rFonts w:eastAsia="Times New Roman"/>
        </w:rPr>
      </w:pPr>
      <w:r>
        <w:rPr>
          <w:rFonts w:ascii="Arial" w:eastAsia="Times New Roman" w:hAnsi="Arial" w:cs="Arial"/>
          <w:b/>
          <w:bCs/>
          <w:color w:val="0046AD"/>
          <w:sz w:val="20"/>
          <w:szCs w:val="20"/>
        </w:rPr>
        <w:t>Key Financial Highlights</w:t>
      </w:r>
    </w:p>
    <w:p w14:paraId="27502462" w14:textId="77777777" w:rsidR="00000000" w:rsidRDefault="001D0688">
      <w:pPr>
        <w:ind w:hanging="360"/>
        <w:jc w:val="both"/>
        <w:divId w:val="557209599"/>
        <w:rPr>
          <w:rFonts w:eastAsia="Times New Roman"/>
        </w:rPr>
      </w:pPr>
      <w:r>
        <w:rPr>
          <w:rFonts w:ascii="Arial" w:eastAsia="Times New Roman" w:hAnsi="Arial" w:cs="Arial"/>
          <w:color w:val="000000"/>
          <w:sz w:val="20"/>
          <w:szCs w:val="20"/>
        </w:rPr>
        <w:t>•Revenues decreased by $511.0 million, or 7.9%, during 2020, as compared to 2019, primarily due to the impact of Pandem</w:t>
      </w:r>
      <w:r>
        <w:rPr>
          <w:rFonts w:ascii="Arial" w:eastAsia="Times New Roman" w:hAnsi="Arial" w:cs="Arial"/>
          <w:color w:val="000000"/>
          <w:sz w:val="20"/>
          <w:szCs w:val="20"/>
        </w:rPr>
        <w:t>ic-related disruptions across our businesses. Revenues were also impacted by the loss of certain accounts, primarily in our Aviation business and our U.S. B&amp;I business. However, this decrease was partially offset by the expansion of certain accounts and ne</w:t>
      </w:r>
      <w:r>
        <w:rPr>
          <w:rFonts w:ascii="Arial" w:eastAsia="Times New Roman" w:hAnsi="Arial" w:cs="Arial"/>
          <w:color w:val="000000"/>
          <w:sz w:val="20"/>
          <w:szCs w:val="20"/>
        </w:rPr>
        <w:t>w business within B&amp;I, T&amp;M, and Technical Solutions (primarily before Pandemic-related disruptions), as well as by a significant increase in work orders and new services, including EnhancedClean, primarily relating to the Pandemic.</w:t>
      </w:r>
    </w:p>
    <w:p w14:paraId="48909041" w14:textId="77777777" w:rsidR="00000000" w:rsidRDefault="001D0688">
      <w:pPr>
        <w:ind w:hanging="360"/>
        <w:jc w:val="both"/>
        <w:divId w:val="1697150651"/>
        <w:rPr>
          <w:rFonts w:eastAsia="Times New Roman"/>
        </w:rPr>
      </w:pPr>
      <w:r>
        <w:rPr>
          <w:rFonts w:ascii="Arial" w:eastAsia="Times New Roman" w:hAnsi="Arial" w:cs="Arial"/>
          <w:color w:val="000000"/>
          <w:sz w:val="20"/>
          <w:szCs w:val="20"/>
        </w:rPr>
        <w:t>•Operating profit decrea</w:t>
      </w:r>
      <w:r>
        <w:rPr>
          <w:rFonts w:ascii="Arial" w:eastAsia="Times New Roman" w:hAnsi="Arial" w:cs="Arial"/>
          <w:color w:val="000000"/>
          <w:sz w:val="20"/>
          <w:szCs w:val="20"/>
        </w:rPr>
        <w:t>sed by $112.6 million, or 54.0%, during 2020, as compared to 2019. The decrease in operating profit is primarily attributable to impairment charges recorded on goodwill and intangible assets totaling $172.8 million due to the adverse impact of market and b</w:t>
      </w:r>
      <w:r>
        <w:rPr>
          <w:rFonts w:ascii="Arial" w:eastAsia="Times New Roman" w:hAnsi="Arial" w:cs="Arial"/>
          <w:color w:val="000000"/>
          <w:sz w:val="20"/>
          <w:szCs w:val="20"/>
        </w:rPr>
        <w:t>usiness conditions resulting from the Pandemic. The decrease was also driven by account compression resulting from: Pandemic-related disruptions in certain markets; a reserve on notes receivable related to a unique, entertainment-related project within Tec</w:t>
      </w:r>
      <w:r>
        <w:rPr>
          <w:rFonts w:ascii="Arial" w:eastAsia="Times New Roman" w:hAnsi="Arial" w:cs="Arial"/>
          <w:color w:val="000000"/>
          <w:sz w:val="20"/>
          <w:szCs w:val="20"/>
        </w:rPr>
        <w:t xml:space="preserve">hnical Solutions, mainly associated with increasing credit risk resulting from the Pandemic; an increase in bad debt expense primarily due to specific reserves established for client receivables associated with increasing credit risk in certain industries </w:t>
      </w:r>
      <w:r>
        <w:rPr>
          <w:rFonts w:ascii="Arial" w:eastAsia="Times New Roman" w:hAnsi="Arial" w:cs="Arial"/>
          <w:color w:val="000000"/>
          <w:sz w:val="20"/>
          <w:szCs w:val="20"/>
        </w:rPr>
        <w:t>(including for clients with deteriorating credit ratings and resulting bankruptcies) arising from the Pandemic; and investments in EnhancedClean, other Pandemic-related projects, and certain corporate initiatives. These factors were partially offset by: th</w:t>
      </w:r>
      <w:r>
        <w:rPr>
          <w:rFonts w:ascii="Arial" w:eastAsia="Times New Roman" w:hAnsi="Arial" w:cs="Arial"/>
          <w:color w:val="000000"/>
          <w:sz w:val="20"/>
          <w:szCs w:val="20"/>
        </w:rPr>
        <w:t>e management of direct labor and related personnel costs during the Pandemic; higher margins on work orders and new services, including EnhancedClean, relating to the Pandemic (particularly within B&amp;I and T&amp;M); the loss of certain lower margin accounts wit</w:t>
      </w:r>
      <w:r>
        <w:rPr>
          <w:rFonts w:ascii="Arial" w:eastAsia="Times New Roman" w:hAnsi="Arial" w:cs="Arial"/>
          <w:color w:val="000000"/>
          <w:sz w:val="20"/>
          <w:szCs w:val="20"/>
        </w:rPr>
        <w:t xml:space="preserve">hin B&amp;I and Aviation; a decrease in self-insurance reserves related to adjustments for prior years; and various human capital management cost reduction measures. </w:t>
      </w:r>
    </w:p>
    <w:p w14:paraId="6CFAE07B" w14:textId="77777777" w:rsidR="00000000" w:rsidRDefault="001D0688">
      <w:pPr>
        <w:ind w:hanging="360"/>
        <w:jc w:val="both"/>
        <w:divId w:val="527067641"/>
        <w:rPr>
          <w:rFonts w:eastAsia="Times New Roman"/>
        </w:rPr>
      </w:pPr>
      <w:r>
        <w:rPr>
          <w:rFonts w:ascii="Arial" w:eastAsia="Times New Roman" w:hAnsi="Arial" w:cs="Arial"/>
          <w:color w:val="000000"/>
          <w:sz w:val="20"/>
          <w:szCs w:val="20"/>
        </w:rPr>
        <w:t xml:space="preserve">•Our effective tax rate on income from continuing operations was 99.6% for 2020, as compared </w:t>
      </w:r>
      <w:r>
        <w:rPr>
          <w:rFonts w:ascii="Arial" w:eastAsia="Times New Roman" w:hAnsi="Arial" w:cs="Arial"/>
          <w:color w:val="000000"/>
          <w:sz w:val="20"/>
          <w:szCs w:val="20"/>
        </w:rPr>
        <w:t xml:space="preserve">to 20.4% during 2019, with the increase primarily due to the impairment of non-deductible goodwill during 2020. </w:t>
      </w:r>
    </w:p>
    <w:p w14:paraId="6F82CAD6" w14:textId="77777777" w:rsidR="00000000" w:rsidRDefault="001D0688">
      <w:pPr>
        <w:ind w:hanging="360"/>
        <w:jc w:val="both"/>
        <w:divId w:val="783233304"/>
        <w:rPr>
          <w:rFonts w:eastAsia="Times New Roman"/>
        </w:rPr>
      </w:pPr>
      <w:r>
        <w:rPr>
          <w:rFonts w:ascii="Arial" w:eastAsia="Times New Roman" w:hAnsi="Arial" w:cs="Arial"/>
          <w:color w:val="000000"/>
          <w:sz w:val="20"/>
          <w:szCs w:val="20"/>
        </w:rPr>
        <w:t>•Net cash provided by operating activities of continuing operations was $457.4 million during 2020.</w:t>
      </w:r>
    </w:p>
    <w:p w14:paraId="07AC7333" w14:textId="77777777" w:rsidR="00000000" w:rsidRDefault="001D0688">
      <w:pPr>
        <w:ind w:hanging="360"/>
        <w:jc w:val="both"/>
        <w:divId w:val="2123841440"/>
        <w:rPr>
          <w:rFonts w:eastAsia="Times New Roman"/>
        </w:rPr>
      </w:pPr>
      <w:r>
        <w:rPr>
          <w:rFonts w:ascii="Arial" w:eastAsia="Times New Roman" w:hAnsi="Arial" w:cs="Arial"/>
          <w:color w:val="000000"/>
          <w:sz w:val="20"/>
          <w:szCs w:val="20"/>
        </w:rPr>
        <w:t>•Dividends of $49.3 million were paid to sh</w:t>
      </w:r>
      <w:r>
        <w:rPr>
          <w:rFonts w:ascii="Arial" w:eastAsia="Times New Roman" w:hAnsi="Arial" w:cs="Arial"/>
          <w:color w:val="000000"/>
          <w:sz w:val="20"/>
          <w:szCs w:val="20"/>
        </w:rPr>
        <w:t xml:space="preserve">areholders, and dividends totaling $0.740 per common share were declared during 2020. </w:t>
      </w:r>
    </w:p>
    <w:p w14:paraId="7DCC1DF3" w14:textId="77777777" w:rsidR="00000000" w:rsidRDefault="001D0688">
      <w:pPr>
        <w:ind w:hanging="360"/>
        <w:jc w:val="both"/>
        <w:divId w:val="2058964347"/>
        <w:rPr>
          <w:rFonts w:eastAsia="Times New Roman"/>
        </w:rPr>
      </w:pPr>
      <w:r>
        <w:rPr>
          <w:rFonts w:ascii="Arial" w:eastAsia="Times New Roman" w:hAnsi="Arial" w:cs="Arial"/>
          <w:color w:val="000000"/>
          <w:sz w:val="20"/>
          <w:szCs w:val="20"/>
        </w:rPr>
        <w:t>•At October 31, 2020, total outstanding borrowings under our credit facility were $725.3 million, and we had up to $596.6 million of borrowing capacity, reflecting coven</w:t>
      </w:r>
      <w:r>
        <w:rPr>
          <w:rFonts w:ascii="Arial" w:eastAsia="Times New Roman" w:hAnsi="Arial" w:cs="Arial"/>
          <w:color w:val="000000"/>
          <w:sz w:val="20"/>
          <w:szCs w:val="20"/>
        </w:rPr>
        <w:t>ant restrictions.</w:t>
      </w:r>
    </w:p>
    <w:p w14:paraId="1AA5FCD9" w14:textId="77777777" w:rsidR="00000000" w:rsidRDefault="001D0688">
      <w:pPr>
        <w:jc w:val="center"/>
        <w:divId w:val="206263417"/>
        <w:rPr>
          <w:rFonts w:eastAsia="Times New Roman"/>
        </w:rPr>
      </w:pPr>
      <w:r>
        <w:rPr>
          <w:rFonts w:ascii="Arial" w:eastAsia="Times New Roman" w:hAnsi="Arial" w:cs="Arial"/>
          <w:color w:val="000000"/>
          <w:sz w:val="20"/>
          <w:szCs w:val="20"/>
        </w:rPr>
        <w:t>25</w:t>
      </w:r>
    </w:p>
    <w:p w14:paraId="6CE1D730" w14:textId="77777777" w:rsidR="00000000" w:rsidRDefault="001D0688">
      <w:pPr>
        <w:rPr>
          <w:rFonts w:eastAsia="Times New Roman"/>
        </w:rPr>
      </w:pPr>
      <w:r>
        <w:rPr>
          <w:rFonts w:eastAsia="Times New Roman"/>
        </w:rPr>
        <w:pict w14:anchorId="0FF65B10">
          <v:rect id="_x0000_i1061" style="width:0;height:1.5pt" o:hralign="center" o:hrstd="t" o:hr="t" fillcolor="#a0a0a0" stroked="f"/>
        </w:pict>
      </w:r>
    </w:p>
    <w:p w14:paraId="2F093BC8" w14:textId="77777777" w:rsidR="00000000" w:rsidRDefault="001D0688">
      <w:pPr>
        <w:divId w:val="1718700271"/>
        <w:rPr>
          <w:rFonts w:eastAsia="Times New Roman"/>
        </w:rPr>
      </w:pPr>
    </w:p>
    <w:p w14:paraId="10473E80" w14:textId="77777777" w:rsidR="00000000" w:rsidRDefault="001D0688">
      <w:pPr>
        <w:jc w:val="both"/>
        <w:divId w:val="1758209450"/>
        <w:rPr>
          <w:rFonts w:eastAsia="Times New Roman"/>
        </w:rPr>
      </w:pPr>
      <w:r>
        <w:rPr>
          <w:rFonts w:ascii="Arial" w:eastAsia="Times New Roman" w:hAnsi="Arial" w:cs="Arial"/>
          <w:b/>
          <w:bCs/>
          <w:color w:val="0046AD"/>
          <w:sz w:val="20"/>
          <w:szCs w:val="20"/>
          <w:shd w:val="clear" w:color="auto" w:fill="FFFFFF"/>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090BB8E7" w14:textId="77777777">
        <w:trPr>
          <w:divId w:val="1142313299"/>
        </w:trPr>
        <w:tc>
          <w:tcPr>
            <w:tcW w:w="5" w:type="pct"/>
            <w:vAlign w:val="center"/>
            <w:hideMark/>
          </w:tcPr>
          <w:p w14:paraId="18357BFC" w14:textId="77777777" w:rsidR="00000000" w:rsidRDefault="001D0688">
            <w:pPr>
              <w:jc w:val="both"/>
              <w:rPr>
                <w:rFonts w:eastAsia="Times New Roman"/>
              </w:rPr>
            </w:pPr>
          </w:p>
        </w:tc>
        <w:tc>
          <w:tcPr>
            <w:tcW w:w="128" w:type="pct"/>
            <w:vAlign w:val="center"/>
            <w:hideMark/>
          </w:tcPr>
          <w:p w14:paraId="56E230F6" w14:textId="77777777" w:rsidR="00000000" w:rsidRDefault="001D0688">
            <w:pPr>
              <w:rPr>
                <w:rFonts w:eastAsia="Times New Roman"/>
                <w:sz w:val="20"/>
                <w:szCs w:val="20"/>
              </w:rPr>
            </w:pPr>
          </w:p>
        </w:tc>
        <w:tc>
          <w:tcPr>
            <w:tcW w:w="5" w:type="pct"/>
            <w:vAlign w:val="center"/>
            <w:hideMark/>
          </w:tcPr>
          <w:p w14:paraId="3E7D32F8" w14:textId="77777777" w:rsidR="00000000" w:rsidRDefault="001D0688">
            <w:pPr>
              <w:rPr>
                <w:rFonts w:eastAsia="Times New Roman"/>
                <w:sz w:val="20"/>
                <w:szCs w:val="20"/>
              </w:rPr>
            </w:pPr>
          </w:p>
        </w:tc>
        <w:tc>
          <w:tcPr>
            <w:tcW w:w="50" w:type="pct"/>
            <w:vAlign w:val="center"/>
            <w:hideMark/>
          </w:tcPr>
          <w:p w14:paraId="6419399F" w14:textId="77777777" w:rsidR="00000000" w:rsidRDefault="001D0688">
            <w:pPr>
              <w:rPr>
                <w:rFonts w:eastAsia="Times New Roman"/>
                <w:sz w:val="20"/>
                <w:szCs w:val="20"/>
              </w:rPr>
            </w:pPr>
          </w:p>
        </w:tc>
        <w:tc>
          <w:tcPr>
            <w:tcW w:w="4806" w:type="pct"/>
            <w:vAlign w:val="center"/>
            <w:hideMark/>
          </w:tcPr>
          <w:p w14:paraId="36C46752" w14:textId="77777777" w:rsidR="00000000" w:rsidRDefault="001D0688">
            <w:pPr>
              <w:rPr>
                <w:rFonts w:eastAsia="Times New Roman"/>
                <w:sz w:val="20"/>
                <w:szCs w:val="20"/>
              </w:rPr>
            </w:pPr>
          </w:p>
        </w:tc>
        <w:tc>
          <w:tcPr>
            <w:tcW w:w="5" w:type="pct"/>
            <w:vAlign w:val="center"/>
            <w:hideMark/>
          </w:tcPr>
          <w:p w14:paraId="27BC9779" w14:textId="77777777" w:rsidR="00000000" w:rsidRDefault="001D0688">
            <w:pPr>
              <w:rPr>
                <w:rFonts w:eastAsia="Times New Roman"/>
                <w:sz w:val="20"/>
                <w:szCs w:val="20"/>
              </w:rPr>
            </w:pPr>
          </w:p>
        </w:tc>
      </w:tr>
      <w:tr w:rsidR="00000000" w14:paraId="0C29C4AD" w14:textId="77777777">
        <w:trPr>
          <w:divId w:val="1142313299"/>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21C13562" w14:textId="77777777" w:rsidR="00000000" w:rsidRDefault="001D0688">
            <w:pPr>
              <w:rPr>
                <w:rFonts w:eastAsia="Times New Roman"/>
                <w:sz w:val="20"/>
                <w:szCs w:val="20"/>
              </w:rPr>
            </w:pPr>
          </w:p>
        </w:tc>
      </w:tr>
    </w:tbl>
    <w:p w14:paraId="396ACCAE" w14:textId="77777777" w:rsidR="00000000" w:rsidRDefault="001D0688">
      <w:pPr>
        <w:divId w:val="1910768006"/>
        <w:rPr>
          <w:rFonts w:eastAsia="Times New Roman"/>
        </w:rPr>
      </w:pPr>
      <w:r>
        <w:rPr>
          <w:rFonts w:ascii="Arial" w:eastAsia="Times New Roman" w:hAnsi="Arial" w:cs="Arial"/>
          <w:b/>
          <w:bCs/>
          <w:i/>
          <w:iCs/>
          <w:color w:val="0046AD"/>
          <w:sz w:val="20"/>
          <w:szCs w:val="20"/>
        </w:rPr>
        <w:t>Consolidated</w:t>
      </w:r>
      <w:r>
        <w:rPr>
          <w:rFonts w:ascii="Arial" w:eastAsia="Times New Roman" w:hAnsi="Arial" w:cs="Arial"/>
          <w:b/>
          <w:bCs/>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189"/>
        <w:gridCol w:w="40"/>
        <w:gridCol w:w="121"/>
        <w:gridCol w:w="818"/>
        <w:gridCol w:w="163"/>
        <w:gridCol w:w="36"/>
        <w:gridCol w:w="36"/>
        <w:gridCol w:w="36"/>
        <w:gridCol w:w="121"/>
        <w:gridCol w:w="748"/>
        <w:gridCol w:w="163"/>
        <w:gridCol w:w="36"/>
        <w:gridCol w:w="36"/>
        <w:gridCol w:w="36"/>
        <w:gridCol w:w="121"/>
        <w:gridCol w:w="748"/>
        <w:gridCol w:w="163"/>
        <w:gridCol w:w="36"/>
        <w:gridCol w:w="36"/>
        <w:gridCol w:w="36"/>
        <w:gridCol w:w="122"/>
        <w:gridCol w:w="572"/>
        <w:gridCol w:w="37"/>
        <w:gridCol w:w="37"/>
        <w:gridCol w:w="37"/>
        <w:gridCol w:w="37"/>
        <w:gridCol w:w="69"/>
        <w:gridCol w:w="596"/>
        <w:gridCol w:w="39"/>
      </w:tblGrid>
      <w:tr w:rsidR="00000000" w14:paraId="42375816" w14:textId="77777777">
        <w:trPr>
          <w:divId w:val="1773823057"/>
        </w:trPr>
        <w:tc>
          <w:tcPr>
            <w:tcW w:w="50" w:type="pct"/>
            <w:vAlign w:val="center"/>
            <w:hideMark/>
          </w:tcPr>
          <w:p w14:paraId="513B1304" w14:textId="77777777" w:rsidR="00000000" w:rsidRDefault="001D0688">
            <w:pPr>
              <w:rPr>
                <w:rFonts w:eastAsia="Times New Roman"/>
              </w:rPr>
            </w:pPr>
          </w:p>
        </w:tc>
        <w:tc>
          <w:tcPr>
            <w:tcW w:w="1999" w:type="pct"/>
            <w:vAlign w:val="center"/>
            <w:hideMark/>
          </w:tcPr>
          <w:p w14:paraId="62555831" w14:textId="77777777" w:rsidR="00000000" w:rsidRDefault="001D0688">
            <w:pPr>
              <w:rPr>
                <w:rFonts w:eastAsia="Times New Roman"/>
                <w:sz w:val="20"/>
                <w:szCs w:val="20"/>
              </w:rPr>
            </w:pPr>
          </w:p>
        </w:tc>
        <w:tc>
          <w:tcPr>
            <w:tcW w:w="5" w:type="pct"/>
            <w:vAlign w:val="center"/>
            <w:hideMark/>
          </w:tcPr>
          <w:p w14:paraId="7F254489" w14:textId="77777777" w:rsidR="00000000" w:rsidRDefault="001D0688">
            <w:pPr>
              <w:rPr>
                <w:rFonts w:eastAsia="Times New Roman"/>
                <w:sz w:val="20"/>
                <w:szCs w:val="20"/>
              </w:rPr>
            </w:pPr>
          </w:p>
        </w:tc>
        <w:tc>
          <w:tcPr>
            <w:tcW w:w="50" w:type="pct"/>
            <w:vAlign w:val="center"/>
            <w:hideMark/>
          </w:tcPr>
          <w:p w14:paraId="53C33BD2" w14:textId="77777777" w:rsidR="00000000" w:rsidRDefault="001D0688">
            <w:pPr>
              <w:rPr>
                <w:rFonts w:eastAsia="Times New Roman"/>
                <w:sz w:val="20"/>
                <w:szCs w:val="20"/>
              </w:rPr>
            </w:pPr>
          </w:p>
        </w:tc>
        <w:tc>
          <w:tcPr>
            <w:tcW w:w="551" w:type="pct"/>
            <w:vAlign w:val="center"/>
            <w:hideMark/>
          </w:tcPr>
          <w:p w14:paraId="03DAD177" w14:textId="77777777" w:rsidR="00000000" w:rsidRDefault="001D0688">
            <w:pPr>
              <w:rPr>
                <w:rFonts w:eastAsia="Times New Roman"/>
                <w:sz w:val="20"/>
                <w:szCs w:val="20"/>
              </w:rPr>
            </w:pPr>
          </w:p>
        </w:tc>
        <w:tc>
          <w:tcPr>
            <w:tcW w:w="5" w:type="pct"/>
            <w:vAlign w:val="center"/>
            <w:hideMark/>
          </w:tcPr>
          <w:p w14:paraId="7CA28477" w14:textId="77777777" w:rsidR="00000000" w:rsidRDefault="001D0688">
            <w:pPr>
              <w:rPr>
                <w:rFonts w:eastAsia="Times New Roman"/>
                <w:sz w:val="20"/>
                <w:szCs w:val="20"/>
              </w:rPr>
            </w:pPr>
          </w:p>
        </w:tc>
        <w:tc>
          <w:tcPr>
            <w:tcW w:w="5" w:type="pct"/>
            <w:vAlign w:val="center"/>
            <w:hideMark/>
          </w:tcPr>
          <w:p w14:paraId="01C0B8F4" w14:textId="77777777" w:rsidR="00000000" w:rsidRDefault="001D0688">
            <w:pPr>
              <w:rPr>
                <w:rFonts w:eastAsia="Times New Roman"/>
                <w:sz w:val="20"/>
                <w:szCs w:val="20"/>
              </w:rPr>
            </w:pPr>
          </w:p>
        </w:tc>
        <w:tc>
          <w:tcPr>
            <w:tcW w:w="26" w:type="pct"/>
            <w:vAlign w:val="center"/>
            <w:hideMark/>
          </w:tcPr>
          <w:p w14:paraId="59841585" w14:textId="77777777" w:rsidR="00000000" w:rsidRDefault="001D0688">
            <w:pPr>
              <w:rPr>
                <w:rFonts w:eastAsia="Times New Roman"/>
                <w:sz w:val="20"/>
                <w:szCs w:val="20"/>
              </w:rPr>
            </w:pPr>
          </w:p>
        </w:tc>
        <w:tc>
          <w:tcPr>
            <w:tcW w:w="5" w:type="pct"/>
            <w:vAlign w:val="center"/>
            <w:hideMark/>
          </w:tcPr>
          <w:p w14:paraId="3B3A87F4" w14:textId="77777777" w:rsidR="00000000" w:rsidRDefault="001D0688">
            <w:pPr>
              <w:rPr>
                <w:rFonts w:eastAsia="Times New Roman"/>
                <w:sz w:val="20"/>
                <w:szCs w:val="20"/>
              </w:rPr>
            </w:pPr>
          </w:p>
        </w:tc>
        <w:tc>
          <w:tcPr>
            <w:tcW w:w="50" w:type="pct"/>
            <w:vAlign w:val="center"/>
            <w:hideMark/>
          </w:tcPr>
          <w:p w14:paraId="4F7E770D" w14:textId="77777777" w:rsidR="00000000" w:rsidRDefault="001D0688">
            <w:pPr>
              <w:rPr>
                <w:rFonts w:eastAsia="Times New Roman"/>
                <w:sz w:val="20"/>
                <w:szCs w:val="20"/>
              </w:rPr>
            </w:pPr>
          </w:p>
        </w:tc>
        <w:tc>
          <w:tcPr>
            <w:tcW w:w="551" w:type="pct"/>
            <w:vAlign w:val="center"/>
            <w:hideMark/>
          </w:tcPr>
          <w:p w14:paraId="41AA1EA4" w14:textId="77777777" w:rsidR="00000000" w:rsidRDefault="001D0688">
            <w:pPr>
              <w:rPr>
                <w:rFonts w:eastAsia="Times New Roman"/>
                <w:sz w:val="20"/>
                <w:szCs w:val="20"/>
              </w:rPr>
            </w:pPr>
          </w:p>
        </w:tc>
        <w:tc>
          <w:tcPr>
            <w:tcW w:w="5" w:type="pct"/>
            <w:vAlign w:val="center"/>
            <w:hideMark/>
          </w:tcPr>
          <w:p w14:paraId="36664927" w14:textId="77777777" w:rsidR="00000000" w:rsidRDefault="001D0688">
            <w:pPr>
              <w:rPr>
                <w:rFonts w:eastAsia="Times New Roman"/>
                <w:sz w:val="20"/>
                <w:szCs w:val="20"/>
              </w:rPr>
            </w:pPr>
          </w:p>
        </w:tc>
        <w:tc>
          <w:tcPr>
            <w:tcW w:w="5" w:type="pct"/>
            <w:vAlign w:val="center"/>
            <w:hideMark/>
          </w:tcPr>
          <w:p w14:paraId="0D113344" w14:textId="77777777" w:rsidR="00000000" w:rsidRDefault="001D0688">
            <w:pPr>
              <w:rPr>
                <w:rFonts w:eastAsia="Times New Roman"/>
                <w:sz w:val="20"/>
                <w:szCs w:val="20"/>
              </w:rPr>
            </w:pPr>
          </w:p>
        </w:tc>
        <w:tc>
          <w:tcPr>
            <w:tcW w:w="26" w:type="pct"/>
            <w:vAlign w:val="center"/>
            <w:hideMark/>
          </w:tcPr>
          <w:p w14:paraId="67E85FDD" w14:textId="77777777" w:rsidR="00000000" w:rsidRDefault="001D0688">
            <w:pPr>
              <w:rPr>
                <w:rFonts w:eastAsia="Times New Roman"/>
                <w:sz w:val="20"/>
                <w:szCs w:val="20"/>
              </w:rPr>
            </w:pPr>
          </w:p>
        </w:tc>
        <w:tc>
          <w:tcPr>
            <w:tcW w:w="5" w:type="pct"/>
            <w:vAlign w:val="center"/>
            <w:hideMark/>
          </w:tcPr>
          <w:p w14:paraId="58B288E9" w14:textId="77777777" w:rsidR="00000000" w:rsidRDefault="001D0688">
            <w:pPr>
              <w:rPr>
                <w:rFonts w:eastAsia="Times New Roman"/>
                <w:sz w:val="20"/>
                <w:szCs w:val="20"/>
              </w:rPr>
            </w:pPr>
          </w:p>
        </w:tc>
        <w:tc>
          <w:tcPr>
            <w:tcW w:w="50" w:type="pct"/>
            <w:vAlign w:val="center"/>
            <w:hideMark/>
          </w:tcPr>
          <w:p w14:paraId="543B3480" w14:textId="77777777" w:rsidR="00000000" w:rsidRDefault="001D0688">
            <w:pPr>
              <w:rPr>
                <w:rFonts w:eastAsia="Times New Roman"/>
                <w:sz w:val="20"/>
                <w:szCs w:val="20"/>
              </w:rPr>
            </w:pPr>
          </w:p>
        </w:tc>
        <w:tc>
          <w:tcPr>
            <w:tcW w:w="551" w:type="pct"/>
            <w:vAlign w:val="center"/>
            <w:hideMark/>
          </w:tcPr>
          <w:p w14:paraId="7E59F4E1" w14:textId="77777777" w:rsidR="00000000" w:rsidRDefault="001D0688">
            <w:pPr>
              <w:rPr>
                <w:rFonts w:eastAsia="Times New Roman"/>
                <w:sz w:val="20"/>
                <w:szCs w:val="20"/>
              </w:rPr>
            </w:pPr>
          </w:p>
        </w:tc>
        <w:tc>
          <w:tcPr>
            <w:tcW w:w="5" w:type="pct"/>
            <w:vAlign w:val="center"/>
            <w:hideMark/>
          </w:tcPr>
          <w:p w14:paraId="5C144888" w14:textId="77777777" w:rsidR="00000000" w:rsidRDefault="001D0688">
            <w:pPr>
              <w:rPr>
                <w:rFonts w:eastAsia="Times New Roman"/>
                <w:sz w:val="20"/>
                <w:szCs w:val="20"/>
              </w:rPr>
            </w:pPr>
          </w:p>
        </w:tc>
        <w:tc>
          <w:tcPr>
            <w:tcW w:w="5" w:type="pct"/>
            <w:vAlign w:val="center"/>
            <w:hideMark/>
          </w:tcPr>
          <w:p w14:paraId="112F7FB9" w14:textId="77777777" w:rsidR="00000000" w:rsidRDefault="001D0688">
            <w:pPr>
              <w:rPr>
                <w:rFonts w:eastAsia="Times New Roman"/>
                <w:sz w:val="20"/>
                <w:szCs w:val="20"/>
              </w:rPr>
            </w:pPr>
          </w:p>
        </w:tc>
        <w:tc>
          <w:tcPr>
            <w:tcW w:w="26" w:type="pct"/>
            <w:vAlign w:val="center"/>
            <w:hideMark/>
          </w:tcPr>
          <w:p w14:paraId="6643886A" w14:textId="77777777" w:rsidR="00000000" w:rsidRDefault="001D0688">
            <w:pPr>
              <w:rPr>
                <w:rFonts w:eastAsia="Times New Roman"/>
                <w:sz w:val="20"/>
                <w:szCs w:val="20"/>
              </w:rPr>
            </w:pPr>
          </w:p>
        </w:tc>
        <w:tc>
          <w:tcPr>
            <w:tcW w:w="5" w:type="pct"/>
            <w:vAlign w:val="center"/>
            <w:hideMark/>
          </w:tcPr>
          <w:p w14:paraId="47D52ACA" w14:textId="77777777" w:rsidR="00000000" w:rsidRDefault="001D0688">
            <w:pPr>
              <w:rPr>
                <w:rFonts w:eastAsia="Times New Roman"/>
                <w:sz w:val="20"/>
                <w:szCs w:val="20"/>
              </w:rPr>
            </w:pPr>
          </w:p>
        </w:tc>
        <w:tc>
          <w:tcPr>
            <w:tcW w:w="50" w:type="pct"/>
            <w:vAlign w:val="center"/>
            <w:hideMark/>
          </w:tcPr>
          <w:p w14:paraId="57D770E1" w14:textId="77777777" w:rsidR="00000000" w:rsidRDefault="001D0688">
            <w:pPr>
              <w:rPr>
                <w:rFonts w:eastAsia="Times New Roman"/>
                <w:sz w:val="20"/>
                <w:szCs w:val="20"/>
              </w:rPr>
            </w:pPr>
          </w:p>
        </w:tc>
        <w:tc>
          <w:tcPr>
            <w:tcW w:w="434" w:type="pct"/>
            <w:vAlign w:val="center"/>
            <w:hideMark/>
          </w:tcPr>
          <w:p w14:paraId="7F125E59" w14:textId="77777777" w:rsidR="00000000" w:rsidRDefault="001D0688">
            <w:pPr>
              <w:rPr>
                <w:rFonts w:eastAsia="Times New Roman"/>
                <w:sz w:val="20"/>
                <w:szCs w:val="20"/>
              </w:rPr>
            </w:pPr>
          </w:p>
        </w:tc>
        <w:tc>
          <w:tcPr>
            <w:tcW w:w="5" w:type="pct"/>
            <w:vAlign w:val="center"/>
            <w:hideMark/>
          </w:tcPr>
          <w:p w14:paraId="7EBA6AC6" w14:textId="77777777" w:rsidR="00000000" w:rsidRDefault="001D0688">
            <w:pPr>
              <w:rPr>
                <w:rFonts w:eastAsia="Times New Roman"/>
                <w:sz w:val="20"/>
                <w:szCs w:val="20"/>
              </w:rPr>
            </w:pPr>
          </w:p>
        </w:tc>
        <w:tc>
          <w:tcPr>
            <w:tcW w:w="5" w:type="pct"/>
            <w:vAlign w:val="center"/>
            <w:hideMark/>
          </w:tcPr>
          <w:p w14:paraId="509F243E" w14:textId="77777777" w:rsidR="00000000" w:rsidRDefault="001D0688">
            <w:pPr>
              <w:rPr>
                <w:rFonts w:eastAsia="Times New Roman"/>
                <w:sz w:val="20"/>
                <w:szCs w:val="20"/>
              </w:rPr>
            </w:pPr>
          </w:p>
        </w:tc>
        <w:tc>
          <w:tcPr>
            <w:tcW w:w="26" w:type="pct"/>
            <w:vAlign w:val="center"/>
            <w:hideMark/>
          </w:tcPr>
          <w:p w14:paraId="043E312C" w14:textId="77777777" w:rsidR="00000000" w:rsidRDefault="001D0688">
            <w:pPr>
              <w:rPr>
                <w:rFonts w:eastAsia="Times New Roman"/>
                <w:sz w:val="20"/>
                <w:szCs w:val="20"/>
              </w:rPr>
            </w:pPr>
          </w:p>
        </w:tc>
        <w:tc>
          <w:tcPr>
            <w:tcW w:w="5" w:type="pct"/>
            <w:vAlign w:val="center"/>
            <w:hideMark/>
          </w:tcPr>
          <w:p w14:paraId="60F125DF" w14:textId="77777777" w:rsidR="00000000" w:rsidRDefault="001D0688">
            <w:pPr>
              <w:rPr>
                <w:rFonts w:eastAsia="Times New Roman"/>
                <w:sz w:val="20"/>
                <w:szCs w:val="20"/>
              </w:rPr>
            </w:pPr>
          </w:p>
        </w:tc>
        <w:tc>
          <w:tcPr>
            <w:tcW w:w="50" w:type="pct"/>
            <w:vAlign w:val="center"/>
            <w:hideMark/>
          </w:tcPr>
          <w:p w14:paraId="1E46C164" w14:textId="77777777" w:rsidR="00000000" w:rsidRDefault="001D0688">
            <w:pPr>
              <w:rPr>
                <w:rFonts w:eastAsia="Times New Roman"/>
                <w:sz w:val="20"/>
                <w:szCs w:val="20"/>
              </w:rPr>
            </w:pPr>
          </w:p>
        </w:tc>
        <w:tc>
          <w:tcPr>
            <w:tcW w:w="435" w:type="pct"/>
            <w:vAlign w:val="center"/>
            <w:hideMark/>
          </w:tcPr>
          <w:p w14:paraId="1B75E9F4" w14:textId="77777777" w:rsidR="00000000" w:rsidRDefault="001D0688">
            <w:pPr>
              <w:rPr>
                <w:rFonts w:eastAsia="Times New Roman"/>
                <w:sz w:val="20"/>
                <w:szCs w:val="20"/>
              </w:rPr>
            </w:pPr>
          </w:p>
        </w:tc>
        <w:tc>
          <w:tcPr>
            <w:tcW w:w="5" w:type="pct"/>
            <w:vAlign w:val="center"/>
            <w:hideMark/>
          </w:tcPr>
          <w:p w14:paraId="159CFA34" w14:textId="77777777" w:rsidR="00000000" w:rsidRDefault="001D0688">
            <w:pPr>
              <w:rPr>
                <w:rFonts w:eastAsia="Times New Roman"/>
                <w:sz w:val="20"/>
                <w:szCs w:val="20"/>
              </w:rPr>
            </w:pPr>
          </w:p>
        </w:tc>
      </w:tr>
      <w:tr w:rsidR="00000000" w14:paraId="689F4F64" w14:textId="77777777">
        <w:trPr>
          <w:divId w:val="1773823057"/>
        </w:trPr>
        <w:tc>
          <w:tcPr>
            <w:tcW w:w="0" w:type="auto"/>
            <w:gridSpan w:val="3"/>
            <w:tcMar>
              <w:top w:w="0" w:type="dxa"/>
              <w:left w:w="20" w:type="dxa"/>
              <w:bottom w:w="0" w:type="dxa"/>
              <w:right w:w="20" w:type="dxa"/>
            </w:tcMar>
            <w:vAlign w:val="center"/>
            <w:hideMark/>
          </w:tcPr>
          <w:p w14:paraId="603B0A80"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center"/>
            <w:hideMark/>
          </w:tcPr>
          <w:p w14:paraId="540EA76A" w14:textId="77777777" w:rsidR="00000000" w:rsidRDefault="001D0688">
            <w:pPr>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14:paraId="51398252" w14:textId="77777777" w:rsidR="00000000" w:rsidRDefault="001D068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6496473" w14:textId="77777777" w:rsidR="00000000" w:rsidRDefault="001D0688">
            <w:pPr>
              <w:jc w:val="center"/>
              <w:rPr>
                <w:rFonts w:eastAsia="Times New Roman"/>
              </w:rPr>
            </w:pPr>
            <w:r>
              <w:rPr>
                <w:rFonts w:ascii="Arial" w:eastAsia="Times New Roman" w:hAnsi="Arial" w:cs="Arial"/>
                <w:b/>
                <w:bCs/>
                <w:color w:val="000000"/>
                <w:sz w:val="18"/>
                <w:szCs w:val="18"/>
              </w:rPr>
              <w:t>2020 vs. 2019</w:t>
            </w:r>
          </w:p>
        </w:tc>
      </w:tr>
      <w:tr w:rsidR="00000000" w14:paraId="5273286E" w14:textId="77777777">
        <w:trPr>
          <w:divId w:val="1773823057"/>
        </w:trPr>
        <w:tc>
          <w:tcPr>
            <w:tcW w:w="0" w:type="auto"/>
            <w:gridSpan w:val="3"/>
            <w:tcMar>
              <w:top w:w="30" w:type="dxa"/>
              <w:left w:w="20" w:type="dxa"/>
              <w:bottom w:w="30" w:type="dxa"/>
              <w:right w:w="20" w:type="dxa"/>
            </w:tcMar>
            <w:vAlign w:val="bottom"/>
            <w:hideMark/>
          </w:tcPr>
          <w:p w14:paraId="42B59156"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4A955A32" w14:textId="77777777" w:rsidR="00000000" w:rsidRDefault="001D0688">
            <w:pPr>
              <w:jc w:val="center"/>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5EB214B7"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D1A78A" w14:textId="77777777" w:rsidR="00000000" w:rsidRDefault="001D0688">
            <w:pPr>
              <w:jc w:val="center"/>
              <w:rPr>
                <w:rFonts w:eastAsia="Times New Roman"/>
              </w:rPr>
            </w:pPr>
            <w:r>
              <w:rPr>
                <w:rFonts w:ascii="Arial" w:eastAsia="Times New Roman" w:hAnsi="Arial" w:cs="Arial"/>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14:paraId="36154B06"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EC029D" w14:textId="77777777" w:rsidR="00000000" w:rsidRDefault="001D0688">
            <w:pPr>
              <w:jc w:val="center"/>
              <w:rPr>
                <w:rFonts w:eastAsia="Times New Roman"/>
              </w:rPr>
            </w:pPr>
            <w:r>
              <w:rPr>
                <w:rFonts w:ascii="Arial" w:eastAsia="Times New Roman" w:hAnsi="Arial" w:cs="Arial"/>
                <w:b/>
                <w:bCs/>
                <w:color w:val="000000"/>
                <w:sz w:val="18"/>
                <w:szCs w:val="18"/>
              </w:rPr>
              <w:t>2018</w:t>
            </w:r>
          </w:p>
        </w:tc>
        <w:tc>
          <w:tcPr>
            <w:tcW w:w="0" w:type="auto"/>
            <w:gridSpan w:val="3"/>
            <w:tcMar>
              <w:top w:w="0" w:type="dxa"/>
              <w:left w:w="20" w:type="dxa"/>
              <w:bottom w:w="0" w:type="dxa"/>
              <w:right w:w="20" w:type="dxa"/>
            </w:tcMar>
            <w:vAlign w:val="center"/>
            <w:hideMark/>
          </w:tcPr>
          <w:p w14:paraId="1E2D2E48" w14:textId="77777777" w:rsidR="00000000" w:rsidRDefault="001D068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655538D" w14:textId="77777777" w:rsidR="00000000" w:rsidRDefault="001D0688">
            <w:pPr>
              <w:jc w:val="center"/>
              <w:rPr>
                <w:rFonts w:eastAsia="Times New Roman"/>
              </w:rPr>
            </w:pPr>
            <w:r>
              <w:rPr>
                <w:rFonts w:ascii="Arial" w:eastAsia="Times New Roman" w:hAnsi="Arial" w:cs="Arial"/>
                <w:b/>
                <w:bCs/>
                <w:color w:val="000000"/>
                <w:sz w:val="18"/>
                <w:szCs w:val="18"/>
              </w:rPr>
              <w:t>Increase / (Decrease)</w:t>
            </w:r>
          </w:p>
        </w:tc>
      </w:tr>
      <w:tr w:rsidR="00000000" w14:paraId="3FCB4B17" w14:textId="77777777">
        <w:trPr>
          <w:divId w:val="1773823057"/>
        </w:trPr>
        <w:tc>
          <w:tcPr>
            <w:tcW w:w="0" w:type="auto"/>
            <w:gridSpan w:val="3"/>
            <w:shd w:val="clear" w:color="auto" w:fill="DCE2EF"/>
            <w:tcMar>
              <w:top w:w="30" w:type="dxa"/>
              <w:left w:w="20" w:type="dxa"/>
              <w:bottom w:w="30" w:type="dxa"/>
              <w:right w:w="20" w:type="dxa"/>
            </w:tcMar>
            <w:vAlign w:val="bottom"/>
            <w:hideMark/>
          </w:tcPr>
          <w:p w14:paraId="26E2E67E" w14:textId="77777777" w:rsidR="00000000" w:rsidRDefault="001D0688">
            <w:pPr>
              <w:rPr>
                <w:rFonts w:eastAsia="Times New Roman"/>
              </w:rPr>
            </w:pPr>
            <w:r>
              <w:rPr>
                <w:rFonts w:ascii="Arial" w:eastAsia="Times New Roman" w:hAnsi="Arial" w:cs="Arial"/>
                <w:b/>
                <w:bCs/>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9B1442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0900726" w14:textId="77777777" w:rsidR="00000000" w:rsidRDefault="001D0688">
            <w:pPr>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06F102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CA74D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F228F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9195355" w14:textId="77777777" w:rsidR="00000000" w:rsidRDefault="001D0688">
            <w:pPr>
              <w:jc w:val="right"/>
              <w:rPr>
                <w:rFonts w:eastAsia="Times New Roman"/>
              </w:rPr>
            </w:pPr>
            <w:r>
              <w:rPr>
                <w:rFonts w:ascii="Arial" w:eastAsia="Times New Roman" w:hAnsi="Arial" w:cs="Arial"/>
                <w:color w:val="000000"/>
                <w:sz w:val="18"/>
                <w:szCs w:val="18"/>
              </w:rPr>
              <w:t>6,498.6 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B9EBD0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C72EA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B56A15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577DE5F" w14:textId="77777777" w:rsidR="00000000" w:rsidRDefault="001D0688">
            <w:pPr>
              <w:jc w:val="right"/>
              <w:rPr>
                <w:rFonts w:eastAsia="Times New Roman"/>
              </w:rPr>
            </w:pPr>
            <w:r>
              <w:rPr>
                <w:rFonts w:ascii="Arial" w:eastAsia="Times New Roman" w:hAnsi="Arial" w:cs="Arial"/>
                <w:color w:val="000000"/>
                <w:sz w:val="18"/>
                <w:szCs w:val="18"/>
              </w:rPr>
              <w:t>6,442.2 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9AA79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1C5E3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5564DD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AF47131" w14:textId="77777777" w:rsidR="00000000" w:rsidRDefault="001D0688">
            <w:pPr>
              <w:jc w:val="right"/>
              <w:rPr>
                <w:rFonts w:eastAsia="Times New Roman"/>
              </w:rPr>
            </w:pPr>
            <w:r>
              <w:rPr>
                <w:rFonts w:ascii="Arial" w:eastAsia="Times New Roman" w:hAnsi="Arial" w:cs="Arial"/>
                <w:color w:val="000000"/>
                <w:sz w:val="18"/>
                <w:szCs w:val="18"/>
              </w:rPr>
              <w:t>(511.0)</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A740F6"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174073F"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B46A240" w14:textId="77777777" w:rsidR="00000000" w:rsidRDefault="001D0688">
            <w:pPr>
              <w:jc w:val="center"/>
              <w:rPr>
                <w:rFonts w:eastAsia="Times New Roman"/>
              </w:rPr>
            </w:pPr>
            <w:r>
              <w:rPr>
                <w:rFonts w:ascii="Arial" w:eastAsia="Times New Roman" w:hAnsi="Arial" w:cs="Arial"/>
                <w:color w:val="000000"/>
                <w:sz w:val="18"/>
                <w:szCs w:val="18"/>
              </w:rPr>
              <w:t>(7.9)%</w:t>
            </w:r>
          </w:p>
        </w:tc>
      </w:tr>
      <w:tr w:rsidR="00000000" w14:paraId="45B9B96B" w14:textId="77777777">
        <w:trPr>
          <w:divId w:val="1773823057"/>
        </w:trPr>
        <w:tc>
          <w:tcPr>
            <w:tcW w:w="0" w:type="auto"/>
            <w:gridSpan w:val="3"/>
            <w:shd w:val="clear" w:color="auto" w:fill="FFFFFF"/>
            <w:tcMar>
              <w:top w:w="30" w:type="dxa"/>
              <w:left w:w="20" w:type="dxa"/>
              <w:bottom w:w="30" w:type="dxa"/>
              <w:right w:w="20" w:type="dxa"/>
            </w:tcMar>
            <w:vAlign w:val="bottom"/>
            <w:hideMark/>
          </w:tcPr>
          <w:p w14:paraId="750C8E7D" w14:textId="77777777" w:rsidR="00000000" w:rsidRDefault="001D0688">
            <w:pPr>
              <w:rPr>
                <w:rFonts w:eastAsia="Times New Roman"/>
              </w:rPr>
            </w:pPr>
            <w:r>
              <w:rPr>
                <w:rFonts w:ascii="Arial" w:eastAsia="Times New Roman" w:hAnsi="Arial" w:cs="Arial"/>
                <w:color w:val="000000"/>
                <w:sz w:val="18"/>
                <w:szCs w:val="18"/>
              </w:rPr>
              <w:t>Operating expenses</w:t>
            </w:r>
          </w:p>
        </w:tc>
        <w:tc>
          <w:tcPr>
            <w:tcW w:w="0" w:type="auto"/>
            <w:gridSpan w:val="2"/>
            <w:shd w:val="clear" w:color="auto" w:fill="FFFFFF"/>
            <w:tcMar>
              <w:top w:w="30" w:type="dxa"/>
              <w:left w:w="20" w:type="dxa"/>
              <w:bottom w:w="30" w:type="dxa"/>
              <w:right w:w="0" w:type="dxa"/>
            </w:tcMar>
            <w:vAlign w:val="bottom"/>
            <w:hideMark/>
          </w:tcPr>
          <w:p w14:paraId="7DC34924" w14:textId="77777777" w:rsidR="00000000" w:rsidRDefault="001D0688">
            <w:pPr>
              <w:jc w:val="right"/>
              <w:rPr>
                <w:rFonts w:eastAsia="Times New Roman"/>
              </w:rPr>
            </w:pPr>
            <w:r>
              <w:rPr>
                <w:rFonts w:ascii="Arial" w:eastAsia="Times New Roman" w:hAnsi="Arial" w:cs="Arial"/>
                <w:color w:val="000000"/>
                <w:sz w:val="18"/>
                <w:szCs w:val="18"/>
              </w:rPr>
              <w:t>5,157.0 </w:t>
            </w:r>
          </w:p>
        </w:tc>
        <w:tc>
          <w:tcPr>
            <w:tcW w:w="0" w:type="auto"/>
            <w:shd w:val="clear" w:color="auto" w:fill="FFFFFF"/>
            <w:tcMar>
              <w:top w:w="30" w:type="dxa"/>
              <w:left w:w="0" w:type="dxa"/>
              <w:bottom w:w="30" w:type="dxa"/>
              <w:right w:w="20" w:type="dxa"/>
            </w:tcMar>
            <w:vAlign w:val="bottom"/>
            <w:hideMark/>
          </w:tcPr>
          <w:p w14:paraId="47D9F47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48C5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7C867" w14:textId="77777777" w:rsidR="00000000" w:rsidRDefault="001D0688">
            <w:pPr>
              <w:jc w:val="right"/>
              <w:rPr>
                <w:rFonts w:eastAsia="Times New Roman"/>
              </w:rPr>
            </w:pPr>
            <w:r>
              <w:rPr>
                <w:rFonts w:ascii="Arial" w:eastAsia="Times New Roman" w:hAnsi="Arial" w:cs="Arial"/>
                <w:color w:val="000000"/>
                <w:sz w:val="18"/>
                <w:szCs w:val="18"/>
              </w:rPr>
              <w:t>5,767.5 </w:t>
            </w:r>
          </w:p>
        </w:tc>
        <w:tc>
          <w:tcPr>
            <w:tcW w:w="0" w:type="auto"/>
            <w:shd w:val="clear" w:color="auto" w:fill="FFFFFF"/>
            <w:tcMar>
              <w:top w:w="30" w:type="dxa"/>
              <w:left w:w="0" w:type="dxa"/>
              <w:bottom w:w="30" w:type="dxa"/>
              <w:right w:w="20" w:type="dxa"/>
            </w:tcMar>
            <w:vAlign w:val="bottom"/>
            <w:hideMark/>
          </w:tcPr>
          <w:p w14:paraId="24A0147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E45F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DFC2D" w14:textId="77777777" w:rsidR="00000000" w:rsidRDefault="001D0688">
            <w:pPr>
              <w:jc w:val="right"/>
              <w:rPr>
                <w:rFonts w:eastAsia="Times New Roman"/>
              </w:rPr>
            </w:pPr>
            <w:r>
              <w:rPr>
                <w:rFonts w:ascii="Arial" w:eastAsia="Times New Roman" w:hAnsi="Arial" w:cs="Arial"/>
                <w:color w:val="000000"/>
                <w:sz w:val="18"/>
                <w:szCs w:val="18"/>
              </w:rPr>
              <w:t>5,747.4 </w:t>
            </w:r>
          </w:p>
        </w:tc>
        <w:tc>
          <w:tcPr>
            <w:tcW w:w="0" w:type="auto"/>
            <w:shd w:val="clear" w:color="auto" w:fill="FFFFFF"/>
            <w:tcMar>
              <w:top w:w="30" w:type="dxa"/>
              <w:left w:w="0" w:type="dxa"/>
              <w:bottom w:w="30" w:type="dxa"/>
              <w:right w:w="20" w:type="dxa"/>
            </w:tcMar>
            <w:vAlign w:val="bottom"/>
            <w:hideMark/>
          </w:tcPr>
          <w:p w14:paraId="6F902B1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18B4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D95472" w14:textId="77777777" w:rsidR="00000000" w:rsidRDefault="001D0688">
            <w:pPr>
              <w:jc w:val="right"/>
              <w:rPr>
                <w:rFonts w:eastAsia="Times New Roman"/>
              </w:rPr>
            </w:pPr>
            <w:r>
              <w:rPr>
                <w:rFonts w:ascii="Arial" w:eastAsia="Times New Roman" w:hAnsi="Arial" w:cs="Arial"/>
                <w:color w:val="000000"/>
                <w:sz w:val="18"/>
                <w:szCs w:val="18"/>
              </w:rPr>
              <w:t>(610.5)</w:t>
            </w:r>
          </w:p>
        </w:tc>
        <w:tc>
          <w:tcPr>
            <w:tcW w:w="0" w:type="auto"/>
            <w:shd w:val="clear" w:color="auto" w:fill="FFFFFF"/>
            <w:tcMar>
              <w:top w:w="30" w:type="dxa"/>
              <w:left w:w="0" w:type="dxa"/>
              <w:bottom w:w="30" w:type="dxa"/>
              <w:right w:w="20" w:type="dxa"/>
            </w:tcMar>
            <w:vAlign w:val="bottom"/>
            <w:hideMark/>
          </w:tcPr>
          <w:p w14:paraId="51898CF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149EE"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7ADE868" w14:textId="77777777" w:rsidR="00000000" w:rsidRDefault="001D0688">
            <w:pPr>
              <w:jc w:val="center"/>
              <w:rPr>
                <w:rFonts w:eastAsia="Times New Roman"/>
              </w:rPr>
            </w:pPr>
            <w:r>
              <w:rPr>
                <w:rFonts w:ascii="Arial" w:eastAsia="Times New Roman" w:hAnsi="Arial" w:cs="Arial"/>
                <w:color w:val="000000"/>
                <w:sz w:val="18"/>
                <w:szCs w:val="18"/>
              </w:rPr>
              <w:t>(10.6)%</w:t>
            </w:r>
          </w:p>
        </w:tc>
      </w:tr>
      <w:tr w:rsidR="00000000" w14:paraId="0F052C1A" w14:textId="77777777">
        <w:trPr>
          <w:divId w:val="1773823057"/>
        </w:trPr>
        <w:tc>
          <w:tcPr>
            <w:tcW w:w="0" w:type="auto"/>
            <w:gridSpan w:val="3"/>
            <w:shd w:val="clear" w:color="auto" w:fill="DCE2EF"/>
            <w:tcMar>
              <w:top w:w="30" w:type="dxa"/>
              <w:left w:w="155" w:type="dxa"/>
              <w:bottom w:w="30" w:type="dxa"/>
              <w:right w:w="20" w:type="dxa"/>
            </w:tcMar>
            <w:vAlign w:val="bottom"/>
            <w:hideMark/>
          </w:tcPr>
          <w:p w14:paraId="010B1D55" w14:textId="77777777" w:rsidR="00000000" w:rsidRDefault="001D0688">
            <w:pPr>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14:paraId="22710917" w14:textId="77777777" w:rsidR="00000000" w:rsidRDefault="001D0688">
            <w:pPr>
              <w:jc w:val="right"/>
              <w:rPr>
                <w:rFonts w:eastAsia="Times New Roman"/>
              </w:rPr>
            </w:pPr>
            <w:r>
              <w:rPr>
                <w:rFonts w:ascii="Arial" w:eastAsia="Times New Roman" w:hAnsi="Arial" w:cs="Arial"/>
                <w:i/>
                <w:iCs/>
                <w:color w:val="000000"/>
                <w:sz w:val="16"/>
                <w:szCs w:val="16"/>
              </w:rPr>
              <w:t>13.9 </w:t>
            </w:r>
          </w:p>
        </w:tc>
        <w:tc>
          <w:tcPr>
            <w:tcW w:w="0" w:type="auto"/>
            <w:shd w:val="clear" w:color="auto" w:fill="DCE2EF"/>
            <w:tcMar>
              <w:top w:w="30" w:type="dxa"/>
              <w:left w:w="0" w:type="dxa"/>
              <w:bottom w:w="30" w:type="dxa"/>
              <w:right w:w="20" w:type="dxa"/>
            </w:tcMar>
            <w:vAlign w:val="bottom"/>
            <w:hideMark/>
          </w:tcPr>
          <w:p w14:paraId="65768E92"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0486CDE"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5853925" w14:textId="77777777" w:rsidR="00000000" w:rsidRDefault="001D0688">
            <w:pPr>
              <w:jc w:val="right"/>
              <w:rPr>
                <w:rFonts w:eastAsia="Times New Roman"/>
              </w:rPr>
            </w:pPr>
            <w:r>
              <w:rPr>
                <w:rFonts w:ascii="Arial" w:eastAsia="Times New Roman" w:hAnsi="Arial" w:cs="Arial"/>
                <w:i/>
                <w:iCs/>
                <w:color w:val="000000"/>
                <w:sz w:val="16"/>
                <w:szCs w:val="16"/>
              </w:rPr>
              <w:t>11.2 </w:t>
            </w:r>
          </w:p>
        </w:tc>
        <w:tc>
          <w:tcPr>
            <w:tcW w:w="0" w:type="auto"/>
            <w:shd w:val="clear" w:color="auto" w:fill="DCE2EF"/>
            <w:tcMar>
              <w:top w:w="30" w:type="dxa"/>
              <w:left w:w="0" w:type="dxa"/>
              <w:bottom w:w="30" w:type="dxa"/>
              <w:right w:w="20" w:type="dxa"/>
            </w:tcMar>
            <w:vAlign w:val="bottom"/>
            <w:hideMark/>
          </w:tcPr>
          <w:p w14:paraId="22EE18A2"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333D0AD"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5D93DD0" w14:textId="77777777" w:rsidR="00000000" w:rsidRDefault="001D0688">
            <w:pPr>
              <w:jc w:val="right"/>
              <w:rPr>
                <w:rFonts w:eastAsia="Times New Roman"/>
              </w:rPr>
            </w:pPr>
            <w:r>
              <w:rPr>
                <w:rFonts w:ascii="Arial" w:eastAsia="Times New Roman" w:hAnsi="Arial" w:cs="Arial"/>
                <w:i/>
                <w:iCs/>
                <w:color w:val="000000"/>
                <w:sz w:val="16"/>
                <w:szCs w:val="16"/>
              </w:rPr>
              <w:t>10.8 </w:t>
            </w:r>
          </w:p>
        </w:tc>
        <w:tc>
          <w:tcPr>
            <w:tcW w:w="0" w:type="auto"/>
            <w:shd w:val="clear" w:color="auto" w:fill="DCE2EF"/>
            <w:tcMar>
              <w:top w:w="30" w:type="dxa"/>
              <w:left w:w="0" w:type="dxa"/>
              <w:bottom w:w="30" w:type="dxa"/>
              <w:right w:w="20" w:type="dxa"/>
            </w:tcMar>
            <w:vAlign w:val="bottom"/>
            <w:hideMark/>
          </w:tcPr>
          <w:p w14:paraId="4A251A8C"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C78395D" w14:textId="77777777" w:rsidR="00000000" w:rsidRDefault="001D0688">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B3D69B7" w14:textId="77777777" w:rsidR="00000000" w:rsidRDefault="001D0688">
            <w:pPr>
              <w:jc w:val="right"/>
              <w:rPr>
                <w:rFonts w:eastAsia="Times New Roman"/>
              </w:rPr>
            </w:pPr>
            <w:r>
              <w:rPr>
                <w:rFonts w:ascii="Arial" w:eastAsia="Times New Roman" w:hAnsi="Arial" w:cs="Arial"/>
                <w:i/>
                <w:iCs/>
                <w:color w:val="000000"/>
                <w:sz w:val="16"/>
                <w:szCs w:val="16"/>
              </w:rPr>
              <w:t>262 bps</w:t>
            </w:r>
          </w:p>
        </w:tc>
        <w:tc>
          <w:tcPr>
            <w:tcW w:w="0" w:type="auto"/>
            <w:gridSpan w:val="3"/>
            <w:shd w:val="clear" w:color="auto" w:fill="DCE2EF"/>
            <w:tcMar>
              <w:top w:w="0" w:type="dxa"/>
              <w:left w:w="20" w:type="dxa"/>
              <w:bottom w:w="0" w:type="dxa"/>
              <w:right w:w="20" w:type="dxa"/>
            </w:tcMar>
            <w:vAlign w:val="center"/>
            <w:hideMark/>
          </w:tcPr>
          <w:p w14:paraId="7E0D95E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3BB114" w14:textId="77777777" w:rsidR="00000000" w:rsidRDefault="001D0688">
            <w:pPr>
              <w:rPr>
                <w:rFonts w:eastAsia="Times New Roman"/>
                <w:sz w:val="20"/>
                <w:szCs w:val="20"/>
              </w:rPr>
            </w:pPr>
          </w:p>
        </w:tc>
      </w:tr>
      <w:tr w:rsidR="00000000" w14:paraId="34F90C85" w14:textId="77777777">
        <w:trPr>
          <w:divId w:val="1773823057"/>
        </w:trPr>
        <w:tc>
          <w:tcPr>
            <w:tcW w:w="0" w:type="auto"/>
            <w:gridSpan w:val="3"/>
            <w:shd w:val="clear" w:color="auto" w:fill="FFFFFF"/>
            <w:tcMar>
              <w:top w:w="30" w:type="dxa"/>
              <w:left w:w="20" w:type="dxa"/>
              <w:bottom w:w="30" w:type="dxa"/>
              <w:right w:w="20" w:type="dxa"/>
            </w:tcMar>
            <w:vAlign w:val="bottom"/>
            <w:hideMark/>
          </w:tcPr>
          <w:p w14:paraId="5479A122" w14:textId="77777777" w:rsidR="00000000" w:rsidRDefault="001D0688">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59277E53" w14:textId="77777777" w:rsidR="00000000" w:rsidRDefault="001D0688">
            <w:pPr>
              <w:jc w:val="right"/>
              <w:rPr>
                <w:rFonts w:eastAsia="Times New Roman"/>
              </w:rPr>
            </w:pPr>
            <w:r>
              <w:rPr>
                <w:rFonts w:ascii="Arial" w:eastAsia="Times New Roman" w:hAnsi="Arial" w:cs="Arial"/>
                <w:color w:val="000000"/>
                <w:sz w:val="18"/>
                <w:szCs w:val="18"/>
              </w:rPr>
              <w:t>506.1 </w:t>
            </w:r>
          </w:p>
        </w:tc>
        <w:tc>
          <w:tcPr>
            <w:tcW w:w="0" w:type="auto"/>
            <w:shd w:val="clear" w:color="auto" w:fill="FFFFFF"/>
            <w:tcMar>
              <w:top w:w="30" w:type="dxa"/>
              <w:left w:w="0" w:type="dxa"/>
              <w:bottom w:w="30" w:type="dxa"/>
              <w:right w:w="20" w:type="dxa"/>
            </w:tcMar>
            <w:vAlign w:val="bottom"/>
            <w:hideMark/>
          </w:tcPr>
          <w:p w14:paraId="5B26225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0954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AF883" w14:textId="77777777" w:rsidR="00000000" w:rsidRDefault="001D0688">
            <w:pPr>
              <w:jc w:val="right"/>
              <w:rPr>
                <w:rFonts w:eastAsia="Times New Roman"/>
              </w:rPr>
            </w:pPr>
            <w:r>
              <w:rPr>
                <w:rFonts w:ascii="Arial" w:eastAsia="Times New Roman" w:hAnsi="Arial" w:cs="Arial"/>
                <w:color w:val="000000"/>
                <w:sz w:val="18"/>
                <w:szCs w:val="18"/>
              </w:rPr>
              <w:t>452.9 </w:t>
            </w:r>
          </w:p>
        </w:tc>
        <w:tc>
          <w:tcPr>
            <w:tcW w:w="0" w:type="auto"/>
            <w:shd w:val="clear" w:color="auto" w:fill="FFFFFF"/>
            <w:tcMar>
              <w:top w:w="30" w:type="dxa"/>
              <w:left w:w="0" w:type="dxa"/>
              <w:bottom w:w="30" w:type="dxa"/>
              <w:right w:w="20" w:type="dxa"/>
            </w:tcMar>
            <w:vAlign w:val="bottom"/>
            <w:hideMark/>
          </w:tcPr>
          <w:p w14:paraId="18CCBD3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4AC8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DC331A" w14:textId="77777777" w:rsidR="00000000" w:rsidRDefault="001D0688">
            <w:pPr>
              <w:jc w:val="right"/>
              <w:rPr>
                <w:rFonts w:eastAsia="Times New Roman"/>
              </w:rPr>
            </w:pPr>
            <w:r>
              <w:rPr>
                <w:rFonts w:ascii="Arial" w:eastAsia="Times New Roman" w:hAnsi="Arial" w:cs="Arial"/>
                <w:color w:val="000000"/>
                <w:sz w:val="18"/>
                <w:szCs w:val="18"/>
              </w:rPr>
              <w:t>438.0 </w:t>
            </w:r>
          </w:p>
        </w:tc>
        <w:tc>
          <w:tcPr>
            <w:tcW w:w="0" w:type="auto"/>
            <w:shd w:val="clear" w:color="auto" w:fill="FFFFFF"/>
            <w:tcMar>
              <w:top w:w="30" w:type="dxa"/>
              <w:left w:w="0" w:type="dxa"/>
              <w:bottom w:w="30" w:type="dxa"/>
              <w:right w:w="20" w:type="dxa"/>
            </w:tcMar>
            <w:vAlign w:val="bottom"/>
            <w:hideMark/>
          </w:tcPr>
          <w:p w14:paraId="6FA147C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BB91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7B34C" w14:textId="77777777" w:rsidR="00000000" w:rsidRDefault="001D0688">
            <w:pPr>
              <w:jc w:val="right"/>
              <w:rPr>
                <w:rFonts w:eastAsia="Times New Roman"/>
              </w:rPr>
            </w:pPr>
            <w:r>
              <w:rPr>
                <w:rFonts w:ascii="Arial" w:eastAsia="Times New Roman" w:hAnsi="Arial" w:cs="Arial"/>
                <w:color w:val="000000"/>
                <w:sz w:val="18"/>
                <w:szCs w:val="18"/>
              </w:rPr>
              <w:t>53.2 </w:t>
            </w:r>
          </w:p>
        </w:tc>
        <w:tc>
          <w:tcPr>
            <w:tcW w:w="0" w:type="auto"/>
            <w:shd w:val="clear" w:color="auto" w:fill="FFFFFF"/>
            <w:tcMar>
              <w:top w:w="30" w:type="dxa"/>
              <w:left w:w="0" w:type="dxa"/>
              <w:bottom w:w="30" w:type="dxa"/>
              <w:right w:w="20" w:type="dxa"/>
            </w:tcMar>
            <w:vAlign w:val="bottom"/>
            <w:hideMark/>
          </w:tcPr>
          <w:p w14:paraId="0776103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93B97"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4FE461" w14:textId="77777777" w:rsidR="00000000" w:rsidRDefault="001D0688">
            <w:pPr>
              <w:jc w:val="center"/>
              <w:rPr>
                <w:rFonts w:eastAsia="Times New Roman"/>
              </w:rPr>
            </w:pPr>
            <w:r>
              <w:rPr>
                <w:rFonts w:ascii="Arial" w:eastAsia="Times New Roman" w:hAnsi="Arial" w:cs="Arial"/>
                <w:color w:val="000000"/>
                <w:sz w:val="18"/>
                <w:szCs w:val="18"/>
              </w:rPr>
              <w:t>11.7%</w:t>
            </w:r>
          </w:p>
        </w:tc>
      </w:tr>
      <w:tr w:rsidR="00000000" w14:paraId="5C260751" w14:textId="77777777">
        <w:trPr>
          <w:divId w:val="1773823057"/>
        </w:trPr>
        <w:tc>
          <w:tcPr>
            <w:tcW w:w="0" w:type="auto"/>
            <w:gridSpan w:val="3"/>
            <w:shd w:val="clear" w:color="auto" w:fill="DCE2EF"/>
            <w:tcMar>
              <w:top w:w="30" w:type="dxa"/>
              <w:left w:w="20" w:type="dxa"/>
              <w:bottom w:w="30" w:type="dxa"/>
              <w:right w:w="20" w:type="dxa"/>
            </w:tcMar>
            <w:vAlign w:val="bottom"/>
            <w:hideMark/>
          </w:tcPr>
          <w:p w14:paraId="51621565" w14:textId="77777777" w:rsidR="00000000" w:rsidRDefault="001D0688">
            <w:pPr>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DCE2EF"/>
            <w:tcMar>
              <w:top w:w="30" w:type="dxa"/>
              <w:left w:w="20" w:type="dxa"/>
              <w:bottom w:w="30" w:type="dxa"/>
              <w:right w:w="0" w:type="dxa"/>
            </w:tcMar>
            <w:vAlign w:val="bottom"/>
            <w:hideMark/>
          </w:tcPr>
          <w:p w14:paraId="3ADB9DAE" w14:textId="77777777" w:rsidR="00000000" w:rsidRDefault="001D0688">
            <w:pPr>
              <w:jc w:val="right"/>
              <w:rPr>
                <w:rFonts w:eastAsia="Times New Roman"/>
              </w:rPr>
            </w:pPr>
            <w:r>
              <w:rPr>
                <w:rFonts w:ascii="Arial" w:eastAsia="Times New Roman" w:hAnsi="Arial" w:cs="Arial"/>
                <w:color w:val="000000"/>
                <w:sz w:val="18"/>
                <w:szCs w:val="18"/>
              </w:rPr>
              <w:t>7.6 </w:t>
            </w:r>
          </w:p>
        </w:tc>
        <w:tc>
          <w:tcPr>
            <w:tcW w:w="0" w:type="auto"/>
            <w:shd w:val="clear" w:color="auto" w:fill="DCE2EF"/>
            <w:tcMar>
              <w:top w:w="30" w:type="dxa"/>
              <w:left w:w="0" w:type="dxa"/>
              <w:bottom w:w="30" w:type="dxa"/>
              <w:right w:w="20" w:type="dxa"/>
            </w:tcMar>
            <w:vAlign w:val="bottom"/>
            <w:hideMark/>
          </w:tcPr>
          <w:p w14:paraId="163CFBD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95787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D3A2FA9" w14:textId="77777777" w:rsidR="00000000" w:rsidRDefault="001D0688">
            <w:pPr>
              <w:jc w:val="right"/>
              <w:rPr>
                <w:rFonts w:eastAsia="Times New Roman"/>
              </w:rPr>
            </w:pPr>
            <w:r>
              <w:rPr>
                <w:rFonts w:ascii="Arial" w:eastAsia="Times New Roman" w:hAnsi="Arial" w:cs="Arial"/>
                <w:color w:val="000000"/>
                <w:sz w:val="18"/>
                <w:szCs w:val="18"/>
              </w:rPr>
              <w:t>11.2 </w:t>
            </w:r>
          </w:p>
        </w:tc>
        <w:tc>
          <w:tcPr>
            <w:tcW w:w="0" w:type="auto"/>
            <w:shd w:val="clear" w:color="auto" w:fill="DCE2EF"/>
            <w:tcMar>
              <w:top w:w="30" w:type="dxa"/>
              <w:left w:w="0" w:type="dxa"/>
              <w:bottom w:w="30" w:type="dxa"/>
              <w:right w:w="20" w:type="dxa"/>
            </w:tcMar>
            <w:vAlign w:val="bottom"/>
            <w:hideMark/>
          </w:tcPr>
          <w:p w14:paraId="4C4351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9931B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156AD7" w14:textId="77777777" w:rsidR="00000000" w:rsidRDefault="001D0688">
            <w:pPr>
              <w:jc w:val="right"/>
              <w:rPr>
                <w:rFonts w:eastAsia="Times New Roman"/>
              </w:rPr>
            </w:pPr>
            <w:r>
              <w:rPr>
                <w:rFonts w:ascii="Arial" w:eastAsia="Times New Roman" w:hAnsi="Arial" w:cs="Arial"/>
                <w:color w:val="000000"/>
                <w:sz w:val="18"/>
                <w:szCs w:val="18"/>
              </w:rPr>
              <w:t>25.7 </w:t>
            </w:r>
          </w:p>
        </w:tc>
        <w:tc>
          <w:tcPr>
            <w:tcW w:w="0" w:type="auto"/>
            <w:shd w:val="clear" w:color="auto" w:fill="DCE2EF"/>
            <w:tcMar>
              <w:top w:w="30" w:type="dxa"/>
              <w:left w:w="0" w:type="dxa"/>
              <w:bottom w:w="30" w:type="dxa"/>
              <w:right w:w="20" w:type="dxa"/>
            </w:tcMar>
            <w:vAlign w:val="bottom"/>
            <w:hideMark/>
          </w:tcPr>
          <w:p w14:paraId="15B06B6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15628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729908" w14:textId="77777777" w:rsidR="00000000" w:rsidRDefault="001D0688">
            <w:pPr>
              <w:jc w:val="right"/>
              <w:rPr>
                <w:rFonts w:eastAsia="Times New Roman"/>
              </w:rPr>
            </w:pPr>
            <w:r>
              <w:rPr>
                <w:rFonts w:ascii="Arial" w:eastAsia="Times New Roman" w:hAnsi="Arial" w:cs="Arial"/>
                <w:color w:val="000000"/>
                <w:sz w:val="18"/>
                <w:szCs w:val="18"/>
              </w:rPr>
              <w:t>(3.6)</w:t>
            </w:r>
          </w:p>
        </w:tc>
        <w:tc>
          <w:tcPr>
            <w:tcW w:w="0" w:type="auto"/>
            <w:shd w:val="clear" w:color="auto" w:fill="DCE2EF"/>
            <w:tcMar>
              <w:top w:w="30" w:type="dxa"/>
              <w:left w:w="0" w:type="dxa"/>
              <w:bottom w:w="30" w:type="dxa"/>
              <w:right w:w="20" w:type="dxa"/>
            </w:tcMar>
            <w:vAlign w:val="bottom"/>
            <w:hideMark/>
          </w:tcPr>
          <w:p w14:paraId="0665B1A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5C52A5"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EDB3FA9" w14:textId="77777777" w:rsidR="00000000" w:rsidRDefault="001D0688">
            <w:pPr>
              <w:jc w:val="center"/>
              <w:rPr>
                <w:rFonts w:eastAsia="Times New Roman"/>
              </w:rPr>
            </w:pPr>
            <w:r>
              <w:rPr>
                <w:rFonts w:ascii="Arial" w:eastAsia="Times New Roman" w:hAnsi="Arial" w:cs="Arial"/>
                <w:color w:val="000000"/>
                <w:sz w:val="18"/>
                <w:szCs w:val="18"/>
              </w:rPr>
              <w:t>(32.2)%</w:t>
            </w:r>
          </w:p>
        </w:tc>
      </w:tr>
      <w:tr w:rsidR="00000000" w14:paraId="67DC701B" w14:textId="77777777">
        <w:trPr>
          <w:divId w:val="1773823057"/>
        </w:trPr>
        <w:tc>
          <w:tcPr>
            <w:tcW w:w="0" w:type="auto"/>
            <w:gridSpan w:val="3"/>
            <w:shd w:val="clear" w:color="auto" w:fill="FFFFFF"/>
            <w:tcMar>
              <w:top w:w="30" w:type="dxa"/>
              <w:left w:w="20" w:type="dxa"/>
              <w:bottom w:w="30" w:type="dxa"/>
              <w:right w:w="20" w:type="dxa"/>
            </w:tcMar>
            <w:vAlign w:val="bottom"/>
            <w:hideMark/>
          </w:tcPr>
          <w:p w14:paraId="39F38EDC" w14:textId="77777777" w:rsidR="00000000" w:rsidRDefault="001D0688">
            <w:pPr>
              <w:rPr>
                <w:rFonts w:eastAsia="Times New Roman"/>
              </w:rPr>
            </w:pPr>
            <w:r>
              <w:rPr>
                <w:rFonts w:ascii="Arial" w:eastAsia="Times New Roman" w:hAnsi="Arial" w:cs="Arial"/>
                <w:color w:val="000000"/>
                <w:sz w:val="18"/>
                <w:szCs w:val="18"/>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14:paraId="4FBC5EFE" w14:textId="77777777" w:rsidR="00000000" w:rsidRDefault="001D0688">
            <w:pPr>
              <w:jc w:val="right"/>
              <w:rPr>
                <w:rFonts w:eastAsia="Times New Roman"/>
              </w:rPr>
            </w:pPr>
            <w:r>
              <w:rPr>
                <w:rFonts w:ascii="Arial" w:eastAsia="Times New Roman" w:hAnsi="Arial" w:cs="Arial"/>
                <w:color w:val="000000"/>
                <w:sz w:val="18"/>
                <w:szCs w:val="18"/>
              </w:rPr>
              <w:t>48.4 </w:t>
            </w:r>
          </w:p>
        </w:tc>
        <w:tc>
          <w:tcPr>
            <w:tcW w:w="0" w:type="auto"/>
            <w:shd w:val="clear" w:color="auto" w:fill="FFFFFF"/>
            <w:tcMar>
              <w:top w:w="30" w:type="dxa"/>
              <w:left w:w="0" w:type="dxa"/>
              <w:bottom w:w="30" w:type="dxa"/>
              <w:right w:w="20" w:type="dxa"/>
            </w:tcMar>
            <w:vAlign w:val="bottom"/>
            <w:hideMark/>
          </w:tcPr>
          <w:p w14:paraId="089524A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B96C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C3F2AF" w14:textId="77777777" w:rsidR="00000000" w:rsidRDefault="001D0688">
            <w:pPr>
              <w:jc w:val="right"/>
              <w:rPr>
                <w:rFonts w:eastAsia="Times New Roman"/>
              </w:rPr>
            </w:pPr>
            <w:r>
              <w:rPr>
                <w:rFonts w:ascii="Arial" w:eastAsia="Times New Roman" w:hAnsi="Arial" w:cs="Arial"/>
                <w:color w:val="000000"/>
                <w:sz w:val="18"/>
                <w:szCs w:val="18"/>
              </w:rPr>
              <w:t>58.5 </w:t>
            </w:r>
          </w:p>
        </w:tc>
        <w:tc>
          <w:tcPr>
            <w:tcW w:w="0" w:type="auto"/>
            <w:shd w:val="clear" w:color="auto" w:fill="FFFFFF"/>
            <w:tcMar>
              <w:top w:w="30" w:type="dxa"/>
              <w:left w:w="0" w:type="dxa"/>
              <w:bottom w:w="30" w:type="dxa"/>
              <w:right w:w="20" w:type="dxa"/>
            </w:tcMar>
            <w:vAlign w:val="bottom"/>
            <w:hideMark/>
          </w:tcPr>
          <w:p w14:paraId="21420BB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8A47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AC838" w14:textId="77777777" w:rsidR="00000000" w:rsidRDefault="001D0688">
            <w:pPr>
              <w:jc w:val="right"/>
              <w:rPr>
                <w:rFonts w:eastAsia="Times New Roman"/>
              </w:rPr>
            </w:pPr>
            <w:r>
              <w:rPr>
                <w:rFonts w:ascii="Arial" w:eastAsia="Times New Roman" w:hAnsi="Arial" w:cs="Arial"/>
                <w:color w:val="000000"/>
                <w:sz w:val="18"/>
                <w:szCs w:val="18"/>
              </w:rPr>
              <w:t>66.0 </w:t>
            </w:r>
          </w:p>
        </w:tc>
        <w:tc>
          <w:tcPr>
            <w:tcW w:w="0" w:type="auto"/>
            <w:shd w:val="clear" w:color="auto" w:fill="FFFFFF"/>
            <w:tcMar>
              <w:top w:w="30" w:type="dxa"/>
              <w:left w:w="0" w:type="dxa"/>
              <w:bottom w:w="30" w:type="dxa"/>
              <w:right w:w="20" w:type="dxa"/>
            </w:tcMar>
            <w:vAlign w:val="bottom"/>
            <w:hideMark/>
          </w:tcPr>
          <w:p w14:paraId="56BFD56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A87B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55344" w14:textId="77777777" w:rsidR="00000000" w:rsidRDefault="001D0688">
            <w:pPr>
              <w:jc w:val="right"/>
              <w:rPr>
                <w:rFonts w:eastAsia="Times New Roman"/>
              </w:rPr>
            </w:pPr>
            <w:r>
              <w:rPr>
                <w:rFonts w:ascii="Arial" w:eastAsia="Times New Roman" w:hAnsi="Arial" w:cs="Arial"/>
                <w:color w:val="000000"/>
                <w:sz w:val="18"/>
                <w:szCs w:val="18"/>
              </w:rPr>
              <w:t>(10.1)</w:t>
            </w:r>
          </w:p>
        </w:tc>
        <w:tc>
          <w:tcPr>
            <w:tcW w:w="0" w:type="auto"/>
            <w:shd w:val="clear" w:color="auto" w:fill="FFFFFF"/>
            <w:tcMar>
              <w:top w:w="30" w:type="dxa"/>
              <w:left w:w="0" w:type="dxa"/>
              <w:bottom w:w="30" w:type="dxa"/>
              <w:right w:w="20" w:type="dxa"/>
            </w:tcMar>
            <w:vAlign w:val="bottom"/>
            <w:hideMark/>
          </w:tcPr>
          <w:p w14:paraId="7DB8451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FB16B"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386078D" w14:textId="77777777" w:rsidR="00000000" w:rsidRDefault="001D0688">
            <w:pPr>
              <w:jc w:val="center"/>
              <w:rPr>
                <w:rFonts w:eastAsia="Times New Roman"/>
              </w:rPr>
            </w:pPr>
            <w:r>
              <w:rPr>
                <w:rFonts w:ascii="Arial" w:eastAsia="Times New Roman" w:hAnsi="Arial" w:cs="Arial"/>
                <w:color w:val="000000"/>
                <w:sz w:val="18"/>
                <w:szCs w:val="18"/>
              </w:rPr>
              <w:t>(17.3)%</w:t>
            </w:r>
          </w:p>
        </w:tc>
      </w:tr>
      <w:tr w:rsidR="00000000" w14:paraId="64D0D2CF" w14:textId="77777777">
        <w:trPr>
          <w:divId w:val="1773823057"/>
        </w:trPr>
        <w:tc>
          <w:tcPr>
            <w:tcW w:w="0" w:type="auto"/>
            <w:gridSpan w:val="3"/>
            <w:shd w:val="clear" w:color="auto" w:fill="DCE2EF"/>
            <w:tcMar>
              <w:top w:w="30" w:type="dxa"/>
              <w:left w:w="20" w:type="dxa"/>
              <w:bottom w:w="30" w:type="dxa"/>
              <w:right w:w="20" w:type="dxa"/>
            </w:tcMar>
            <w:vAlign w:val="bottom"/>
            <w:hideMark/>
          </w:tcPr>
          <w:p w14:paraId="0EC5AB61" w14:textId="77777777" w:rsidR="00000000" w:rsidRDefault="001D0688">
            <w:pPr>
              <w:rPr>
                <w:rFonts w:eastAsia="Times New Roman"/>
              </w:rPr>
            </w:pPr>
            <w:r>
              <w:rPr>
                <w:rFonts w:ascii="Arial" w:eastAsia="Times New Roman" w:hAnsi="Arial" w:cs="Arial"/>
                <w:color w:val="000000"/>
                <w:sz w:val="18"/>
                <w:szCs w:val="18"/>
              </w:rPr>
              <w:t>Impairment loss</w:t>
            </w:r>
          </w:p>
        </w:tc>
        <w:tc>
          <w:tcPr>
            <w:tcW w:w="0" w:type="auto"/>
            <w:gridSpan w:val="2"/>
            <w:shd w:val="clear" w:color="auto" w:fill="DCE2EF"/>
            <w:tcMar>
              <w:top w:w="30" w:type="dxa"/>
              <w:left w:w="20" w:type="dxa"/>
              <w:bottom w:w="30" w:type="dxa"/>
              <w:right w:w="0" w:type="dxa"/>
            </w:tcMar>
            <w:vAlign w:val="bottom"/>
            <w:hideMark/>
          </w:tcPr>
          <w:p w14:paraId="504C6D79" w14:textId="77777777" w:rsidR="00000000" w:rsidRDefault="001D0688">
            <w:pPr>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14:paraId="1F108E8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37B2A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CD3E3B"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4D9328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75324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1591B8" w14:textId="77777777" w:rsidR="00000000" w:rsidRDefault="001D0688">
            <w:pPr>
              <w:jc w:val="right"/>
              <w:rPr>
                <w:rFonts w:eastAsia="Times New Roman"/>
              </w:rPr>
            </w:pPr>
            <w:r>
              <w:rPr>
                <w:rFonts w:ascii="Arial" w:eastAsia="Times New Roman" w:hAnsi="Arial" w:cs="Arial"/>
                <w:color w:val="000000"/>
                <w:sz w:val="18"/>
                <w:szCs w:val="18"/>
              </w:rPr>
              <w:t>26.5 </w:t>
            </w:r>
          </w:p>
        </w:tc>
        <w:tc>
          <w:tcPr>
            <w:tcW w:w="0" w:type="auto"/>
            <w:shd w:val="clear" w:color="auto" w:fill="DCE2EF"/>
            <w:tcMar>
              <w:top w:w="30" w:type="dxa"/>
              <w:left w:w="0" w:type="dxa"/>
              <w:bottom w:w="30" w:type="dxa"/>
              <w:right w:w="20" w:type="dxa"/>
            </w:tcMar>
            <w:vAlign w:val="bottom"/>
            <w:hideMark/>
          </w:tcPr>
          <w:p w14:paraId="2884433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1298A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77F193" w14:textId="77777777" w:rsidR="00000000" w:rsidRDefault="001D0688">
            <w:pPr>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14:paraId="457B6E3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411232"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A63E18D"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3EA4E4EE" w14:textId="77777777">
        <w:trPr>
          <w:divId w:val="1773823057"/>
        </w:trPr>
        <w:tc>
          <w:tcPr>
            <w:tcW w:w="0" w:type="auto"/>
            <w:gridSpan w:val="3"/>
            <w:shd w:val="clear" w:color="auto" w:fill="FFFFFF"/>
            <w:tcMar>
              <w:top w:w="30" w:type="dxa"/>
              <w:left w:w="20" w:type="dxa"/>
              <w:bottom w:w="30" w:type="dxa"/>
              <w:right w:w="20" w:type="dxa"/>
            </w:tcMar>
            <w:vAlign w:val="bottom"/>
            <w:hideMark/>
          </w:tcPr>
          <w:p w14:paraId="3A344151" w14:textId="77777777" w:rsidR="00000000" w:rsidRDefault="001D0688">
            <w:pPr>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BA8C68" w14:textId="77777777" w:rsidR="00000000" w:rsidRDefault="001D0688">
            <w:pPr>
              <w:jc w:val="right"/>
              <w:rPr>
                <w:rFonts w:eastAsia="Times New Roman"/>
              </w:rPr>
            </w:pPr>
            <w:r>
              <w:rPr>
                <w:rFonts w:ascii="Arial" w:eastAsia="Times New Roman" w:hAnsi="Arial" w:cs="Arial"/>
                <w:color w:val="000000"/>
                <w:sz w:val="18"/>
                <w:szCs w:val="18"/>
              </w:rPr>
              <w:t>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A92C4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55A7F"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3D807F" w14:textId="77777777" w:rsidR="00000000" w:rsidRDefault="001D0688">
            <w:pPr>
              <w:jc w:val="right"/>
              <w:rPr>
                <w:rFonts w:eastAsia="Times New Roman"/>
              </w:rPr>
            </w:pPr>
            <w:r>
              <w:rPr>
                <w:rFonts w:ascii="Arial" w:eastAsia="Times New Roman" w:hAnsi="Arial" w:cs="Arial"/>
                <w:color w:val="000000"/>
                <w:sz w:val="18"/>
                <w:szCs w:val="18"/>
              </w:rPr>
              <w:t>208.3 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77511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FC29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88FAC3" w14:textId="77777777" w:rsidR="00000000" w:rsidRDefault="001D0688">
            <w:pPr>
              <w:jc w:val="right"/>
              <w:rPr>
                <w:rFonts w:eastAsia="Times New Roman"/>
              </w:rPr>
            </w:pPr>
            <w:r>
              <w:rPr>
                <w:rFonts w:ascii="Arial" w:eastAsia="Times New Roman" w:hAnsi="Arial" w:cs="Arial"/>
                <w:color w:val="000000"/>
                <w:sz w:val="18"/>
                <w:szCs w:val="18"/>
              </w:rPr>
              <w:t>138.6 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08F7D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997C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E0737F" w14:textId="77777777" w:rsidR="00000000" w:rsidRDefault="001D0688">
            <w:pPr>
              <w:jc w:val="right"/>
              <w:rPr>
                <w:rFonts w:eastAsia="Times New Roman"/>
              </w:rPr>
            </w:pPr>
            <w:r>
              <w:rPr>
                <w:rFonts w:ascii="Arial" w:eastAsia="Times New Roman" w:hAnsi="Arial" w:cs="Arial"/>
                <w:color w:val="000000"/>
                <w:sz w:val="18"/>
                <w:szCs w:val="18"/>
              </w:rPr>
              <w:t>(112.6)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BBD6E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06136"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10E5A24" w14:textId="77777777" w:rsidR="00000000" w:rsidRDefault="001D0688">
            <w:pPr>
              <w:jc w:val="center"/>
              <w:rPr>
                <w:rFonts w:eastAsia="Times New Roman"/>
              </w:rPr>
            </w:pPr>
            <w:r>
              <w:rPr>
                <w:rFonts w:ascii="Arial" w:eastAsia="Times New Roman" w:hAnsi="Arial" w:cs="Arial"/>
                <w:color w:val="000000"/>
                <w:sz w:val="18"/>
                <w:szCs w:val="18"/>
              </w:rPr>
              <w:t>(54.0)%</w:t>
            </w:r>
          </w:p>
        </w:tc>
      </w:tr>
      <w:tr w:rsidR="00000000" w14:paraId="13E1DFAA" w14:textId="77777777">
        <w:trPr>
          <w:divId w:val="1773823057"/>
        </w:trPr>
        <w:tc>
          <w:tcPr>
            <w:tcW w:w="0" w:type="auto"/>
            <w:gridSpan w:val="3"/>
            <w:vAlign w:val="center"/>
            <w:hideMark/>
          </w:tcPr>
          <w:p w14:paraId="56EF4DBC" w14:textId="77777777" w:rsidR="00000000" w:rsidRDefault="001D0688">
            <w:pPr>
              <w:jc w:val="center"/>
              <w:rPr>
                <w:rFonts w:eastAsia="Times New Roman"/>
              </w:rPr>
            </w:pPr>
          </w:p>
        </w:tc>
        <w:tc>
          <w:tcPr>
            <w:tcW w:w="0" w:type="auto"/>
            <w:gridSpan w:val="3"/>
            <w:vAlign w:val="center"/>
            <w:hideMark/>
          </w:tcPr>
          <w:p w14:paraId="358605E1" w14:textId="77777777" w:rsidR="00000000" w:rsidRDefault="001D0688">
            <w:pPr>
              <w:rPr>
                <w:rFonts w:eastAsia="Times New Roman"/>
                <w:sz w:val="20"/>
                <w:szCs w:val="20"/>
              </w:rPr>
            </w:pPr>
          </w:p>
        </w:tc>
        <w:tc>
          <w:tcPr>
            <w:tcW w:w="0" w:type="auto"/>
            <w:gridSpan w:val="3"/>
            <w:vAlign w:val="center"/>
            <w:hideMark/>
          </w:tcPr>
          <w:p w14:paraId="719C67BF" w14:textId="77777777" w:rsidR="00000000" w:rsidRDefault="001D0688">
            <w:pPr>
              <w:rPr>
                <w:rFonts w:eastAsia="Times New Roman"/>
                <w:sz w:val="20"/>
                <w:szCs w:val="20"/>
              </w:rPr>
            </w:pPr>
          </w:p>
        </w:tc>
        <w:tc>
          <w:tcPr>
            <w:tcW w:w="0" w:type="auto"/>
            <w:gridSpan w:val="3"/>
            <w:vAlign w:val="center"/>
            <w:hideMark/>
          </w:tcPr>
          <w:p w14:paraId="1844F084" w14:textId="77777777" w:rsidR="00000000" w:rsidRDefault="001D0688">
            <w:pPr>
              <w:rPr>
                <w:rFonts w:eastAsia="Times New Roman"/>
                <w:sz w:val="20"/>
                <w:szCs w:val="20"/>
              </w:rPr>
            </w:pPr>
          </w:p>
        </w:tc>
        <w:tc>
          <w:tcPr>
            <w:tcW w:w="0" w:type="auto"/>
            <w:gridSpan w:val="3"/>
            <w:vAlign w:val="center"/>
            <w:hideMark/>
          </w:tcPr>
          <w:p w14:paraId="27CBC19C" w14:textId="77777777" w:rsidR="00000000" w:rsidRDefault="001D0688">
            <w:pPr>
              <w:rPr>
                <w:rFonts w:eastAsia="Times New Roman"/>
                <w:sz w:val="20"/>
                <w:szCs w:val="20"/>
              </w:rPr>
            </w:pPr>
          </w:p>
        </w:tc>
        <w:tc>
          <w:tcPr>
            <w:tcW w:w="0" w:type="auto"/>
            <w:gridSpan w:val="3"/>
            <w:vAlign w:val="center"/>
            <w:hideMark/>
          </w:tcPr>
          <w:p w14:paraId="4ECF465A" w14:textId="77777777" w:rsidR="00000000" w:rsidRDefault="001D0688">
            <w:pPr>
              <w:rPr>
                <w:rFonts w:eastAsia="Times New Roman"/>
                <w:sz w:val="20"/>
                <w:szCs w:val="20"/>
              </w:rPr>
            </w:pPr>
          </w:p>
        </w:tc>
        <w:tc>
          <w:tcPr>
            <w:tcW w:w="0" w:type="auto"/>
            <w:gridSpan w:val="3"/>
            <w:vAlign w:val="center"/>
            <w:hideMark/>
          </w:tcPr>
          <w:p w14:paraId="00CACBE2" w14:textId="77777777" w:rsidR="00000000" w:rsidRDefault="001D0688">
            <w:pPr>
              <w:rPr>
                <w:rFonts w:eastAsia="Times New Roman"/>
                <w:sz w:val="20"/>
                <w:szCs w:val="20"/>
              </w:rPr>
            </w:pPr>
          </w:p>
        </w:tc>
        <w:tc>
          <w:tcPr>
            <w:tcW w:w="0" w:type="auto"/>
            <w:gridSpan w:val="3"/>
            <w:vAlign w:val="center"/>
            <w:hideMark/>
          </w:tcPr>
          <w:p w14:paraId="7EFC40C4" w14:textId="77777777" w:rsidR="00000000" w:rsidRDefault="001D0688">
            <w:pPr>
              <w:rPr>
                <w:rFonts w:eastAsia="Times New Roman"/>
                <w:sz w:val="20"/>
                <w:szCs w:val="20"/>
              </w:rPr>
            </w:pPr>
          </w:p>
        </w:tc>
        <w:tc>
          <w:tcPr>
            <w:tcW w:w="0" w:type="auto"/>
            <w:gridSpan w:val="3"/>
            <w:vAlign w:val="center"/>
            <w:hideMark/>
          </w:tcPr>
          <w:p w14:paraId="2E4D8ABA" w14:textId="77777777" w:rsidR="00000000" w:rsidRDefault="001D0688">
            <w:pPr>
              <w:rPr>
                <w:rFonts w:eastAsia="Times New Roman"/>
                <w:sz w:val="20"/>
                <w:szCs w:val="20"/>
              </w:rPr>
            </w:pPr>
          </w:p>
        </w:tc>
        <w:tc>
          <w:tcPr>
            <w:tcW w:w="0" w:type="auto"/>
            <w:gridSpan w:val="3"/>
            <w:vAlign w:val="center"/>
            <w:hideMark/>
          </w:tcPr>
          <w:p w14:paraId="6FCFD9C2" w14:textId="77777777" w:rsidR="00000000" w:rsidRDefault="001D0688">
            <w:pPr>
              <w:rPr>
                <w:rFonts w:eastAsia="Times New Roman"/>
                <w:sz w:val="20"/>
                <w:szCs w:val="20"/>
              </w:rPr>
            </w:pPr>
          </w:p>
        </w:tc>
      </w:tr>
      <w:tr w:rsidR="00000000" w14:paraId="74C4760B" w14:textId="77777777">
        <w:trPr>
          <w:divId w:val="1773823057"/>
        </w:trPr>
        <w:tc>
          <w:tcPr>
            <w:tcW w:w="0" w:type="auto"/>
            <w:gridSpan w:val="3"/>
            <w:shd w:val="clear" w:color="auto" w:fill="DCE2EF"/>
            <w:tcMar>
              <w:top w:w="30" w:type="dxa"/>
              <w:left w:w="20" w:type="dxa"/>
              <w:bottom w:w="30" w:type="dxa"/>
              <w:right w:w="20" w:type="dxa"/>
            </w:tcMar>
            <w:vAlign w:val="bottom"/>
            <w:hideMark/>
          </w:tcPr>
          <w:p w14:paraId="5B4E3DB8" w14:textId="77777777" w:rsidR="00000000" w:rsidRDefault="001D0688">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14:paraId="63A2A830" w14:textId="77777777" w:rsidR="00000000" w:rsidRDefault="001D0688">
            <w:pPr>
              <w:jc w:val="right"/>
              <w:rPr>
                <w:rFonts w:eastAsia="Times New Roman"/>
              </w:rPr>
            </w:pPr>
            <w:r>
              <w:rPr>
                <w:rFonts w:ascii="Arial" w:eastAsia="Times New Roman" w:hAnsi="Arial" w:cs="Arial"/>
                <w:color w:val="000000"/>
                <w:sz w:val="18"/>
                <w:szCs w:val="18"/>
              </w:rPr>
              <w:t>2.2 </w:t>
            </w:r>
          </w:p>
        </w:tc>
        <w:tc>
          <w:tcPr>
            <w:tcW w:w="0" w:type="auto"/>
            <w:shd w:val="clear" w:color="auto" w:fill="DCE2EF"/>
            <w:tcMar>
              <w:top w:w="30" w:type="dxa"/>
              <w:left w:w="0" w:type="dxa"/>
              <w:bottom w:w="30" w:type="dxa"/>
              <w:right w:w="20" w:type="dxa"/>
            </w:tcMar>
            <w:vAlign w:val="bottom"/>
            <w:hideMark/>
          </w:tcPr>
          <w:p w14:paraId="721B2C4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7F714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F29421B" w14:textId="77777777" w:rsidR="00000000" w:rsidRDefault="001D0688">
            <w:pPr>
              <w:jc w:val="right"/>
              <w:rPr>
                <w:rFonts w:eastAsia="Times New Roman"/>
              </w:rPr>
            </w:pPr>
            <w:r>
              <w:rPr>
                <w:rFonts w:ascii="Arial" w:eastAsia="Times New Roman" w:hAnsi="Arial" w:cs="Arial"/>
                <w:color w:val="000000"/>
                <w:sz w:val="18"/>
                <w:szCs w:val="18"/>
              </w:rPr>
              <w:t>3.0 </w:t>
            </w:r>
          </w:p>
        </w:tc>
        <w:tc>
          <w:tcPr>
            <w:tcW w:w="0" w:type="auto"/>
            <w:shd w:val="clear" w:color="auto" w:fill="DCE2EF"/>
            <w:tcMar>
              <w:top w:w="30" w:type="dxa"/>
              <w:left w:w="0" w:type="dxa"/>
              <w:bottom w:w="30" w:type="dxa"/>
              <w:right w:w="20" w:type="dxa"/>
            </w:tcMar>
            <w:vAlign w:val="bottom"/>
            <w:hideMark/>
          </w:tcPr>
          <w:p w14:paraId="3CD9B7B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6999E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423C7C" w14:textId="77777777" w:rsidR="00000000" w:rsidRDefault="001D0688">
            <w:pPr>
              <w:jc w:val="right"/>
              <w:rPr>
                <w:rFonts w:eastAsia="Times New Roman"/>
              </w:rPr>
            </w:pPr>
            <w:r>
              <w:rPr>
                <w:rFonts w:ascii="Arial" w:eastAsia="Times New Roman" w:hAnsi="Arial" w:cs="Arial"/>
                <w:color w:val="000000"/>
                <w:sz w:val="18"/>
                <w:szCs w:val="18"/>
              </w:rPr>
              <w:t>3.2 </w:t>
            </w:r>
          </w:p>
        </w:tc>
        <w:tc>
          <w:tcPr>
            <w:tcW w:w="0" w:type="auto"/>
            <w:shd w:val="clear" w:color="auto" w:fill="DCE2EF"/>
            <w:tcMar>
              <w:top w:w="30" w:type="dxa"/>
              <w:left w:w="0" w:type="dxa"/>
              <w:bottom w:w="30" w:type="dxa"/>
              <w:right w:w="20" w:type="dxa"/>
            </w:tcMar>
            <w:vAlign w:val="bottom"/>
            <w:hideMark/>
          </w:tcPr>
          <w:p w14:paraId="7D174DC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0F47A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F3B7C80" w14:textId="77777777" w:rsidR="00000000" w:rsidRDefault="001D0688">
            <w:pPr>
              <w:jc w:val="right"/>
              <w:rPr>
                <w:rFonts w:eastAsia="Times New Roman"/>
              </w:rPr>
            </w:pPr>
            <w:r>
              <w:rPr>
                <w:rFonts w:ascii="Arial" w:eastAsia="Times New Roman" w:hAnsi="Arial" w:cs="Arial"/>
                <w:color w:val="000000"/>
                <w:sz w:val="18"/>
                <w:szCs w:val="18"/>
              </w:rPr>
              <w:t>(0.8)</w:t>
            </w:r>
          </w:p>
        </w:tc>
        <w:tc>
          <w:tcPr>
            <w:tcW w:w="0" w:type="auto"/>
            <w:shd w:val="clear" w:color="auto" w:fill="DCE2EF"/>
            <w:tcMar>
              <w:top w:w="30" w:type="dxa"/>
              <w:left w:w="0" w:type="dxa"/>
              <w:bottom w:w="30" w:type="dxa"/>
              <w:right w:w="20" w:type="dxa"/>
            </w:tcMar>
            <w:vAlign w:val="bottom"/>
            <w:hideMark/>
          </w:tcPr>
          <w:p w14:paraId="4823F6E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C3891B"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66FA973" w14:textId="77777777" w:rsidR="00000000" w:rsidRDefault="001D0688">
            <w:pPr>
              <w:jc w:val="center"/>
              <w:rPr>
                <w:rFonts w:eastAsia="Times New Roman"/>
              </w:rPr>
            </w:pPr>
            <w:r>
              <w:rPr>
                <w:rFonts w:ascii="Arial" w:eastAsia="Times New Roman" w:hAnsi="Arial" w:cs="Arial"/>
                <w:color w:val="000000"/>
                <w:sz w:val="18"/>
                <w:szCs w:val="18"/>
              </w:rPr>
              <w:t>(28.3)%</w:t>
            </w:r>
          </w:p>
        </w:tc>
      </w:tr>
      <w:tr w:rsidR="00000000" w14:paraId="54119A3C" w14:textId="77777777">
        <w:trPr>
          <w:divId w:val="1773823057"/>
        </w:trPr>
        <w:tc>
          <w:tcPr>
            <w:tcW w:w="0" w:type="auto"/>
            <w:gridSpan w:val="3"/>
            <w:shd w:val="clear" w:color="auto" w:fill="FFFFFF"/>
            <w:tcMar>
              <w:top w:w="30" w:type="dxa"/>
              <w:left w:w="20" w:type="dxa"/>
              <w:bottom w:w="30" w:type="dxa"/>
              <w:right w:w="20" w:type="dxa"/>
            </w:tcMar>
            <w:vAlign w:val="bottom"/>
            <w:hideMark/>
          </w:tcPr>
          <w:p w14:paraId="2FF178F6" w14:textId="77777777" w:rsidR="00000000" w:rsidRDefault="001D0688">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5DBA3DAC" w14:textId="77777777" w:rsidR="00000000" w:rsidRDefault="001D0688">
            <w:pPr>
              <w:jc w:val="right"/>
              <w:rPr>
                <w:rFonts w:eastAsia="Times New Roman"/>
              </w:rPr>
            </w:pPr>
            <w:r>
              <w:rPr>
                <w:rFonts w:ascii="Arial" w:eastAsia="Times New Roman" w:hAnsi="Arial" w:cs="Arial"/>
                <w:color w:val="000000"/>
                <w:sz w:val="18"/>
                <w:szCs w:val="18"/>
              </w:rPr>
              <w:t>(44.6)</w:t>
            </w:r>
          </w:p>
        </w:tc>
        <w:tc>
          <w:tcPr>
            <w:tcW w:w="0" w:type="auto"/>
            <w:shd w:val="clear" w:color="auto" w:fill="FFFFFF"/>
            <w:tcMar>
              <w:top w:w="30" w:type="dxa"/>
              <w:left w:w="0" w:type="dxa"/>
              <w:bottom w:w="30" w:type="dxa"/>
              <w:right w:w="20" w:type="dxa"/>
            </w:tcMar>
            <w:vAlign w:val="bottom"/>
            <w:hideMark/>
          </w:tcPr>
          <w:p w14:paraId="4CDCD43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5141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FE02F" w14:textId="77777777" w:rsidR="00000000" w:rsidRDefault="001D0688">
            <w:pPr>
              <w:jc w:val="right"/>
              <w:rPr>
                <w:rFonts w:eastAsia="Times New Roman"/>
              </w:rPr>
            </w:pPr>
            <w:r>
              <w:rPr>
                <w:rFonts w:ascii="Arial" w:eastAsia="Times New Roman" w:hAnsi="Arial" w:cs="Arial"/>
                <w:color w:val="000000"/>
                <w:sz w:val="18"/>
                <w:szCs w:val="18"/>
              </w:rPr>
              <w:t>(51.1)</w:t>
            </w:r>
          </w:p>
        </w:tc>
        <w:tc>
          <w:tcPr>
            <w:tcW w:w="0" w:type="auto"/>
            <w:shd w:val="clear" w:color="auto" w:fill="FFFFFF"/>
            <w:tcMar>
              <w:top w:w="30" w:type="dxa"/>
              <w:left w:w="0" w:type="dxa"/>
              <w:bottom w:w="30" w:type="dxa"/>
              <w:right w:w="20" w:type="dxa"/>
            </w:tcMar>
            <w:vAlign w:val="bottom"/>
            <w:hideMark/>
          </w:tcPr>
          <w:p w14:paraId="05686FA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F0D0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41027" w14:textId="77777777" w:rsidR="00000000" w:rsidRDefault="001D0688">
            <w:pPr>
              <w:jc w:val="right"/>
              <w:rPr>
                <w:rFonts w:eastAsia="Times New Roman"/>
              </w:rPr>
            </w:pPr>
            <w:r>
              <w:rPr>
                <w:rFonts w:ascii="Arial" w:eastAsia="Times New Roman" w:hAnsi="Arial" w:cs="Arial"/>
                <w:color w:val="000000"/>
                <w:sz w:val="18"/>
                <w:szCs w:val="18"/>
              </w:rPr>
              <w:t>(54.1)</w:t>
            </w:r>
          </w:p>
        </w:tc>
        <w:tc>
          <w:tcPr>
            <w:tcW w:w="0" w:type="auto"/>
            <w:shd w:val="clear" w:color="auto" w:fill="FFFFFF"/>
            <w:tcMar>
              <w:top w:w="30" w:type="dxa"/>
              <w:left w:w="0" w:type="dxa"/>
              <w:bottom w:w="30" w:type="dxa"/>
              <w:right w:w="20" w:type="dxa"/>
            </w:tcMar>
            <w:vAlign w:val="bottom"/>
            <w:hideMark/>
          </w:tcPr>
          <w:p w14:paraId="721C61A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A904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D69D3" w14:textId="77777777" w:rsidR="00000000" w:rsidRDefault="001D0688">
            <w:pPr>
              <w:jc w:val="right"/>
              <w:rPr>
                <w:rFonts w:eastAsia="Times New Roman"/>
              </w:rPr>
            </w:pPr>
            <w:r>
              <w:rPr>
                <w:rFonts w:ascii="Arial" w:eastAsia="Times New Roman" w:hAnsi="Arial" w:cs="Arial"/>
                <w:color w:val="000000"/>
                <w:sz w:val="18"/>
                <w:szCs w:val="18"/>
              </w:rPr>
              <w:t>(6.5)</w:t>
            </w:r>
          </w:p>
        </w:tc>
        <w:tc>
          <w:tcPr>
            <w:tcW w:w="0" w:type="auto"/>
            <w:shd w:val="clear" w:color="auto" w:fill="FFFFFF"/>
            <w:tcMar>
              <w:top w:w="30" w:type="dxa"/>
              <w:left w:w="0" w:type="dxa"/>
              <w:bottom w:w="30" w:type="dxa"/>
              <w:right w:w="20" w:type="dxa"/>
            </w:tcMar>
            <w:vAlign w:val="bottom"/>
            <w:hideMark/>
          </w:tcPr>
          <w:p w14:paraId="0531BDC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AA4DB"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A3416C" w14:textId="77777777" w:rsidR="00000000" w:rsidRDefault="001D0688">
            <w:pPr>
              <w:jc w:val="center"/>
              <w:rPr>
                <w:rFonts w:eastAsia="Times New Roman"/>
              </w:rPr>
            </w:pPr>
            <w:r>
              <w:rPr>
                <w:rFonts w:ascii="Arial" w:eastAsia="Times New Roman" w:hAnsi="Arial" w:cs="Arial"/>
                <w:color w:val="000000"/>
                <w:sz w:val="18"/>
                <w:szCs w:val="18"/>
              </w:rPr>
              <w:t>(12.8)%</w:t>
            </w:r>
          </w:p>
        </w:tc>
      </w:tr>
      <w:tr w:rsidR="00000000" w14:paraId="65D6DCEA" w14:textId="77777777">
        <w:trPr>
          <w:divId w:val="1773823057"/>
        </w:trPr>
        <w:tc>
          <w:tcPr>
            <w:tcW w:w="0" w:type="auto"/>
            <w:gridSpan w:val="3"/>
            <w:shd w:val="clear" w:color="auto" w:fill="DCE2EF"/>
            <w:tcMar>
              <w:top w:w="30" w:type="dxa"/>
              <w:left w:w="20" w:type="dxa"/>
              <w:bottom w:w="30" w:type="dxa"/>
              <w:right w:w="20" w:type="dxa"/>
            </w:tcMar>
            <w:vAlign w:val="bottom"/>
            <w:hideMark/>
          </w:tcPr>
          <w:p w14:paraId="4256CD02" w14:textId="77777777" w:rsidR="00000000" w:rsidRDefault="001D0688">
            <w:pPr>
              <w:rPr>
                <w:rFonts w:eastAsia="Times New Roman"/>
              </w:rPr>
            </w:pPr>
            <w:r>
              <w:rPr>
                <w:rFonts w:ascii="Arial" w:eastAsia="Times New Roman" w:hAnsi="Arial" w:cs="Arial"/>
                <w:color w:val="000000"/>
                <w:sz w:val="18"/>
                <w:szCs w:val="18"/>
              </w:rPr>
              <w:t>Income from continuing operations before</w:t>
            </w:r>
            <w:r>
              <w:rPr>
                <w:rFonts w:ascii="Arial" w:eastAsia="Times New Roman" w:hAnsi="Arial" w:cs="Arial"/>
                <w:color w:val="000000"/>
                <w:sz w:val="18"/>
                <w:szCs w:val="18"/>
              </w:rPr>
              <w:br/>
              <w:t>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7039E12" w14:textId="77777777" w:rsidR="00000000" w:rsidRDefault="001D0688">
            <w:pPr>
              <w:jc w:val="right"/>
              <w:rPr>
                <w:rFonts w:eastAsia="Times New Roman"/>
              </w:rPr>
            </w:pPr>
            <w:r>
              <w:rPr>
                <w:rFonts w:ascii="Arial" w:eastAsia="Times New Roman" w:hAnsi="Arial" w:cs="Arial"/>
                <w:color w:val="000000"/>
                <w:sz w:val="18"/>
                <w:szCs w:val="18"/>
              </w:rPr>
              <w:t>53.3 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0D3D1F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299CE8"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C755D61" w14:textId="77777777" w:rsidR="00000000" w:rsidRDefault="001D0688">
            <w:pPr>
              <w:jc w:val="right"/>
              <w:rPr>
                <w:rFonts w:eastAsia="Times New Roman"/>
              </w:rPr>
            </w:pPr>
            <w:r>
              <w:rPr>
                <w:rFonts w:ascii="Arial" w:eastAsia="Times New Roman" w:hAnsi="Arial" w:cs="Arial"/>
                <w:color w:val="000000"/>
                <w:sz w:val="18"/>
                <w:szCs w:val="18"/>
              </w:rPr>
              <w:t>160.2 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D8C232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2DBC53"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99EB397" w14:textId="77777777" w:rsidR="00000000" w:rsidRDefault="001D0688">
            <w:pPr>
              <w:jc w:val="right"/>
              <w:rPr>
                <w:rFonts w:eastAsia="Times New Roman"/>
              </w:rPr>
            </w:pPr>
            <w:r>
              <w:rPr>
                <w:rFonts w:ascii="Arial" w:eastAsia="Times New Roman" w:hAnsi="Arial" w:cs="Arial"/>
                <w:color w:val="000000"/>
                <w:sz w:val="18"/>
                <w:szCs w:val="18"/>
              </w:rPr>
              <w:t>87.7 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85C700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41F9D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71B2D96" w14:textId="77777777" w:rsidR="00000000" w:rsidRDefault="001D0688">
            <w:pPr>
              <w:jc w:val="right"/>
              <w:rPr>
                <w:rFonts w:eastAsia="Times New Roman"/>
              </w:rPr>
            </w:pPr>
            <w:r>
              <w:rPr>
                <w:rFonts w:ascii="Arial" w:eastAsia="Times New Roman" w:hAnsi="Arial" w:cs="Arial"/>
                <w:color w:val="000000"/>
                <w:sz w:val="18"/>
                <w:szCs w:val="18"/>
              </w:rPr>
              <w:t>(106.9)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8B0A3F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8F17B8"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B8DB147" w14:textId="77777777" w:rsidR="00000000" w:rsidRDefault="001D0688">
            <w:pPr>
              <w:jc w:val="center"/>
              <w:rPr>
                <w:rFonts w:eastAsia="Times New Roman"/>
              </w:rPr>
            </w:pPr>
            <w:r>
              <w:rPr>
                <w:rFonts w:ascii="Arial" w:eastAsia="Times New Roman" w:hAnsi="Arial" w:cs="Arial"/>
                <w:color w:val="000000"/>
                <w:sz w:val="18"/>
                <w:szCs w:val="18"/>
              </w:rPr>
              <w:t>(66.7)%</w:t>
            </w:r>
          </w:p>
        </w:tc>
      </w:tr>
      <w:tr w:rsidR="00000000" w14:paraId="4E3B7230" w14:textId="77777777">
        <w:trPr>
          <w:divId w:val="1773823057"/>
        </w:trPr>
        <w:tc>
          <w:tcPr>
            <w:tcW w:w="0" w:type="auto"/>
            <w:gridSpan w:val="3"/>
            <w:shd w:val="clear" w:color="auto" w:fill="FFFFFF"/>
            <w:tcMar>
              <w:top w:w="30" w:type="dxa"/>
              <w:left w:w="20" w:type="dxa"/>
              <w:bottom w:w="30" w:type="dxa"/>
              <w:right w:w="20" w:type="dxa"/>
            </w:tcMar>
            <w:vAlign w:val="bottom"/>
            <w:hideMark/>
          </w:tcPr>
          <w:p w14:paraId="7EE5DAF7" w14:textId="77777777" w:rsidR="00000000" w:rsidRDefault="001D0688">
            <w:pPr>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FFFFFF"/>
            <w:tcMar>
              <w:top w:w="30" w:type="dxa"/>
              <w:left w:w="20" w:type="dxa"/>
              <w:bottom w:w="30" w:type="dxa"/>
              <w:right w:w="0" w:type="dxa"/>
            </w:tcMar>
            <w:vAlign w:val="bottom"/>
            <w:hideMark/>
          </w:tcPr>
          <w:p w14:paraId="530E2D64" w14:textId="77777777" w:rsidR="00000000" w:rsidRDefault="001D0688">
            <w:pPr>
              <w:jc w:val="right"/>
              <w:rPr>
                <w:rFonts w:eastAsia="Times New Roman"/>
              </w:rPr>
            </w:pPr>
            <w:r>
              <w:rPr>
                <w:rFonts w:ascii="Arial" w:eastAsia="Times New Roman" w:hAnsi="Arial" w:cs="Arial"/>
                <w:color w:val="000000"/>
                <w:sz w:val="18"/>
                <w:szCs w:val="18"/>
              </w:rPr>
              <w:t>(53.1)</w:t>
            </w:r>
          </w:p>
        </w:tc>
        <w:tc>
          <w:tcPr>
            <w:tcW w:w="0" w:type="auto"/>
            <w:shd w:val="clear" w:color="auto" w:fill="FFFFFF"/>
            <w:tcMar>
              <w:top w:w="30" w:type="dxa"/>
              <w:left w:w="0" w:type="dxa"/>
              <w:bottom w:w="30" w:type="dxa"/>
              <w:right w:w="20" w:type="dxa"/>
            </w:tcMar>
            <w:vAlign w:val="bottom"/>
            <w:hideMark/>
          </w:tcPr>
          <w:p w14:paraId="61F0325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710D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DEB40B" w14:textId="77777777" w:rsidR="00000000" w:rsidRDefault="001D0688">
            <w:pPr>
              <w:jc w:val="right"/>
              <w:rPr>
                <w:rFonts w:eastAsia="Times New Roman"/>
              </w:rPr>
            </w:pPr>
            <w:r>
              <w:rPr>
                <w:rFonts w:ascii="Arial" w:eastAsia="Times New Roman" w:hAnsi="Arial" w:cs="Arial"/>
                <w:color w:val="000000"/>
                <w:sz w:val="18"/>
                <w:szCs w:val="18"/>
              </w:rPr>
              <w:t>(32.7)</w:t>
            </w:r>
          </w:p>
        </w:tc>
        <w:tc>
          <w:tcPr>
            <w:tcW w:w="0" w:type="auto"/>
            <w:shd w:val="clear" w:color="auto" w:fill="FFFFFF"/>
            <w:tcMar>
              <w:top w:w="30" w:type="dxa"/>
              <w:left w:w="0" w:type="dxa"/>
              <w:bottom w:w="30" w:type="dxa"/>
              <w:right w:w="20" w:type="dxa"/>
            </w:tcMar>
            <w:vAlign w:val="bottom"/>
            <w:hideMark/>
          </w:tcPr>
          <w:p w14:paraId="53ADE7F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8734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C2DE2" w14:textId="77777777" w:rsidR="00000000" w:rsidRDefault="001D0688">
            <w:pPr>
              <w:jc w:val="right"/>
              <w:rPr>
                <w:rFonts w:eastAsia="Times New Roman"/>
              </w:rPr>
            </w:pPr>
            <w:r>
              <w:rPr>
                <w:rFonts w:ascii="Arial" w:eastAsia="Times New Roman" w:hAnsi="Arial" w:cs="Arial"/>
                <w:color w:val="000000"/>
                <w:sz w:val="18"/>
                <w:szCs w:val="18"/>
              </w:rPr>
              <w:t>8.2 </w:t>
            </w:r>
          </w:p>
        </w:tc>
        <w:tc>
          <w:tcPr>
            <w:tcW w:w="0" w:type="auto"/>
            <w:shd w:val="clear" w:color="auto" w:fill="FFFFFF"/>
            <w:tcMar>
              <w:top w:w="30" w:type="dxa"/>
              <w:left w:w="0" w:type="dxa"/>
              <w:bottom w:w="30" w:type="dxa"/>
              <w:right w:w="20" w:type="dxa"/>
            </w:tcMar>
            <w:vAlign w:val="bottom"/>
            <w:hideMark/>
          </w:tcPr>
          <w:p w14:paraId="595919E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4AFB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569FA" w14:textId="77777777" w:rsidR="00000000" w:rsidRDefault="001D0688">
            <w:pPr>
              <w:jc w:val="right"/>
              <w:rPr>
                <w:rFonts w:eastAsia="Times New Roman"/>
              </w:rPr>
            </w:pPr>
            <w:r>
              <w:rPr>
                <w:rFonts w:ascii="Arial" w:eastAsia="Times New Roman" w:hAnsi="Arial" w:cs="Arial"/>
                <w:color w:val="000000"/>
                <w:sz w:val="18"/>
                <w:szCs w:val="18"/>
              </w:rPr>
              <w:t>20.4 </w:t>
            </w:r>
          </w:p>
        </w:tc>
        <w:tc>
          <w:tcPr>
            <w:tcW w:w="0" w:type="auto"/>
            <w:shd w:val="clear" w:color="auto" w:fill="FFFFFF"/>
            <w:tcMar>
              <w:top w:w="30" w:type="dxa"/>
              <w:left w:w="0" w:type="dxa"/>
              <w:bottom w:w="30" w:type="dxa"/>
              <w:right w:w="20" w:type="dxa"/>
            </w:tcMar>
            <w:vAlign w:val="bottom"/>
            <w:hideMark/>
          </w:tcPr>
          <w:p w14:paraId="788F70A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10EBB"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1FEFCF8" w14:textId="77777777" w:rsidR="00000000" w:rsidRDefault="001D0688">
            <w:pPr>
              <w:jc w:val="center"/>
              <w:rPr>
                <w:rFonts w:eastAsia="Times New Roman"/>
              </w:rPr>
            </w:pPr>
            <w:r>
              <w:rPr>
                <w:rFonts w:ascii="Arial" w:eastAsia="Times New Roman" w:hAnsi="Arial" w:cs="Arial"/>
                <w:color w:val="000000"/>
                <w:sz w:val="18"/>
                <w:szCs w:val="18"/>
              </w:rPr>
              <w:t>62.5%</w:t>
            </w:r>
          </w:p>
        </w:tc>
      </w:tr>
      <w:tr w:rsidR="00000000" w14:paraId="472C57F4" w14:textId="77777777">
        <w:trPr>
          <w:divId w:val="1773823057"/>
        </w:trPr>
        <w:tc>
          <w:tcPr>
            <w:tcW w:w="0" w:type="auto"/>
            <w:gridSpan w:val="3"/>
            <w:shd w:val="clear" w:color="auto" w:fill="DCE2EF"/>
            <w:tcMar>
              <w:top w:w="30" w:type="dxa"/>
              <w:left w:w="20" w:type="dxa"/>
              <w:bottom w:w="30" w:type="dxa"/>
              <w:right w:w="20" w:type="dxa"/>
            </w:tcMar>
            <w:vAlign w:val="bottom"/>
            <w:hideMark/>
          </w:tcPr>
          <w:p w14:paraId="599868D6" w14:textId="77777777" w:rsidR="00000000" w:rsidRDefault="001D0688">
            <w:pPr>
              <w:rPr>
                <w:rFonts w:eastAsia="Times New Roman"/>
              </w:rPr>
            </w:pPr>
            <w:r>
              <w:rPr>
                <w:rFonts w:ascii="Arial" w:eastAsia="Times New Roman" w:hAnsi="Arial" w:cs="Arial"/>
                <w:color w:val="000000"/>
                <w:sz w:val="18"/>
                <w:szCs w:val="18"/>
              </w:rPr>
              <w:t>Income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6FACBEF" w14:textId="77777777" w:rsidR="00000000" w:rsidRDefault="001D0688">
            <w:pPr>
              <w:jc w:val="right"/>
              <w:rPr>
                <w:rFonts w:eastAsia="Times New Roman"/>
              </w:rPr>
            </w:pPr>
            <w:r>
              <w:rPr>
                <w:rFonts w:ascii="Arial" w:eastAsia="Times New Roman" w:hAnsi="Arial" w:cs="Arial"/>
                <w:color w:val="000000"/>
                <w:sz w:val="18"/>
                <w:szCs w:val="18"/>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E6E62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CFFC55"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50FF769" w14:textId="77777777" w:rsidR="00000000" w:rsidRDefault="001D0688">
            <w:pPr>
              <w:jc w:val="right"/>
              <w:rPr>
                <w:rFonts w:eastAsia="Times New Roman"/>
              </w:rPr>
            </w:pPr>
            <w:r>
              <w:rPr>
                <w:rFonts w:ascii="Arial" w:eastAsia="Times New Roman" w:hAnsi="Arial" w:cs="Arial"/>
                <w:color w:val="000000"/>
                <w:sz w:val="18"/>
                <w:szCs w:val="18"/>
              </w:rPr>
              <w:t>127.5 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093494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6E9289"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5F893FF" w14:textId="77777777" w:rsidR="00000000" w:rsidRDefault="001D0688">
            <w:pPr>
              <w:jc w:val="right"/>
              <w:rPr>
                <w:rFonts w:eastAsia="Times New Roman"/>
              </w:rPr>
            </w:pPr>
            <w:r>
              <w:rPr>
                <w:rFonts w:ascii="Arial" w:eastAsia="Times New Roman" w:hAnsi="Arial" w:cs="Arial"/>
                <w:color w:val="000000"/>
                <w:sz w:val="18"/>
                <w:szCs w:val="18"/>
              </w:rPr>
              <w:t>95.9 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C526BC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FDE92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7E6E6DF" w14:textId="77777777" w:rsidR="00000000" w:rsidRDefault="001D0688">
            <w:pPr>
              <w:jc w:val="right"/>
              <w:rPr>
                <w:rFonts w:eastAsia="Times New Roman"/>
              </w:rPr>
            </w:pPr>
            <w:r>
              <w:rPr>
                <w:rFonts w:ascii="Arial" w:eastAsia="Times New Roman" w:hAnsi="Arial" w:cs="Arial"/>
                <w:color w:val="000000"/>
                <w:sz w:val="18"/>
                <w:szCs w:val="18"/>
              </w:rPr>
              <w:t>(127.3)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033C11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839105"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E5F4024" w14:textId="77777777" w:rsidR="00000000" w:rsidRDefault="001D0688">
            <w:pPr>
              <w:jc w:val="center"/>
              <w:rPr>
                <w:rFonts w:eastAsia="Times New Roman"/>
              </w:rPr>
            </w:pPr>
            <w:r>
              <w:rPr>
                <w:rFonts w:ascii="Arial" w:eastAsia="Times New Roman" w:hAnsi="Arial" w:cs="Arial"/>
                <w:color w:val="000000"/>
                <w:sz w:val="18"/>
                <w:szCs w:val="18"/>
              </w:rPr>
              <w:t>(99.8)%</w:t>
            </w:r>
          </w:p>
        </w:tc>
      </w:tr>
      <w:tr w:rsidR="00000000" w14:paraId="27E958A0" w14:textId="77777777">
        <w:trPr>
          <w:divId w:val="1773823057"/>
        </w:trPr>
        <w:tc>
          <w:tcPr>
            <w:tcW w:w="0" w:type="auto"/>
            <w:gridSpan w:val="3"/>
            <w:shd w:val="clear" w:color="auto" w:fill="FFFFFF"/>
            <w:tcMar>
              <w:top w:w="30" w:type="dxa"/>
              <w:left w:w="20" w:type="dxa"/>
              <w:bottom w:w="30" w:type="dxa"/>
              <w:right w:w="20" w:type="dxa"/>
            </w:tcMar>
            <w:vAlign w:val="bottom"/>
            <w:hideMark/>
          </w:tcPr>
          <w:p w14:paraId="0B37124C" w14:textId="77777777" w:rsidR="00000000" w:rsidRDefault="001D0688">
            <w:pPr>
              <w:rPr>
                <w:rFonts w:eastAsia="Times New Roman"/>
              </w:rPr>
            </w:pPr>
            <w:r>
              <w:rPr>
                <w:rFonts w:ascii="Arial" w:eastAsia="Times New Roman" w:hAnsi="Arial" w:cs="Arial"/>
                <w:color w:val="000000"/>
                <w:sz w:val="18"/>
                <w:szCs w:val="18"/>
              </w:rPr>
              <w:t xml:space="preserve">Income (loss) from discontinued operations, </w:t>
            </w:r>
            <w:r>
              <w:rPr>
                <w:rFonts w:ascii="Arial" w:eastAsia="Times New Roman" w:hAnsi="Arial" w:cs="Arial"/>
                <w:color w:val="000000"/>
                <w:sz w:val="18"/>
                <w:szCs w:val="18"/>
              </w:rPr>
              <w:br/>
              <w:t>net of taxes</w:t>
            </w:r>
          </w:p>
        </w:tc>
        <w:tc>
          <w:tcPr>
            <w:tcW w:w="0" w:type="auto"/>
            <w:gridSpan w:val="2"/>
            <w:shd w:val="clear" w:color="auto" w:fill="FFFFFF"/>
            <w:tcMar>
              <w:top w:w="30" w:type="dxa"/>
              <w:left w:w="20" w:type="dxa"/>
              <w:bottom w:w="30" w:type="dxa"/>
              <w:right w:w="0" w:type="dxa"/>
            </w:tcMar>
            <w:vAlign w:val="bottom"/>
            <w:hideMark/>
          </w:tcPr>
          <w:p w14:paraId="5AC59B3D"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69E164C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301A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C42137" w14:textId="77777777" w:rsidR="00000000" w:rsidRDefault="001D0688">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783B0CE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9DBA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D1758" w14:textId="77777777" w:rsidR="00000000" w:rsidRDefault="001D0688">
            <w:pPr>
              <w:jc w:val="right"/>
              <w:rPr>
                <w:rFonts w:eastAsia="Times New Roman"/>
              </w:rPr>
            </w:pPr>
            <w:r>
              <w:rPr>
                <w:rFonts w:ascii="Arial" w:eastAsia="Times New Roman" w:hAnsi="Arial" w:cs="Arial"/>
                <w:color w:val="000000"/>
                <w:sz w:val="18"/>
                <w:szCs w:val="18"/>
              </w:rPr>
              <w:t>1.8 </w:t>
            </w:r>
          </w:p>
        </w:tc>
        <w:tc>
          <w:tcPr>
            <w:tcW w:w="0" w:type="auto"/>
            <w:shd w:val="clear" w:color="auto" w:fill="FFFFFF"/>
            <w:tcMar>
              <w:top w:w="30" w:type="dxa"/>
              <w:left w:w="0" w:type="dxa"/>
              <w:bottom w:w="30" w:type="dxa"/>
              <w:right w:w="20" w:type="dxa"/>
            </w:tcMar>
            <w:vAlign w:val="bottom"/>
            <w:hideMark/>
          </w:tcPr>
          <w:p w14:paraId="7B157E3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79F0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BCBF6A" w14:textId="77777777" w:rsidR="00000000" w:rsidRDefault="001D0688">
            <w:pPr>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14:paraId="1D0800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E97AD"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0DAE6E"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20897731" w14:textId="77777777">
        <w:trPr>
          <w:divId w:val="1773823057"/>
        </w:trPr>
        <w:tc>
          <w:tcPr>
            <w:tcW w:w="0" w:type="auto"/>
            <w:gridSpan w:val="3"/>
            <w:shd w:val="clear" w:color="auto" w:fill="DCE2EF"/>
            <w:tcMar>
              <w:top w:w="30" w:type="dxa"/>
              <w:left w:w="20" w:type="dxa"/>
              <w:bottom w:w="30" w:type="dxa"/>
              <w:right w:w="20" w:type="dxa"/>
            </w:tcMar>
            <w:vAlign w:val="bottom"/>
            <w:hideMark/>
          </w:tcPr>
          <w:p w14:paraId="3DF9C17A" w14:textId="77777777" w:rsidR="00000000" w:rsidRDefault="001D0688">
            <w:pPr>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1803425" w14:textId="77777777" w:rsidR="00000000" w:rsidRDefault="001D0688">
            <w:pPr>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E5D4C9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4F9B22"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4FF7199" w14:textId="77777777" w:rsidR="00000000" w:rsidRDefault="001D0688">
            <w:pPr>
              <w:jc w:val="right"/>
              <w:rPr>
                <w:rFonts w:eastAsia="Times New Roman"/>
              </w:rPr>
            </w:pPr>
            <w:r>
              <w:rPr>
                <w:rFonts w:ascii="Arial" w:eastAsia="Times New Roman" w:hAnsi="Arial" w:cs="Arial"/>
                <w:color w:val="000000"/>
                <w:sz w:val="18"/>
                <w:szCs w:val="18"/>
              </w:rPr>
              <w:t>127.4 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B5B3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A0FE9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253966F" w14:textId="77777777" w:rsidR="00000000" w:rsidRDefault="001D0688">
            <w:pPr>
              <w:jc w:val="right"/>
              <w:rPr>
                <w:rFonts w:eastAsia="Times New Roman"/>
              </w:rPr>
            </w:pPr>
            <w:r>
              <w:rPr>
                <w:rFonts w:ascii="Arial" w:eastAsia="Times New Roman" w:hAnsi="Arial" w:cs="Arial"/>
                <w:color w:val="000000"/>
                <w:sz w:val="18"/>
                <w:szCs w:val="18"/>
              </w:rPr>
              <w:t>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BBF074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86F873"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6F61C75" w14:textId="77777777" w:rsidR="00000000" w:rsidRDefault="001D0688">
            <w:pPr>
              <w:jc w:val="right"/>
              <w:rPr>
                <w:rFonts w:eastAsia="Times New Roman"/>
              </w:rPr>
            </w:pPr>
            <w:r>
              <w:rPr>
                <w:rFonts w:ascii="Arial" w:eastAsia="Times New Roman" w:hAnsi="Arial" w:cs="Arial"/>
                <w:color w:val="000000"/>
                <w:sz w:val="18"/>
                <w:szCs w:val="18"/>
              </w:rPr>
              <w:t>(127.1)</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AAE95B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B14AF7"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A95D141" w14:textId="77777777" w:rsidR="00000000" w:rsidRDefault="001D0688">
            <w:pPr>
              <w:jc w:val="center"/>
              <w:rPr>
                <w:rFonts w:eastAsia="Times New Roman"/>
              </w:rPr>
            </w:pPr>
            <w:r>
              <w:rPr>
                <w:rFonts w:ascii="Arial" w:eastAsia="Times New Roman" w:hAnsi="Arial" w:cs="Arial"/>
                <w:color w:val="000000"/>
                <w:sz w:val="18"/>
                <w:szCs w:val="18"/>
              </w:rPr>
              <w:t>(99.8)%</w:t>
            </w:r>
          </w:p>
        </w:tc>
      </w:tr>
      <w:tr w:rsidR="00000000" w14:paraId="6B5EDAF5" w14:textId="77777777">
        <w:trPr>
          <w:divId w:val="1773823057"/>
        </w:trPr>
        <w:tc>
          <w:tcPr>
            <w:tcW w:w="0" w:type="auto"/>
            <w:gridSpan w:val="3"/>
            <w:shd w:val="clear" w:color="auto" w:fill="FFFFFF"/>
            <w:tcMar>
              <w:top w:w="30" w:type="dxa"/>
              <w:left w:w="20" w:type="dxa"/>
              <w:bottom w:w="30" w:type="dxa"/>
              <w:right w:w="20" w:type="dxa"/>
            </w:tcMar>
            <w:vAlign w:val="bottom"/>
            <w:hideMark/>
          </w:tcPr>
          <w:p w14:paraId="54AE5EB4" w14:textId="77777777" w:rsidR="00000000" w:rsidRDefault="001D0688">
            <w:pPr>
              <w:rPr>
                <w:rFonts w:eastAsia="Times New Roman"/>
              </w:rPr>
            </w:pPr>
            <w:r>
              <w:rPr>
                <w:rFonts w:ascii="Arial" w:eastAsia="Times New Roman" w:hAnsi="Arial" w:cs="Arial"/>
                <w:color w:val="000000"/>
                <w:sz w:val="18"/>
                <w:szCs w:val="18"/>
              </w:rPr>
              <w:t>Other comprehensive (loss) income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73F94E"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FFDF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2F351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1481F4"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CA5C3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414788"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620F2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C812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43054" w14:textId="77777777" w:rsidR="00000000" w:rsidRDefault="001D0688">
            <w:pPr>
              <w:rPr>
                <w:rFonts w:eastAsia="Times New Roman"/>
                <w:sz w:val="20"/>
                <w:szCs w:val="20"/>
              </w:rPr>
            </w:pPr>
          </w:p>
        </w:tc>
      </w:tr>
      <w:tr w:rsidR="00000000" w14:paraId="586DB193" w14:textId="77777777">
        <w:trPr>
          <w:divId w:val="1773823057"/>
        </w:trPr>
        <w:tc>
          <w:tcPr>
            <w:tcW w:w="0" w:type="auto"/>
            <w:gridSpan w:val="3"/>
            <w:shd w:val="clear" w:color="auto" w:fill="DCE2EF"/>
            <w:tcMar>
              <w:top w:w="30" w:type="dxa"/>
              <w:left w:w="560" w:type="dxa"/>
              <w:bottom w:w="30" w:type="dxa"/>
              <w:right w:w="20" w:type="dxa"/>
            </w:tcMar>
            <w:vAlign w:val="bottom"/>
            <w:hideMark/>
          </w:tcPr>
          <w:p w14:paraId="3102DE0B" w14:textId="77777777" w:rsidR="00000000" w:rsidRDefault="001D0688">
            <w:pPr>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14:paraId="560D1B58" w14:textId="77777777" w:rsidR="00000000" w:rsidRDefault="001D0688">
            <w:pPr>
              <w:jc w:val="right"/>
              <w:rPr>
                <w:rFonts w:eastAsia="Times New Roman"/>
              </w:rPr>
            </w:pPr>
            <w:r>
              <w:rPr>
                <w:rFonts w:ascii="Arial" w:eastAsia="Times New Roman" w:hAnsi="Arial" w:cs="Arial"/>
                <w:color w:val="000000"/>
                <w:sz w:val="18"/>
                <w:szCs w:val="18"/>
              </w:rPr>
              <w:t>(7.6)</w:t>
            </w:r>
          </w:p>
        </w:tc>
        <w:tc>
          <w:tcPr>
            <w:tcW w:w="0" w:type="auto"/>
            <w:shd w:val="clear" w:color="auto" w:fill="DCE2EF"/>
            <w:tcMar>
              <w:top w:w="30" w:type="dxa"/>
              <w:left w:w="0" w:type="dxa"/>
              <w:bottom w:w="30" w:type="dxa"/>
              <w:right w:w="20" w:type="dxa"/>
            </w:tcMar>
            <w:vAlign w:val="bottom"/>
            <w:hideMark/>
          </w:tcPr>
          <w:p w14:paraId="4FDEE6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3E573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A44C65" w14:textId="77777777" w:rsidR="00000000" w:rsidRDefault="001D0688">
            <w:pPr>
              <w:jc w:val="right"/>
              <w:rPr>
                <w:rFonts w:eastAsia="Times New Roman"/>
              </w:rPr>
            </w:pPr>
            <w:r>
              <w:rPr>
                <w:rFonts w:ascii="Arial" w:eastAsia="Times New Roman" w:hAnsi="Arial" w:cs="Arial"/>
                <w:color w:val="000000"/>
                <w:sz w:val="18"/>
                <w:szCs w:val="18"/>
              </w:rPr>
              <w:t>(22.4)</w:t>
            </w:r>
          </w:p>
        </w:tc>
        <w:tc>
          <w:tcPr>
            <w:tcW w:w="0" w:type="auto"/>
            <w:shd w:val="clear" w:color="auto" w:fill="DCE2EF"/>
            <w:tcMar>
              <w:top w:w="30" w:type="dxa"/>
              <w:left w:w="0" w:type="dxa"/>
              <w:bottom w:w="30" w:type="dxa"/>
              <w:right w:w="20" w:type="dxa"/>
            </w:tcMar>
            <w:vAlign w:val="bottom"/>
            <w:hideMark/>
          </w:tcPr>
          <w:p w14:paraId="411384C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D88D3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AE8486" w14:textId="77777777" w:rsidR="00000000" w:rsidRDefault="001D0688">
            <w:pPr>
              <w:jc w:val="right"/>
              <w:rPr>
                <w:rFonts w:eastAsia="Times New Roman"/>
              </w:rPr>
            </w:pPr>
            <w:r>
              <w:rPr>
                <w:rFonts w:ascii="Arial" w:eastAsia="Times New Roman" w:hAnsi="Arial" w:cs="Arial"/>
                <w:color w:val="000000"/>
                <w:sz w:val="18"/>
                <w:szCs w:val="18"/>
              </w:rPr>
              <w:t>21.9 </w:t>
            </w:r>
          </w:p>
        </w:tc>
        <w:tc>
          <w:tcPr>
            <w:tcW w:w="0" w:type="auto"/>
            <w:shd w:val="clear" w:color="auto" w:fill="DCE2EF"/>
            <w:tcMar>
              <w:top w:w="30" w:type="dxa"/>
              <w:left w:w="0" w:type="dxa"/>
              <w:bottom w:w="30" w:type="dxa"/>
              <w:right w:w="20" w:type="dxa"/>
            </w:tcMar>
            <w:vAlign w:val="bottom"/>
            <w:hideMark/>
          </w:tcPr>
          <w:p w14:paraId="1C1EC0B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D4745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B7F0B9D" w14:textId="77777777" w:rsidR="00000000" w:rsidRDefault="001D0688">
            <w:pPr>
              <w:jc w:val="right"/>
              <w:rPr>
                <w:rFonts w:eastAsia="Times New Roman"/>
              </w:rPr>
            </w:pPr>
            <w:r>
              <w:rPr>
                <w:rFonts w:ascii="Arial" w:eastAsia="Times New Roman" w:hAnsi="Arial" w:cs="Arial"/>
                <w:color w:val="000000"/>
                <w:sz w:val="18"/>
                <w:szCs w:val="18"/>
              </w:rPr>
              <w:t>14.8 </w:t>
            </w:r>
          </w:p>
        </w:tc>
        <w:tc>
          <w:tcPr>
            <w:tcW w:w="0" w:type="auto"/>
            <w:shd w:val="clear" w:color="auto" w:fill="DCE2EF"/>
            <w:tcMar>
              <w:top w:w="30" w:type="dxa"/>
              <w:left w:w="0" w:type="dxa"/>
              <w:bottom w:w="30" w:type="dxa"/>
              <w:right w:w="20" w:type="dxa"/>
            </w:tcMar>
            <w:vAlign w:val="bottom"/>
            <w:hideMark/>
          </w:tcPr>
          <w:p w14:paraId="23ED44C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7354DC"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438B7754" w14:textId="77777777" w:rsidR="00000000" w:rsidRDefault="001D0688">
            <w:pPr>
              <w:jc w:val="center"/>
              <w:rPr>
                <w:rFonts w:eastAsia="Times New Roman"/>
              </w:rPr>
            </w:pPr>
            <w:r>
              <w:rPr>
                <w:rFonts w:ascii="Arial" w:eastAsia="Times New Roman" w:hAnsi="Arial" w:cs="Arial"/>
                <w:color w:val="000000"/>
                <w:sz w:val="18"/>
                <w:szCs w:val="18"/>
              </w:rPr>
              <w:t>66.1%</w:t>
            </w:r>
          </w:p>
        </w:tc>
      </w:tr>
      <w:tr w:rsidR="00000000" w14:paraId="3FAEB078" w14:textId="77777777">
        <w:trPr>
          <w:divId w:val="1773823057"/>
        </w:trPr>
        <w:tc>
          <w:tcPr>
            <w:tcW w:w="0" w:type="auto"/>
            <w:gridSpan w:val="3"/>
            <w:shd w:val="clear" w:color="auto" w:fill="FFFFFF"/>
            <w:tcMar>
              <w:top w:w="30" w:type="dxa"/>
              <w:left w:w="560" w:type="dxa"/>
              <w:bottom w:w="30" w:type="dxa"/>
              <w:right w:w="20" w:type="dxa"/>
            </w:tcMar>
            <w:vAlign w:val="bottom"/>
            <w:hideMark/>
          </w:tcPr>
          <w:p w14:paraId="03422900" w14:textId="77777777" w:rsidR="00000000" w:rsidRDefault="001D0688">
            <w:pPr>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14:paraId="1C2B9B40" w14:textId="77777777" w:rsidR="00000000" w:rsidRDefault="001D0688">
            <w:pPr>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14:paraId="4FEFAD3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4BB9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E95C8" w14:textId="77777777" w:rsidR="00000000" w:rsidRDefault="001D0688">
            <w:pPr>
              <w:jc w:val="right"/>
              <w:rPr>
                <w:rFonts w:eastAsia="Times New Roman"/>
              </w:rPr>
            </w:pPr>
            <w:r>
              <w:rPr>
                <w:rFonts w:ascii="Arial" w:eastAsia="Times New Roman" w:hAnsi="Arial" w:cs="Arial"/>
                <w:color w:val="000000"/>
                <w:sz w:val="18"/>
                <w:szCs w:val="18"/>
              </w:rPr>
              <w:t>1.6 </w:t>
            </w:r>
          </w:p>
        </w:tc>
        <w:tc>
          <w:tcPr>
            <w:tcW w:w="0" w:type="auto"/>
            <w:shd w:val="clear" w:color="auto" w:fill="FFFFFF"/>
            <w:tcMar>
              <w:top w:w="30" w:type="dxa"/>
              <w:left w:w="0" w:type="dxa"/>
              <w:bottom w:w="30" w:type="dxa"/>
              <w:right w:w="20" w:type="dxa"/>
            </w:tcMar>
            <w:vAlign w:val="bottom"/>
            <w:hideMark/>
          </w:tcPr>
          <w:p w14:paraId="1A34FD6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98FB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C1829" w14:textId="77777777" w:rsidR="00000000" w:rsidRDefault="001D0688">
            <w:pPr>
              <w:jc w:val="right"/>
              <w:rPr>
                <w:rFonts w:eastAsia="Times New Roman"/>
              </w:rPr>
            </w:pPr>
            <w:r>
              <w:rPr>
                <w:rFonts w:ascii="Arial" w:eastAsia="Times New Roman" w:hAnsi="Arial" w:cs="Arial"/>
                <w:color w:val="000000"/>
                <w:sz w:val="18"/>
                <w:szCs w:val="18"/>
              </w:rPr>
              <w:t>(4.7)</w:t>
            </w:r>
          </w:p>
        </w:tc>
        <w:tc>
          <w:tcPr>
            <w:tcW w:w="0" w:type="auto"/>
            <w:shd w:val="clear" w:color="auto" w:fill="FFFFFF"/>
            <w:tcMar>
              <w:top w:w="30" w:type="dxa"/>
              <w:left w:w="0" w:type="dxa"/>
              <w:bottom w:w="30" w:type="dxa"/>
              <w:right w:w="20" w:type="dxa"/>
            </w:tcMar>
            <w:vAlign w:val="bottom"/>
            <w:hideMark/>
          </w:tcPr>
          <w:p w14:paraId="10778FE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91EF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858F20" w14:textId="77777777" w:rsidR="00000000" w:rsidRDefault="001D0688">
            <w:pPr>
              <w:jc w:val="right"/>
              <w:rPr>
                <w:rFonts w:eastAsia="Times New Roman"/>
              </w:rPr>
            </w:pPr>
            <w:r>
              <w:rPr>
                <w:rFonts w:ascii="Arial" w:eastAsia="Times New Roman" w:hAnsi="Arial" w:cs="Arial"/>
                <w:color w:val="000000"/>
                <w:sz w:val="18"/>
                <w:szCs w:val="18"/>
              </w:rPr>
              <w:t>(3.4)</w:t>
            </w:r>
          </w:p>
        </w:tc>
        <w:tc>
          <w:tcPr>
            <w:tcW w:w="0" w:type="auto"/>
            <w:shd w:val="clear" w:color="auto" w:fill="FFFFFF"/>
            <w:tcMar>
              <w:top w:w="30" w:type="dxa"/>
              <w:left w:w="0" w:type="dxa"/>
              <w:bottom w:w="30" w:type="dxa"/>
              <w:right w:w="20" w:type="dxa"/>
            </w:tcMar>
            <w:vAlign w:val="bottom"/>
            <w:hideMark/>
          </w:tcPr>
          <w:p w14:paraId="6FD0643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A2590B"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73ECF96"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5945C424" w14:textId="77777777">
        <w:trPr>
          <w:divId w:val="1773823057"/>
        </w:trPr>
        <w:tc>
          <w:tcPr>
            <w:tcW w:w="0" w:type="auto"/>
            <w:gridSpan w:val="3"/>
            <w:shd w:val="clear" w:color="auto" w:fill="DCE2EF"/>
            <w:tcMar>
              <w:top w:w="30" w:type="dxa"/>
              <w:left w:w="560" w:type="dxa"/>
              <w:bottom w:w="30" w:type="dxa"/>
              <w:right w:w="20" w:type="dxa"/>
            </w:tcMar>
            <w:vAlign w:val="bottom"/>
            <w:hideMark/>
          </w:tcPr>
          <w:p w14:paraId="2BB4B28D" w14:textId="77777777" w:rsidR="00000000" w:rsidRDefault="001D0688">
            <w:pPr>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DCE2EF"/>
            <w:tcMar>
              <w:top w:w="30" w:type="dxa"/>
              <w:left w:w="20" w:type="dxa"/>
              <w:bottom w:w="30" w:type="dxa"/>
              <w:right w:w="0" w:type="dxa"/>
            </w:tcMar>
            <w:vAlign w:val="bottom"/>
            <w:hideMark/>
          </w:tcPr>
          <w:p w14:paraId="4E32A596" w14:textId="77777777" w:rsidR="00000000" w:rsidRDefault="001D0688">
            <w:pPr>
              <w:jc w:val="right"/>
              <w:rPr>
                <w:rFonts w:eastAsia="Times New Roman"/>
              </w:rPr>
            </w:pPr>
            <w:r>
              <w:rPr>
                <w:rFonts w:ascii="Arial" w:eastAsia="Times New Roman" w:hAnsi="Arial" w:cs="Arial"/>
                <w:color w:val="000000"/>
                <w:sz w:val="18"/>
                <w:szCs w:val="18"/>
              </w:rPr>
              <w:t>2.4 </w:t>
            </w:r>
          </w:p>
        </w:tc>
        <w:tc>
          <w:tcPr>
            <w:tcW w:w="0" w:type="auto"/>
            <w:shd w:val="clear" w:color="auto" w:fill="DCE2EF"/>
            <w:tcMar>
              <w:top w:w="30" w:type="dxa"/>
              <w:left w:w="0" w:type="dxa"/>
              <w:bottom w:w="30" w:type="dxa"/>
              <w:right w:w="20" w:type="dxa"/>
            </w:tcMar>
            <w:vAlign w:val="bottom"/>
            <w:hideMark/>
          </w:tcPr>
          <w:p w14:paraId="0807479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51DBA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652655" w14:textId="77777777" w:rsidR="00000000" w:rsidRDefault="001D0688">
            <w:pPr>
              <w:jc w:val="right"/>
              <w:rPr>
                <w:rFonts w:eastAsia="Times New Roman"/>
              </w:rPr>
            </w:pPr>
            <w:r>
              <w:rPr>
                <w:rFonts w:ascii="Arial" w:eastAsia="Times New Roman" w:hAnsi="Arial" w:cs="Arial"/>
                <w:color w:val="000000"/>
                <w:sz w:val="18"/>
                <w:szCs w:val="18"/>
              </w:rPr>
              <w:t>5.9 </w:t>
            </w:r>
          </w:p>
        </w:tc>
        <w:tc>
          <w:tcPr>
            <w:tcW w:w="0" w:type="auto"/>
            <w:shd w:val="clear" w:color="auto" w:fill="DCE2EF"/>
            <w:tcMar>
              <w:top w:w="30" w:type="dxa"/>
              <w:left w:w="0" w:type="dxa"/>
              <w:bottom w:w="30" w:type="dxa"/>
              <w:right w:w="20" w:type="dxa"/>
            </w:tcMar>
            <w:vAlign w:val="bottom"/>
            <w:hideMark/>
          </w:tcPr>
          <w:p w14:paraId="307C645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22592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3C367E3" w14:textId="77777777" w:rsidR="00000000" w:rsidRDefault="001D0688">
            <w:pPr>
              <w:jc w:val="right"/>
              <w:rPr>
                <w:rFonts w:eastAsia="Times New Roman"/>
              </w:rPr>
            </w:pPr>
            <w:r>
              <w:rPr>
                <w:rFonts w:ascii="Arial" w:eastAsia="Times New Roman" w:hAnsi="Arial" w:cs="Arial"/>
                <w:color w:val="000000"/>
                <w:sz w:val="18"/>
                <w:szCs w:val="18"/>
              </w:rPr>
              <w:t>(5.9)</w:t>
            </w:r>
          </w:p>
        </w:tc>
        <w:tc>
          <w:tcPr>
            <w:tcW w:w="0" w:type="auto"/>
            <w:shd w:val="clear" w:color="auto" w:fill="DCE2EF"/>
            <w:tcMar>
              <w:top w:w="30" w:type="dxa"/>
              <w:left w:w="0" w:type="dxa"/>
              <w:bottom w:w="30" w:type="dxa"/>
              <w:right w:w="20" w:type="dxa"/>
            </w:tcMar>
            <w:vAlign w:val="bottom"/>
            <w:hideMark/>
          </w:tcPr>
          <w:p w14:paraId="0A75622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445C1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D8D04D1" w14:textId="77777777" w:rsidR="00000000" w:rsidRDefault="001D0688">
            <w:pPr>
              <w:jc w:val="right"/>
              <w:rPr>
                <w:rFonts w:eastAsia="Times New Roman"/>
              </w:rPr>
            </w:pPr>
            <w:r>
              <w:rPr>
                <w:rFonts w:ascii="Arial" w:eastAsia="Times New Roman" w:hAnsi="Arial" w:cs="Arial"/>
                <w:color w:val="000000"/>
                <w:sz w:val="18"/>
                <w:szCs w:val="18"/>
              </w:rPr>
              <w:t>(3.5)</w:t>
            </w:r>
          </w:p>
        </w:tc>
        <w:tc>
          <w:tcPr>
            <w:tcW w:w="0" w:type="auto"/>
            <w:shd w:val="clear" w:color="auto" w:fill="DCE2EF"/>
            <w:tcMar>
              <w:top w:w="30" w:type="dxa"/>
              <w:left w:w="0" w:type="dxa"/>
              <w:bottom w:w="30" w:type="dxa"/>
              <w:right w:w="20" w:type="dxa"/>
            </w:tcMar>
            <w:vAlign w:val="bottom"/>
            <w:hideMark/>
          </w:tcPr>
          <w:p w14:paraId="05FE9D7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EAD7E3"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368DF28" w14:textId="77777777" w:rsidR="00000000" w:rsidRDefault="001D0688">
            <w:pPr>
              <w:jc w:val="center"/>
              <w:rPr>
                <w:rFonts w:eastAsia="Times New Roman"/>
              </w:rPr>
            </w:pPr>
            <w:r>
              <w:rPr>
                <w:rFonts w:ascii="Arial" w:eastAsia="Times New Roman" w:hAnsi="Arial" w:cs="Arial"/>
                <w:color w:val="000000"/>
                <w:sz w:val="18"/>
                <w:szCs w:val="18"/>
              </w:rPr>
              <w:t>(58.9)%</w:t>
            </w:r>
          </w:p>
        </w:tc>
      </w:tr>
      <w:tr w:rsidR="00000000" w14:paraId="7D69B121" w14:textId="77777777">
        <w:trPr>
          <w:divId w:val="1773823057"/>
        </w:trPr>
        <w:tc>
          <w:tcPr>
            <w:tcW w:w="0" w:type="auto"/>
            <w:gridSpan w:val="3"/>
            <w:shd w:val="clear" w:color="auto" w:fill="FFFFFF"/>
            <w:tcMar>
              <w:top w:w="30" w:type="dxa"/>
              <w:left w:w="20" w:type="dxa"/>
              <w:bottom w:w="30" w:type="dxa"/>
              <w:right w:w="20" w:type="dxa"/>
            </w:tcMar>
            <w:vAlign w:val="bottom"/>
            <w:hideMark/>
          </w:tcPr>
          <w:p w14:paraId="64828546" w14:textId="77777777" w:rsidR="00000000" w:rsidRDefault="001D0688">
            <w:pPr>
              <w:rPr>
                <w:rFonts w:eastAsia="Times New Roman"/>
              </w:rPr>
            </w:pPr>
            <w:r>
              <w:rPr>
                <w:rFonts w:ascii="Arial" w:eastAsia="Times New Roman" w:hAnsi="Arial" w:cs="Arial"/>
                <w:b/>
                <w:bCs/>
                <w:color w:val="000000"/>
                <w:sz w:val="18"/>
                <w:szCs w:val="18"/>
              </w:rPr>
              <w:t>Comprehensive (loss)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3FB35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D09D98" w14:textId="77777777" w:rsidR="00000000" w:rsidRDefault="001D0688">
            <w:pPr>
              <w:jc w:val="right"/>
              <w:rPr>
                <w:rFonts w:eastAsia="Times New Roman"/>
              </w:rPr>
            </w:pPr>
            <w:r>
              <w:rPr>
                <w:rFonts w:ascii="Arial" w:eastAsia="Times New Roman" w:hAnsi="Arial" w:cs="Arial"/>
                <w:color w:val="000000"/>
                <w:sz w:val="18"/>
                <w:szCs w:val="18"/>
              </w:rPr>
              <w:t>(6.6)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3AD40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48AC6"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ACA84C"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C12156" w14:textId="77777777" w:rsidR="00000000" w:rsidRDefault="001D0688">
            <w:pPr>
              <w:jc w:val="right"/>
              <w:rPr>
                <w:rFonts w:eastAsia="Times New Roman"/>
              </w:rPr>
            </w:pPr>
            <w:r>
              <w:rPr>
                <w:rFonts w:ascii="Arial" w:eastAsia="Times New Roman" w:hAnsi="Arial" w:cs="Arial"/>
                <w:color w:val="000000"/>
                <w:sz w:val="18"/>
                <w:szCs w:val="18"/>
              </w:rPr>
              <w:t>112.5 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289CC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39BDF"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4F6D1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19C6BB" w14:textId="77777777" w:rsidR="00000000" w:rsidRDefault="001D0688">
            <w:pPr>
              <w:jc w:val="right"/>
              <w:rPr>
                <w:rFonts w:eastAsia="Times New Roman"/>
              </w:rPr>
            </w:pPr>
            <w:r>
              <w:rPr>
                <w:rFonts w:ascii="Arial" w:eastAsia="Times New Roman" w:hAnsi="Arial" w:cs="Arial"/>
                <w:color w:val="000000"/>
                <w:sz w:val="18"/>
                <w:szCs w:val="18"/>
              </w:rPr>
              <w:t>109.0 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E9BB9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D7608"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35C7F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45AF10" w14:textId="77777777" w:rsidR="00000000" w:rsidRDefault="001D0688">
            <w:pPr>
              <w:jc w:val="right"/>
              <w:rPr>
                <w:rFonts w:eastAsia="Times New Roman"/>
              </w:rPr>
            </w:pPr>
            <w:r>
              <w:rPr>
                <w:rFonts w:ascii="Arial" w:eastAsia="Times New Roman" w:hAnsi="Arial" w:cs="Arial"/>
                <w:color w:val="000000"/>
                <w:sz w:val="18"/>
                <w:szCs w:val="18"/>
              </w:rPr>
              <w:t>(119.1)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59F29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BAB52"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DA8524A" w14:textId="77777777" w:rsidR="00000000" w:rsidRDefault="001D0688">
            <w:pPr>
              <w:jc w:val="center"/>
              <w:rPr>
                <w:rFonts w:eastAsia="Times New Roman"/>
              </w:rPr>
            </w:pPr>
            <w:r>
              <w:rPr>
                <w:rFonts w:ascii="Arial" w:eastAsia="Times New Roman" w:hAnsi="Arial" w:cs="Arial"/>
                <w:color w:val="000000"/>
                <w:sz w:val="18"/>
                <w:szCs w:val="18"/>
              </w:rPr>
              <w:t>NM*</w:t>
            </w:r>
          </w:p>
        </w:tc>
      </w:tr>
    </w:tbl>
    <w:p w14:paraId="5ABD2D6E" w14:textId="77777777" w:rsidR="00000000" w:rsidRDefault="001D0688">
      <w:pPr>
        <w:divId w:val="735510599"/>
        <w:rPr>
          <w:rFonts w:eastAsia="Times New Roman"/>
        </w:rPr>
      </w:pPr>
      <w:r>
        <w:rPr>
          <w:rFonts w:ascii="Arial" w:eastAsia="Times New Roman" w:hAnsi="Arial" w:cs="Arial"/>
          <w:color w:val="000000"/>
          <w:sz w:val="18"/>
          <w:szCs w:val="18"/>
        </w:rPr>
        <w:t>*Not meaningful</w:t>
      </w:r>
    </w:p>
    <w:p w14:paraId="2684CB46" w14:textId="77777777" w:rsidR="00000000" w:rsidRDefault="001D0688">
      <w:pPr>
        <w:jc w:val="both"/>
        <w:divId w:val="1031764539"/>
        <w:rPr>
          <w:rFonts w:eastAsia="Times New Roman"/>
        </w:rPr>
      </w:pPr>
      <w:r>
        <w:rPr>
          <w:rFonts w:ascii="Arial" w:eastAsia="Times New Roman" w:hAnsi="Arial" w:cs="Arial"/>
          <w:b/>
          <w:bCs/>
          <w:i/>
          <w:iCs/>
          <w:color w:val="0046AD"/>
          <w:sz w:val="20"/>
          <w:szCs w:val="20"/>
        </w:rPr>
        <w:t>The Year Ended Octobe</w:t>
      </w:r>
      <w:r>
        <w:rPr>
          <w:rFonts w:ascii="Arial" w:eastAsia="Times New Roman" w:hAnsi="Arial" w:cs="Arial"/>
          <w:b/>
          <w:bCs/>
          <w:i/>
          <w:iCs/>
          <w:color w:val="0046AD"/>
          <w:sz w:val="20"/>
          <w:szCs w:val="20"/>
        </w:rPr>
        <w:t>r 31, 2020 Compared with the Year Ended October 31, 2019</w:t>
      </w:r>
    </w:p>
    <w:p w14:paraId="4F770F00" w14:textId="77777777" w:rsidR="00000000" w:rsidRDefault="001D0688">
      <w:pPr>
        <w:jc w:val="both"/>
        <w:divId w:val="1557426963"/>
        <w:rPr>
          <w:rFonts w:eastAsia="Times New Roman"/>
        </w:rPr>
      </w:pPr>
      <w:r>
        <w:rPr>
          <w:rFonts w:ascii="Arial" w:eastAsia="Times New Roman" w:hAnsi="Arial" w:cs="Arial"/>
          <w:b/>
          <w:bCs/>
          <w:i/>
          <w:iCs/>
          <w:color w:val="0046AD"/>
          <w:sz w:val="20"/>
          <w:szCs w:val="20"/>
        </w:rPr>
        <w:t xml:space="preserve">Revenues </w:t>
      </w:r>
    </w:p>
    <w:p w14:paraId="25875349" w14:textId="77777777" w:rsidR="00000000" w:rsidRDefault="001D0688">
      <w:pPr>
        <w:ind w:firstLine="720"/>
        <w:jc w:val="both"/>
        <w:divId w:val="1523201183"/>
        <w:rPr>
          <w:rFonts w:eastAsia="Times New Roman"/>
        </w:rPr>
      </w:pPr>
      <w:r>
        <w:rPr>
          <w:rFonts w:ascii="Arial" w:eastAsia="Times New Roman" w:hAnsi="Arial" w:cs="Arial"/>
          <w:color w:val="000000"/>
          <w:sz w:val="20"/>
          <w:szCs w:val="20"/>
        </w:rPr>
        <w:t>Revenues decreased by $511.0 million, or 7.9%, during 2020, as compared to 2019. The decrease in revenues was primarily due to the impact of Pandemic-related disruptions across our businesses. Revenues were also impacted by the loss of certain accounts, pr</w:t>
      </w:r>
      <w:r>
        <w:rPr>
          <w:rFonts w:ascii="Arial" w:eastAsia="Times New Roman" w:hAnsi="Arial" w:cs="Arial"/>
          <w:color w:val="000000"/>
          <w:sz w:val="20"/>
          <w:szCs w:val="20"/>
        </w:rPr>
        <w:t xml:space="preserve">imarily in our Aviation business and our U.S. B&amp;I business. However, this decrease was partially offset by the expansion of certain accounts and new business within B&amp;I, T&amp;M, and Technical Solutions (primarily before Pandemic-related disruptions), as well </w:t>
      </w:r>
      <w:r>
        <w:rPr>
          <w:rFonts w:ascii="Arial" w:eastAsia="Times New Roman" w:hAnsi="Arial" w:cs="Arial"/>
          <w:color w:val="000000"/>
          <w:sz w:val="20"/>
          <w:szCs w:val="20"/>
        </w:rPr>
        <w:t>as a significant increase in work orders and new services, including EnhancedClean, primarily relating to the Pandemic.</w:t>
      </w:r>
    </w:p>
    <w:p w14:paraId="5392DAA8" w14:textId="77777777" w:rsidR="00000000" w:rsidRDefault="001D0688">
      <w:pPr>
        <w:jc w:val="both"/>
        <w:divId w:val="1607152813"/>
        <w:rPr>
          <w:rFonts w:eastAsia="Times New Roman"/>
        </w:rPr>
      </w:pPr>
      <w:r>
        <w:rPr>
          <w:rFonts w:ascii="Arial" w:eastAsia="Times New Roman" w:hAnsi="Arial" w:cs="Arial"/>
          <w:b/>
          <w:bCs/>
          <w:i/>
          <w:iCs/>
          <w:color w:val="0046AD"/>
          <w:sz w:val="20"/>
          <w:szCs w:val="20"/>
        </w:rPr>
        <w:t>Operating Expenses</w:t>
      </w:r>
      <w:r>
        <w:rPr>
          <w:rFonts w:ascii="Arial" w:eastAsia="Times New Roman" w:hAnsi="Arial" w:cs="Arial"/>
          <w:i/>
          <w:iCs/>
          <w:color w:val="0046AD"/>
          <w:sz w:val="20"/>
          <w:szCs w:val="20"/>
        </w:rPr>
        <w:t xml:space="preserve"> </w:t>
      </w:r>
    </w:p>
    <w:p w14:paraId="43DB2F48" w14:textId="77777777" w:rsidR="00000000" w:rsidRDefault="001D0688">
      <w:pPr>
        <w:ind w:firstLine="720"/>
        <w:jc w:val="both"/>
        <w:divId w:val="1698388392"/>
        <w:rPr>
          <w:rFonts w:eastAsia="Times New Roman"/>
        </w:rPr>
      </w:pPr>
      <w:r>
        <w:rPr>
          <w:rFonts w:ascii="Arial" w:eastAsia="Times New Roman" w:hAnsi="Arial" w:cs="Arial"/>
          <w:color w:val="000000"/>
          <w:sz w:val="20"/>
          <w:szCs w:val="20"/>
        </w:rPr>
        <w:t>Operating expenses decreased by $610.5 million, or 10.6%, during 2020, as compared to 2019. Gross margin increased b</w:t>
      </w:r>
      <w:r>
        <w:rPr>
          <w:rFonts w:ascii="Arial" w:eastAsia="Times New Roman" w:hAnsi="Arial" w:cs="Arial"/>
          <w:color w:val="000000"/>
          <w:sz w:val="20"/>
          <w:szCs w:val="20"/>
        </w:rPr>
        <w:t>y 262 bps to 13.9% in 2020 from 11.2% in 2019. The increase in gross margin was primarily associated with the management of direct labor and related personnel costs during the Pandemic; higher margins on work orders and new services, including EnhancedClea</w:t>
      </w:r>
      <w:r>
        <w:rPr>
          <w:rFonts w:ascii="Arial" w:eastAsia="Times New Roman" w:hAnsi="Arial" w:cs="Arial"/>
          <w:color w:val="000000"/>
          <w:sz w:val="20"/>
          <w:szCs w:val="20"/>
        </w:rPr>
        <w:t xml:space="preserve">n, relating to the Pandemic (primarily within B&amp;I and T&amp;M); the loss of certain lower margin accounts within B&amp;I and Aviation; and a decrease in self-insurance reserves related to adjustments for prior years. </w:t>
      </w:r>
    </w:p>
    <w:p w14:paraId="4AB1A53D" w14:textId="77777777" w:rsidR="00000000" w:rsidRDefault="001D0688">
      <w:pPr>
        <w:jc w:val="both"/>
        <w:divId w:val="375080984"/>
        <w:rPr>
          <w:rFonts w:eastAsia="Times New Roman"/>
        </w:rPr>
      </w:pPr>
      <w:r>
        <w:rPr>
          <w:rFonts w:ascii="Arial" w:eastAsia="Times New Roman" w:hAnsi="Arial" w:cs="Arial"/>
          <w:b/>
          <w:bCs/>
          <w:i/>
          <w:iCs/>
          <w:color w:val="0046AD"/>
          <w:sz w:val="20"/>
          <w:szCs w:val="20"/>
        </w:rPr>
        <w:t>Selling, General and Administrative Expenses</w:t>
      </w:r>
    </w:p>
    <w:p w14:paraId="1C1CE4F6" w14:textId="77777777" w:rsidR="00000000" w:rsidRDefault="001D0688">
      <w:pPr>
        <w:ind w:firstLine="720"/>
        <w:jc w:val="both"/>
        <w:divId w:val="1772965578"/>
        <w:rPr>
          <w:rFonts w:eastAsia="Times New Roman"/>
        </w:rPr>
      </w:pPr>
      <w:r>
        <w:rPr>
          <w:rFonts w:ascii="Arial" w:eastAsia="Times New Roman" w:hAnsi="Arial" w:cs="Arial"/>
          <w:color w:val="000000"/>
          <w:sz w:val="20"/>
          <w:szCs w:val="20"/>
        </w:rPr>
        <w:t>S</w:t>
      </w:r>
      <w:r>
        <w:rPr>
          <w:rFonts w:ascii="Arial" w:eastAsia="Times New Roman" w:hAnsi="Arial" w:cs="Arial"/>
          <w:color w:val="000000"/>
          <w:sz w:val="20"/>
          <w:szCs w:val="20"/>
        </w:rPr>
        <w:t>elling, general and administrative expenses increased by $53.2 million, or 11.7%, during 2020, as compared to 2019. The increase in selling, general and administrative expenses was primarily attributable to:</w:t>
      </w:r>
    </w:p>
    <w:p w14:paraId="1B887601" w14:textId="77777777" w:rsidR="00000000" w:rsidRDefault="001D0688">
      <w:pPr>
        <w:ind w:hanging="360"/>
        <w:jc w:val="both"/>
        <w:divId w:val="1183323826"/>
        <w:rPr>
          <w:rFonts w:eastAsia="Times New Roman"/>
        </w:rPr>
      </w:pPr>
      <w:r>
        <w:rPr>
          <w:rFonts w:ascii="Arial" w:eastAsia="Times New Roman" w:hAnsi="Arial" w:cs="Arial"/>
          <w:color w:val="000000"/>
          <w:sz w:val="20"/>
          <w:szCs w:val="20"/>
        </w:rPr>
        <w:t>•a $17.6 million reserve on notes receivable rel</w:t>
      </w:r>
      <w:r>
        <w:rPr>
          <w:rFonts w:ascii="Arial" w:eastAsia="Times New Roman" w:hAnsi="Arial" w:cs="Arial"/>
          <w:color w:val="000000"/>
          <w:sz w:val="20"/>
          <w:szCs w:val="20"/>
        </w:rPr>
        <w:t>ated to a unique, entertainment-related project within Technical Solutions, mainly associated with increasing credit risk resulting from the Pandemic;</w:t>
      </w:r>
    </w:p>
    <w:p w14:paraId="5D23C686" w14:textId="77777777" w:rsidR="00000000" w:rsidRDefault="001D0688">
      <w:pPr>
        <w:jc w:val="center"/>
        <w:divId w:val="796946023"/>
        <w:rPr>
          <w:rFonts w:eastAsia="Times New Roman"/>
        </w:rPr>
      </w:pPr>
      <w:r>
        <w:rPr>
          <w:rFonts w:ascii="Arial" w:eastAsia="Times New Roman" w:hAnsi="Arial" w:cs="Arial"/>
          <w:color w:val="000000"/>
          <w:sz w:val="20"/>
          <w:szCs w:val="20"/>
        </w:rPr>
        <w:t>26</w:t>
      </w:r>
    </w:p>
    <w:p w14:paraId="4083EB6E" w14:textId="77777777" w:rsidR="00000000" w:rsidRDefault="001D0688">
      <w:pPr>
        <w:rPr>
          <w:rFonts w:eastAsia="Times New Roman"/>
        </w:rPr>
      </w:pPr>
      <w:r>
        <w:rPr>
          <w:rFonts w:eastAsia="Times New Roman"/>
        </w:rPr>
        <w:pict w14:anchorId="79102450">
          <v:rect id="_x0000_i1062" style="width:0;height:1.5pt" o:hralign="center" o:hrstd="t" o:hr="t" fillcolor="#a0a0a0" stroked="f"/>
        </w:pict>
      </w:r>
    </w:p>
    <w:p w14:paraId="1FEBB241" w14:textId="77777777" w:rsidR="00000000" w:rsidRDefault="001D0688">
      <w:pPr>
        <w:divId w:val="928003232"/>
        <w:rPr>
          <w:rFonts w:eastAsia="Times New Roman"/>
        </w:rPr>
      </w:pPr>
    </w:p>
    <w:p w14:paraId="3022328B" w14:textId="77777777" w:rsidR="00000000" w:rsidRDefault="001D0688">
      <w:pPr>
        <w:ind w:hanging="360"/>
        <w:jc w:val="both"/>
        <w:divId w:val="1967278349"/>
        <w:rPr>
          <w:rFonts w:eastAsia="Times New Roman"/>
        </w:rPr>
      </w:pPr>
      <w:r>
        <w:rPr>
          <w:rFonts w:ascii="Arial" w:eastAsia="Times New Roman" w:hAnsi="Arial" w:cs="Arial"/>
          <w:color w:val="000000"/>
          <w:sz w:val="20"/>
          <w:szCs w:val="20"/>
        </w:rPr>
        <w:t>•a $13.1 million increase related to investments in EnhancedClea</w:t>
      </w:r>
      <w:r>
        <w:rPr>
          <w:rFonts w:ascii="Arial" w:eastAsia="Times New Roman" w:hAnsi="Arial" w:cs="Arial"/>
          <w:color w:val="000000"/>
          <w:sz w:val="20"/>
          <w:szCs w:val="20"/>
        </w:rPr>
        <w:t>n, other Pandemic-related projects, and certain corporate initiatives;</w:t>
      </w:r>
    </w:p>
    <w:p w14:paraId="2AF9CA8D" w14:textId="77777777" w:rsidR="00000000" w:rsidRDefault="001D0688">
      <w:pPr>
        <w:ind w:hanging="360"/>
        <w:jc w:val="both"/>
        <w:divId w:val="309602459"/>
        <w:rPr>
          <w:rFonts w:eastAsia="Times New Roman"/>
        </w:rPr>
      </w:pPr>
      <w:r>
        <w:rPr>
          <w:rFonts w:ascii="Arial" w:eastAsia="Times New Roman" w:hAnsi="Arial" w:cs="Arial"/>
          <w:color w:val="000000"/>
          <w:sz w:val="20"/>
          <w:szCs w:val="20"/>
        </w:rPr>
        <w:t>•a $12.9 million increase in bad debt expense primarily due to specific reserves established for client receivables associated with increasing credit risk in certain industries (includi</w:t>
      </w:r>
      <w:r>
        <w:rPr>
          <w:rFonts w:ascii="Arial" w:eastAsia="Times New Roman" w:hAnsi="Arial" w:cs="Arial"/>
          <w:color w:val="000000"/>
          <w:sz w:val="20"/>
          <w:szCs w:val="20"/>
        </w:rPr>
        <w:t>ng for clients with deteriorating credit ratings and resulting bankruptcies) arising from the Pandemic;</w:t>
      </w:r>
    </w:p>
    <w:p w14:paraId="4BDC44B6" w14:textId="77777777" w:rsidR="00000000" w:rsidRDefault="001D0688">
      <w:pPr>
        <w:ind w:hanging="360"/>
        <w:jc w:val="both"/>
        <w:divId w:val="1657105831"/>
        <w:rPr>
          <w:rFonts w:eastAsia="Times New Roman"/>
        </w:rPr>
      </w:pPr>
      <w:r>
        <w:rPr>
          <w:rFonts w:ascii="Arial" w:eastAsia="Times New Roman" w:hAnsi="Arial" w:cs="Arial"/>
          <w:color w:val="000000"/>
          <w:sz w:val="20"/>
          <w:szCs w:val="20"/>
        </w:rPr>
        <w:t>•an $11.6 million increase in legal costs and settlements; and</w:t>
      </w:r>
    </w:p>
    <w:p w14:paraId="5C44CA84" w14:textId="77777777" w:rsidR="00000000" w:rsidRDefault="001D0688">
      <w:pPr>
        <w:ind w:hanging="360"/>
        <w:jc w:val="both"/>
        <w:divId w:val="1025792276"/>
        <w:rPr>
          <w:rFonts w:eastAsia="Times New Roman"/>
        </w:rPr>
      </w:pPr>
      <w:r>
        <w:rPr>
          <w:rFonts w:ascii="Arial" w:eastAsia="Times New Roman" w:hAnsi="Arial" w:cs="Arial"/>
          <w:color w:val="000000"/>
          <w:sz w:val="20"/>
          <w:szCs w:val="20"/>
        </w:rPr>
        <w:t>•a $4.6 million increase in medical and dental insurance expense as a result of actuarial</w:t>
      </w:r>
      <w:r>
        <w:rPr>
          <w:rFonts w:ascii="Arial" w:eastAsia="Times New Roman" w:hAnsi="Arial" w:cs="Arial"/>
          <w:color w:val="000000"/>
          <w:sz w:val="20"/>
          <w:szCs w:val="20"/>
        </w:rPr>
        <w:t xml:space="preserve"> evaluations performed in the year ended October 31, 2020.</w:t>
      </w:r>
    </w:p>
    <w:p w14:paraId="5619FFF8" w14:textId="77777777" w:rsidR="00000000" w:rsidRDefault="001D0688">
      <w:pPr>
        <w:jc w:val="both"/>
        <w:divId w:val="2085495206"/>
        <w:rPr>
          <w:rFonts w:eastAsia="Times New Roman"/>
        </w:rPr>
      </w:pPr>
      <w:r>
        <w:rPr>
          <w:rFonts w:ascii="Arial" w:eastAsia="Times New Roman" w:hAnsi="Arial" w:cs="Arial"/>
          <w:color w:val="000000"/>
          <w:sz w:val="20"/>
          <w:szCs w:val="20"/>
        </w:rPr>
        <w:t>This increase was partially offset by:</w:t>
      </w:r>
    </w:p>
    <w:p w14:paraId="3E7DBB04" w14:textId="77777777" w:rsidR="00000000" w:rsidRDefault="001D0688">
      <w:pPr>
        <w:ind w:hanging="360"/>
        <w:jc w:val="both"/>
        <w:divId w:val="1673214536"/>
        <w:rPr>
          <w:rFonts w:eastAsia="Times New Roman"/>
        </w:rPr>
      </w:pPr>
      <w:r>
        <w:rPr>
          <w:rFonts w:ascii="Arial" w:eastAsia="Times New Roman" w:hAnsi="Arial" w:cs="Arial"/>
          <w:color w:val="000000"/>
          <w:sz w:val="20"/>
          <w:szCs w:val="20"/>
        </w:rPr>
        <w:t>•the absence of a $3.9 million reserve for an anticipated union pension settlement in the prior year; and</w:t>
      </w:r>
    </w:p>
    <w:p w14:paraId="787C4DD5" w14:textId="77777777" w:rsidR="00000000" w:rsidRDefault="001D0688">
      <w:pPr>
        <w:ind w:hanging="360"/>
        <w:jc w:val="both"/>
        <w:divId w:val="2048217294"/>
        <w:rPr>
          <w:rFonts w:eastAsia="Times New Roman"/>
        </w:rPr>
      </w:pPr>
      <w:r>
        <w:rPr>
          <w:rFonts w:ascii="Arial" w:eastAsia="Times New Roman" w:hAnsi="Arial" w:cs="Arial"/>
          <w:color w:val="000000"/>
          <w:sz w:val="20"/>
          <w:szCs w:val="20"/>
        </w:rPr>
        <w:t>•a $3.5 million decrease in compensation and related</w:t>
      </w:r>
      <w:r>
        <w:rPr>
          <w:rFonts w:ascii="Arial" w:eastAsia="Times New Roman" w:hAnsi="Arial" w:cs="Arial"/>
          <w:color w:val="000000"/>
          <w:sz w:val="20"/>
          <w:szCs w:val="20"/>
        </w:rPr>
        <w:t xml:space="preserve"> expenses mainly due to management and staff labor reductions, including wage reductions, employee furloughs, and the suspension of certain benefits such as 401(k) matching, and also due to a decrease in travel and entertainment expenses, partially offset </w:t>
      </w:r>
      <w:r>
        <w:rPr>
          <w:rFonts w:ascii="Arial" w:eastAsia="Times New Roman" w:hAnsi="Arial" w:cs="Arial"/>
          <w:color w:val="000000"/>
          <w:sz w:val="20"/>
          <w:szCs w:val="20"/>
        </w:rPr>
        <w:t>by additional share-based compensation expense.</w:t>
      </w:r>
    </w:p>
    <w:p w14:paraId="53C2EC39" w14:textId="77777777" w:rsidR="00000000" w:rsidRDefault="001D0688">
      <w:pPr>
        <w:jc w:val="both"/>
        <w:divId w:val="156384855"/>
        <w:rPr>
          <w:rFonts w:eastAsia="Times New Roman"/>
        </w:rPr>
      </w:pPr>
      <w:r>
        <w:rPr>
          <w:rFonts w:ascii="Arial" w:eastAsia="Times New Roman" w:hAnsi="Arial" w:cs="Arial"/>
          <w:b/>
          <w:bCs/>
          <w:i/>
          <w:iCs/>
          <w:color w:val="0046AD"/>
          <w:sz w:val="20"/>
          <w:szCs w:val="20"/>
        </w:rPr>
        <w:t>Restructuring and Related Expenses</w:t>
      </w:r>
    </w:p>
    <w:p w14:paraId="77ED2CAE" w14:textId="77777777" w:rsidR="00000000" w:rsidRDefault="001D0688">
      <w:pPr>
        <w:ind w:firstLine="720"/>
        <w:jc w:val="both"/>
        <w:divId w:val="689768917"/>
        <w:rPr>
          <w:rFonts w:eastAsia="Times New Roman"/>
        </w:rPr>
      </w:pPr>
      <w:r>
        <w:rPr>
          <w:rFonts w:ascii="Arial" w:eastAsia="Times New Roman" w:hAnsi="Arial" w:cs="Arial"/>
          <w:color w:val="000000"/>
          <w:sz w:val="20"/>
          <w:szCs w:val="20"/>
        </w:rPr>
        <w:t>Restructuring and related expenses decreased by $3.6 million, or 32.2%, during 2020, as compared to 2019. The decrease was primarily due to a decline in severance, other exp</w:t>
      </w:r>
      <w:r>
        <w:rPr>
          <w:rFonts w:ascii="Arial" w:eastAsia="Times New Roman" w:hAnsi="Arial" w:cs="Arial"/>
          <w:color w:val="000000"/>
          <w:sz w:val="20"/>
          <w:szCs w:val="20"/>
        </w:rPr>
        <w:t>enses incurred in the prior year related to the GCA integration, and expenses related to our ongoing technology initiatives. The majority of these initiatives have been temporarily suspended since the second quarter of 2020 due to the Pandemic.</w:t>
      </w:r>
    </w:p>
    <w:p w14:paraId="60D81794" w14:textId="77777777" w:rsidR="00000000" w:rsidRDefault="001D0688">
      <w:pPr>
        <w:jc w:val="both"/>
        <w:divId w:val="1210999225"/>
        <w:rPr>
          <w:rFonts w:eastAsia="Times New Roman"/>
        </w:rPr>
      </w:pPr>
      <w:r>
        <w:rPr>
          <w:rFonts w:ascii="Arial" w:eastAsia="Times New Roman" w:hAnsi="Arial" w:cs="Arial"/>
          <w:b/>
          <w:bCs/>
          <w:i/>
          <w:iCs/>
          <w:color w:val="0046AD"/>
          <w:sz w:val="20"/>
          <w:szCs w:val="20"/>
        </w:rPr>
        <w:t>Amortizatio</w:t>
      </w:r>
      <w:r>
        <w:rPr>
          <w:rFonts w:ascii="Arial" w:eastAsia="Times New Roman" w:hAnsi="Arial" w:cs="Arial"/>
          <w:b/>
          <w:bCs/>
          <w:i/>
          <w:iCs/>
          <w:color w:val="0046AD"/>
          <w:sz w:val="20"/>
          <w:szCs w:val="20"/>
        </w:rPr>
        <w:t>n of Intangible Assets</w:t>
      </w:r>
    </w:p>
    <w:p w14:paraId="5D0D7915" w14:textId="77777777" w:rsidR="00000000" w:rsidRDefault="001D0688">
      <w:pPr>
        <w:ind w:firstLine="720"/>
        <w:jc w:val="both"/>
        <w:divId w:val="632710480"/>
        <w:rPr>
          <w:rFonts w:eastAsia="Times New Roman"/>
        </w:rPr>
      </w:pPr>
      <w:r>
        <w:rPr>
          <w:rFonts w:ascii="Arial" w:eastAsia="Times New Roman" w:hAnsi="Arial" w:cs="Arial"/>
          <w:color w:val="000000"/>
          <w:sz w:val="20"/>
          <w:szCs w:val="20"/>
        </w:rPr>
        <w:t>Amortization of intangible assets decreased by $10.1 million, or 17.3%, during 2020, as compared to 2019, mainly due to the lower intangible assets balance resulting from the impairment loss recorded in the second quarter of 2020 and</w:t>
      </w:r>
      <w:r>
        <w:rPr>
          <w:rFonts w:ascii="Arial" w:eastAsia="Times New Roman" w:hAnsi="Arial" w:cs="Arial"/>
          <w:color w:val="000000"/>
          <w:sz w:val="20"/>
          <w:szCs w:val="20"/>
        </w:rPr>
        <w:t xml:space="preserve"> to certain intangible assets being amortized using the sum-of-the-years’-digits method, which results in declining amortization expense over the useful lives of the assets.</w:t>
      </w:r>
    </w:p>
    <w:p w14:paraId="68EAFF2E" w14:textId="77777777" w:rsidR="00000000" w:rsidRDefault="001D0688">
      <w:pPr>
        <w:jc w:val="both"/>
        <w:divId w:val="1670671775"/>
        <w:rPr>
          <w:rFonts w:eastAsia="Times New Roman"/>
        </w:rPr>
      </w:pPr>
      <w:r>
        <w:rPr>
          <w:rFonts w:ascii="Arial" w:eastAsia="Times New Roman" w:hAnsi="Arial" w:cs="Arial"/>
          <w:b/>
          <w:bCs/>
          <w:i/>
          <w:iCs/>
          <w:color w:val="0046AD"/>
          <w:sz w:val="20"/>
          <w:szCs w:val="20"/>
        </w:rPr>
        <w:t>Impairment Loss</w:t>
      </w:r>
    </w:p>
    <w:p w14:paraId="1A4C7EC6" w14:textId="77777777" w:rsidR="00000000" w:rsidRDefault="001D0688">
      <w:pPr>
        <w:ind w:firstLine="720"/>
        <w:jc w:val="both"/>
        <w:divId w:val="88503853"/>
        <w:rPr>
          <w:rFonts w:eastAsia="Times New Roman"/>
        </w:rPr>
      </w:pPr>
      <w:r>
        <w:rPr>
          <w:rFonts w:ascii="Arial" w:eastAsia="Times New Roman" w:hAnsi="Arial" w:cs="Arial"/>
          <w:color w:val="000000"/>
          <w:sz w:val="20"/>
          <w:szCs w:val="20"/>
        </w:rPr>
        <w:t>During 2020, we recorded impairment charges on goodwill related to</w:t>
      </w:r>
      <w:r>
        <w:rPr>
          <w:rFonts w:ascii="Arial" w:eastAsia="Times New Roman" w:hAnsi="Arial" w:cs="Arial"/>
          <w:color w:val="000000"/>
          <w:sz w:val="20"/>
          <w:szCs w:val="20"/>
        </w:rPr>
        <w:t xml:space="preserve"> our Education, Aviation, and U.K. Technical Solutions businesses totaling $163.8 million. Additionally, we recorded impairment charges on customer relationships related to our Aviation and U.K. Technical Solutions businesses totaling $9.0 million. During </w:t>
      </w:r>
      <w:r>
        <w:rPr>
          <w:rFonts w:ascii="Arial" w:eastAsia="Times New Roman" w:hAnsi="Arial" w:cs="Arial"/>
          <w:color w:val="000000"/>
          <w:sz w:val="20"/>
          <w:szCs w:val="20"/>
        </w:rPr>
        <w:t>the second quarter of 2020, these businesses were adversely impacted by the market and business conditions resulting from the Pandemic. During 2019, we did not record any impairment charges.</w:t>
      </w:r>
    </w:p>
    <w:p w14:paraId="03A83D76" w14:textId="77777777" w:rsidR="00000000" w:rsidRDefault="001D0688">
      <w:pPr>
        <w:jc w:val="both"/>
        <w:divId w:val="1372728822"/>
        <w:rPr>
          <w:rFonts w:eastAsia="Times New Roman"/>
        </w:rPr>
      </w:pPr>
      <w:r>
        <w:rPr>
          <w:rFonts w:ascii="Arial" w:eastAsia="Times New Roman" w:hAnsi="Arial" w:cs="Arial"/>
          <w:b/>
          <w:bCs/>
          <w:i/>
          <w:iCs/>
          <w:color w:val="0046AD"/>
          <w:sz w:val="20"/>
          <w:szCs w:val="20"/>
        </w:rPr>
        <w:t>Interest Expense</w:t>
      </w:r>
    </w:p>
    <w:p w14:paraId="684A8EF0" w14:textId="77777777" w:rsidR="00000000" w:rsidRDefault="001D0688">
      <w:pPr>
        <w:ind w:firstLine="720"/>
        <w:jc w:val="both"/>
        <w:divId w:val="1239171171"/>
        <w:rPr>
          <w:rFonts w:eastAsia="Times New Roman"/>
        </w:rPr>
      </w:pPr>
      <w:r>
        <w:rPr>
          <w:rFonts w:ascii="Arial" w:eastAsia="Times New Roman" w:hAnsi="Arial" w:cs="Arial"/>
          <w:color w:val="000000"/>
          <w:sz w:val="20"/>
          <w:szCs w:val="20"/>
        </w:rPr>
        <w:t>Interest expense decreased by $6.5 million, or 1</w:t>
      </w:r>
      <w:r>
        <w:rPr>
          <w:rFonts w:ascii="Arial" w:eastAsia="Times New Roman" w:hAnsi="Arial" w:cs="Arial"/>
          <w:color w:val="000000"/>
          <w:sz w:val="20"/>
          <w:szCs w:val="20"/>
        </w:rPr>
        <w:t xml:space="preserve">2.8%, during 2020, as compared to 2019, primarily due to lower relative interest rates and lower outstanding borrowing under our credit facility. </w:t>
      </w:r>
    </w:p>
    <w:p w14:paraId="0F5A7A70" w14:textId="77777777" w:rsidR="00000000" w:rsidRDefault="001D0688">
      <w:pPr>
        <w:jc w:val="both"/>
        <w:divId w:val="964235784"/>
        <w:rPr>
          <w:rFonts w:eastAsia="Times New Roman"/>
        </w:rPr>
      </w:pPr>
      <w:r>
        <w:rPr>
          <w:rFonts w:ascii="Arial" w:eastAsia="Times New Roman" w:hAnsi="Arial" w:cs="Arial"/>
          <w:b/>
          <w:bCs/>
          <w:i/>
          <w:iCs/>
          <w:color w:val="0046AD"/>
          <w:sz w:val="20"/>
          <w:szCs w:val="20"/>
        </w:rPr>
        <w:t xml:space="preserve">Income Taxes from Continuing Operations </w:t>
      </w:r>
    </w:p>
    <w:p w14:paraId="1D17C7B9" w14:textId="77777777" w:rsidR="00000000" w:rsidRDefault="001D0688">
      <w:pPr>
        <w:ind w:firstLine="720"/>
        <w:jc w:val="both"/>
        <w:divId w:val="1325889913"/>
        <w:rPr>
          <w:rFonts w:eastAsia="Times New Roman"/>
        </w:rPr>
      </w:pPr>
      <w:r>
        <w:rPr>
          <w:rFonts w:ascii="Arial" w:eastAsia="Times New Roman" w:hAnsi="Arial" w:cs="Arial"/>
          <w:color w:val="000000"/>
          <w:sz w:val="20"/>
          <w:szCs w:val="20"/>
        </w:rPr>
        <w:t>During 2020 and 2019, we had effective tax rates of 99.6% and 20.4%, respectively, resulting in a provision for tax of $53.1 million and a provision for tax of $32.7 million, respectively. The effective tax rate for the year ended October 31, 2020, excludi</w:t>
      </w:r>
      <w:r>
        <w:rPr>
          <w:rFonts w:ascii="Arial" w:eastAsia="Times New Roman" w:hAnsi="Arial" w:cs="Arial"/>
          <w:color w:val="000000"/>
          <w:sz w:val="20"/>
          <w:szCs w:val="20"/>
        </w:rPr>
        <w:t>ng a nondeductible impairment loss of $163.8 million, was 24.4%. Our effective tax rate for 2020 was also impacted by the following discrete items: a $5.7 million benefit from true-ups; a $2.3 million provision related to the Work Opportunity Tax Credit (“</w:t>
      </w:r>
      <w:r>
        <w:rPr>
          <w:rFonts w:ascii="Arial" w:eastAsia="Times New Roman" w:hAnsi="Arial" w:cs="Arial"/>
          <w:color w:val="000000"/>
          <w:sz w:val="20"/>
          <w:szCs w:val="20"/>
        </w:rPr>
        <w:t>WOTC”); a $2.1 million benefit from energy efficiency incentives; and a $1.1 million benefit from change of tax reserves. Our effective tax rate for 2019 was impacted by the following discrete items: a $1.8 million benefit from the transition tax (includin</w:t>
      </w:r>
      <w:r>
        <w:rPr>
          <w:rFonts w:ascii="Arial" w:eastAsia="Times New Roman" w:hAnsi="Arial" w:cs="Arial"/>
          <w:color w:val="000000"/>
          <w:sz w:val="20"/>
          <w:szCs w:val="20"/>
        </w:rPr>
        <w:t>g foreign tax credits); a $1.7 million benefit from state true-ups; a $1.6 million benefit from federal true-ups; a $1.3 million provision related to WOTC; a $1.3 million benefit from expiring statutes of limitations; a $1.1 million benefit from the vestin</w:t>
      </w:r>
      <w:r>
        <w:rPr>
          <w:rFonts w:ascii="Arial" w:eastAsia="Times New Roman" w:hAnsi="Arial" w:cs="Arial"/>
          <w:color w:val="000000"/>
          <w:sz w:val="20"/>
          <w:szCs w:val="20"/>
        </w:rPr>
        <w:t>g of share-based compensation awards; and a $0.9 million benefit from research and development credits.</w:t>
      </w:r>
    </w:p>
    <w:p w14:paraId="3455BE0D" w14:textId="77777777" w:rsidR="00000000" w:rsidRDefault="001D0688">
      <w:pPr>
        <w:jc w:val="center"/>
        <w:divId w:val="822161796"/>
        <w:rPr>
          <w:rFonts w:eastAsia="Times New Roman"/>
        </w:rPr>
      </w:pPr>
      <w:r>
        <w:rPr>
          <w:rFonts w:ascii="Arial" w:eastAsia="Times New Roman" w:hAnsi="Arial" w:cs="Arial"/>
          <w:color w:val="000000"/>
          <w:sz w:val="20"/>
          <w:szCs w:val="20"/>
        </w:rPr>
        <w:t>27</w:t>
      </w:r>
    </w:p>
    <w:p w14:paraId="5868DB41" w14:textId="77777777" w:rsidR="00000000" w:rsidRDefault="001D0688">
      <w:pPr>
        <w:rPr>
          <w:rFonts w:eastAsia="Times New Roman"/>
        </w:rPr>
      </w:pPr>
      <w:r>
        <w:rPr>
          <w:rFonts w:eastAsia="Times New Roman"/>
        </w:rPr>
        <w:pict w14:anchorId="7B4E1768">
          <v:rect id="_x0000_i1063" style="width:0;height:1.5pt" o:hralign="center" o:hrstd="t" o:hr="t" fillcolor="#a0a0a0" stroked="f"/>
        </w:pict>
      </w:r>
    </w:p>
    <w:p w14:paraId="49B020FB" w14:textId="77777777" w:rsidR="00000000" w:rsidRDefault="001D0688">
      <w:pPr>
        <w:divId w:val="1810318429"/>
        <w:rPr>
          <w:rFonts w:eastAsia="Times New Roman"/>
        </w:rPr>
      </w:pPr>
    </w:p>
    <w:p w14:paraId="04EE2B42" w14:textId="77777777" w:rsidR="00000000" w:rsidRDefault="001D0688">
      <w:pPr>
        <w:jc w:val="both"/>
        <w:divId w:val="1328361032"/>
        <w:rPr>
          <w:rFonts w:eastAsia="Times New Roman"/>
        </w:rPr>
      </w:pPr>
      <w:r>
        <w:rPr>
          <w:rFonts w:ascii="Arial" w:eastAsia="Times New Roman" w:hAnsi="Arial" w:cs="Arial"/>
          <w:b/>
          <w:bCs/>
          <w:i/>
          <w:iCs/>
          <w:color w:val="0046AD"/>
          <w:sz w:val="20"/>
          <w:szCs w:val="20"/>
        </w:rPr>
        <w:t xml:space="preserve">Interest Rate Swaps </w:t>
      </w:r>
    </w:p>
    <w:p w14:paraId="3FFE2FEF" w14:textId="77777777" w:rsidR="00000000" w:rsidRDefault="001D0688">
      <w:pPr>
        <w:ind w:firstLine="720"/>
        <w:jc w:val="both"/>
        <w:divId w:val="100230195"/>
        <w:rPr>
          <w:rFonts w:eastAsia="Times New Roman"/>
        </w:rPr>
      </w:pPr>
      <w:r>
        <w:rPr>
          <w:rFonts w:ascii="Arial" w:eastAsia="Times New Roman" w:hAnsi="Arial" w:cs="Arial"/>
          <w:color w:val="000000"/>
          <w:sz w:val="20"/>
          <w:szCs w:val="20"/>
        </w:rPr>
        <w:t xml:space="preserve">The unrealized loss on interest rate swaps decreased by $14.8 million, or 66.1%, during the year ended October 31, 2020, as compared to the year ended October 31, 2019, primarily due to underlying </w:t>
      </w:r>
      <w:r>
        <w:rPr>
          <w:rFonts w:ascii="Arial" w:eastAsia="Times New Roman" w:hAnsi="Arial" w:cs="Arial"/>
          <w:color w:val="000000"/>
          <w:sz w:val="20"/>
          <w:szCs w:val="20"/>
        </w:rPr>
        <w:t>changes in the fair value of our interest rate swaps.</w:t>
      </w:r>
    </w:p>
    <w:p w14:paraId="1581BD11" w14:textId="77777777" w:rsidR="00000000" w:rsidRDefault="001D0688">
      <w:pPr>
        <w:jc w:val="both"/>
        <w:divId w:val="787047365"/>
        <w:rPr>
          <w:rFonts w:eastAsia="Times New Roman"/>
        </w:rPr>
      </w:pPr>
      <w:r>
        <w:rPr>
          <w:rFonts w:ascii="Arial" w:eastAsia="Times New Roman" w:hAnsi="Arial" w:cs="Arial"/>
          <w:b/>
          <w:bCs/>
          <w:i/>
          <w:iCs/>
          <w:color w:val="0046AD"/>
          <w:sz w:val="20"/>
          <w:szCs w:val="20"/>
        </w:rPr>
        <w:t>Foreign Currency Translation and Other</w:t>
      </w:r>
    </w:p>
    <w:p w14:paraId="2D3EF577" w14:textId="77777777" w:rsidR="00000000" w:rsidRDefault="001D0688">
      <w:pPr>
        <w:ind w:firstLine="720"/>
        <w:jc w:val="both"/>
        <w:divId w:val="489948913"/>
        <w:rPr>
          <w:rFonts w:eastAsia="Times New Roman"/>
        </w:rPr>
      </w:pPr>
      <w:r>
        <w:rPr>
          <w:rFonts w:ascii="Arial" w:eastAsia="Times New Roman" w:hAnsi="Arial" w:cs="Arial"/>
          <w:color w:val="000000"/>
          <w:sz w:val="20"/>
          <w:szCs w:val="20"/>
        </w:rPr>
        <w:t>We had a foreign currency translation loss of $1.8 million during the year ended October 31, 2020 as compared to a foreign currency translation gain of $1.6 millio</w:t>
      </w:r>
      <w:r>
        <w:rPr>
          <w:rFonts w:ascii="Arial" w:eastAsia="Times New Roman" w:hAnsi="Arial" w:cs="Arial"/>
          <w:color w:val="000000"/>
          <w:sz w:val="20"/>
          <w:szCs w:val="20"/>
        </w:rPr>
        <w:t>n during the year ended October 31, 2019. This change was due to fluctuations in the exchange rate between the U.S. Dollar (“USD”) and the Great Britain Pound (“GBP”). Future gains and losses on foreign currency translation will be dependent upon changes i</w:t>
      </w:r>
      <w:r>
        <w:rPr>
          <w:rFonts w:ascii="Arial" w:eastAsia="Times New Roman" w:hAnsi="Arial" w:cs="Arial"/>
          <w:color w:val="000000"/>
          <w:sz w:val="20"/>
          <w:szCs w:val="20"/>
        </w:rPr>
        <w:t xml:space="preserve">n the relative value of foreign currencies to the USD and the extent of our foreign assets and liabilities. </w:t>
      </w:r>
    </w:p>
    <w:p w14:paraId="635BAA39" w14:textId="77777777" w:rsidR="00000000" w:rsidRDefault="001D0688">
      <w:pPr>
        <w:jc w:val="both"/>
        <w:divId w:val="1228883800"/>
        <w:rPr>
          <w:rFonts w:eastAsia="Times New Roman"/>
        </w:rPr>
      </w:pPr>
      <w:r>
        <w:rPr>
          <w:rFonts w:ascii="Arial" w:eastAsia="Times New Roman" w:hAnsi="Arial" w:cs="Arial"/>
          <w:b/>
          <w:bCs/>
          <w:i/>
          <w:iCs/>
          <w:color w:val="0046AD"/>
          <w:sz w:val="20"/>
          <w:szCs w:val="20"/>
        </w:rPr>
        <w:t>The Year Ended October 31, 2019 Compared with the Year Ended October 31, 2018</w:t>
      </w:r>
    </w:p>
    <w:p w14:paraId="4E9E3E4C" w14:textId="77777777" w:rsidR="00000000" w:rsidRDefault="001D0688">
      <w:pPr>
        <w:ind w:firstLine="720"/>
        <w:jc w:val="both"/>
        <w:divId w:val="140924956"/>
        <w:rPr>
          <w:rFonts w:eastAsia="Times New Roman"/>
        </w:rPr>
      </w:pPr>
      <w:r>
        <w:rPr>
          <w:rFonts w:ascii="Arial" w:eastAsia="Times New Roman" w:hAnsi="Arial" w:cs="Arial"/>
          <w:color w:val="000000"/>
          <w:sz w:val="20"/>
          <w:szCs w:val="20"/>
        </w:rPr>
        <w:t>For a comparison of our Results of Operations for the year ended Octo</w:t>
      </w:r>
      <w:r>
        <w:rPr>
          <w:rFonts w:ascii="Arial" w:eastAsia="Times New Roman" w:hAnsi="Arial" w:cs="Arial"/>
          <w:color w:val="000000"/>
          <w:sz w:val="20"/>
          <w:szCs w:val="20"/>
        </w:rPr>
        <w:t>ber 31, 2019 to the year ended October 31, 2018, see “Part II, Item 7. Management’s Discussion and Analysis of Financial Condition and Results of Operations” of our Form 10-K for the fiscal year ended October 31, 2019, filed with the SEC on December 20, 20</w:t>
      </w:r>
      <w:r>
        <w:rPr>
          <w:rFonts w:ascii="Arial" w:eastAsia="Times New Roman" w:hAnsi="Arial" w:cs="Arial"/>
          <w:color w:val="000000"/>
          <w:sz w:val="20"/>
          <w:szCs w:val="20"/>
        </w:rPr>
        <w:t>19.</w:t>
      </w:r>
    </w:p>
    <w:p w14:paraId="27C8D189" w14:textId="77777777" w:rsidR="00000000" w:rsidRDefault="001D0688">
      <w:pPr>
        <w:jc w:val="center"/>
        <w:divId w:val="1157113062"/>
        <w:rPr>
          <w:rFonts w:eastAsia="Times New Roman"/>
        </w:rPr>
      </w:pPr>
      <w:r>
        <w:rPr>
          <w:rFonts w:ascii="Arial" w:eastAsia="Times New Roman" w:hAnsi="Arial" w:cs="Arial"/>
          <w:color w:val="000000"/>
          <w:sz w:val="20"/>
          <w:szCs w:val="20"/>
        </w:rPr>
        <w:t>28</w:t>
      </w:r>
    </w:p>
    <w:p w14:paraId="5E1B4C22" w14:textId="77777777" w:rsidR="00000000" w:rsidRDefault="001D0688">
      <w:pPr>
        <w:rPr>
          <w:rFonts w:eastAsia="Times New Roman"/>
        </w:rPr>
      </w:pPr>
      <w:r>
        <w:rPr>
          <w:rFonts w:eastAsia="Times New Roman"/>
        </w:rPr>
        <w:pict w14:anchorId="7DE4E4D7">
          <v:rect id="_x0000_i1064" style="width:0;height:1.5pt" o:hralign="center" o:hrstd="t" o:hr="t" fillcolor="#a0a0a0" stroked="f"/>
        </w:pict>
      </w:r>
    </w:p>
    <w:p w14:paraId="5844AC9C" w14:textId="77777777" w:rsidR="00000000" w:rsidRDefault="001D0688">
      <w:pPr>
        <w:divId w:val="555973042"/>
        <w:rPr>
          <w:rFonts w:eastAsia="Times New Roman"/>
        </w:rPr>
      </w:pPr>
    </w:p>
    <w:p w14:paraId="5D9ECAF7" w14:textId="77777777" w:rsidR="00000000" w:rsidRDefault="001D0688">
      <w:pPr>
        <w:divId w:val="356319645"/>
        <w:rPr>
          <w:rFonts w:eastAsia="Times New Roman"/>
        </w:rPr>
      </w:pPr>
      <w:r>
        <w:rPr>
          <w:rFonts w:ascii="Arial" w:eastAsia="Times New Roman" w:hAnsi="Arial" w:cs="Arial"/>
          <w:b/>
          <w:bCs/>
          <w:i/>
          <w:iCs/>
          <w:color w:val="0046AD"/>
          <w:sz w:val="20"/>
          <w:szCs w:val="20"/>
        </w:rPr>
        <w:t>Segment Information</w:t>
      </w:r>
    </w:p>
    <w:p w14:paraId="2FDD4DF5" w14:textId="77777777" w:rsidR="00000000" w:rsidRDefault="001D0688">
      <w:pPr>
        <w:ind w:firstLine="720"/>
        <w:jc w:val="both"/>
        <w:divId w:val="1836529190"/>
        <w:rPr>
          <w:rFonts w:eastAsia="Times New Roman"/>
        </w:rPr>
      </w:pPr>
      <w:r>
        <w:rPr>
          <w:rFonts w:ascii="Arial" w:eastAsia="Times New Roman" w:hAnsi="Arial" w:cs="Arial"/>
          <w:color w:val="000000"/>
          <w:sz w:val="20"/>
          <w:szCs w:val="20"/>
        </w:rPr>
        <w:t xml:space="preserve">Our current reportable segments consist of B&amp;I, T&amp;M, Education, Aviation, and Technical Solutions. </w:t>
      </w:r>
    </w:p>
    <w:p w14:paraId="58047CE1" w14:textId="77777777" w:rsidR="00000000" w:rsidRDefault="001D0688">
      <w:pPr>
        <w:jc w:val="both"/>
        <w:divId w:val="1750273115"/>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023"/>
        <w:gridCol w:w="39"/>
        <w:gridCol w:w="121"/>
        <w:gridCol w:w="790"/>
        <w:gridCol w:w="163"/>
        <w:gridCol w:w="36"/>
        <w:gridCol w:w="36"/>
        <w:gridCol w:w="36"/>
        <w:gridCol w:w="121"/>
        <w:gridCol w:w="713"/>
        <w:gridCol w:w="163"/>
        <w:gridCol w:w="36"/>
        <w:gridCol w:w="36"/>
        <w:gridCol w:w="36"/>
        <w:gridCol w:w="121"/>
        <w:gridCol w:w="714"/>
        <w:gridCol w:w="163"/>
        <w:gridCol w:w="36"/>
        <w:gridCol w:w="36"/>
        <w:gridCol w:w="36"/>
        <w:gridCol w:w="122"/>
        <w:gridCol w:w="791"/>
        <w:gridCol w:w="37"/>
        <w:gridCol w:w="37"/>
        <w:gridCol w:w="37"/>
        <w:gridCol w:w="37"/>
        <w:gridCol w:w="58"/>
        <w:gridCol w:w="654"/>
        <w:gridCol w:w="38"/>
      </w:tblGrid>
      <w:tr w:rsidR="00000000" w14:paraId="30076504" w14:textId="77777777">
        <w:trPr>
          <w:divId w:val="980497922"/>
        </w:trPr>
        <w:tc>
          <w:tcPr>
            <w:tcW w:w="50" w:type="pct"/>
            <w:vAlign w:val="center"/>
            <w:hideMark/>
          </w:tcPr>
          <w:p w14:paraId="3F37AB84" w14:textId="77777777" w:rsidR="00000000" w:rsidRDefault="001D0688">
            <w:pPr>
              <w:jc w:val="both"/>
              <w:rPr>
                <w:rFonts w:eastAsia="Times New Roman"/>
              </w:rPr>
            </w:pPr>
          </w:p>
        </w:tc>
        <w:tc>
          <w:tcPr>
            <w:tcW w:w="1895" w:type="pct"/>
            <w:vAlign w:val="center"/>
            <w:hideMark/>
          </w:tcPr>
          <w:p w14:paraId="55BBB062" w14:textId="77777777" w:rsidR="00000000" w:rsidRDefault="001D0688">
            <w:pPr>
              <w:rPr>
                <w:rFonts w:eastAsia="Times New Roman"/>
                <w:sz w:val="20"/>
                <w:szCs w:val="20"/>
              </w:rPr>
            </w:pPr>
          </w:p>
        </w:tc>
        <w:tc>
          <w:tcPr>
            <w:tcW w:w="5" w:type="pct"/>
            <w:vAlign w:val="center"/>
            <w:hideMark/>
          </w:tcPr>
          <w:p w14:paraId="1C6A79BE" w14:textId="77777777" w:rsidR="00000000" w:rsidRDefault="001D0688">
            <w:pPr>
              <w:rPr>
                <w:rFonts w:eastAsia="Times New Roman"/>
                <w:sz w:val="20"/>
                <w:szCs w:val="20"/>
              </w:rPr>
            </w:pPr>
          </w:p>
        </w:tc>
        <w:tc>
          <w:tcPr>
            <w:tcW w:w="50" w:type="pct"/>
            <w:vAlign w:val="center"/>
            <w:hideMark/>
          </w:tcPr>
          <w:p w14:paraId="3BCD3535" w14:textId="77777777" w:rsidR="00000000" w:rsidRDefault="001D0688">
            <w:pPr>
              <w:rPr>
                <w:rFonts w:eastAsia="Times New Roman"/>
                <w:sz w:val="20"/>
                <w:szCs w:val="20"/>
              </w:rPr>
            </w:pPr>
          </w:p>
        </w:tc>
        <w:tc>
          <w:tcPr>
            <w:tcW w:w="527" w:type="pct"/>
            <w:vAlign w:val="center"/>
            <w:hideMark/>
          </w:tcPr>
          <w:p w14:paraId="4A7EFB29" w14:textId="77777777" w:rsidR="00000000" w:rsidRDefault="001D0688">
            <w:pPr>
              <w:rPr>
                <w:rFonts w:eastAsia="Times New Roman"/>
                <w:sz w:val="20"/>
                <w:szCs w:val="20"/>
              </w:rPr>
            </w:pPr>
          </w:p>
        </w:tc>
        <w:tc>
          <w:tcPr>
            <w:tcW w:w="5" w:type="pct"/>
            <w:vAlign w:val="center"/>
            <w:hideMark/>
          </w:tcPr>
          <w:p w14:paraId="0476239F" w14:textId="77777777" w:rsidR="00000000" w:rsidRDefault="001D0688">
            <w:pPr>
              <w:rPr>
                <w:rFonts w:eastAsia="Times New Roman"/>
                <w:sz w:val="20"/>
                <w:szCs w:val="20"/>
              </w:rPr>
            </w:pPr>
          </w:p>
        </w:tc>
        <w:tc>
          <w:tcPr>
            <w:tcW w:w="5" w:type="pct"/>
            <w:vAlign w:val="center"/>
            <w:hideMark/>
          </w:tcPr>
          <w:p w14:paraId="4341486E" w14:textId="77777777" w:rsidR="00000000" w:rsidRDefault="001D0688">
            <w:pPr>
              <w:rPr>
                <w:rFonts w:eastAsia="Times New Roman"/>
                <w:sz w:val="20"/>
                <w:szCs w:val="20"/>
              </w:rPr>
            </w:pPr>
          </w:p>
        </w:tc>
        <w:tc>
          <w:tcPr>
            <w:tcW w:w="26" w:type="pct"/>
            <w:vAlign w:val="center"/>
            <w:hideMark/>
          </w:tcPr>
          <w:p w14:paraId="3A846A3F" w14:textId="77777777" w:rsidR="00000000" w:rsidRDefault="001D0688">
            <w:pPr>
              <w:rPr>
                <w:rFonts w:eastAsia="Times New Roman"/>
                <w:sz w:val="20"/>
                <w:szCs w:val="20"/>
              </w:rPr>
            </w:pPr>
          </w:p>
        </w:tc>
        <w:tc>
          <w:tcPr>
            <w:tcW w:w="5" w:type="pct"/>
            <w:vAlign w:val="center"/>
            <w:hideMark/>
          </w:tcPr>
          <w:p w14:paraId="04ECB4E7" w14:textId="77777777" w:rsidR="00000000" w:rsidRDefault="001D0688">
            <w:pPr>
              <w:rPr>
                <w:rFonts w:eastAsia="Times New Roman"/>
                <w:sz w:val="20"/>
                <w:szCs w:val="20"/>
              </w:rPr>
            </w:pPr>
          </w:p>
        </w:tc>
        <w:tc>
          <w:tcPr>
            <w:tcW w:w="50" w:type="pct"/>
            <w:vAlign w:val="center"/>
            <w:hideMark/>
          </w:tcPr>
          <w:p w14:paraId="07E4B65F" w14:textId="77777777" w:rsidR="00000000" w:rsidRDefault="001D0688">
            <w:pPr>
              <w:rPr>
                <w:rFonts w:eastAsia="Times New Roman"/>
                <w:sz w:val="20"/>
                <w:szCs w:val="20"/>
              </w:rPr>
            </w:pPr>
          </w:p>
        </w:tc>
        <w:tc>
          <w:tcPr>
            <w:tcW w:w="527" w:type="pct"/>
            <w:vAlign w:val="center"/>
            <w:hideMark/>
          </w:tcPr>
          <w:p w14:paraId="6C3513AE" w14:textId="77777777" w:rsidR="00000000" w:rsidRDefault="001D0688">
            <w:pPr>
              <w:rPr>
                <w:rFonts w:eastAsia="Times New Roman"/>
                <w:sz w:val="20"/>
                <w:szCs w:val="20"/>
              </w:rPr>
            </w:pPr>
          </w:p>
        </w:tc>
        <w:tc>
          <w:tcPr>
            <w:tcW w:w="5" w:type="pct"/>
            <w:vAlign w:val="center"/>
            <w:hideMark/>
          </w:tcPr>
          <w:p w14:paraId="4B40EAC1" w14:textId="77777777" w:rsidR="00000000" w:rsidRDefault="001D0688">
            <w:pPr>
              <w:rPr>
                <w:rFonts w:eastAsia="Times New Roman"/>
                <w:sz w:val="20"/>
                <w:szCs w:val="20"/>
              </w:rPr>
            </w:pPr>
          </w:p>
        </w:tc>
        <w:tc>
          <w:tcPr>
            <w:tcW w:w="5" w:type="pct"/>
            <w:vAlign w:val="center"/>
            <w:hideMark/>
          </w:tcPr>
          <w:p w14:paraId="147AC15D" w14:textId="77777777" w:rsidR="00000000" w:rsidRDefault="001D0688">
            <w:pPr>
              <w:rPr>
                <w:rFonts w:eastAsia="Times New Roman"/>
                <w:sz w:val="20"/>
                <w:szCs w:val="20"/>
              </w:rPr>
            </w:pPr>
          </w:p>
        </w:tc>
        <w:tc>
          <w:tcPr>
            <w:tcW w:w="26" w:type="pct"/>
            <w:vAlign w:val="center"/>
            <w:hideMark/>
          </w:tcPr>
          <w:p w14:paraId="4458B8B1" w14:textId="77777777" w:rsidR="00000000" w:rsidRDefault="001D0688">
            <w:pPr>
              <w:rPr>
                <w:rFonts w:eastAsia="Times New Roman"/>
                <w:sz w:val="20"/>
                <w:szCs w:val="20"/>
              </w:rPr>
            </w:pPr>
          </w:p>
        </w:tc>
        <w:tc>
          <w:tcPr>
            <w:tcW w:w="5" w:type="pct"/>
            <w:vAlign w:val="center"/>
            <w:hideMark/>
          </w:tcPr>
          <w:p w14:paraId="1AB24914" w14:textId="77777777" w:rsidR="00000000" w:rsidRDefault="001D0688">
            <w:pPr>
              <w:rPr>
                <w:rFonts w:eastAsia="Times New Roman"/>
                <w:sz w:val="20"/>
                <w:szCs w:val="20"/>
              </w:rPr>
            </w:pPr>
          </w:p>
        </w:tc>
        <w:tc>
          <w:tcPr>
            <w:tcW w:w="50" w:type="pct"/>
            <w:vAlign w:val="center"/>
            <w:hideMark/>
          </w:tcPr>
          <w:p w14:paraId="44AA3186" w14:textId="77777777" w:rsidR="00000000" w:rsidRDefault="001D0688">
            <w:pPr>
              <w:rPr>
                <w:rFonts w:eastAsia="Times New Roman"/>
                <w:sz w:val="20"/>
                <w:szCs w:val="20"/>
              </w:rPr>
            </w:pPr>
          </w:p>
        </w:tc>
        <w:tc>
          <w:tcPr>
            <w:tcW w:w="527" w:type="pct"/>
            <w:vAlign w:val="center"/>
            <w:hideMark/>
          </w:tcPr>
          <w:p w14:paraId="503AB06E" w14:textId="77777777" w:rsidR="00000000" w:rsidRDefault="001D0688">
            <w:pPr>
              <w:rPr>
                <w:rFonts w:eastAsia="Times New Roman"/>
                <w:sz w:val="20"/>
                <w:szCs w:val="20"/>
              </w:rPr>
            </w:pPr>
          </w:p>
        </w:tc>
        <w:tc>
          <w:tcPr>
            <w:tcW w:w="5" w:type="pct"/>
            <w:vAlign w:val="center"/>
            <w:hideMark/>
          </w:tcPr>
          <w:p w14:paraId="768F4220" w14:textId="77777777" w:rsidR="00000000" w:rsidRDefault="001D0688">
            <w:pPr>
              <w:rPr>
                <w:rFonts w:eastAsia="Times New Roman"/>
                <w:sz w:val="20"/>
                <w:szCs w:val="20"/>
              </w:rPr>
            </w:pPr>
          </w:p>
        </w:tc>
        <w:tc>
          <w:tcPr>
            <w:tcW w:w="5" w:type="pct"/>
            <w:vAlign w:val="center"/>
            <w:hideMark/>
          </w:tcPr>
          <w:p w14:paraId="70E8C17B" w14:textId="77777777" w:rsidR="00000000" w:rsidRDefault="001D0688">
            <w:pPr>
              <w:rPr>
                <w:rFonts w:eastAsia="Times New Roman"/>
                <w:sz w:val="20"/>
                <w:szCs w:val="20"/>
              </w:rPr>
            </w:pPr>
          </w:p>
        </w:tc>
        <w:tc>
          <w:tcPr>
            <w:tcW w:w="19" w:type="pct"/>
            <w:vAlign w:val="center"/>
            <w:hideMark/>
          </w:tcPr>
          <w:p w14:paraId="2C536F44" w14:textId="77777777" w:rsidR="00000000" w:rsidRDefault="001D0688">
            <w:pPr>
              <w:rPr>
                <w:rFonts w:eastAsia="Times New Roman"/>
                <w:sz w:val="20"/>
                <w:szCs w:val="20"/>
              </w:rPr>
            </w:pPr>
          </w:p>
        </w:tc>
        <w:tc>
          <w:tcPr>
            <w:tcW w:w="5" w:type="pct"/>
            <w:vAlign w:val="center"/>
            <w:hideMark/>
          </w:tcPr>
          <w:p w14:paraId="17E0469E" w14:textId="77777777" w:rsidR="00000000" w:rsidRDefault="001D0688">
            <w:pPr>
              <w:rPr>
                <w:rFonts w:eastAsia="Times New Roman"/>
                <w:sz w:val="20"/>
                <w:szCs w:val="20"/>
              </w:rPr>
            </w:pPr>
          </w:p>
        </w:tc>
        <w:tc>
          <w:tcPr>
            <w:tcW w:w="50" w:type="pct"/>
            <w:vAlign w:val="center"/>
            <w:hideMark/>
          </w:tcPr>
          <w:p w14:paraId="1201D6BF" w14:textId="77777777" w:rsidR="00000000" w:rsidRDefault="001D0688">
            <w:pPr>
              <w:rPr>
                <w:rFonts w:eastAsia="Times New Roman"/>
                <w:sz w:val="20"/>
                <w:szCs w:val="20"/>
              </w:rPr>
            </w:pPr>
          </w:p>
        </w:tc>
        <w:tc>
          <w:tcPr>
            <w:tcW w:w="527" w:type="pct"/>
            <w:vAlign w:val="center"/>
            <w:hideMark/>
          </w:tcPr>
          <w:p w14:paraId="6B980B77" w14:textId="77777777" w:rsidR="00000000" w:rsidRDefault="001D0688">
            <w:pPr>
              <w:rPr>
                <w:rFonts w:eastAsia="Times New Roman"/>
                <w:sz w:val="20"/>
                <w:szCs w:val="20"/>
              </w:rPr>
            </w:pPr>
          </w:p>
        </w:tc>
        <w:tc>
          <w:tcPr>
            <w:tcW w:w="5" w:type="pct"/>
            <w:vAlign w:val="center"/>
            <w:hideMark/>
          </w:tcPr>
          <w:p w14:paraId="42FCC945" w14:textId="77777777" w:rsidR="00000000" w:rsidRDefault="001D0688">
            <w:pPr>
              <w:rPr>
                <w:rFonts w:eastAsia="Times New Roman"/>
                <w:sz w:val="20"/>
                <w:szCs w:val="20"/>
              </w:rPr>
            </w:pPr>
          </w:p>
        </w:tc>
        <w:tc>
          <w:tcPr>
            <w:tcW w:w="5" w:type="pct"/>
            <w:vAlign w:val="center"/>
            <w:hideMark/>
          </w:tcPr>
          <w:p w14:paraId="76C22B6A" w14:textId="77777777" w:rsidR="00000000" w:rsidRDefault="001D0688">
            <w:pPr>
              <w:rPr>
                <w:rFonts w:eastAsia="Times New Roman"/>
                <w:sz w:val="20"/>
                <w:szCs w:val="20"/>
              </w:rPr>
            </w:pPr>
          </w:p>
        </w:tc>
        <w:tc>
          <w:tcPr>
            <w:tcW w:w="26" w:type="pct"/>
            <w:vAlign w:val="center"/>
            <w:hideMark/>
          </w:tcPr>
          <w:p w14:paraId="12086910" w14:textId="77777777" w:rsidR="00000000" w:rsidRDefault="001D0688">
            <w:pPr>
              <w:rPr>
                <w:rFonts w:eastAsia="Times New Roman"/>
                <w:sz w:val="20"/>
                <w:szCs w:val="20"/>
              </w:rPr>
            </w:pPr>
          </w:p>
        </w:tc>
        <w:tc>
          <w:tcPr>
            <w:tcW w:w="5" w:type="pct"/>
            <w:vAlign w:val="center"/>
            <w:hideMark/>
          </w:tcPr>
          <w:p w14:paraId="67B33F7C" w14:textId="77777777" w:rsidR="00000000" w:rsidRDefault="001D0688">
            <w:pPr>
              <w:rPr>
                <w:rFonts w:eastAsia="Times New Roman"/>
                <w:sz w:val="20"/>
                <w:szCs w:val="20"/>
              </w:rPr>
            </w:pPr>
          </w:p>
        </w:tc>
        <w:tc>
          <w:tcPr>
            <w:tcW w:w="50" w:type="pct"/>
            <w:vAlign w:val="center"/>
            <w:hideMark/>
          </w:tcPr>
          <w:p w14:paraId="62976C7C" w14:textId="77777777" w:rsidR="00000000" w:rsidRDefault="001D0688">
            <w:pPr>
              <w:rPr>
                <w:rFonts w:eastAsia="Times New Roman"/>
                <w:sz w:val="20"/>
                <w:szCs w:val="20"/>
              </w:rPr>
            </w:pPr>
          </w:p>
        </w:tc>
        <w:tc>
          <w:tcPr>
            <w:tcW w:w="527" w:type="pct"/>
            <w:vAlign w:val="center"/>
            <w:hideMark/>
          </w:tcPr>
          <w:p w14:paraId="6629B539" w14:textId="77777777" w:rsidR="00000000" w:rsidRDefault="001D0688">
            <w:pPr>
              <w:rPr>
                <w:rFonts w:eastAsia="Times New Roman"/>
                <w:sz w:val="20"/>
                <w:szCs w:val="20"/>
              </w:rPr>
            </w:pPr>
          </w:p>
        </w:tc>
        <w:tc>
          <w:tcPr>
            <w:tcW w:w="5" w:type="pct"/>
            <w:vAlign w:val="center"/>
            <w:hideMark/>
          </w:tcPr>
          <w:p w14:paraId="691A464A" w14:textId="77777777" w:rsidR="00000000" w:rsidRDefault="001D0688">
            <w:pPr>
              <w:rPr>
                <w:rFonts w:eastAsia="Times New Roman"/>
                <w:sz w:val="20"/>
                <w:szCs w:val="20"/>
              </w:rPr>
            </w:pPr>
          </w:p>
        </w:tc>
      </w:tr>
      <w:tr w:rsidR="00000000" w14:paraId="5A0A766A" w14:textId="77777777">
        <w:trPr>
          <w:divId w:val="980497922"/>
        </w:trPr>
        <w:tc>
          <w:tcPr>
            <w:tcW w:w="0" w:type="auto"/>
            <w:gridSpan w:val="3"/>
            <w:tcMar>
              <w:top w:w="30" w:type="dxa"/>
              <w:left w:w="20" w:type="dxa"/>
              <w:bottom w:w="30" w:type="dxa"/>
              <w:right w:w="20" w:type="dxa"/>
            </w:tcMar>
            <w:vAlign w:val="bottom"/>
            <w:hideMark/>
          </w:tcPr>
          <w:p w14:paraId="26BB2604" w14:textId="77777777" w:rsidR="00000000" w:rsidRDefault="001D0688">
            <w:pPr>
              <w:rPr>
                <w:rFonts w:eastAsia="Times New Roman"/>
              </w:rPr>
            </w:pPr>
            <w:r>
              <w:rPr>
                <w:rFonts w:ascii="Arial" w:eastAsia="Times New Roman" w:hAnsi="Arial" w:cs="Arial"/>
                <w:color w:val="000000"/>
                <w:sz w:val="18"/>
                <w:szCs w:val="18"/>
              </w:rPr>
              <w:t> </w:t>
            </w:r>
          </w:p>
        </w:tc>
        <w:tc>
          <w:tcPr>
            <w:tcW w:w="0" w:type="auto"/>
            <w:gridSpan w:val="15"/>
            <w:tcMar>
              <w:top w:w="30" w:type="dxa"/>
              <w:left w:w="20" w:type="dxa"/>
              <w:bottom w:w="30" w:type="dxa"/>
              <w:right w:w="20" w:type="dxa"/>
            </w:tcMar>
            <w:vAlign w:val="bottom"/>
            <w:hideMark/>
          </w:tcPr>
          <w:p w14:paraId="74AE3FF1" w14:textId="77777777" w:rsidR="00000000" w:rsidRDefault="001D0688">
            <w:pPr>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14:paraId="5BD7EE3F" w14:textId="77777777" w:rsidR="00000000" w:rsidRDefault="001D068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05DBBDBC" w14:textId="77777777" w:rsidR="00000000" w:rsidRDefault="001D0688">
            <w:pPr>
              <w:jc w:val="center"/>
              <w:rPr>
                <w:rFonts w:eastAsia="Times New Roman"/>
              </w:rPr>
            </w:pPr>
            <w:r>
              <w:rPr>
                <w:rFonts w:ascii="Arial" w:eastAsia="Times New Roman" w:hAnsi="Arial" w:cs="Arial"/>
                <w:b/>
                <w:bCs/>
                <w:color w:val="000000"/>
                <w:sz w:val="18"/>
                <w:szCs w:val="18"/>
              </w:rPr>
              <w:t>2020 vs. 2019</w:t>
            </w:r>
          </w:p>
        </w:tc>
      </w:tr>
      <w:tr w:rsidR="00000000" w14:paraId="201FFCE2" w14:textId="77777777">
        <w:trPr>
          <w:divId w:val="980497922"/>
        </w:trPr>
        <w:tc>
          <w:tcPr>
            <w:tcW w:w="0" w:type="auto"/>
            <w:gridSpan w:val="3"/>
            <w:tcMar>
              <w:top w:w="30" w:type="dxa"/>
              <w:left w:w="20" w:type="dxa"/>
              <w:bottom w:w="30" w:type="dxa"/>
              <w:right w:w="20" w:type="dxa"/>
            </w:tcMar>
            <w:vAlign w:val="bottom"/>
            <w:hideMark/>
          </w:tcPr>
          <w:p w14:paraId="5E6DA549"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2F6AC720" w14:textId="77777777" w:rsidR="00000000" w:rsidRDefault="001D0688">
            <w:pPr>
              <w:jc w:val="center"/>
              <w:rPr>
                <w:rFonts w:eastAsia="Times New Roman"/>
              </w:rPr>
            </w:pPr>
            <w:r>
              <w:rPr>
                <w:rFonts w:ascii="Arial" w:eastAsia="Times New Roman" w:hAnsi="Arial" w:cs="Arial"/>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2E65D5C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C784F2" w14:textId="77777777" w:rsidR="00000000" w:rsidRDefault="001D0688">
            <w:pPr>
              <w:jc w:val="center"/>
              <w:rPr>
                <w:rFonts w:eastAsia="Times New Roman"/>
              </w:rPr>
            </w:pPr>
            <w:r>
              <w:rPr>
                <w:rFonts w:ascii="Arial" w:eastAsia="Times New Roman" w:hAnsi="Arial" w:cs="Arial"/>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14:paraId="6843F43B"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FD5DBE" w14:textId="77777777" w:rsidR="00000000" w:rsidRDefault="001D0688">
            <w:pPr>
              <w:jc w:val="center"/>
              <w:rPr>
                <w:rFonts w:eastAsia="Times New Roman"/>
              </w:rPr>
            </w:pPr>
            <w:r>
              <w:rPr>
                <w:rFonts w:ascii="Arial" w:eastAsia="Times New Roman" w:hAnsi="Arial" w:cs="Arial"/>
                <w:b/>
                <w:bCs/>
                <w:color w:val="000000"/>
                <w:sz w:val="18"/>
                <w:szCs w:val="18"/>
              </w:rPr>
              <w:t>2018</w:t>
            </w:r>
          </w:p>
        </w:tc>
        <w:tc>
          <w:tcPr>
            <w:tcW w:w="0" w:type="auto"/>
            <w:gridSpan w:val="3"/>
            <w:shd w:val="clear" w:color="auto" w:fill="FFFFFF"/>
            <w:tcMar>
              <w:top w:w="0" w:type="dxa"/>
              <w:left w:w="20" w:type="dxa"/>
              <w:bottom w:w="0" w:type="dxa"/>
              <w:right w:w="20" w:type="dxa"/>
            </w:tcMar>
            <w:vAlign w:val="center"/>
            <w:hideMark/>
          </w:tcPr>
          <w:p w14:paraId="4002017D" w14:textId="77777777" w:rsidR="00000000" w:rsidRDefault="001D0688">
            <w:pPr>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27FFEC7B" w14:textId="77777777" w:rsidR="00000000" w:rsidRDefault="001D0688">
            <w:pPr>
              <w:jc w:val="center"/>
              <w:rPr>
                <w:rFonts w:eastAsia="Times New Roman"/>
              </w:rPr>
            </w:pPr>
            <w:r>
              <w:rPr>
                <w:rFonts w:ascii="Arial" w:eastAsia="Times New Roman" w:hAnsi="Arial" w:cs="Arial"/>
                <w:b/>
                <w:bCs/>
                <w:color w:val="000000"/>
                <w:sz w:val="18"/>
                <w:szCs w:val="18"/>
              </w:rPr>
              <w:t>Increase / (Decrease)</w:t>
            </w:r>
          </w:p>
        </w:tc>
      </w:tr>
      <w:tr w:rsidR="00000000" w14:paraId="0D0D265D" w14:textId="77777777">
        <w:trPr>
          <w:divId w:val="980497922"/>
        </w:trPr>
        <w:tc>
          <w:tcPr>
            <w:tcW w:w="0" w:type="auto"/>
            <w:gridSpan w:val="3"/>
            <w:shd w:val="clear" w:color="auto" w:fill="DCE2EF"/>
            <w:tcMar>
              <w:top w:w="30" w:type="dxa"/>
              <w:left w:w="20" w:type="dxa"/>
              <w:bottom w:w="30" w:type="dxa"/>
              <w:right w:w="20" w:type="dxa"/>
            </w:tcMar>
            <w:vAlign w:val="bottom"/>
            <w:hideMark/>
          </w:tcPr>
          <w:p w14:paraId="0635278C" w14:textId="77777777" w:rsidR="00000000" w:rsidRDefault="001D0688">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03AD73D"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600D89"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BF41A7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EA7E49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9F9C99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EB7003E"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D911D52"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31EA19E"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92AE12C" w14:textId="77777777" w:rsidR="00000000" w:rsidRDefault="001D0688">
            <w:pPr>
              <w:rPr>
                <w:rFonts w:eastAsia="Times New Roman"/>
                <w:sz w:val="20"/>
                <w:szCs w:val="20"/>
              </w:rPr>
            </w:pPr>
          </w:p>
        </w:tc>
      </w:tr>
      <w:tr w:rsidR="00000000" w14:paraId="0710D756" w14:textId="77777777">
        <w:trPr>
          <w:divId w:val="980497922"/>
        </w:trPr>
        <w:tc>
          <w:tcPr>
            <w:tcW w:w="0" w:type="auto"/>
            <w:gridSpan w:val="3"/>
            <w:shd w:val="clear" w:color="auto" w:fill="FFFFFF"/>
            <w:tcMar>
              <w:top w:w="30" w:type="dxa"/>
              <w:left w:w="20" w:type="dxa"/>
              <w:bottom w:w="30" w:type="dxa"/>
              <w:right w:w="20" w:type="dxa"/>
            </w:tcMar>
            <w:vAlign w:val="bottom"/>
            <w:hideMark/>
          </w:tcPr>
          <w:p w14:paraId="4C856BF1" w14:textId="77777777" w:rsidR="00000000" w:rsidRDefault="001D0688">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358AD232"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9AE933E" w14:textId="77777777" w:rsidR="00000000" w:rsidRDefault="001D0688">
            <w:pPr>
              <w:jc w:val="right"/>
              <w:rPr>
                <w:rFonts w:eastAsia="Times New Roman"/>
              </w:rPr>
            </w:pPr>
            <w:r>
              <w:rPr>
                <w:rFonts w:ascii="Arial" w:eastAsia="Times New Roman" w:hAnsi="Arial" w:cs="Arial"/>
                <w:color w:val="000000"/>
                <w:sz w:val="18"/>
                <w:szCs w:val="18"/>
              </w:rPr>
              <w:t>3,157.8 </w:t>
            </w:r>
          </w:p>
        </w:tc>
        <w:tc>
          <w:tcPr>
            <w:tcW w:w="0" w:type="auto"/>
            <w:shd w:val="clear" w:color="auto" w:fill="FFFFFF"/>
            <w:tcMar>
              <w:top w:w="30" w:type="dxa"/>
              <w:left w:w="0" w:type="dxa"/>
              <w:bottom w:w="30" w:type="dxa"/>
              <w:right w:w="20" w:type="dxa"/>
            </w:tcMar>
            <w:vAlign w:val="bottom"/>
            <w:hideMark/>
          </w:tcPr>
          <w:p w14:paraId="29538B8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C0034"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4075AD"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9EF3CD3" w14:textId="77777777" w:rsidR="00000000" w:rsidRDefault="001D0688">
            <w:pPr>
              <w:jc w:val="right"/>
              <w:rPr>
                <w:rFonts w:eastAsia="Times New Roman"/>
              </w:rPr>
            </w:pPr>
            <w:r>
              <w:rPr>
                <w:rFonts w:ascii="Arial" w:eastAsia="Times New Roman" w:hAnsi="Arial" w:cs="Arial"/>
                <w:color w:val="000000"/>
                <w:sz w:val="18"/>
                <w:szCs w:val="18"/>
              </w:rPr>
              <w:t>3,251.4 </w:t>
            </w:r>
          </w:p>
        </w:tc>
        <w:tc>
          <w:tcPr>
            <w:tcW w:w="0" w:type="auto"/>
            <w:shd w:val="clear" w:color="auto" w:fill="FFFFFF"/>
            <w:tcMar>
              <w:top w:w="30" w:type="dxa"/>
              <w:left w:w="0" w:type="dxa"/>
              <w:bottom w:w="30" w:type="dxa"/>
              <w:right w:w="20" w:type="dxa"/>
            </w:tcMar>
            <w:vAlign w:val="bottom"/>
            <w:hideMark/>
          </w:tcPr>
          <w:p w14:paraId="59FD2F5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ECBE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B1B4A4"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F6BA8E2" w14:textId="77777777" w:rsidR="00000000" w:rsidRDefault="001D0688">
            <w:pPr>
              <w:jc w:val="right"/>
              <w:rPr>
                <w:rFonts w:eastAsia="Times New Roman"/>
              </w:rPr>
            </w:pPr>
            <w:r>
              <w:rPr>
                <w:rFonts w:ascii="Arial" w:eastAsia="Times New Roman" w:hAnsi="Arial" w:cs="Arial"/>
                <w:color w:val="000000"/>
                <w:sz w:val="18"/>
                <w:szCs w:val="18"/>
              </w:rPr>
              <w:t>3,268.4 </w:t>
            </w:r>
          </w:p>
        </w:tc>
        <w:tc>
          <w:tcPr>
            <w:tcW w:w="0" w:type="auto"/>
            <w:shd w:val="clear" w:color="auto" w:fill="FFFFFF"/>
            <w:tcMar>
              <w:top w:w="30" w:type="dxa"/>
              <w:left w:w="0" w:type="dxa"/>
              <w:bottom w:w="30" w:type="dxa"/>
              <w:right w:w="20" w:type="dxa"/>
            </w:tcMar>
            <w:vAlign w:val="bottom"/>
            <w:hideMark/>
          </w:tcPr>
          <w:p w14:paraId="503AAD8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F3209"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CF6CFF"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1953181" w14:textId="77777777" w:rsidR="00000000" w:rsidRDefault="001D0688">
            <w:pPr>
              <w:jc w:val="right"/>
              <w:rPr>
                <w:rFonts w:eastAsia="Times New Roman"/>
              </w:rPr>
            </w:pPr>
            <w:r>
              <w:rPr>
                <w:rFonts w:ascii="Arial" w:eastAsia="Times New Roman" w:hAnsi="Arial" w:cs="Arial"/>
                <w:color w:val="000000"/>
                <w:sz w:val="18"/>
                <w:szCs w:val="18"/>
              </w:rPr>
              <w:t>(93.6)</w:t>
            </w:r>
          </w:p>
        </w:tc>
        <w:tc>
          <w:tcPr>
            <w:tcW w:w="0" w:type="auto"/>
            <w:shd w:val="clear" w:color="auto" w:fill="FFFFFF"/>
            <w:tcMar>
              <w:top w:w="30" w:type="dxa"/>
              <w:left w:w="0" w:type="dxa"/>
              <w:bottom w:w="30" w:type="dxa"/>
              <w:right w:w="20" w:type="dxa"/>
            </w:tcMar>
            <w:vAlign w:val="bottom"/>
            <w:hideMark/>
          </w:tcPr>
          <w:p w14:paraId="7398E48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4C206"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F144110" w14:textId="77777777" w:rsidR="00000000" w:rsidRDefault="001D0688">
            <w:pPr>
              <w:jc w:val="center"/>
              <w:rPr>
                <w:rFonts w:eastAsia="Times New Roman"/>
              </w:rPr>
            </w:pPr>
            <w:r>
              <w:rPr>
                <w:rFonts w:ascii="Arial" w:eastAsia="Times New Roman" w:hAnsi="Arial" w:cs="Arial"/>
                <w:color w:val="000000"/>
                <w:sz w:val="18"/>
                <w:szCs w:val="18"/>
              </w:rPr>
              <w:t>(2.9)%</w:t>
            </w:r>
          </w:p>
        </w:tc>
      </w:tr>
      <w:tr w:rsidR="00000000" w14:paraId="62FC9088" w14:textId="77777777">
        <w:trPr>
          <w:divId w:val="980497922"/>
        </w:trPr>
        <w:tc>
          <w:tcPr>
            <w:tcW w:w="0" w:type="auto"/>
            <w:gridSpan w:val="3"/>
            <w:shd w:val="clear" w:color="auto" w:fill="DCE2EF"/>
            <w:tcMar>
              <w:top w:w="30" w:type="dxa"/>
              <w:left w:w="20" w:type="dxa"/>
              <w:bottom w:w="30" w:type="dxa"/>
              <w:right w:w="20" w:type="dxa"/>
            </w:tcMar>
            <w:vAlign w:val="bottom"/>
            <w:hideMark/>
          </w:tcPr>
          <w:p w14:paraId="2C21AD86" w14:textId="77777777" w:rsidR="00000000" w:rsidRDefault="001D0688">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14:paraId="230AB8C3" w14:textId="77777777" w:rsidR="00000000" w:rsidRDefault="001D0688">
            <w:pPr>
              <w:jc w:val="right"/>
              <w:rPr>
                <w:rFonts w:eastAsia="Times New Roman"/>
              </w:rPr>
            </w:pPr>
            <w:r>
              <w:rPr>
                <w:rFonts w:ascii="Arial" w:eastAsia="Times New Roman" w:hAnsi="Arial" w:cs="Arial"/>
                <w:color w:val="000000"/>
                <w:sz w:val="18"/>
                <w:szCs w:val="18"/>
              </w:rPr>
              <w:t>956.0 </w:t>
            </w:r>
          </w:p>
        </w:tc>
        <w:tc>
          <w:tcPr>
            <w:tcW w:w="0" w:type="auto"/>
            <w:shd w:val="clear" w:color="auto" w:fill="DCE2EF"/>
            <w:tcMar>
              <w:top w:w="30" w:type="dxa"/>
              <w:left w:w="0" w:type="dxa"/>
              <w:bottom w:w="30" w:type="dxa"/>
              <w:right w:w="20" w:type="dxa"/>
            </w:tcMar>
            <w:vAlign w:val="bottom"/>
            <w:hideMark/>
          </w:tcPr>
          <w:p w14:paraId="6D5EC4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A3E8D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6285141" w14:textId="77777777" w:rsidR="00000000" w:rsidRDefault="001D0688">
            <w:pPr>
              <w:jc w:val="right"/>
              <w:rPr>
                <w:rFonts w:eastAsia="Times New Roman"/>
              </w:rPr>
            </w:pPr>
            <w:r>
              <w:rPr>
                <w:rFonts w:ascii="Arial" w:eastAsia="Times New Roman" w:hAnsi="Arial" w:cs="Arial"/>
                <w:color w:val="000000"/>
                <w:sz w:val="18"/>
                <w:szCs w:val="18"/>
              </w:rPr>
              <w:t>917.0 </w:t>
            </w:r>
          </w:p>
        </w:tc>
        <w:tc>
          <w:tcPr>
            <w:tcW w:w="0" w:type="auto"/>
            <w:shd w:val="clear" w:color="auto" w:fill="DCE2EF"/>
            <w:tcMar>
              <w:top w:w="30" w:type="dxa"/>
              <w:left w:w="0" w:type="dxa"/>
              <w:bottom w:w="30" w:type="dxa"/>
              <w:right w:w="20" w:type="dxa"/>
            </w:tcMar>
            <w:vAlign w:val="bottom"/>
            <w:hideMark/>
          </w:tcPr>
          <w:p w14:paraId="23C1F99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90DA9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1DB5CE" w14:textId="77777777" w:rsidR="00000000" w:rsidRDefault="001D0688">
            <w:pPr>
              <w:jc w:val="right"/>
              <w:rPr>
                <w:rFonts w:eastAsia="Times New Roman"/>
              </w:rPr>
            </w:pPr>
            <w:r>
              <w:rPr>
                <w:rFonts w:ascii="Arial" w:eastAsia="Times New Roman" w:hAnsi="Arial" w:cs="Arial"/>
                <w:color w:val="000000"/>
                <w:sz w:val="18"/>
                <w:szCs w:val="18"/>
              </w:rPr>
              <w:t>925.4 </w:t>
            </w:r>
          </w:p>
        </w:tc>
        <w:tc>
          <w:tcPr>
            <w:tcW w:w="0" w:type="auto"/>
            <w:shd w:val="clear" w:color="auto" w:fill="DCE2EF"/>
            <w:tcMar>
              <w:top w:w="30" w:type="dxa"/>
              <w:left w:w="0" w:type="dxa"/>
              <w:bottom w:w="30" w:type="dxa"/>
              <w:right w:w="20" w:type="dxa"/>
            </w:tcMar>
            <w:vAlign w:val="bottom"/>
            <w:hideMark/>
          </w:tcPr>
          <w:p w14:paraId="59D484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EAA0E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2B5EF5" w14:textId="77777777" w:rsidR="00000000" w:rsidRDefault="001D0688">
            <w:pPr>
              <w:jc w:val="right"/>
              <w:rPr>
                <w:rFonts w:eastAsia="Times New Roman"/>
              </w:rPr>
            </w:pPr>
            <w:r>
              <w:rPr>
                <w:rFonts w:ascii="Arial" w:eastAsia="Times New Roman" w:hAnsi="Arial" w:cs="Arial"/>
                <w:color w:val="000000"/>
                <w:sz w:val="18"/>
                <w:szCs w:val="18"/>
              </w:rPr>
              <w:t>39.0 </w:t>
            </w:r>
          </w:p>
        </w:tc>
        <w:tc>
          <w:tcPr>
            <w:tcW w:w="0" w:type="auto"/>
            <w:shd w:val="clear" w:color="auto" w:fill="DCE2EF"/>
            <w:tcMar>
              <w:top w:w="30" w:type="dxa"/>
              <w:left w:w="0" w:type="dxa"/>
              <w:bottom w:w="30" w:type="dxa"/>
              <w:right w:w="20" w:type="dxa"/>
            </w:tcMar>
            <w:vAlign w:val="bottom"/>
            <w:hideMark/>
          </w:tcPr>
          <w:p w14:paraId="56E6E12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596512"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A8748B1" w14:textId="77777777" w:rsidR="00000000" w:rsidRDefault="001D0688">
            <w:pPr>
              <w:jc w:val="center"/>
              <w:rPr>
                <w:rFonts w:eastAsia="Times New Roman"/>
              </w:rPr>
            </w:pPr>
            <w:r>
              <w:rPr>
                <w:rFonts w:ascii="Arial" w:eastAsia="Times New Roman" w:hAnsi="Arial" w:cs="Arial"/>
                <w:color w:val="000000"/>
                <w:sz w:val="18"/>
                <w:szCs w:val="18"/>
              </w:rPr>
              <w:t>4.3%</w:t>
            </w:r>
          </w:p>
        </w:tc>
      </w:tr>
      <w:tr w:rsidR="00000000" w14:paraId="044CD3DD" w14:textId="77777777">
        <w:trPr>
          <w:divId w:val="980497922"/>
        </w:trPr>
        <w:tc>
          <w:tcPr>
            <w:tcW w:w="0" w:type="auto"/>
            <w:gridSpan w:val="3"/>
            <w:shd w:val="clear" w:color="auto" w:fill="FFFFFF"/>
            <w:tcMar>
              <w:top w:w="30" w:type="dxa"/>
              <w:left w:w="20" w:type="dxa"/>
              <w:bottom w:w="30" w:type="dxa"/>
              <w:right w:w="20" w:type="dxa"/>
            </w:tcMar>
            <w:vAlign w:val="bottom"/>
            <w:hideMark/>
          </w:tcPr>
          <w:p w14:paraId="0E419045" w14:textId="77777777" w:rsidR="00000000" w:rsidRDefault="001D0688">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044858E6" w14:textId="77777777" w:rsidR="00000000" w:rsidRDefault="001D0688">
            <w:pPr>
              <w:jc w:val="right"/>
              <w:rPr>
                <w:rFonts w:eastAsia="Times New Roman"/>
              </w:rPr>
            </w:pPr>
            <w:r>
              <w:rPr>
                <w:rFonts w:ascii="Arial" w:eastAsia="Times New Roman" w:hAnsi="Arial" w:cs="Arial"/>
                <w:color w:val="000000"/>
                <w:sz w:val="18"/>
                <w:szCs w:val="18"/>
              </w:rPr>
              <w:t>808.8 </w:t>
            </w:r>
          </w:p>
        </w:tc>
        <w:tc>
          <w:tcPr>
            <w:tcW w:w="0" w:type="auto"/>
            <w:shd w:val="clear" w:color="auto" w:fill="FFFFFF"/>
            <w:tcMar>
              <w:top w:w="30" w:type="dxa"/>
              <w:left w:w="0" w:type="dxa"/>
              <w:bottom w:w="30" w:type="dxa"/>
              <w:right w:w="20" w:type="dxa"/>
            </w:tcMar>
            <w:vAlign w:val="bottom"/>
            <w:hideMark/>
          </w:tcPr>
          <w:p w14:paraId="66871B0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4296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5B3DB" w14:textId="77777777" w:rsidR="00000000" w:rsidRDefault="001D0688">
            <w:pPr>
              <w:jc w:val="right"/>
              <w:rPr>
                <w:rFonts w:eastAsia="Times New Roman"/>
              </w:rPr>
            </w:pPr>
            <w:r>
              <w:rPr>
                <w:rFonts w:ascii="Arial" w:eastAsia="Times New Roman" w:hAnsi="Arial" w:cs="Arial"/>
                <w:color w:val="000000"/>
                <w:sz w:val="18"/>
                <w:szCs w:val="18"/>
              </w:rPr>
              <w:t>847.4 </w:t>
            </w:r>
          </w:p>
        </w:tc>
        <w:tc>
          <w:tcPr>
            <w:tcW w:w="0" w:type="auto"/>
            <w:shd w:val="clear" w:color="auto" w:fill="FFFFFF"/>
            <w:tcMar>
              <w:top w:w="30" w:type="dxa"/>
              <w:left w:w="0" w:type="dxa"/>
              <w:bottom w:w="30" w:type="dxa"/>
              <w:right w:w="20" w:type="dxa"/>
            </w:tcMar>
            <w:vAlign w:val="bottom"/>
            <w:hideMark/>
          </w:tcPr>
          <w:p w14:paraId="48E1A50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61BC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E34C6D" w14:textId="77777777" w:rsidR="00000000" w:rsidRDefault="001D0688">
            <w:pPr>
              <w:jc w:val="right"/>
              <w:rPr>
                <w:rFonts w:eastAsia="Times New Roman"/>
              </w:rPr>
            </w:pPr>
            <w:r>
              <w:rPr>
                <w:rFonts w:ascii="Arial" w:eastAsia="Times New Roman" w:hAnsi="Arial" w:cs="Arial"/>
                <w:color w:val="000000"/>
                <w:sz w:val="18"/>
                <w:szCs w:val="18"/>
              </w:rPr>
              <w:t>856.7 </w:t>
            </w:r>
          </w:p>
        </w:tc>
        <w:tc>
          <w:tcPr>
            <w:tcW w:w="0" w:type="auto"/>
            <w:shd w:val="clear" w:color="auto" w:fill="FFFFFF"/>
            <w:tcMar>
              <w:top w:w="30" w:type="dxa"/>
              <w:left w:w="0" w:type="dxa"/>
              <w:bottom w:w="30" w:type="dxa"/>
              <w:right w:w="20" w:type="dxa"/>
            </w:tcMar>
            <w:vAlign w:val="bottom"/>
            <w:hideMark/>
          </w:tcPr>
          <w:p w14:paraId="1CF7A38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83E4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A8016" w14:textId="77777777" w:rsidR="00000000" w:rsidRDefault="001D0688">
            <w:pPr>
              <w:jc w:val="right"/>
              <w:rPr>
                <w:rFonts w:eastAsia="Times New Roman"/>
              </w:rPr>
            </w:pPr>
            <w:r>
              <w:rPr>
                <w:rFonts w:ascii="Arial" w:eastAsia="Times New Roman" w:hAnsi="Arial" w:cs="Arial"/>
                <w:color w:val="000000"/>
                <w:sz w:val="18"/>
                <w:szCs w:val="18"/>
              </w:rPr>
              <w:t>(38.6)</w:t>
            </w:r>
          </w:p>
        </w:tc>
        <w:tc>
          <w:tcPr>
            <w:tcW w:w="0" w:type="auto"/>
            <w:shd w:val="clear" w:color="auto" w:fill="FFFFFF"/>
            <w:tcMar>
              <w:top w:w="30" w:type="dxa"/>
              <w:left w:w="0" w:type="dxa"/>
              <w:bottom w:w="30" w:type="dxa"/>
              <w:right w:w="20" w:type="dxa"/>
            </w:tcMar>
            <w:vAlign w:val="bottom"/>
            <w:hideMark/>
          </w:tcPr>
          <w:p w14:paraId="0D60B8B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B0D76"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1603E90" w14:textId="77777777" w:rsidR="00000000" w:rsidRDefault="001D0688">
            <w:pPr>
              <w:jc w:val="center"/>
              <w:rPr>
                <w:rFonts w:eastAsia="Times New Roman"/>
              </w:rPr>
            </w:pPr>
            <w:r>
              <w:rPr>
                <w:rFonts w:ascii="Arial" w:eastAsia="Times New Roman" w:hAnsi="Arial" w:cs="Arial"/>
                <w:color w:val="000000"/>
                <w:sz w:val="18"/>
                <w:szCs w:val="18"/>
              </w:rPr>
              <w:t>(4.6)%</w:t>
            </w:r>
          </w:p>
        </w:tc>
      </w:tr>
      <w:tr w:rsidR="00000000" w14:paraId="7720F6EF" w14:textId="77777777">
        <w:trPr>
          <w:divId w:val="980497922"/>
        </w:trPr>
        <w:tc>
          <w:tcPr>
            <w:tcW w:w="0" w:type="auto"/>
            <w:gridSpan w:val="3"/>
            <w:shd w:val="clear" w:color="auto" w:fill="DCE2EF"/>
            <w:tcMar>
              <w:top w:w="30" w:type="dxa"/>
              <w:left w:w="20" w:type="dxa"/>
              <w:bottom w:w="30" w:type="dxa"/>
              <w:right w:w="20" w:type="dxa"/>
            </w:tcMar>
            <w:vAlign w:val="bottom"/>
            <w:hideMark/>
          </w:tcPr>
          <w:p w14:paraId="12686595" w14:textId="77777777" w:rsidR="00000000" w:rsidRDefault="001D0688">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4A0DC39E" w14:textId="77777777" w:rsidR="00000000" w:rsidRDefault="001D0688">
            <w:pPr>
              <w:jc w:val="right"/>
              <w:rPr>
                <w:rFonts w:eastAsia="Times New Roman"/>
              </w:rPr>
            </w:pPr>
            <w:r>
              <w:rPr>
                <w:rFonts w:ascii="Arial" w:eastAsia="Times New Roman" w:hAnsi="Arial" w:cs="Arial"/>
                <w:color w:val="000000"/>
                <w:sz w:val="18"/>
                <w:szCs w:val="18"/>
              </w:rPr>
              <w:t>680.9 </w:t>
            </w:r>
          </w:p>
        </w:tc>
        <w:tc>
          <w:tcPr>
            <w:tcW w:w="0" w:type="auto"/>
            <w:shd w:val="clear" w:color="auto" w:fill="DCE2EF"/>
            <w:tcMar>
              <w:top w:w="30" w:type="dxa"/>
              <w:left w:w="0" w:type="dxa"/>
              <w:bottom w:w="30" w:type="dxa"/>
              <w:right w:w="20" w:type="dxa"/>
            </w:tcMar>
            <w:vAlign w:val="bottom"/>
            <w:hideMark/>
          </w:tcPr>
          <w:p w14:paraId="0D1670F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F8BB8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3DFC6F" w14:textId="77777777" w:rsidR="00000000" w:rsidRDefault="001D0688">
            <w:pPr>
              <w:jc w:val="right"/>
              <w:rPr>
                <w:rFonts w:eastAsia="Times New Roman"/>
              </w:rPr>
            </w:pPr>
            <w:r>
              <w:rPr>
                <w:rFonts w:ascii="Arial" w:eastAsia="Times New Roman" w:hAnsi="Arial" w:cs="Arial"/>
                <w:color w:val="000000"/>
                <w:sz w:val="18"/>
                <w:szCs w:val="18"/>
              </w:rPr>
              <w:t>1,017.3 </w:t>
            </w:r>
          </w:p>
        </w:tc>
        <w:tc>
          <w:tcPr>
            <w:tcW w:w="0" w:type="auto"/>
            <w:shd w:val="clear" w:color="auto" w:fill="DCE2EF"/>
            <w:tcMar>
              <w:top w:w="30" w:type="dxa"/>
              <w:left w:w="0" w:type="dxa"/>
              <w:bottom w:w="30" w:type="dxa"/>
              <w:right w:w="20" w:type="dxa"/>
            </w:tcMar>
            <w:vAlign w:val="bottom"/>
            <w:hideMark/>
          </w:tcPr>
          <w:p w14:paraId="520A0D7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B41BB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995617" w14:textId="77777777" w:rsidR="00000000" w:rsidRDefault="001D0688">
            <w:pPr>
              <w:jc w:val="right"/>
              <w:rPr>
                <w:rFonts w:eastAsia="Times New Roman"/>
              </w:rPr>
            </w:pPr>
            <w:r>
              <w:rPr>
                <w:rFonts w:ascii="Arial" w:eastAsia="Times New Roman" w:hAnsi="Arial" w:cs="Arial"/>
                <w:color w:val="000000"/>
                <w:sz w:val="18"/>
                <w:szCs w:val="18"/>
              </w:rPr>
              <w:t>1,038.7 </w:t>
            </w:r>
          </w:p>
        </w:tc>
        <w:tc>
          <w:tcPr>
            <w:tcW w:w="0" w:type="auto"/>
            <w:shd w:val="clear" w:color="auto" w:fill="DCE2EF"/>
            <w:tcMar>
              <w:top w:w="30" w:type="dxa"/>
              <w:left w:w="0" w:type="dxa"/>
              <w:bottom w:w="30" w:type="dxa"/>
              <w:right w:w="20" w:type="dxa"/>
            </w:tcMar>
            <w:vAlign w:val="bottom"/>
            <w:hideMark/>
          </w:tcPr>
          <w:p w14:paraId="638872D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A99A3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8CEA3E" w14:textId="77777777" w:rsidR="00000000" w:rsidRDefault="001D0688">
            <w:pPr>
              <w:jc w:val="right"/>
              <w:rPr>
                <w:rFonts w:eastAsia="Times New Roman"/>
              </w:rPr>
            </w:pPr>
            <w:r>
              <w:rPr>
                <w:rFonts w:ascii="Arial" w:eastAsia="Times New Roman" w:hAnsi="Arial" w:cs="Arial"/>
                <w:color w:val="000000"/>
                <w:sz w:val="18"/>
                <w:szCs w:val="18"/>
              </w:rPr>
              <w:t>(336.4)</w:t>
            </w:r>
          </w:p>
        </w:tc>
        <w:tc>
          <w:tcPr>
            <w:tcW w:w="0" w:type="auto"/>
            <w:shd w:val="clear" w:color="auto" w:fill="DCE2EF"/>
            <w:tcMar>
              <w:top w:w="30" w:type="dxa"/>
              <w:left w:w="0" w:type="dxa"/>
              <w:bottom w:w="30" w:type="dxa"/>
              <w:right w:w="20" w:type="dxa"/>
            </w:tcMar>
            <w:vAlign w:val="bottom"/>
            <w:hideMark/>
          </w:tcPr>
          <w:p w14:paraId="2E033F5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A0C464"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B9B127C" w14:textId="77777777" w:rsidR="00000000" w:rsidRDefault="001D0688">
            <w:pPr>
              <w:jc w:val="center"/>
              <w:rPr>
                <w:rFonts w:eastAsia="Times New Roman"/>
              </w:rPr>
            </w:pPr>
            <w:r>
              <w:rPr>
                <w:rFonts w:ascii="Arial" w:eastAsia="Times New Roman" w:hAnsi="Arial" w:cs="Arial"/>
                <w:color w:val="000000"/>
                <w:sz w:val="18"/>
                <w:szCs w:val="18"/>
              </w:rPr>
              <w:t>(33.1)%</w:t>
            </w:r>
          </w:p>
        </w:tc>
      </w:tr>
      <w:tr w:rsidR="00000000" w14:paraId="6450A7D3" w14:textId="77777777">
        <w:trPr>
          <w:divId w:val="980497922"/>
        </w:trPr>
        <w:tc>
          <w:tcPr>
            <w:tcW w:w="0" w:type="auto"/>
            <w:gridSpan w:val="3"/>
            <w:shd w:val="clear" w:color="auto" w:fill="FFFFFF"/>
            <w:tcMar>
              <w:top w:w="30" w:type="dxa"/>
              <w:left w:w="20" w:type="dxa"/>
              <w:bottom w:w="30" w:type="dxa"/>
              <w:right w:w="20" w:type="dxa"/>
            </w:tcMar>
            <w:vAlign w:val="bottom"/>
            <w:hideMark/>
          </w:tcPr>
          <w:p w14:paraId="46AE3180" w14:textId="77777777" w:rsidR="00000000" w:rsidRDefault="001D0688">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23ADCCF3" w14:textId="77777777" w:rsidR="00000000" w:rsidRDefault="001D0688">
            <w:pPr>
              <w:jc w:val="right"/>
              <w:rPr>
                <w:rFonts w:eastAsia="Times New Roman"/>
              </w:rPr>
            </w:pPr>
            <w:r>
              <w:rPr>
                <w:rFonts w:ascii="Arial" w:eastAsia="Times New Roman" w:hAnsi="Arial" w:cs="Arial"/>
                <w:color w:val="000000"/>
                <w:sz w:val="18"/>
                <w:szCs w:val="18"/>
              </w:rPr>
              <w:t>506.6 </w:t>
            </w:r>
          </w:p>
        </w:tc>
        <w:tc>
          <w:tcPr>
            <w:tcW w:w="0" w:type="auto"/>
            <w:shd w:val="clear" w:color="auto" w:fill="FFFFFF"/>
            <w:tcMar>
              <w:top w:w="30" w:type="dxa"/>
              <w:left w:w="0" w:type="dxa"/>
              <w:bottom w:w="30" w:type="dxa"/>
              <w:right w:w="20" w:type="dxa"/>
            </w:tcMar>
            <w:vAlign w:val="bottom"/>
            <w:hideMark/>
          </w:tcPr>
          <w:p w14:paraId="5D9C4A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CF56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04797" w14:textId="77777777" w:rsidR="00000000" w:rsidRDefault="001D0688">
            <w:pPr>
              <w:jc w:val="right"/>
              <w:rPr>
                <w:rFonts w:eastAsia="Times New Roman"/>
              </w:rPr>
            </w:pPr>
            <w:r>
              <w:rPr>
                <w:rFonts w:ascii="Arial" w:eastAsia="Times New Roman" w:hAnsi="Arial" w:cs="Arial"/>
                <w:color w:val="000000"/>
                <w:sz w:val="18"/>
                <w:szCs w:val="18"/>
              </w:rPr>
              <w:t>593.2 </w:t>
            </w:r>
          </w:p>
        </w:tc>
        <w:tc>
          <w:tcPr>
            <w:tcW w:w="0" w:type="auto"/>
            <w:shd w:val="clear" w:color="auto" w:fill="FFFFFF"/>
            <w:tcMar>
              <w:top w:w="30" w:type="dxa"/>
              <w:left w:w="0" w:type="dxa"/>
              <w:bottom w:w="30" w:type="dxa"/>
              <w:right w:w="20" w:type="dxa"/>
            </w:tcMar>
            <w:vAlign w:val="bottom"/>
            <w:hideMark/>
          </w:tcPr>
          <w:p w14:paraId="4A17426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B150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427C72" w14:textId="77777777" w:rsidR="00000000" w:rsidRDefault="001D0688">
            <w:pPr>
              <w:jc w:val="right"/>
              <w:rPr>
                <w:rFonts w:eastAsia="Times New Roman"/>
              </w:rPr>
            </w:pPr>
            <w:r>
              <w:rPr>
                <w:rFonts w:ascii="Arial" w:eastAsia="Times New Roman" w:hAnsi="Arial" w:cs="Arial"/>
                <w:color w:val="000000"/>
                <w:sz w:val="18"/>
                <w:szCs w:val="18"/>
              </w:rPr>
              <w:t>500.1 </w:t>
            </w:r>
          </w:p>
        </w:tc>
        <w:tc>
          <w:tcPr>
            <w:tcW w:w="0" w:type="auto"/>
            <w:shd w:val="clear" w:color="auto" w:fill="FFFFFF"/>
            <w:tcMar>
              <w:top w:w="30" w:type="dxa"/>
              <w:left w:w="0" w:type="dxa"/>
              <w:bottom w:w="30" w:type="dxa"/>
              <w:right w:w="20" w:type="dxa"/>
            </w:tcMar>
            <w:vAlign w:val="bottom"/>
            <w:hideMark/>
          </w:tcPr>
          <w:p w14:paraId="2FACDF3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CAEA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C51CCE" w14:textId="77777777" w:rsidR="00000000" w:rsidRDefault="001D0688">
            <w:pPr>
              <w:jc w:val="right"/>
              <w:rPr>
                <w:rFonts w:eastAsia="Times New Roman"/>
              </w:rPr>
            </w:pPr>
            <w:r>
              <w:rPr>
                <w:rFonts w:ascii="Arial" w:eastAsia="Times New Roman" w:hAnsi="Arial" w:cs="Arial"/>
                <w:color w:val="000000"/>
                <w:sz w:val="18"/>
                <w:szCs w:val="18"/>
              </w:rPr>
              <w:t>(86.6)</w:t>
            </w:r>
          </w:p>
        </w:tc>
        <w:tc>
          <w:tcPr>
            <w:tcW w:w="0" w:type="auto"/>
            <w:shd w:val="clear" w:color="auto" w:fill="FFFFFF"/>
            <w:tcMar>
              <w:top w:w="30" w:type="dxa"/>
              <w:left w:w="0" w:type="dxa"/>
              <w:bottom w:w="30" w:type="dxa"/>
              <w:right w:w="20" w:type="dxa"/>
            </w:tcMar>
            <w:vAlign w:val="bottom"/>
            <w:hideMark/>
          </w:tcPr>
          <w:p w14:paraId="39EEC00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9F1C3"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ACC8D2D" w14:textId="77777777" w:rsidR="00000000" w:rsidRDefault="001D0688">
            <w:pPr>
              <w:jc w:val="center"/>
              <w:rPr>
                <w:rFonts w:eastAsia="Times New Roman"/>
              </w:rPr>
            </w:pPr>
            <w:r>
              <w:rPr>
                <w:rFonts w:ascii="Arial" w:eastAsia="Times New Roman" w:hAnsi="Arial" w:cs="Arial"/>
                <w:color w:val="000000"/>
                <w:sz w:val="18"/>
                <w:szCs w:val="18"/>
              </w:rPr>
              <w:t>(14.6)%</w:t>
            </w:r>
          </w:p>
        </w:tc>
      </w:tr>
      <w:tr w:rsidR="00000000" w14:paraId="5797ACA1" w14:textId="77777777">
        <w:trPr>
          <w:divId w:val="980497922"/>
        </w:trPr>
        <w:tc>
          <w:tcPr>
            <w:tcW w:w="0" w:type="auto"/>
            <w:gridSpan w:val="3"/>
            <w:shd w:val="clear" w:color="auto" w:fill="DCE2EF"/>
            <w:tcMar>
              <w:top w:w="30" w:type="dxa"/>
              <w:left w:w="20" w:type="dxa"/>
              <w:bottom w:w="30" w:type="dxa"/>
              <w:right w:w="20" w:type="dxa"/>
            </w:tcMar>
            <w:vAlign w:val="bottom"/>
            <w:hideMark/>
          </w:tcPr>
          <w:p w14:paraId="05433780" w14:textId="77777777" w:rsidR="00000000" w:rsidRDefault="001D0688">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14:paraId="7EB4E7E9" w14:textId="77777777" w:rsidR="00000000" w:rsidRDefault="001D0688">
            <w:pPr>
              <w:jc w:val="right"/>
              <w:rPr>
                <w:rFonts w:eastAsia="Times New Roman"/>
              </w:rPr>
            </w:pPr>
            <w:r>
              <w:rPr>
                <w:rFonts w:ascii="Arial" w:eastAsia="Times New Roman" w:hAnsi="Arial" w:cs="Arial"/>
                <w:color w:val="000000"/>
                <w:sz w:val="18"/>
                <w:szCs w:val="18"/>
              </w:rPr>
              <w:t>(122.4)</w:t>
            </w:r>
          </w:p>
        </w:tc>
        <w:tc>
          <w:tcPr>
            <w:tcW w:w="0" w:type="auto"/>
            <w:shd w:val="clear" w:color="auto" w:fill="DCE2EF"/>
            <w:tcMar>
              <w:top w:w="30" w:type="dxa"/>
              <w:left w:w="0" w:type="dxa"/>
              <w:bottom w:w="30" w:type="dxa"/>
              <w:right w:w="20" w:type="dxa"/>
            </w:tcMar>
            <w:vAlign w:val="bottom"/>
            <w:hideMark/>
          </w:tcPr>
          <w:p w14:paraId="7D31E19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A9033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7EC9A29" w14:textId="77777777" w:rsidR="00000000" w:rsidRDefault="001D0688">
            <w:pPr>
              <w:jc w:val="right"/>
              <w:rPr>
                <w:rFonts w:eastAsia="Times New Roman"/>
              </w:rPr>
            </w:pPr>
            <w:r>
              <w:rPr>
                <w:rFonts w:ascii="Arial" w:eastAsia="Times New Roman" w:hAnsi="Arial" w:cs="Arial"/>
                <w:color w:val="000000"/>
                <w:sz w:val="18"/>
                <w:szCs w:val="18"/>
              </w:rPr>
              <w:t>(127.7)</w:t>
            </w:r>
          </w:p>
        </w:tc>
        <w:tc>
          <w:tcPr>
            <w:tcW w:w="0" w:type="auto"/>
            <w:shd w:val="clear" w:color="auto" w:fill="DCE2EF"/>
            <w:tcMar>
              <w:top w:w="30" w:type="dxa"/>
              <w:left w:w="0" w:type="dxa"/>
              <w:bottom w:w="30" w:type="dxa"/>
              <w:right w:w="20" w:type="dxa"/>
            </w:tcMar>
            <w:vAlign w:val="bottom"/>
            <w:hideMark/>
          </w:tcPr>
          <w:p w14:paraId="2AE3009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9B928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520D4E" w14:textId="77777777" w:rsidR="00000000" w:rsidRDefault="001D0688">
            <w:pPr>
              <w:jc w:val="right"/>
              <w:rPr>
                <w:rFonts w:eastAsia="Times New Roman"/>
              </w:rPr>
            </w:pPr>
            <w:r>
              <w:rPr>
                <w:rFonts w:ascii="Arial" w:eastAsia="Times New Roman" w:hAnsi="Arial" w:cs="Arial"/>
                <w:color w:val="000000"/>
                <w:sz w:val="18"/>
                <w:szCs w:val="18"/>
              </w:rPr>
              <w:t>(147.1)</w:t>
            </w:r>
          </w:p>
        </w:tc>
        <w:tc>
          <w:tcPr>
            <w:tcW w:w="0" w:type="auto"/>
            <w:shd w:val="clear" w:color="auto" w:fill="DCE2EF"/>
            <w:tcMar>
              <w:top w:w="30" w:type="dxa"/>
              <w:left w:w="0" w:type="dxa"/>
              <w:bottom w:w="30" w:type="dxa"/>
              <w:right w:w="20" w:type="dxa"/>
            </w:tcMar>
            <w:vAlign w:val="bottom"/>
            <w:hideMark/>
          </w:tcPr>
          <w:p w14:paraId="6ED53A4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28D66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B64B4C" w14:textId="77777777" w:rsidR="00000000" w:rsidRDefault="001D0688">
            <w:pPr>
              <w:jc w:val="right"/>
              <w:rPr>
                <w:rFonts w:eastAsia="Times New Roman"/>
              </w:rPr>
            </w:pPr>
            <w:r>
              <w:rPr>
                <w:rFonts w:ascii="Arial" w:eastAsia="Times New Roman" w:hAnsi="Arial" w:cs="Arial"/>
                <w:color w:val="000000"/>
                <w:sz w:val="18"/>
                <w:szCs w:val="18"/>
              </w:rPr>
              <w:t>5.3 </w:t>
            </w:r>
          </w:p>
        </w:tc>
        <w:tc>
          <w:tcPr>
            <w:tcW w:w="0" w:type="auto"/>
            <w:shd w:val="clear" w:color="auto" w:fill="DCE2EF"/>
            <w:tcMar>
              <w:top w:w="30" w:type="dxa"/>
              <w:left w:w="0" w:type="dxa"/>
              <w:bottom w:w="30" w:type="dxa"/>
              <w:right w:w="20" w:type="dxa"/>
            </w:tcMar>
            <w:vAlign w:val="bottom"/>
            <w:hideMark/>
          </w:tcPr>
          <w:p w14:paraId="0E734B3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198E6A"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7796801" w14:textId="77777777" w:rsidR="00000000" w:rsidRDefault="001D0688">
            <w:pPr>
              <w:jc w:val="center"/>
              <w:rPr>
                <w:rFonts w:eastAsia="Times New Roman"/>
              </w:rPr>
            </w:pPr>
            <w:r>
              <w:rPr>
                <w:rFonts w:ascii="Arial" w:eastAsia="Times New Roman" w:hAnsi="Arial" w:cs="Arial"/>
                <w:color w:val="000000"/>
                <w:sz w:val="18"/>
                <w:szCs w:val="18"/>
              </w:rPr>
              <w:t>4.2%</w:t>
            </w:r>
          </w:p>
        </w:tc>
      </w:tr>
      <w:tr w:rsidR="00000000" w14:paraId="59B89ECF" w14:textId="77777777">
        <w:trPr>
          <w:divId w:val="980497922"/>
        </w:trPr>
        <w:tc>
          <w:tcPr>
            <w:tcW w:w="0" w:type="auto"/>
            <w:gridSpan w:val="3"/>
            <w:shd w:val="clear" w:color="auto" w:fill="FFFFFF"/>
            <w:tcMar>
              <w:top w:w="0" w:type="dxa"/>
              <w:left w:w="20" w:type="dxa"/>
              <w:bottom w:w="0" w:type="dxa"/>
              <w:right w:w="20" w:type="dxa"/>
            </w:tcMar>
            <w:vAlign w:val="center"/>
            <w:hideMark/>
          </w:tcPr>
          <w:p w14:paraId="70C67427" w14:textId="77777777" w:rsidR="00000000" w:rsidRDefault="001D0688">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62E9F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B57A12" w14:textId="77777777" w:rsidR="00000000" w:rsidRDefault="001D0688">
            <w:pPr>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18F53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4B978"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CBECB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43E956" w14:textId="77777777" w:rsidR="00000000" w:rsidRDefault="001D0688">
            <w:pPr>
              <w:jc w:val="right"/>
              <w:rPr>
                <w:rFonts w:eastAsia="Times New Roman"/>
              </w:rPr>
            </w:pPr>
            <w:r>
              <w:rPr>
                <w:rFonts w:ascii="Arial" w:eastAsia="Times New Roman" w:hAnsi="Arial" w:cs="Arial"/>
                <w:color w:val="000000"/>
                <w:sz w:val="18"/>
                <w:szCs w:val="18"/>
              </w:rPr>
              <w:t>6,498.6 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5B7A6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4C745"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0D7ED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C75FE8" w14:textId="77777777" w:rsidR="00000000" w:rsidRDefault="001D0688">
            <w:pPr>
              <w:jc w:val="right"/>
              <w:rPr>
                <w:rFonts w:eastAsia="Times New Roman"/>
              </w:rPr>
            </w:pPr>
            <w:r>
              <w:rPr>
                <w:rFonts w:ascii="Arial" w:eastAsia="Times New Roman" w:hAnsi="Arial" w:cs="Arial"/>
                <w:color w:val="000000"/>
                <w:sz w:val="18"/>
                <w:szCs w:val="18"/>
              </w:rPr>
              <w:t>6,442.2 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B73F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61F0B"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B19E9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1D1C02" w14:textId="77777777" w:rsidR="00000000" w:rsidRDefault="001D0688">
            <w:pPr>
              <w:jc w:val="right"/>
              <w:rPr>
                <w:rFonts w:eastAsia="Times New Roman"/>
              </w:rPr>
            </w:pPr>
            <w:r>
              <w:rPr>
                <w:rFonts w:ascii="Arial" w:eastAsia="Times New Roman" w:hAnsi="Arial" w:cs="Arial"/>
                <w:color w:val="000000"/>
                <w:sz w:val="18"/>
                <w:szCs w:val="18"/>
              </w:rPr>
              <w:t>(511.0)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C851F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D5761"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0E1E99" w14:textId="77777777" w:rsidR="00000000" w:rsidRDefault="001D0688">
            <w:pPr>
              <w:jc w:val="center"/>
              <w:rPr>
                <w:rFonts w:eastAsia="Times New Roman"/>
              </w:rPr>
            </w:pPr>
            <w:r>
              <w:rPr>
                <w:rFonts w:ascii="Arial" w:eastAsia="Times New Roman" w:hAnsi="Arial" w:cs="Arial"/>
                <w:color w:val="000000"/>
                <w:sz w:val="18"/>
                <w:szCs w:val="18"/>
              </w:rPr>
              <w:t>(7.9)%</w:t>
            </w:r>
          </w:p>
        </w:tc>
      </w:tr>
      <w:tr w:rsidR="00000000" w14:paraId="018956F8" w14:textId="77777777">
        <w:trPr>
          <w:divId w:val="980497922"/>
        </w:trPr>
        <w:tc>
          <w:tcPr>
            <w:tcW w:w="0" w:type="auto"/>
            <w:gridSpan w:val="3"/>
            <w:shd w:val="clear" w:color="auto" w:fill="DCE2EF"/>
            <w:tcMar>
              <w:top w:w="30" w:type="dxa"/>
              <w:left w:w="20" w:type="dxa"/>
              <w:bottom w:w="30" w:type="dxa"/>
              <w:right w:w="20" w:type="dxa"/>
            </w:tcMar>
            <w:vAlign w:val="bottom"/>
            <w:hideMark/>
          </w:tcPr>
          <w:p w14:paraId="1AB15321" w14:textId="77777777" w:rsidR="00000000" w:rsidRDefault="001D0688">
            <w:pPr>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1FCEC9F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27E72B"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24DC4AE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32DB3C"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641159A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AA0344"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7D4BEAC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47A61B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032403" w14:textId="77777777" w:rsidR="00000000" w:rsidRDefault="001D0688">
            <w:pPr>
              <w:rPr>
                <w:rFonts w:eastAsia="Times New Roman"/>
                <w:sz w:val="20"/>
                <w:szCs w:val="20"/>
              </w:rPr>
            </w:pPr>
          </w:p>
        </w:tc>
      </w:tr>
      <w:tr w:rsidR="00000000" w14:paraId="371463C0" w14:textId="77777777">
        <w:trPr>
          <w:divId w:val="980497922"/>
        </w:trPr>
        <w:tc>
          <w:tcPr>
            <w:tcW w:w="0" w:type="auto"/>
            <w:gridSpan w:val="3"/>
            <w:shd w:val="clear" w:color="auto" w:fill="FFFFFF"/>
            <w:tcMar>
              <w:top w:w="30" w:type="dxa"/>
              <w:left w:w="20" w:type="dxa"/>
              <w:bottom w:w="30" w:type="dxa"/>
              <w:right w:w="20" w:type="dxa"/>
            </w:tcMar>
            <w:vAlign w:val="bottom"/>
            <w:hideMark/>
          </w:tcPr>
          <w:p w14:paraId="0CDA0D56" w14:textId="77777777" w:rsidR="00000000" w:rsidRDefault="001D0688">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243E5A49"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71A70C9" w14:textId="77777777" w:rsidR="00000000" w:rsidRDefault="001D0688">
            <w:pPr>
              <w:jc w:val="right"/>
              <w:rPr>
                <w:rFonts w:eastAsia="Times New Roman"/>
              </w:rPr>
            </w:pPr>
            <w:r>
              <w:rPr>
                <w:rFonts w:ascii="Arial" w:eastAsia="Times New Roman" w:hAnsi="Arial" w:cs="Arial"/>
                <w:color w:val="000000"/>
                <w:sz w:val="18"/>
                <w:szCs w:val="18"/>
              </w:rPr>
              <w:t>253.7 </w:t>
            </w:r>
          </w:p>
        </w:tc>
        <w:tc>
          <w:tcPr>
            <w:tcW w:w="0" w:type="auto"/>
            <w:shd w:val="clear" w:color="auto" w:fill="FFFFFF"/>
            <w:tcMar>
              <w:top w:w="30" w:type="dxa"/>
              <w:left w:w="0" w:type="dxa"/>
              <w:bottom w:w="30" w:type="dxa"/>
              <w:right w:w="20" w:type="dxa"/>
            </w:tcMar>
            <w:vAlign w:val="bottom"/>
            <w:hideMark/>
          </w:tcPr>
          <w:p w14:paraId="1C658B1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534FF"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1F2212"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E6ADF55" w14:textId="77777777" w:rsidR="00000000" w:rsidRDefault="001D0688">
            <w:pPr>
              <w:jc w:val="right"/>
              <w:rPr>
                <w:rFonts w:eastAsia="Times New Roman"/>
              </w:rPr>
            </w:pPr>
            <w:r>
              <w:rPr>
                <w:rFonts w:ascii="Arial" w:eastAsia="Times New Roman" w:hAnsi="Arial" w:cs="Arial"/>
                <w:color w:val="000000"/>
                <w:sz w:val="18"/>
                <w:szCs w:val="18"/>
              </w:rPr>
              <w:t>182.3 </w:t>
            </w:r>
          </w:p>
        </w:tc>
        <w:tc>
          <w:tcPr>
            <w:tcW w:w="0" w:type="auto"/>
            <w:shd w:val="clear" w:color="auto" w:fill="FFFFFF"/>
            <w:tcMar>
              <w:top w:w="30" w:type="dxa"/>
              <w:left w:w="0" w:type="dxa"/>
              <w:bottom w:w="30" w:type="dxa"/>
              <w:right w:w="20" w:type="dxa"/>
            </w:tcMar>
            <w:vAlign w:val="bottom"/>
            <w:hideMark/>
          </w:tcPr>
          <w:p w14:paraId="1506B51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D2A50"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2D106F"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DDC5633" w14:textId="77777777" w:rsidR="00000000" w:rsidRDefault="001D0688">
            <w:pPr>
              <w:jc w:val="right"/>
              <w:rPr>
                <w:rFonts w:eastAsia="Times New Roman"/>
              </w:rPr>
            </w:pPr>
            <w:r>
              <w:rPr>
                <w:rFonts w:ascii="Arial" w:eastAsia="Times New Roman" w:hAnsi="Arial" w:cs="Arial"/>
                <w:color w:val="000000"/>
                <w:sz w:val="18"/>
                <w:szCs w:val="18"/>
              </w:rPr>
              <w:t>157.9 </w:t>
            </w:r>
          </w:p>
        </w:tc>
        <w:tc>
          <w:tcPr>
            <w:tcW w:w="0" w:type="auto"/>
            <w:shd w:val="clear" w:color="auto" w:fill="FFFFFF"/>
            <w:tcMar>
              <w:top w:w="30" w:type="dxa"/>
              <w:left w:w="0" w:type="dxa"/>
              <w:bottom w:w="30" w:type="dxa"/>
              <w:right w:w="20" w:type="dxa"/>
            </w:tcMar>
            <w:vAlign w:val="bottom"/>
            <w:hideMark/>
          </w:tcPr>
          <w:p w14:paraId="38E3E79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8C934"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8B8398"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6441E6E" w14:textId="77777777" w:rsidR="00000000" w:rsidRDefault="001D0688">
            <w:pPr>
              <w:jc w:val="right"/>
              <w:rPr>
                <w:rFonts w:eastAsia="Times New Roman"/>
              </w:rPr>
            </w:pPr>
            <w:r>
              <w:rPr>
                <w:rFonts w:ascii="Arial" w:eastAsia="Times New Roman" w:hAnsi="Arial" w:cs="Arial"/>
                <w:color w:val="000000"/>
                <w:sz w:val="18"/>
                <w:szCs w:val="18"/>
              </w:rPr>
              <w:t>71.4 </w:t>
            </w:r>
          </w:p>
        </w:tc>
        <w:tc>
          <w:tcPr>
            <w:tcW w:w="0" w:type="auto"/>
            <w:shd w:val="clear" w:color="auto" w:fill="FFFFFF"/>
            <w:tcMar>
              <w:top w:w="30" w:type="dxa"/>
              <w:left w:w="0" w:type="dxa"/>
              <w:bottom w:w="30" w:type="dxa"/>
              <w:right w:w="20" w:type="dxa"/>
            </w:tcMar>
            <w:vAlign w:val="bottom"/>
            <w:hideMark/>
          </w:tcPr>
          <w:p w14:paraId="2E50555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72D0B"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1B7E68B" w14:textId="77777777" w:rsidR="00000000" w:rsidRDefault="001D0688">
            <w:pPr>
              <w:jc w:val="center"/>
              <w:rPr>
                <w:rFonts w:eastAsia="Times New Roman"/>
              </w:rPr>
            </w:pPr>
            <w:r>
              <w:rPr>
                <w:rFonts w:ascii="Arial" w:eastAsia="Times New Roman" w:hAnsi="Arial" w:cs="Arial"/>
                <w:color w:val="000000"/>
                <w:sz w:val="18"/>
                <w:szCs w:val="18"/>
              </w:rPr>
              <w:t>39.2%</w:t>
            </w:r>
          </w:p>
        </w:tc>
      </w:tr>
      <w:tr w:rsidR="00000000" w14:paraId="6DDB91A3" w14:textId="77777777">
        <w:trPr>
          <w:divId w:val="980497922"/>
        </w:trPr>
        <w:tc>
          <w:tcPr>
            <w:tcW w:w="0" w:type="auto"/>
            <w:gridSpan w:val="3"/>
            <w:shd w:val="clear" w:color="auto" w:fill="DCE2EF"/>
            <w:tcMar>
              <w:top w:w="30" w:type="dxa"/>
              <w:left w:w="155" w:type="dxa"/>
              <w:bottom w:w="30" w:type="dxa"/>
              <w:right w:w="20" w:type="dxa"/>
            </w:tcMar>
            <w:vAlign w:val="bottom"/>
            <w:hideMark/>
          </w:tcPr>
          <w:p w14:paraId="24437CF7"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4C1DDCC2" w14:textId="77777777" w:rsidR="00000000" w:rsidRDefault="001D0688">
            <w:pPr>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14:paraId="30AACDD4"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3A6FF35"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89948C7" w14:textId="77777777" w:rsidR="00000000" w:rsidRDefault="001D0688">
            <w:pPr>
              <w:jc w:val="right"/>
              <w:rPr>
                <w:rFonts w:eastAsia="Times New Roman"/>
              </w:rPr>
            </w:pPr>
            <w:r>
              <w:rPr>
                <w:rFonts w:ascii="Arial" w:eastAsia="Times New Roman" w:hAnsi="Arial" w:cs="Arial"/>
                <w:i/>
                <w:iCs/>
                <w:color w:val="000000"/>
                <w:sz w:val="16"/>
                <w:szCs w:val="16"/>
              </w:rPr>
              <w:t>5.6 </w:t>
            </w:r>
          </w:p>
        </w:tc>
        <w:tc>
          <w:tcPr>
            <w:tcW w:w="0" w:type="auto"/>
            <w:shd w:val="clear" w:color="auto" w:fill="DCE2EF"/>
            <w:tcMar>
              <w:top w:w="30" w:type="dxa"/>
              <w:left w:w="0" w:type="dxa"/>
              <w:bottom w:w="30" w:type="dxa"/>
              <w:right w:w="20" w:type="dxa"/>
            </w:tcMar>
            <w:vAlign w:val="bottom"/>
            <w:hideMark/>
          </w:tcPr>
          <w:p w14:paraId="0B89E0CC"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381B82B"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2831D17" w14:textId="77777777" w:rsidR="00000000" w:rsidRDefault="001D0688">
            <w:pPr>
              <w:jc w:val="right"/>
              <w:rPr>
                <w:rFonts w:eastAsia="Times New Roman"/>
              </w:rPr>
            </w:pPr>
            <w:r>
              <w:rPr>
                <w:rFonts w:ascii="Arial" w:eastAsia="Times New Roman" w:hAnsi="Arial" w:cs="Arial"/>
                <w:i/>
                <w:iCs/>
                <w:color w:val="000000"/>
                <w:sz w:val="16"/>
                <w:szCs w:val="16"/>
              </w:rPr>
              <w:t>4.8 </w:t>
            </w:r>
          </w:p>
        </w:tc>
        <w:tc>
          <w:tcPr>
            <w:tcW w:w="0" w:type="auto"/>
            <w:shd w:val="clear" w:color="auto" w:fill="DCE2EF"/>
            <w:tcMar>
              <w:top w:w="30" w:type="dxa"/>
              <w:left w:w="0" w:type="dxa"/>
              <w:bottom w:w="30" w:type="dxa"/>
              <w:right w:w="20" w:type="dxa"/>
            </w:tcMar>
            <w:vAlign w:val="bottom"/>
            <w:hideMark/>
          </w:tcPr>
          <w:p w14:paraId="5AFFE288"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5A259D1"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05C7BAB" w14:textId="77777777" w:rsidR="00000000" w:rsidRDefault="001D0688">
            <w:pPr>
              <w:jc w:val="right"/>
              <w:rPr>
                <w:rFonts w:eastAsia="Times New Roman"/>
              </w:rPr>
            </w:pPr>
            <w:r>
              <w:rPr>
                <w:rFonts w:ascii="Arial" w:eastAsia="Times New Roman" w:hAnsi="Arial" w:cs="Arial"/>
                <w:i/>
                <w:iCs/>
                <w:color w:val="000000"/>
                <w:sz w:val="16"/>
                <w:szCs w:val="16"/>
              </w:rPr>
              <w:t>243 bps</w:t>
            </w:r>
          </w:p>
        </w:tc>
        <w:tc>
          <w:tcPr>
            <w:tcW w:w="0" w:type="auto"/>
            <w:gridSpan w:val="3"/>
            <w:shd w:val="clear" w:color="auto" w:fill="DCE2EF"/>
            <w:tcMar>
              <w:top w:w="0" w:type="dxa"/>
              <w:left w:w="20" w:type="dxa"/>
              <w:bottom w:w="0" w:type="dxa"/>
              <w:right w:w="20" w:type="dxa"/>
            </w:tcMar>
            <w:vAlign w:val="center"/>
            <w:hideMark/>
          </w:tcPr>
          <w:p w14:paraId="570139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0E3A33" w14:textId="77777777" w:rsidR="00000000" w:rsidRDefault="001D0688">
            <w:pPr>
              <w:rPr>
                <w:rFonts w:eastAsia="Times New Roman"/>
                <w:sz w:val="20"/>
                <w:szCs w:val="20"/>
              </w:rPr>
            </w:pPr>
          </w:p>
        </w:tc>
      </w:tr>
      <w:tr w:rsidR="00000000" w14:paraId="5C1E644F" w14:textId="77777777">
        <w:trPr>
          <w:divId w:val="980497922"/>
        </w:trPr>
        <w:tc>
          <w:tcPr>
            <w:tcW w:w="0" w:type="auto"/>
            <w:gridSpan w:val="3"/>
            <w:shd w:val="clear" w:color="auto" w:fill="FFFFFF"/>
            <w:tcMar>
              <w:top w:w="30" w:type="dxa"/>
              <w:left w:w="20" w:type="dxa"/>
              <w:bottom w:w="30" w:type="dxa"/>
              <w:right w:w="20" w:type="dxa"/>
            </w:tcMar>
            <w:vAlign w:val="bottom"/>
            <w:hideMark/>
          </w:tcPr>
          <w:p w14:paraId="1B6F15A0" w14:textId="77777777" w:rsidR="00000000" w:rsidRDefault="001D0688">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14:paraId="0F9D54E6" w14:textId="77777777" w:rsidR="00000000" w:rsidRDefault="001D0688">
            <w:pPr>
              <w:jc w:val="right"/>
              <w:rPr>
                <w:rFonts w:eastAsia="Times New Roman"/>
              </w:rPr>
            </w:pPr>
            <w:r>
              <w:rPr>
                <w:rFonts w:ascii="Arial" w:eastAsia="Times New Roman" w:hAnsi="Arial" w:cs="Arial"/>
                <w:color w:val="000000"/>
                <w:sz w:val="18"/>
                <w:szCs w:val="18"/>
              </w:rPr>
              <w:t>84.4 </w:t>
            </w:r>
          </w:p>
        </w:tc>
        <w:tc>
          <w:tcPr>
            <w:tcW w:w="0" w:type="auto"/>
            <w:shd w:val="clear" w:color="auto" w:fill="FFFFFF"/>
            <w:tcMar>
              <w:top w:w="30" w:type="dxa"/>
              <w:left w:w="0" w:type="dxa"/>
              <w:bottom w:w="30" w:type="dxa"/>
              <w:right w:w="20" w:type="dxa"/>
            </w:tcMar>
            <w:vAlign w:val="bottom"/>
            <w:hideMark/>
          </w:tcPr>
          <w:p w14:paraId="21CEB0C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FB49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065A5" w14:textId="77777777" w:rsidR="00000000" w:rsidRDefault="001D0688">
            <w:pPr>
              <w:jc w:val="right"/>
              <w:rPr>
                <w:rFonts w:eastAsia="Times New Roman"/>
              </w:rPr>
            </w:pPr>
            <w:r>
              <w:rPr>
                <w:rFonts w:ascii="Arial" w:eastAsia="Times New Roman" w:hAnsi="Arial" w:cs="Arial"/>
                <w:color w:val="000000"/>
                <w:sz w:val="18"/>
                <w:szCs w:val="18"/>
              </w:rPr>
              <w:t>72.5 </w:t>
            </w:r>
          </w:p>
        </w:tc>
        <w:tc>
          <w:tcPr>
            <w:tcW w:w="0" w:type="auto"/>
            <w:shd w:val="clear" w:color="auto" w:fill="FFFFFF"/>
            <w:tcMar>
              <w:top w:w="30" w:type="dxa"/>
              <w:left w:w="0" w:type="dxa"/>
              <w:bottom w:w="30" w:type="dxa"/>
              <w:right w:w="20" w:type="dxa"/>
            </w:tcMar>
            <w:vAlign w:val="bottom"/>
            <w:hideMark/>
          </w:tcPr>
          <w:p w14:paraId="67681B6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0C5B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DE242" w14:textId="77777777" w:rsidR="00000000" w:rsidRDefault="001D0688">
            <w:pPr>
              <w:jc w:val="right"/>
              <w:rPr>
                <w:rFonts w:eastAsia="Times New Roman"/>
              </w:rPr>
            </w:pPr>
            <w:r>
              <w:rPr>
                <w:rFonts w:ascii="Arial" w:eastAsia="Times New Roman" w:hAnsi="Arial" w:cs="Arial"/>
                <w:color w:val="000000"/>
                <w:sz w:val="18"/>
                <w:szCs w:val="18"/>
              </w:rPr>
              <w:t>67.4 </w:t>
            </w:r>
          </w:p>
        </w:tc>
        <w:tc>
          <w:tcPr>
            <w:tcW w:w="0" w:type="auto"/>
            <w:shd w:val="clear" w:color="auto" w:fill="FFFFFF"/>
            <w:tcMar>
              <w:top w:w="30" w:type="dxa"/>
              <w:left w:w="0" w:type="dxa"/>
              <w:bottom w:w="30" w:type="dxa"/>
              <w:right w:w="20" w:type="dxa"/>
            </w:tcMar>
            <w:vAlign w:val="bottom"/>
            <w:hideMark/>
          </w:tcPr>
          <w:p w14:paraId="453DE39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08A4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63DCF" w14:textId="77777777" w:rsidR="00000000" w:rsidRDefault="001D0688">
            <w:pPr>
              <w:jc w:val="right"/>
              <w:rPr>
                <w:rFonts w:eastAsia="Times New Roman"/>
              </w:rPr>
            </w:pPr>
            <w:r>
              <w:rPr>
                <w:rFonts w:ascii="Arial" w:eastAsia="Times New Roman" w:hAnsi="Arial" w:cs="Arial"/>
                <w:color w:val="000000"/>
                <w:sz w:val="18"/>
                <w:szCs w:val="18"/>
              </w:rPr>
              <w:t>11.9 </w:t>
            </w:r>
          </w:p>
        </w:tc>
        <w:tc>
          <w:tcPr>
            <w:tcW w:w="0" w:type="auto"/>
            <w:shd w:val="clear" w:color="auto" w:fill="FFFFFF"/>
            <w:tcMar>
              <w:top w:w="30" w:type="dxa"/>
              <w:left w:w="0" w:type="dxa"/>
              <w:bottom w:w="30" w:type="dxa"/>
              <w:right w:w="20" w:type="dxa"/>
            </w:tcMar>
            <w:vAlign w:val="bottom"/>
            <w:hideMark/>
          </w:tcPr>
          <w:p w14:paraId="340DEAA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06C01"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66C1995" w14:textId="77777777" w:rsidR="00000000" w:rsidRDefault="001D0688">
            <w:pPr>
              <w:jc w:val="center"/>
              <w:rPr>
                <w:rFonts w:eastAsia="Times New Roman"/>
              </w:rPr>
            </w:pPr>
            <w:r>
              <w:rPr>
                <w:rFonts w:ascii="Arial" w:eastAsia="Times New Roman" w:hAnsi="Arial" w:cs="Arial"/>
                <w:color w:val="000000"/>
                <w:sz w:val="18"/>
                <w:szCs w:val="18"/>
              </w:rPr>
              <w:t>16.5%</w:t>
            </w:r>
          </w:p>
        </w:tc>
      </w:tr>
      <w:tr w:rsidR="00000000" w14:paraId="6D4C7A14" w14:textId="77777777">
        <w:trPr>
          <w:divId w:val="980497922"/>
        </w:trPr>
        <w:tc>
          <w:tcPr>
            <w:tcW w:w="0" w:type="auto"/>
            <w:gridSpan w:val="3"/>
            <w:shd w:val="clear" w:color="auto" w:fill="DCE2EF"/>
            <w:tcMar>
              <w:top w:w="30" w:type="dxa"/>
              <w:left w:w="155" w:type="dxa"/>
              <w:bottom w:w="30" w:type="dxa"/>
              <w:right w:w="20" w:type="dxa"/>
            </w:tcMar>
            <w:vAlign w:val="bottom"/>
            <w:hideMark/>
          </w:tcPr>
          <w:p w14:paraId="14FB1C38"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00764AF1" w14:textId="77777777" w:rsidR="00000000" w:rsidRDefault="001D0688">
            <w:pPr>
              <w:jc w:val="right"/>
              <w:rPr>
                <w:rFonts w:eastAsia="Times New Roman"/>
              </w:rPr>
            </w:pPr>
            <w:r>
              <w:rPr>
                <w:rFonts w:ascii="Arial" w:eastAsia="Times New Roman" w:hAnsi="Arial" w:cs="Arial"/>
                <w:i/>
                <w:iCs/>
                <w:color w:val="000000"/>
                <w:sz w:val="16"/>
                <w:szCs w:val="16"/>
              </w:rPr>
              <w:t>8.8 </w:t>
            </w:r>
          </w:p>
        </w:tc>
        <w:tc>
          <w:tcPr>
            <w:tcW w:w="0" w:type="auto"/>
            <w:shd w:val="clear" w:color="auto" w:fill="DCE2EF"/>
            <w:tcMar>
              <w:top w:w="30" w:type="dxa"/>
              <w:left w:w="0" w:type="dxa"/>
              <w:bottom w:w="30" w:type="dxa"/>
              <w:right w:w="20" w:type="dxa"/>
            </w:tcMar>
            <w:vAlign w:val="bottom"/>
            <w:hideMark/>
          </w:tcPr>
          <w:p w14:paraId="5525B4AD"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291225F"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4E06D6E" w14:textId="77777777" w:rsidR="00000000" w:rsidRDefault="001D0688">
            <w:pPr>
              <w:jc w:val="right"/>
              <w:rPr>
                <w:rFonts w:eastAsia="Times New Roman"/>
              </w:rPr>
            </w:pPr>
            <w:r>
              <w:rPr>
                <w:rFonts w:ascii="Arial" w:eastAsia="Times New Roman" w:hAnsi="Arial" w:cs="Arial"/>
                <w:i/>
                <w:iCs/>
                <w:color w:val="000000"/>
                <w:sz w:val="16"/>
                <w:szCs w:val="16"/>
              </w:rPr>
              <w:t>7.9 </w:t>
            </w:r>
          </w:p>
        </w:tc>
        <w:tc>
          <w:tcPr>
            <w:tcW w:w="0" w:type="auto"/>
            <w:shd w:val="clear" w:color="auto" w:fill="DCE2EF"/>
            <w:tcMar>
              <w:top w:w="30" w:type="dxa"/>
              <w:left w:w="0" w:type="dxa"/>
              <w:bottom w:w="30" w:type="dxa"/>
              <w:right w:w="20" w:type="dxa"/>
            </w:tcMar>
            <w:vAlign w:val="bottom"/>
            <w:hideMark/>
          </w:tcPr>
          <w:p w14:paraId="20D2E36A"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56B13CD"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7E38574" w14:textId="77777777" w:rsidR="00000000" w:rsidRDefault="001D0688">
            <w:pPr>
              <w:jc w:val="right"/>
              <w:rPr>
                <w:rFonts w:eastAsia="Times New Roman"/>
              </w:rPr>
            </w:pPr>
            <w:r>
              <w:rPr>
                <w:rFonts w:ascii="Arial" w:eastAsia="Times New Roman" w:hAnsi="Arial" w:cs="Arial"/>
                <w:i/>
                <w:iCs/>
                <w:color w:val="000000"/>
                <w:sz w:val="16"/>
                <w:szCs w:val="16"/>
              </w:rPr>
              <w:t>7.3 </w:t>
            </w:r>
          </w:p>
        </w:tc>
        <w:tc>
          <w:tcPr>
            <w:tcW w:w="0" w:type="auto"/>
            <w:shd w:val="clear" w:color="auto" w:fill="DCE2EF"/>
            <w:tcMar>
              <w:top w:w="30" w:type="dxa"/>
              <w:left w:w="0" w:type="dxa"/>
              <w:bottom w:w="30" w:type="dxa"/>
              <w:right w:w="20" w:type="dxa"/>
            </w:tcMar>
            <w:vAlign w:val="bottom"/>
            <w:hideMark/>
          </w:tcPr>
          <w:p w14:paraId="3E836EC9"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33DDEF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79FDB04" w14:textId="77777777" w:rsidR="00000000" w:rsidRDefault="001D0688">
            <w:pPr>
              <w:jc w:val="right"/>
              <w:rPr>
                <w:rFonts w:eastAsia="Times New Roman"/>
              </w:rPr>
            </w:pPr>
            <w:r>
              <w:rPr>
                <w:rFonts w:ascii="Arial" w:eastAsia="Times New Roman" w:hAnsi="Arial" w:cs="Arial"/>
                <w:i/>
                <w:iCs/>
                <w:color w:val="000000"/>
                <w:sz w:val="16"/>
                <w:szCs w:val="16"/>
              </w:rPr>
              <w:t>93 bps</w:t>
            </w:r>
          </w:p>
        </w:tc>
        <w:tc>
          <w:tcPr>
            <w:tcW w:w="0" w:type="auto"/>
            <w:gridSpan w:val="3"/>
            <w:shd w:val="clear" w:color="auto" w:fill="DCE2EF"/>
            <w:tcMar>
              <w:top w:w="0" w:type="dxa"/>
              <w:left w:w="20" w:type="dxa"/>
              <w:bottom w:w="0" w:type="dxa"/>
              <w:right w:w="20" w:type="dxa"/>
            </w:tcMar>
            <w:vAlign w:val="center"/>
            <w:hideMark/>
          </w:tcPr>
          <w:p w14:paraId="1AA1D2C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205AE9" w14:textId="77777777" w:rsidR="00000000" w:rsidRDefault="001D0688">
            <w:pPr>
              <w:rPr>
                <w:rFonts w:eastAsia="Times New Roman"/>
                <w:sz w:val="20"/>
                <w:szCs w:val="20"/>
              </w:rPr>
            </w:pPr>
          </w:p>
        </w:tc>
      </w:tr>
      <w:tr w:rsidR="00000000" w14:paraId="2244170C" w14:textId="77777777">
        <w:trPr>
          <w:divId w:val="980497922"/>
        </w:trPr>
        <w:tc>
          <w:tcPr>
            <w:tcW w:w="0" w:type="auto"/>
            <w:gridSpan w:val="3"/>
            <w:shd w:val="clear" w:color="auto" w:fill="FFFFFF"/>
            <w:tcMar>
              <w:top w:w="30" w:type="dxa"/>
              <w:left w:w="20" w:type="dxa"/>
              <w:bottom w:w="30" w:type="dxa"/>
              <w:right w:w="20" w:type="dxa"/>
            </w:tcMar>
            <w:vAlign w:val="bottom"/>
            <w:hideMark/>
          </w:tcPr>
          <w:p w14:paraId="29F43E83" w14:textId="77777777" w:rsidR="00000000" w:rsidRDefault="001D0688">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1A0EFB23" w14:textId="77777777" w:rsidR="00000000" w:rsidRDefault="001D0688">
            <w:pPr>
              <w:jc w:val="right"/>
              <w:rPr>
                <w:rFonts w:eastAsia="Times New Roman"/>
              </w:rPr>
            </w:pPr>
            <w:r>
              <w:rPr>
                <w:rFonts w:ascii="Arial" w:eastAsia="Times New Roman" w:hAnsi="Arial" w:cs="Arial"/>
                <w:color w:val="000000"/>
                <w:sz w:val="18"/>
                <w:szCs w:val="18"/>
              </w:rPr>
              <w:t>(41.1)</w:t>
            </w:r>
          </w:p>
        </w:tc>
        <w:tc>
          <w:tcPr>
            <w:tcW w:w="0" w:type="auto"/>
            <w:shd w:val="clear" w:color="auto" w:fill="FFFFFF"/>
            <w:tcMar>
              <w:top w:w="30" w:type="dxa"/>
              <w:left w:w="0" w:type="dxa"/>
              <w:bottom w:w="30" w:type="dxa"/>
              <w:right w:w="20" w:type="dxa"/>
            </w:tcMar>
            <w:vAlign w:val="bottom"/>
            <w:hideMark/>
          </w:tcPr>
          <w:p w14:paraId="4BC5357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2236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35E1B7" w14:textId="77777777" w:rsidR="00000000" w:rsidRDefault="001D0688">
            <w:pPr>
              <w:jc w:val="right"/>
              <w:rPr>
                <w:rFonts w:eastAsia="Times New Roman"/>
              </w:rPr>
            </w:pPr>
            <w:r>
              <w:rPr>
                <w:rFonts w:ascii="Arial" w:eastAsia="Times New Roman" w:hAnsi="Arial" w:cs="Arial"/>
                <w:color w:val="000000"/>
                <w:sz w:val="18"/>
                <w:szCs w:val="18"/>
              </w:rPr>
              <w:t>39.0 </w:t>
            </w:r>
          </w:p>
        </w:tc>
        <w:tc>
          <w:tcPr>
            <w:tcW w:w="0" w:type="auto"/>
            <w:shd w:val="clear" w:color="auto" w:fill="FFFFFF"/>
            <w:tcMar>
              <w:top w:w="30" w:type="dxa"/>
              <w:left w:w="0" w:type="dxa"/>
              <w:bottom w:w="30" w:type="dxa"/>
              <w:right w:w="20" w:type="dxa"/>
            </w:tcMar>
            <w:vAlign w:val="bottom"/>
            <w:hideMark/>
          </w:tcPr>
          <w:p w14:paraId="7821108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31BB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CA7F29" w14:textId="77777777" w:rsidR="00000000" w:rsidRDefault="001D0688">
            <w:pPr>
              <w:jc w:val="right"/>
              <w:rPr>
                <w:rFonts w:eastAsia="Times New Roman"/>
              </w:rPr>
            </w:pPr>
            <w:r>
              <w:rPr>
                <w:rFonts w:ascii="Arial" w:eastAsia="Times New Roman" w:hAnsi="Arial" w:cs="Arial"/>
                <w:color w:val="000000"/>
                <w:sz w:val="18"/>
                <w:szCs w:val="18"/>
              </w:rPr>
              <w:t>44.1 </w:t>
            </w:r>
          </w:p>
        </w:tc>
        <w:tc>
          <w:tcPr>
            <w:tcW w:w="0" w:type="auto"/>
            <w:shd w:val="clear" w:color="auto" w:fill="FFFFFF"/>
            <w:tcMar>
              <w:top w:w="30" w:type="dxa"/>
              <w:left w:w="0" w:type="dxa"/>
              <w:bottom w:w="30" w:type="dxa"/>
              <w:right w:w="20" w:type="dxa"/>
            </w:tcMar>
            <w:vAlign w:val="bottom"/>
            <w:hideMark/>
          </w:tcPr>
          <w:p w14:paraId="527D3FA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EE78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49F9A" w14:textId="77777777" w:rsidR="00000000" w:rsidRDefault="001D0688">
            <w:pPr>
              <w:jc w:val="right"/>
              <w:rPr>
                <w:rFonts w:eastAsia="Times New Roman"/>
              </w:rPr>
            </w:pPr>
            <w:r>
              <w:rPr>
                <w:rFonts w:ascii="Arial" w:eastAsia="Times New Roman" w:hAnsi="Arial" w:cs="Arial"/>
                <w:color w:val="000000"/>
                <w:sz w:val="18"/>
                <w:szCs w:val="18"/>
              </w:rPr>
              <w:t>(80.1)</w:t>
            </w:r>
          </w:p>
        </w:tc>
        <w:tc>
          <w:tcPr>
            <w:tcW w:w="0" w:type="auto"/>
            <w:shd w:val="clear" w:color="auto" w:fill="FFFFFF"/>
            <w:tcMar>
              <w:top w:w="30" w:type="dxa"/>
              <w:left w:w="0" w:type="dxa"/>
              <w:bottom w:w="30" w:type="dxa"/>
              <w:right w:w="20" w:type="dxa"/>
            </w:tcMar>
            <w:vAlign w:val="bottom"/>
            <w:hideMark/>
          </w:tcPr>
          <w:p w14:paraId="536B98F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7C9D1"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663676"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0C41ABFF" w14:textId="77777777">
        <w:trPr>
          <w:divId w:val="980497922"/>
        </w:trPr>
        <w:tc>
          <w:tcPr>
            <w:tcW w:w="0" w:type="auto"/>
            <w:gridSpan w:val="3"/>
            <w:shd w:val="clear" w:color="auto" w:fill="DCE2EF"/>
            <w:tcMar>
              <w:top w:w="30" w:type="dxa"/>
              <w:left w:w="155" w:type="dxa"/>
              <w:bottom w:w="30" w:type="dxa"/>
              <w:right w:w="20" w:type="dxa"/>
            </w:tcMar>
            <w:vAlign w:val="bottom"/>
            <w:hideMark/>
          </w:tcPr>
          <w:p w14:paraId="2934FA75"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70791ED6" w14:textId="77777777" w:rsidR="00000000" w:rsidRDefault="001D0688">
            <w:pPr>
              <w:jc w:val="right"/>
              <w:rPr>
                <w:rFonts w:eastAsia="Times New Roman"/>
              </w:rPr>
            </w:pPr>
            <w:r>
              <w:rPr>
                <w:rFonts w:ascii="Arial" w:eastAsia="Times New Roman" w:hAnsi="Arial" w:cs="Arial"/>
                <w:i/>
                <w:iCs/>
                <w:color w:val="000000"/>
                <w:sz w:val="16"/>
                <w:szCs w:val="16"/>
              </w:rPr>
              <w:t>(5.1)</w:t>
            </w:r>
          </w:p>
        </w:tc>
        <w:tc>
          <w:tcPr>
            <w:tcW w:w="0" w:type="auto"/>
            <w:shd w:val="clear" w:color="auto" w:fill="DCE2EF"/>
            <w:tcMar>
              <w:top w:w="30" w:type="dxa"/>
              <w:left w:w="0" w:type="dxa"/>
              <w:bottom w:w="30" w:type="dxa"/>
              <w:right w:w="20" w:type="dxa"/>
            </w:tcMar>
            <w:vAlign w:val="bottom"/>
            <w:hideMark/>
          </w:tcPr>
          <w:p w14:paraId="71A0EAC1"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55AE76C"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B6CF712" w14:textId="77777777" w:rsidR="00000000" w:rsidRDefault="001D0688">
            <w:pPr>
              <w:jc w:val="right"/>
              <w:rPr>
                <w:rFonts w:eastAsia="Times New Roman"/>
              </w:rPr>
            </w:pPr>
            <w:r>
              <w:rPr>
                <w:rFonts w:ascii="Arial" w:eastAsia="Times New Roman" w:hAnsi="Arial" w:cs="Arial"/>
                <w:i/>
                <w:iCs/>
                <w:color w:val="000000"/>
                <w:sz w:val="16"/>
                <w:szCs w:val="16"/>
              </w:rPr>
              <w:t>4.6 </w:t>
            </w:r>
          </w:p>
        </w:tc>
        <w:tc>
          <w:tcPr>
            <w:tcW w:w="0" w:type="auto"/>
            <w:shd w:val="clear" w:color="auto" w:fill="DCE2EF"/>
            <w:tcMar>
              <w:top w:w="30" w:type="dxa"/>
              <w:left w:w="0" w:type="dxa"/>
              <w:bottom w:w="30" w:type="dxa"/>
              <w:right w:w="20" w:type="dxa"/>
            </w:tcMar>
            <w:vAlign w:val="bottom"/>
            <w:hideMark/>
          </w:tcPr>
          <w:p w14:paraId="2E4F4967"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2BFC26B"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1926016" w14:textId="77777777" w:rsidR="00000000" w:rsidRDefault="001D0688">
            <w:pPr>
              <w:jc w:val="right"/>
              <w:rPr>
                <w:rFonts w:eastAsia="Times New Roman"/>
              </w:rPr>
            </w:pPr>
            <w:r>
              <w:rPr>
                <w:rFonts w:ascii="Arial" w:eastAsia="Times New Roman" w:hAnsi="Arial" w:cs="Arial"/>
                <w:i/>
                <w:iCs/>
                <w:color w:val="000000"/>
                <w:sz w:val="16"/>
                <w:szCs w:val="16"/>
              </w:rPr>
              <w:t>5.1 </w:t>
            </w:r>
          </w:p>
        </w:tc>
        <w:tc>
          <w:tcPr>
            <w:tcW w:w="0" w:type="auto"/>
            <w:shd w:val="clear" w:color="auto" w:fill="DCE2EF"/>
            <w:tcMar>
              <w:top w:w="30" w:type="dxa"/>
              <w:left w:w="0" w:type="dxa"/>
              <w:bottom w:w="30" w:type="dxa"/>
              <w:right w:w="20" w:type="dxa"/>
            </w:tcMar>
            <w:vAlign w:val="bottom"/>
            <w:hideMark/>
          </w:tcPr>
          <w:p w14:paraId="677CDDF8"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C5C52DB"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CE35FBE" w14:textId="77777777" w:rsidR="00000000" w:rsidRDefault="001D0688">
            <w:pPr>
              <w:jc w:val="right"/>
              <w:rPr>
                <w:rFonts w:eastAsia="Times New Roman"/>
              </w:rPr>
            </w:pPr>
            <w:r>
              <w:rPr>
                <w:rFonts w:ascii="Arial" w:eastAsia="Times New Roman" w:hAnsi="Arial" w:cs="Arial"/>
                <w:i/>
                <w:iCs/>
                <w:color w:val="000000"/>
                <w:sz w:val="16"/>
                <w:szCs w:val="16"/>
              </w:rPr>
              <w:t>(969) bps</w:t>
            </w:r>
          </w:p>
        </w:tc>
        <w:tc>
          <w:tcPr>
            <w:tcW w:w="0" w:type="auto"/>
            <w:gridSpan w:val="3"/>
            <w:shd w:val="clear" w:color="auto" w:fill="DCE2EF"/>
            <w:tcMar>
              <w:top w:w="0" w:type="dxa"/>
              <w:left w:w="20" w:type="dxa"/>
              <w:bottom w:w="0" w:type="dxa"/>
              <w:right w:w="20" w:type="dxa"/>
            </w:tcMar>
            <w:vAlign w:val="center"/>
            <w:hideMark/>
          </w:tcPr>
          <w:p w14:paraId="79DCE11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B47D8F" w14:textId="77777777" w:rsidR="00000000" w:rsidRDefault="001D0688">
            <w:pPr>
              <w:rPr>
                <w:rFonts w:eastAsia="Times New Roman"/>
                <w:sz w:val="20"/>
                <w:szCs w:val="20"/>
              </w:rPr>
            </w:pPr>
          </w:p>
        </w:tc>
      </w:tr>
      <w:tr w:rsidR="00000000" w14:paraId="360ABEFF" w14:textId="77777777">
        <w:trPr>
          <w:divId w:val="980497922"/>
        </w:trPr>
        <w:tc>
          <w:tcPr>
            <w:tcW w:w="0" w:type="auto"/>
            <w:gridSpan w:val="3"/>
            <w:shd w:val="clear" w:color="auto" w:fill="FFFFFF"/>
            <w:tcMar>
              <w:top w:w="30" w:type="dxa"/>
              <w:left w:w="20" w:type="dxa"/>
              <w:bottom w:w="30" w:type="dxa"/>
              <w:right w:w="20" w:type="dxa"/>
            </w:tcMar>
            <w:vAlign w:val="bottom"/>
            <w:hideMark/>
          </w:tcPr>
          <w:p w14:paraId="4E700F55" w14:textId="77777777" w:rsidR="00000000" w:rsidRDefault="001D0688">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14:paraId="3C090479" w14:textId="77777777" w:rsidR="00000000" w:rsidRDefault="001D0688">
            <w:pPr>
              <w:jc w:val="right"/>
              <w:rPr>
                <w:rFonts w:eastAsia="Times New Roman"/>
              </w:rPr>
            </w:pPr>
            <w:r>
              <w:rPr>
                <w:rFonts w:ascii="Arial" w:eastAsia="Times New Roman" w:hAnsi="Arial" w:cs="Arial"/>
                <w:color w:val="000000"/>
                <w:sz w:val="18"/>
                <w:szCs w:val="18"/>
              </w:rPr>
              <w:t>(59.6)</w:t>
            </w:r>
          </w:p>
        </w:tc>
        <w:tc>
          <w:tcPr>
            <w:tcW w:w="0" w:type="auto"/>
            <w:shd w:val="clear" w:color="auto" w:fill="FFFFFF"/>
            <w:tcMar>
              <w:top w:w="30" w:type="dxa"/>
              <w:left w:w="0" w:type="dxa"/>
              <w:bottom w:w="30" w:type="dxa"/>
              <w:right w:w="20" w:type="dxa"/>
            </w:tcMar>
            <w:vAlign w:val="bottom"/>
            <w:hideMark/>
          </w:tcPr>
          <w:p w14:paraId="40FD729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111F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BC3E00" w14:textId="77777777" w:rsidR="00000000" w:rsidRDefault="001D0688">
            <w:pPr>
              <w:jc w:val="right"/>
              <w:rPr>
                <w:rFonts w:eastAsia="Times New Roman"/>
              </w:rPr>
            </w:pPr>
            <w:r>
              <w:rPr>
                <w:rFonts w:ascii="Arial" w:eastAsia="Times New Roman" w:hAnsi="Arial" w:cs="Arial"/>
                <w:color w:val="000000"/>
                <w:sz w:val="18"/>
                <w:szCs w:val="18"/>
              </w:rPr>
              <w:t>21.1 </w:t>
            </w:r>
          </w:p>
        </w:tc>
        <w:tc>
          <w:tcPr>
            <w:tcW w:w="0" w:type="auto"/>
            <w:shd w:val="clear" w:color="auto" w:fill="FFFFFF"/>
            <w:tcMar>
              <w:top w:w="30" w:type="dxa"/>
              <w:left w:w="0" w:type="dxa"/>
              <w:bottom w:w="30" w:type="dxa"/>
              <w:right w:w="20" w:type="dxa"/>
            </w:tcMar>
            <w:vAlign w:val="bottom"/>
            <w:hideMark/>
          </w:tcPr>
          <w:p w14:paraId="49A3621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6C8E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5F066" w14:textId="77777777" w:rsidR="00000000" w:rsidRDefault="001D0688">
            <w:pPr>
              <w:jc w:val="right"/>
              <w:rPr>
                <w:rFonts w:eastAsia="Times New Roman"/>
              </w:rPr>
            </w:pPr>
            <w:r>
              <w:rPr>
                <w:rFonts w:ascii="Arial" w:eastAsia="Times New Roman" w:hAnsi="Arial" w:cs="Arial"/>
                <w:color w:val="000000"/>
                <w:sz w:val="18"/>
                <w:szCs w:val="18"/>
              </w:rPr>
              <w:t>23.2 </w:t>
            </w:r>
          </w:p>
        </w:tc>
        <w:tc>
          <w:tcPr>
            <w:tcW w:w="0" w:type="auto"/>
            <w:shd w:val="clear" w:color="auto" w:fill="FFFFFF"/>
            <w:tcMar>
              <w:top w:w="30" w:type="dxa"/>
              <w:left w:w="0" w:type="dxa"/>
              <w:bottom w:w="30" w:type="dxa"/>
              <w:right w:w="20" w:type="dxa"/>
            </w:tcMar>
            <w:vAlign w:val="bottom"/>
            <w:hideMark/>
          </w:tcPr>
          <w:p w14:paraId="5E6478E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E4B4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B6A3E" w14:textId="77777777" w:rsidR="00000000" w:rsidRDefault="001D0688">
            <w:pPr>
              <w:jc w:val="right"/>
              <w:rPr>
                <w:rFonts w:eastAsia="Times New Roman"/>
              </w:rPr>
            </w:pPr>
            <w:r>
              <w:rPr>
                <w:rFonts w:ascii="Arial" w:eastAsia="Times New Roman" w:hAnsi="Arial" w:cs="Arial"/>
                <w:color w:val="000000"/>
                <w:sz w:val="18"/>
                <w:szCs w:val="18"/>
              </w:rPr>
              <w:t>(80.7)</w:t>
            </w:r>
          </w:p>
        </w:tc>
        <w:tc>
          <w:tcPr>
            <w:tcW w:w="0" w:type="auto"/>
            <w:shd w:val="clear" w:color="auto" w:fill="FFFFFF"/>
            <w:tcMar>
              <w:top w:w="30" w:type="dxa"/>
              <w:left w:w="0" w:type="dxa"/>
              <w:bottom w:w="30" w:type="dxa"/>
              <w:right w:w="20" w:type="dxa"/>
            </w:tcMar>
            <w:vAlign w:val="bottom"/>
            <w:hideMark/>
          </w:tcPr>
          <w:p w14:paraId="25C798E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0A6BC"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C496093"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129B7020" w14:textId="77777777">
        <w:trPr>
          <w:divId w:val="980497922"/>
        </w:trPr>
        <w:tc>
          <w:tcPr>
            <w:tcW w:w="0" w:type="auto"/>
            <w:gridSpan w:val="3"/>
            <w:shd w:val="clear" w:color="auto" w:fill="DCE2EF"/>
            <w:tcMar>
              <w:top w:w="30" w:type="dxa"/>
              <w:left w:w="155" w:type="dxa"/>
              <w:bottom w:w="30" w:type="dxa"/>
              <w:right w:w="20" w:type="dxa"/>
            </w:tcMar>
            <w:vAlign w:val="bottom"/>
            <w:hideMark/>
          </w:tcPr>
          <w:p w14:paraId="554DFD13"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2BF2A3D6" w14:textId="77777777" w:rsidR="00000000" w:rsidRDefault="001D0688">
            <w:pPr>
              <w:jc w:val="right"/>
              <w:rPr>
                <w:rFonts w:eastAsia="Times New Roman"/>
              </w:rPr>
            </w:pPr>
            <w:r>
              <w:rPr>
                <w:rFonts w:ascii="Arial" w:eastAsia="Times New Roman" w:hAnsi="Arial" w:cs="Arial"/>
                <w:i/>
                <w:iCs/>
                <w:color w:val="000000"/>
                <w:sz w:val="16"/>
                <w:szCs w:val="16"/>
              </w:rPr>
              <w:t>(8.7)</w:t>
            </w:r>
          </w:p>
        </w:tc>
        <w:tc>
          <w:tcPr>
            <w:tcW w:w="0" w:type="auto"/>
            <w:shd w:val="clear" w:color="auto" w:fill="DCE2EF"/>
            <w:tcMar>
              <w:top w:w="30" w:type="dxa"/>
              <w:left w:w="0" w:type="dxa"/>
              <w:bottom w:w="30" w:type="dxa"/>
              <w:right w:w="20" w:type="dxa"/>
            </w:tcMar>
            <w:vAlign w:val="bottom"/>
            <w:hideMark/>
          </w:tcPr>
          <w:p w14:paraId="16840BBB"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2C2C73E"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5628C35" w14:textId="77777777" w:rsidR="00000000" w:rsidRDefault="001D0688">
            <w:pPr>
              <w:jc w:val="right"/>
              <w:rPr>
                <w:rFonts w:eastAsia="Times New Roman"/>
              </w:rPr>
            </w:pPr>
            <w:r>
              <w:rPr>
                <w:rFonts w:ascii="Arial" w:eastAsia="Times New Roman" w:hAnsi="Arial" w:cs="Arial"/>
                <w:i/>
                <w:iCs/>
                <w:color w:val="000000"/>
                <w:sz w:val="16"/>
                <w:szCs w:val="16"/>
              </w:rPr>
              <w:t>2.1 </w:t>
            </w:r>
          </w:p>
        </w:tc>
        <w:tc>
          <w:tcPr>
            <w:tcW w:w="0" w:type="auto"/>
            <w:shd w:val="clear" w:color="auto" w:fill="DCE2EF"/>
            <w:tcMar>
              <w:top w:w="30" w:type="dxa"/>
              <w:left w:w="0" w:type="dxa"/>
              <w:bottom w:w="30" w:type="dxa"/>
              <w:right w:w="20" w:type="dxa"/>
            </w:tcMar>
            <w:vAlign w:val="bottom"/>
            <w:hideMark/>
          </w:tcPr>
          <w:p w14:paraId="10A9C2AB"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B9DE5CC"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385AE7B" w14:textId="77777777" w:rsidR="00000000" w:rsidRDefault="001D0688">
            <w:pPr>
              <w:jc w:val="right"/>
              <w:rPr>
                <w:rFonts w:eastAsia="Times New Roman"/>
              </w:rPr>
            </w:pPr>
            <w:r>
              <w:rPr>
                <w:rFonts w:ascii="Arial" w:eastAsia="Times New Roman" w:hAnsi="Arial" w:cs="Arial"/>
                <w:i/>
                <w:iCs/>
                <w:color w:val="000000"/>
                <w:sz w:val="16"/>
                <w:szCs w:val="16"/>
              </w:rPr>
              <w:t>2.2 </w:t>
            </w:r>
          </w:p>
        </w:tc>
        <w:tc>
          <w:tcPr>
            <w:tcW w:w="0" w:type="auto"/>
            <w:shd w:val="clear" w:color="auto" w:fill="DCE2EF"/>
            <w:tcMar>
              <w:top w:w="30" w:type="dxa"/>
              <w:left w:w="0" w:type="dxa"/>
              <w:bottom w:w="30" w:type="dxa"/>
              <w:right w:w="20" w:type="dxa"/>
            </w:tcMar>
            <w:vAlign w:val="bottom"/>
            <w:hideMark/>
          </w:tcPr>
          <w:p w14:paraId="4A8389B0"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3345F915"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E7173CC" w14:textId="77777777" w:rsidR="00000000" w:rsidRDefault="001D0688">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14:paraId="0174126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F3DE13" w14:textId="77777777" w:rsidR="00000000" w:rsidRDefault="001D0688">
            <w:pPr>
              <w:rPr>
                <w:rFonts w:eastAsia="Times New Roman"/>
                <w:sz w:val="20"/>
                <w:szCs w:val="20"/>
              </w:rPr>
            </w:pPr>
          </w:p>
        </w:tc>
      </w:tr>
      <w:tr w:rsidR="00000000" w14:paraId="664DBA0E" w14:textId="77777777">
        <w:trPr>
          <w:divId w:val="980497922"/>
        </w:trPr>
        <w:tc>
          <w:tcPr>
            <w:tcW w:w="0" w:type="auto"/>
            <w:gridSpan w:val="3"/>
            <w:shd w:val="clear" w:color="auto" w:fill="FFFFFF"/>
            <w:tcMar>
              <w:top w:w="30" w:type="dxa"/>
              <w:left w:w="20" w:type="dxa"/>
              <w:bottom w:w="30" w:type="dxa"/>
              <w:right w:w="20" w:type="dxa"/>
            </w:tcMar>
            <w:vAlign w:val="bottom"/>
            <w:hideMark/>
          </w:tcPr>
          <w:p w14:paraId="702925CF" w14:textId="77777777" w:rsidR="00000000" w:rsidRDefault="001D0688">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759C5A27" w14:textId="77777777" w:rsidR="00000000" w:rsidRDefault="001D0688">
            <w:pPr>
              <w:jc w:val="right"/>
              <w:rPr>
                <w:rFonts w:eastAsia="Times New Roman"/>
              </w:rPr>
            </w:pPr>
            <w:r>
              <w:rPr>
                <w:rFonts w:ascii="Arial" w:eastAsia="Times New Roman" w:hAnsi="Arial" w:cs="Arial"/>
                <w:color w:val="000000"/>
                <w:sz w:val="18"/>
                <w:szCs w:val="18"/>
              </w:rPr>
              <w:t>9.5 </w:t>
            </w:r>
          </w:p>
        </w:tc>
        <w:tc>
          <w:tcPr>
            <w:tcW w:w="0" w:type="auto"/>
            <w:shd w:val="clear" w:color="auto" w:fill="FFFFFF"/>
            <w:tcMar>
              <w:top w:w="30" w:type="dxa"/>
              <w:left w:w="0" w:type="dxa"/>
              <w:bottom w:w="30" w:type="dxa"/>
              <w:right w:w="20" w:type="dxa"/>
            </w:tcMar>
            <w:vAlign w:val="bottom"/>
            <w:hideMark/>
          </w:tcPr>
          <w:p w14:paraId="0A3B700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45DC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E9AD2" w14:textId="77777777" w:rsidR="00000000" w:rsidRDefault="001D0688">
            <w:pPr>
              <w:jc w:val="right"/>
              <w:rPr>
                <w:rFonts w:eastAsia="Times New Roman"/>
              </w:rPr>
            </w:pPr>
            <w:r>
              <w:rPr>
                <w:rFonts w:ascii="Arial" w:eastAsia="Times New Roman" w:hAnsi="Arial" w:cs="Arial"/>
                <w:color w:val="000000"/>
                <w:sz w:val="18"/>
                <w:szCs w:val="18"/>
              </w:rPr>
              <w:t>55.4 </w:t>
            </w:r>
          </w:p>
        </w:tc>
        <w:tc>
          <w:tcPr>
            <w:tcW w:w="0" w:type="auto"/>
            <w:shd w:val="clear" w:color="auto" w:fill="FFFFFF"/>
            <w:tcMar>
              <w:top w:w="30" w:type="dxa"/>
              <w:left w:w="0" w:type="dxa"/>
              <w:bottom w:w="30" w:type="dxa"/>
              <w:right w:w="20" w:type="dxa"/>
            </w:tcMar>
            <w:vAlign w:val="bottom"/>
            <w:hideMark/>
          </w:tcPr>
          <w:p w14:paraId="731649F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0AD9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AFAB42" w14:textId="77777777" w:rsidR="00000000" w:rsidRDefault="001D0688">
            <w:pPr>
              <w:jc w:val="right"/>
              <w:rPr>
                <w:rFonts w:eastAsia="Times New Roman"/>
              </w:rPr>
            </w:pPr>
            <w:r>
              <w:rPr>
                <w:rFonts w:ascii="Arial" w:eastAsia="Times New Roman" w:hAnsi="Arial" w:cs="Arial"/>
                <w:color w:val="000000"/>
                <w:sz w:val="18"/>
                <w:szCs w:val="18"/>
              </w:rPr>
              <w:t>21.8 </w:t>
            </w:r>
          </w:p>
        </w:tc>
        <w:tc>
          <w:tcPr>
            <w:tcW w:w="0" w:type="auto"/>
            <w:shd w:val="clear" w:color="auto" w:fill="FFFFFF"/>
            <w:tcMar>
              <w:top w:w="30" w:type="dxa"/>
              <w:left w:w="0" w:type="dxa"/>
              <w:bottom w:w="30" w:type="dxa"/>
              <w:right w:w="20" w:type="dxa"/>
            </w:tcMar>
            <w:vAlign w:val="bottom"/>
            <w:hideMark/>
          </w:tcPr>
          <w:p w14:paraId="2F49C81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CD36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97A643" w14:textId="77777777" w:rsidR="00000000" w:rsidRDefault="001D0688">
            <w:pPr>
              <w:jc w:val="right"/>
              <w:rPr>
                <w:rFonts w:eastAsia="Times New Roman"/>
              </w:rPr>
            </w:pPr>
            <w:r>
              <w:rPr>
                <w:rFonts w:ascii="Arial" w:eastAsia="Times New Roman" w:hAnsi="Arial" w:cs="Arial"/>
                <w:color w:val="000000"/>
                <w:sz w:val="18"/>
                <w:szCs w:val="18"/>
              </w:rPr>
              <w:t>(45.9)</w:t>
            </w:r>
          </w:p>
        </w:tc>
        <w:tc>
          <w:tcPr>
            <w:tcW w:w="0" w:type="auto"/>
            <w:shd w:val="clear" w:color="auto" w:fill="FFFFFF"/>
            <w:tcMar>
              <w:top w:w="30" w:type="dxa"/>
              <w:left w:w="0" w:type="dxa"/>
              <w:bottom w:w="30" w:type="dxa"/>
              <w:right w:w="20" w:type="dxa"/>
            </w:tcMar>
            <w:vAlign w:val="bottom"/>
            <w:hideMark/>
          </w:tcPr>
          <w:p w14:paraId="31D20B8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0A31D"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4E84E9" w14:textId="77777777" w:rsidR="00000000" w:rsidRDefault="001D0688">
            <w:pPr>
              <w:jc w:val="center"/>
              <w:rPr>
                <w:rFonts w:eastAsia="Times New Roman"/>
              </w:rPr>
            </w:pPr>
            <w:r>
              <w:rPr>
                <w:rFonts w:ascii="Arial" w:eastAsia="Times New Roman" w:hAnsi="Arial" w:cs="Arial"/>
                <w:color w:val="000000"/>
                <w:sz w:val="18"/>
                <w:szCs w:val="18"/>
              </w:rPr>
              <w:t>(82.9)%</w:t>
            </w:r>
          </w:p>
        </w:tc>
      </w:tr>
      <w:tr w:rsidR="00000000" w14:paraId="136DD4BC" w14:textId="77777777">
        <w:trPr>
          <w:divId w:val="980497922"/>
        </w:trPr>
        <w:tc>
          <w:tcPr>
            <w:tcW w:w="0" w:type="auto"/>
            <w:gridSpan w:val="3"/>
            <w:shd w:val="clear" w:color="auto" w:fill="DCE2EF"/>
            <w:tcMar>
              <w:top w:w="30" w:type="dxa"/>
              <w:left w:w="155" w:type="dxa"/>
              <w:bottom w:w="30" w:type="dxa"/>
              <w:right w:w="20" w:type="dxa"/>
            </w:tcMar>
            <w:vAlign w:val="bottom"/>
            <w:hideMark/>
          </w:tcPr>
          <w:p w14:paraId="4EE79C01"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2658A1F0" w14:textId="77777777" w:rsidR="00000000" w:rsidRDefault="001D0688">
            <w:pPr>
              <w:jc w:val="right"/>
              <w:rPr>
                <w:rFonts w:eastAsia="Times New Roman"/>
              </w:rPr>
            </w:pPr>
            <w:r>
              <w:rPr>
                <w:rFonts w:ascii="Arial" w:eastAsia="Times New Roman" w:hAnsi="Arial" w:cs="Arial"/>
                <w:i/>
                <w:iCs/>
                <w:color w:val="000000"/>
                <w:sz w:val="16"/>
                <w:szCs w:val="16"/>
              </w:rPr>
              <w:t>1.9 </w:t>
            </w:r>
          </w:p>
        </w:tc>
        <w:tc>
          <w:tcPr>
            <w:tcW w:w="0" w:type="auto"/>
            <w:shd w:val="clear" w:color="auto" w:fill="DCE2EF"/>
            <w:tcMar>
              <w:top w:w="30" w:type="dxa"/>
              <w:left w:w="0" w:type="dxa"/>
              <w:bottom w:w="30" w:type="dxa"/>
              <w:right w:w="20" w:type="dxa"/>
            </w:tcMar>
            <w:vAlign w:val="bottom"/>
            <w:hideMark/>
          </w:tcPr>
          <w:p w14:paraId="31494A48"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3B37AAE"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7764CD5" w14:textId="77777777" w:rsidR="00000000" w:rsidRDefault="001D0688">
            <w:pPr>
              <w:jc w:val="right"/>
              <w:rPr>
                <w:rFonts w:eastAsia="Times New Roman"/>
              </w:rPr>
            </w:pPr>
            <w:r>
              <w:rPr>
                <w:rFonts w:ascii="Arial" w:eastAsia="Times New Roman" w:hAnsi="Arial" w:cs="Arial"/>
                <w:i/>
                <w:iCs/>
                <w:color w:val="000000"/>
                <w:sz w:val="16"/>
                <w:szCs w:val="16"/>
              </w:rPr>
              <w:t>9.3 </w:t>
            </w:r>
          </w:p>
        </w:tc>
        <w:tc>
          <w:tcPr>
            <w:tcW w:w="0" w:type="auto"/>
            <w:shd w:val="clear" w:color="auto" w:fill="DCE2EF"/>
            <w:tcMar>
              <w:top w:w="30" w:type="dxa"/>
              <w:left w:w="0" w:type="dxa"/>
              <w:bottom w:w="30" w:type="dxa"/>
              <w:right w:w="20" w:type="dxa"/>
            </w:tcMar>
            <w:vAlign w:val="bottom"/>
            <w:hideMark/>
          </w:tcPr>
          <w:p w14:paraId="106E8F9A"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C87C31C"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F5503E7" w14:textId="77777777" w:rsidR="00000000" w:rsidRDefault="001D0688">
            <w:pPr>
              <w:jc w:val="right"/>
              <w:rPr>
                <w:rFonts w:eastAsia="Times New Roman"/>
              </w:rPr>
            </w:pPr>
            <w:r>
              <w:rPr>
                <w:rFonts w:ascii="Arial" w:eastAsia="Times New Roman" w:hAnsi="Arial" w:cs="Arial"/>
                <w:i/>
                <w:iCs/>
                <w:color w:val="000000"/>
                <w:sz w:val="16"/>
                <w:szCs w:val="16"/>
              </w:rPr>
              <w:t>4.4 </w:t>
            </w:r>
          </w:p>
        </w:tc>
        <w:tc>
          <w:tcPr>
            <w:tcW w:w="0" w:type="auto"/>
            <w:shd w:val="clear" w:color="auto" w:fill="DCE2EF"/>
            <w:tcMar>
              <w:top w:w="30" w:type="dxa"/>
              <w:left w:w="0" w:type="dxa"/>
              <w:bottom w:w="30" w:type="dxa"/>
              <w:right w:w="20" w:type="dxa"/>
            </w:tcMar>
            <w:vAlign w:val="bottom"/>
            <w:hideMark/>
          </w:tcPr>
          <w:p w14:paraId="7B83A322"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416570D"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8163F66" w14:textId="77777777" w:rsidR="00000000" w:rsidRDefault="001D0688">
            <w:pPr>
              <w:jc w:val="right"/>
              <w:rPr>
                <w:rFonts w:eastAsia="Times New Roman"/>
              </w:rPr>
            </w:pPr>
            <w:r>
              <w:rPr>
                <w:rFonts w:ascii="Arial" w:eastAsia="Times New Roman" w:hAnsi="Arial" w:cs="Arial"/>
                <w:i/>
                <w:iCs/>
                <w:color w:val="000000"/>
                <w:sz w:val="16"/>
                <w:szCs w:val="16"/>
              </w:rPr>
              <w:t>(747) bps</w:t>
            </w:r>
          </w:p>
        </w:tc>
        <w:tc>
          <w:tcPr>
            <w:tcW w:w="0" w:type="auto"/>
            <w:gridSpan w:val="3"/>
            <w:shd w:val="clear" w:color="auto" w:fill="DCE2EF"/>
            <w:tcMar>
              <w:top w:w="0" w:type="dxa"/>
              <w:left w:w="20" w:type="dxa"/>
              <w:bottom w:w="0" w:type="dxa"/>
              <w:right w:w="20" w:type="dxa"/>
            </w:tcMar>
            <w:vAlign w:val="center"/>
            <w:hideMark/>
          </w:tcPr>
          <w:p w14:paraId="388B164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E3778A" w14:textId="77777777" w:rsidR="00000000" w:rsidRDefault="001D0688">
            <w:pPr>
              <w:rPr>
                <w:rFonts w:eastAsia="Times New Roman"/>
                <w:sz w:val="20"/>
                <w:szCs w:val="20"/>
              </w:rPr>
            </w:pPr>
          </w:p>
        </w:tc>
      </w:tr>
      <w:tr w:rsidR="00000000" w14:paraId="64CAA667" w14:textId="77777777">
        <w:trPr>
          <w:divId w:val="980497922"/>
        </w:trPr>
        <w:tc>
          <w:tcPr>
            <w:tcW w:w="0" w:type="auto"/>
            <w:gridSpan w:val="3"/>
            <w:shd w:val="clear" w:color="auto" w:fill="FFFFFF"/>
            <w:tcMar>
              <w:top w:w="30" w:type="dxa"/>
              <w:left w:w="20" w:type="dxa"/>
              <w:bottom w:w="30" w:type="dxa"/>
              <w:right w:w="20" w:type="dxa"/>
            </w:tcMar>
            <w:vAlign w:val="bottom"/>
            <w:hideMark/>
          </w:tcPr>
          <w:p w14:paraId="7786DD7A" w14:textId="77777777" w:rsidR="00000000" w:rsidRDefault="001D0688">
            <w:pPr>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14:paraId="0BEB7F78" w14:textId="77777777" w:rsidR="00000000" w:rsidRDefault="001D0688">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6485D2A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FCD2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F1623" w14:textId="77777777" w:rsidR="00000000" w:rsidRDefault="001D0688">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7020E7A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3A83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3928D0" w14:textId="77777777" w:rsidR="00000000" w:rsidRDefault="001D0688">
            <w:pPr>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14:paraId="0EDF7D7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C35A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028308"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869BB6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7FF31"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415D64A"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5F623D05" w14:textId="77777777">
        <w:trPr>
          <w:divId w:val="980497922"/>
        </w:trPr>
        <w:tc>
          <w:tcPr>
            <w:tcW w:w="0" w:type="auto"/>
            <w:gridSpan w:val="3"/>
            <w:shd w:val="clear" w:color="auto" w:fill="DCE2EF"/>
            <w:tcMar>
              <w:top w:w="30" w:type="dxa"/>
              <w:left w:w="155" w:type="dxa"/>
              <w:bottom w:w="30" w:type="dxa"/>
              <w:right w:w="20" w:type="dxa"/>
            </w:tcMar>
            <w:vAlign w:val="bottom"/>
            <w:hideMark/>
          </w:tcPr>
          <w:p w14:paraId="4D5EAF3C"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3"/>
            <w:shd w:val="clear" w:color="auto" w:fill="DCE2EF"/>
            <w:tcMar>
              <w:top w:w="30" w:type="dxa"/>
              <w:left w:w="20" w:type="dxa"/>
              <w:bottom w:w="30" w:type="dxa"/>
              <w:right w:w="20" w:type="dxa"/>
            </w:tcMar>
            <w:vAlign w:val="bottom"/>
            <w:hideMark/>
          </w:tcPr>
          <w:p w14:paraId="44756744" w14:textId="77777777" w:rsidR="00000000" w:rsidRDefault="001D0688">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14:paraId="670766B4" w14:textId="77777777" w:rsidR="00000000" w:rsidRDefault="001D0688">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1FC00C7" w14:textId="77777777" w:rsidR="00000000" w:rsidRDefault="001D0688">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14:paraId="5BB68FA8" w14:textId="77777777" w:rsidR="00000000" w:rsidRDefault="001D0688">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5B2172C" w14:textId="77777777" w:rsidR="00000000" w:rsidRDefault="001D0688">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14:paraId="1C2F9F1F" w14:textId="77777777" w:rsidR="00000000" w:rsidRDefault="001D0688">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9F81B36" w14:textId="77777777" w:rsidR="00000000" w:rsidRDefault="001D0688">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14:paraId="6E38D43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32F809" w14:textId="77777777" w:rsidR="00000000" w:rsidRDefault="001D0688">
            <w:pPr>
              <w:rPr>
                <w:rFonts w:eastAsia="Times New Roman"/>
                <w:sz w:val="20"/>
                <w:szCs w:val="20"/>
              </w:rPr>
            </w:pPr>
          </w:p>
        </w:tc>
      </w:tr>
      <w:tr w:rsidR="00000000" w14:paraId="3B7CDBE2" w14:textId="77777777">
        <w:trPr>
          <w:divId w:val="980497922"/>
        </w:trPr>
        <w:tc>
          <w:tcPr>
            <w:tcW w:w="0" w:type="auto"/>
            <w:gridSpan w:val="3"/>
            <w:shd w:val="clear" w:color="auto" w:fill="FFFFFF"/>
            <w:tcMar>
              <w:top w:w="30" w:type="dxa"/>
              <w:left w:w="20" w:type="dxa"/>
              <w:bottom w:w="30" w:type="dxa"/>
              <w:right w:w="20" w:type="dxa"/>
            </w:tcMar>
            <w:vAlign w:val="bottom"/>
            <w:hideMark/>
          </w:tcPr>
          <w:p w14:paraId="56CBDB28" w14:textId="77777777" w:rsidR="00000000" w:rsidRDefault="001D0688">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14:paraId="65A36E69" w14:textId="77777777" w:rsidR="00000000" w:rsidRDefault="001D0688">
            <w:pPr>
              <w:jc w:val="right"/>
              <w:rPr>
                <w:rFonts w:eastAsia="Times New Roman"/>
              </w:rPr>
            </w:pPr>
            <w:r>
              <w:rPr>
                <w:rFonts w:ascii="Arial" w:eastAsia="Times New Roman" w:hAnsi="Arial" w:cs="Arial"/>
                <w:color w:val="000000"/>
                <w:sz w:val="18"/>
                <w:szCs w:val="18"/>
              </w:rPr>
              <w:t>(146.9)</w:t>
            </w:r>
          </w:p>
        </w:tc>
        <w:tc>
          <w:tcPr>
            <w:tcW w:w="0" w:type="auto"/>
            <w:shd w:val="clear" w:color="auto" w:fill="FFFFFF"/>
            <w:tcMar>
              <w:top w:w="30" w:type="dxa"/>
              <w:left w:w="0" w:type="dxa"/>
              <w:bottom w:w="30" w:type="dxa"/>
              <w:right w:w="20" w:type="dxa"/>
            </w:tcMar>
            <w:vAlign w:val="bottom"/>
            <w:hideMark/>
          </w:tcPr>
          <w:p w14:paraId="49CFAD0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DBB3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2EB84" w14:textId="77777777" w:rsidR="00000000" w:rsidRDefault="001D0688">
            <w:pPr>
              <w:jc w:val="right"/>
              <w:rPr>
                <w:rFonts w:eastAsia="Times New Roman"/>
              </w:rPr>
            </w:pPr>
            <w:r>
              <w:rPr>
                <w:rFonts w:ascii="Arial" w:eastAsia="Times New Roman" w:hAnsi="Arial" w:cs="Arial"/>
                <w:color w:val="000000"/>
                <w:sz w:val="18"/>
                <w:szCs w:val="18"/>
              </w:rPr>
              <w:t>(159.0)</w:t>
            </w:r>
          </w:p>
        </w:tc>
        <w:tc>
          <w:tcPr>
            <w:tcW w:w="0" w:type="auto"/>
            <w:shd w:val="clear" w:color="auto" w:fill="FFFFFF"/>
            <w:tcMar>
              <w:top w:w="30" w:type="dxa"/>
              <w:left w:w="0" w:type="dxa"/>
              <w:bottom w:w="30" w:type="dxa"/>
              <w:right w:w="20" w:type="dxa"/>
            </w:tcMar>
            <w:vAlign w:val="bottom"/>
            <w:hideMark/>
          </w:tcPr>
          <w:p w14:paraId="4BC200F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AFD2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EDF0A" w14:textId="77777777" w:rsidR="00000000" w:rsidRDefault="001D0688">
            <w:pPr>
              <w:jc w:val="right"/>
              <w:rPr>
                <w:rFonts w:eastAsia="Times New Roman"/>
              </w:rPr>
            </w:pPr>
            <w:r>
              <w:rPr>
                <w:rFonts w:ascii="Arial" w:eastAsia="Times New Roman" w:hAnsi="Arial" w:cs="Arial"/>
                <w:color w:val="000000"/>
                <w:sz w:val="18"/>
                <w:szCs w:val="18"/>
              </w:rPr>
              <w:t>(168.8)</w:t>
            </w:r>
          </w:p>
        </w:tc>
        <w:tc>
          <w:tcPr>
            <w:tcW w:w="0" w:type="auto"/>
            <w:shd w:val="clear" w:color="auto" w:fill="FFFFFF"/>
            <w:tcMar>
              <w:top w:w="30" w:type="dxa"/>
              <w:left w:w="0" w:type="dxa"/>
              <w:bottom w:w="30" w:type="dxa"/>
              <w:right w:w="20" w:type="dxa"/>
            </w:tcMar>
            <w:vAlign w:val="bottom"/>
            <w:hideMark/>
          </w:tcPr>
          <w:p w14:paraId="137F780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D301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B9484" w14:textId="77777777" w:rsidR="00000000" w:rsidRDefault="001D0688">
            <w:pPr>
              <w:jc w:val="right"/>
              <w:rPr>
                <w:rFonts w:eastAsia="Times New Roman"/>
              </w:rPr>
            </w:pPr>
            <w:r>
              <w:rPr>
                <w:rFonts w:ascii="Arial" w:eastAsia="Times New Roman" w:hAnsi="Arial" w:cs="Arial"/>
                <w:color w:val="000000"/>
                <w:sz w:val="18"/>
                <w:szCs w:val="18"/>
              </w:rPr>
              <w:t>12.1 </w:t>
            </w:r>
          </w:p>
        </w:tc>
        <w:tc>
          <w:tcPr>
            <w:tcW w:w="0" w:type="auto"/>
            <w:shd w:val="clear" w:color="auto" w:fill="FFFFFF"/>
            <w:tcMar>
              <w:top w:w="30" w:type="dxa"/>
              <w:left w:w="0" w:type="dxa"/>
              <w:bottom w:w="30" w:type="dxa"/>
              <w:right w:w="20" w:type="dxa"/>
            </w:tcMar>
            <w:vAlign w:val="bottom"/>
            <w:hideMark/>
          </w:tcPr>
          <w:p w14:paraId="479D467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56479"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F0C71F7" w14:textId="77777777" w:rsidR="00000000" w:rsidRDefault="001D0688">
            <w:pPr>
              <w:jc w:val="center"/>
              <w:rPr>
                <w:rFonts w:eastAsia="Times New Roman"/>
              </w:rPr>
            </w:pPr>
            <w:r>
              <w:rPr>
                <w:rFonts w:ascii="Arial" w:eastAsia="Times New Roman" w:hAnsi="Arial" w:cs="Arial"/>
                <w:color w:val="000000"/>
                <w:sz w:val="18"/>
                <w:szCs w:val="18"/>
              </w:rPr>
              <w:t>7.6%</w:t>
            </w:r>
          </w:p>
        </w:tc>
      </w:tr>
      <w:tr w:rsidR="00000000" w14:paraId="22E40B04" w14:textId="77777777">
        <w:trPr>
          <w:divId w:val="980497922"/>
        </w:trPr>
        <w:tc>
          <w:tcPr>
            <w:tcW w:w="0" w:type="auto"/>
            <w:gridSpan w:val="3"/>
            <w:shd w:val="clear" w:color="auto" w:fill="DCE2EF"/>
            <w:tcMar>
              <w:top w:w="30" w:type="dxa"/>
              <w:left w:w="80" w:type="dxa"/>
              <w:bottom w:w="30" w:type="dxa"/>
              <w:right w:w="20" w:type="dxa"/>
            </w:tcMar>
            <w:vAlign w:val="bottom"/>
            <w:hideMark/>
          </w:tcPr>
          <w:p w14:paraId="400C4E0F" w14:textId="77777777" w:rsidR="00000000" w:rsidRDefault="001D0688">
            <w:pPr>
              <w:rPr>
                <w:rFonts w:eastAsia="Times New Roman"/>
              </w:rPr>
            </w:pPr>
            <w:r>
              <w:rPr>
                <w:rFonts w:ascii="Arial" w:eastAsia="Times New Roman" w:hAnsi="Arial" w:cs="Arial"/>
                <w:color w:val="000000"/>
                <w:sz w:val="18"/>
                <w:szCs w:val="18"/>
              </w:rPr>
              <w:t>Adjustment for income from unconsolidated</w:t>
            </w:r>
            <w:r>
              <w:rPr>
                <w:rFonts w:ascii="Arial" w:eastAsia="Times New Roman" w:hAnsi="Arial" w:cs="Arial"/>
                <w:color w:val="000000"/>
                <w:sz w:val="18"/>
                <w:szCs w:val="18"/>
              </w:rPr>
              <w:br/>
              <w:t>affiliates, included in Aviation</w:t>
            </w:r>
          </w:p>
        </w:tc>
        <w:tc>
          <w:tcPr>
            <w:tcW w:w="0" w:type="auto"/>
            <w:gridSpan w:val="2"/>
            <w:shd w:val="clear" w:color="auto" w:fill="DCE2EF"/>
            <w:tcMar>
              <w:top w:w="30" w:type="dxa"/>
              <w:left w:w="20" w:type="dxa"/>
              <w:bottom w:w="30" w:type="dxa"/>
              <w:right w:w="0" w:type="dxa"/>
            </w:tcMar>
            <w:vAlign w:val="bottom"/>
            <w:hideMark/>
          </w:tcPr>
          <w:p w14:paraId="331B70F0" w14:textId="77777777" w:rsidR="00000000" w:rsidRDefault="001D0688">
            <w:pPr>
              <w:jc w:val="right"/>
              <w:rPr>
                <w:rFonts w:eastAsia="Times New Roman"/>
              </w:rPr>
            </w:pPr>
            <w:r>
              <w:rPr>
                <w:rFonts w:ascii="Arial" w:eastAsia="Times New Roman" w:hAnsi="Arial" w:cs="Arial"/>
                <w:color w:val="000000"/>
                <w:sz w:val="18"/>
                <w:szCs w:val="18"/>
              </w:rPr>
              <w:t>(2.2)</w:t>
            </w:r>
          </w:p>
        </w:tc>
        <w:tc>
          <w:tcPr>
            <w:tcW w:w="0" w:type="auto"/>
            <w:shd w:val="clear" w:color="auto" w:fill="DCE2EF"/>
            <w:tcMar>
              <w:top w:w="30" w:type="dxa"/>
              <w:left w:w="0" w:type="dxa"/>
              <w:bottom w:w="30" w:type="dxa"/>
              <w:right w:w="20" w:type="dxa"/>
            </w:tcMar>
            <w:vAlign w:val="bottom"/>
            <w:hideMark/>
          </w:tcPr>
          <w:p w14:paraId="3EC878B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CBA99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F351C82" w14:textId="77777777" w:rsidR="00000000" w:rsidRDefault="001D0688">
            <w:pPr>
              <w:jc w:val="right"/>
              <w:rPr>
                <w:rFonts w:eastAsia="Times New Roman"/>
              </w:rPr>
            </w:pPr>
            <w:r>
              <w:rPr>
                <w:rFonts w:ascii="Arial" w:eastAsia="Times New Roman" w:hAnsi="Arial" w:cs="Arial"/>
                <w:color w:val="000000"/>
                <w:sz w:val="18"/>
                <w:szCs w:val="18"/>
              </w:rPr>
              <w:t>(3.0)</w:t>
            </w:r>
          </w:p>
        </w:tc>
        <w:tc>
          <w:tcPr>
            <w:tcW w:w="0" w:type="auto"/>
            <w:shd w:val="clear" w:color="auto" w:fill="DCE2EF"/>
            <w:tcMar>
              <w:top w:w="30" w:type="dxa"/>
              <w:left w:w="0" w:type="dxa"/>
              <w:bottom w:w="30" w:type="dxa"/>
              <w:right w:w="20" w:type="dxa"/>
            </w:tcMar>
            <w:vAlign w:val="bottom"/>
            <w:hideMark/>
          </w:tcPr>
          <w:p w14:paraId="7393723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92147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2789DF" w14:textId="77777777" w:rsidR="00000000" w:rsidRDefault="001D0688">
            <w:pPr>
              <w:jc w:val="right"/>
              <w:rPr>
                <w:rFonts w:eastAsia="Times New Roman"/>
              </w:rPr>
            </w:pPr>
            <w:r>
              <w:rPr>
                <w:rFonts w:ascii="Arial" w:eastAsia="Times New Roman" w:hAnsi="Arial" w:cs="Arial"/>
                <w:color w:val="000000"/>
                <w:sz w:val="18"/>
                <w:szCs w:val="18"/>
              </w:rPr>
              <w:t>(3.2)</w:t>
            </w:r>
          </w:p>
        </w:tc>
        <w:tc>
          <w:tcPr>
            <w:tcW w:w="0" w:type="auto"/>
            <w:shd w:val="clear" w:color="auto" w:fill="DCE2EF"/>
            <w:tcMar>
              <w:top w:w="30" w:type="dxa"/>
              <w:left w:w="0" w:type="dxa"/>
              <w:bottom w:w="30" w:type="dxa"/>
              <w:right w:w="20" w:type="dxa"/>
            </w:tcMar>
            <w:vAlign w:val="bottom"/>
            <w:hideMark/>
          </w:tcPr>
          <w:p w14:paraId="74E100D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EAD16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96F984F" w14:textId="77777777" w:rsidR="00000000" w:rsidRDefault="001D0688">
            <w:pPr>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14:paraId="3932E45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6ECF0B"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609D959" w14:textId="77777777" w:rsidR="00000000" w:rsidRDefault="001D0688">
            <w:pPr>
              <w:jc w:val="center"/>
              <w:rPr>
                <w:rFonts w:eastAsia="Times New Roman"/>
              </w:rPr>
            </w:pPr>
            <w:r>
              <w:rPr>
                <w:rFonts w:ascii="Arial" w:eastAsia="Times New Roman" w:hAnsi="Arial" w:cs="Arial"/>
                <w:color w:val="000000"/>
                <w:sz w:val="18"/>
                <w:szCs w:val="18"/>
              </w:rPr>
              <w:t>27.4%</w:t>
            </w:r>
          </w:p>
        </w:tc>
      </w:tr>
      <w:tr w:rsidR="00000000" w14:paraId="49713FA0" w14:textId="77777777">
        <w:trPr>
          <w:divId w:val="980497922"/>
        </w:trPr>
        <w:tc>
          <w:tcPr>
            <w:tcW w:w="0" w:type="auto"/>
            <w:gridSpan w:val="3"/>
            <w:shd w:val="clear" w:color="auto" w:fill="FFFFFF"/>
            <w:tcMar>
              <w:top w:w="30" w:type="dxa"/>
              <w:left w:w="80" w:type="dxa"/>
              <w:bottom w:w="30" w:type="dxa"/>
              <w:right w:w="20" w:type="dxa"/>
            </w:tcMar>
            <w:vAlign w:val="bottom"/>
            <w:hideMark/>
          </w:tcPr>
          <w:p w14:paraId="21877092" w14:textId="77777777" w:rsidR="00000000" w:rsidRDefault="001D0688">
            <w:pPr>
              <w:rPr>
                <w:rFonts w:eastAsia="Times New Roman"/>
              </w:rPr>
            </w:pPr>
            <w:r>
              <w:rPr>
                <w:rFonts w:ascii="Arial" w:eastAsia="Times New Roman" w:hAnsi="Arial" w:cs="Arial"/>
                <w:color w:val="000000"/>
                <w:sz w:val="18"/>
                <w:szCs w:val="18"/>
              </w:rPr>
              <w:t>Adjustment for tax deductions for energy</w:t>
            </w:r>
            <w:r>
              <w:rPr>
                <w:rFonts w:ascii="Arial" w:eastAsia="Times New Roman" w:hAnsi="Arial" w:cs="Arial"/>
                <w:color w:val="000000"/>
                <w:sz w:val="18"/>
                <w:szCs w:val="18"/>
              </w:rPr>
              <w:br/>
            </w:r>
            <w:r>
              <w:rPr>
                <w:rFonts w:ascii="Arial" w:eastAsia="Times New Roman" w:hAnsi="Arial" w:cs="Arial"/>
                <w:color w:val="000000"/>
                <w:sz w:val="18"/>
                <w:szCs w:val="18"/>
              </w:rPr>
              <w:t>efficient government buildings, included in</w:t>
            </w:r>
            <w:r>
              <w:rPr>
                <w:rFonts w:ascii="Arial" w:eastAsia="Times New Roman" w:hAnsi="Arial" w:cs="Arial"/>
                <w:color w:val="000000"/>
                <w:sz w:val="18"/>
                <w:szCs w:val="18"/>
              </w:rPr>
              <w:br/>
              <w:t>Technical Solutions</w:t>
            </w:r>
          </w:p>
        </w:tc>
        <w:tc>
          <w:tcPr>
            <w:tcW w:w="0" w:type="auto"/>
            <w:gridSpan w:val="2"/>
            <w:shd w:val="clear" w:color="auto" w:fill="FFFFFF"/>
            <w:tcMar>
              <w:top w:w="30" w:type="dxa"/>
              <w:left w:w="20" w:type="dxa"/>
              <w:bottom w:w="30" w:type="dxa"/>
              <w:right w:w="0" w:type="dxa"/>
            </w:tcMar>
            <w:vAlign w:val="bottom"/>
            <w:hideMark/>
          </w:tcPr>
          <w:p w14:paraId="63F65BE4" w14:textId="77777777" w:rsidR="00000000" w:rsidRDefault="001D0688">
            <w:pPr>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14:paraId="7D30254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2DA6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517184"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187CB57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A47E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57987" w14:textId="77777777" w:rsidR="00000000" w:rsidRDefault="001D0688">
            <w:pPr>
              <w:jc w:val="right"/>
              <w:rPr>
                <w:rFonts w:eastAsia="Times New Roman"/>
              </w:rPr>
            </w:pPr>
            <w:r>
              <w:rPr>
                <w:rFonts w:ascii="Arial" w:eastAsia="Times New Roman" w:hAnsi="Arial" w:cs="Arial"/>
                <w:color w:val="000000"/>
                <w:sz w:val="18"/>
                <w:szCs w:val="18"/>
              </w:rPr>
              <w:t>(2.8)</w:t>
            </w:r>
          </w:p>
        </w:tc>
        <w:tc>
          <w:tcPr>
            <w:tcW w:w="0" w:type="auto"/>
            <w:shd w:val="clear" w:color="auto" w:fill="FFFFFF"/>
            <w:tcMar>
              <w:top w:w="30" w:type="dxa"/>
              <w:left w:w="0" w:type="dxa"/>
              <w:bottom w:w="30" w:type="dxa"/>
              <w:right w:w="20" w:type="dxa"/>
            </w:tcMar>
            <w:vAlign w:val="bottom"/>
            <w:hideMark/>
          </w:tcPr>
          <w:p w14:paraId="74041F9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DA64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2095FC" w14:textId="77777777" w:rsidR="00000000" w:rsidRDefault="001D0688">
            <w:pPr>
              <w:jc w:val="right"/>
              <w:rPr>
                <w:rFonts w:eastAsia="Times New Roman"/>
              </w:rPr>
            </w:pPr>
            <w:r>
              <w:rPr>
                <w:rFonts w:ascii="Arial" w:eastAsia="Times New Roman" w:hAnsi="Arial" w:cs="Arial"/>
                <w:color w:val="000000"/>
                <w:sz w:val="18"/>
                <w:szCs w:val="18"/>
              </w:rPr>
              <w:t>(2.2)</w:t>
            </w:r>
          </w:p>
        </w:tc>
        <w:tc>
          <w:tcPr>
            <w:tcW w:w="0" w:type="auto"/>
            <w:shd w:val="clear" w:color="auto" w:fill="FFFFFF"/>
            <w:tcMar>
              <w:top w:w="30" w:type="dxa"/>
              <w:left w:w="0" w:type="dxa"/>
              <w:bottom w:w="30" w:type="dxa"/>
              <w:right w:w="20" w:type="dxa"/>
            </w:tcMar>
            <w:vAlign w:val="bottom"/>
            <w:hideMark/>
          </w:tcPr>
          <w:p w14:paraId="7A26B41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8DF5B"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FFD74A8" w14:textId="77777777" w:rsidR="00000000" w:rsidRDefault="001D0688">
            <w:pPr>
              <w:jc w:val="center"/>
              <w:rPr>
                <w:rFonts w:eastAsia="Times New Roman"/>
              </w:rPr>
            </w:pPr>
            <w:r>
              <w:rPr>
                <w:rFonts w:ascii="Arial" w:eastAsia="Times New Roman" w:hAnsi="Arial" w:cs="Arial"/>
                <w:color w:val="000000"/>
                <w:sz w:val="18"/>
                <w:szCs w:val="18"/>
              </w:rPr>
              <w:t>NM*</w:t>
            </w:r>
          </w:p>
        </w:tc>
      </w:tr>
      <w:tr w:rsidR="00000000" w14:paraId="372BF6EE" w14:textId="77777777">
        <w:trPr>
          <w:divId w:val="980497922"/>
        </w:trPr>
        <w:tc>
          <w:tcPr>
            <w:tcW w:w="0" w:type="auto"/>
            <w:gridSpan w:val="3"/>
            <w:shd w:val="clear" w:color="auto" w:fill="DCE2EF"/>
            <w:tcMar>
              <w:top w:w="0" w:type="dxa"/>
              <w:left w:w="20" w:type="dxa"/>
              <w:bottom w:w="0" w:type="dxa"/>
              <w:right w:w="20" w:type="dxa"/>
            </w:tcMar>
            <w:vAlign w:val="center"/>
            <w:hideMark/>
          </w:tcPr>
          <w:p w14:paraId="18A2BADD" w14:textId="77777777" w:rsidR="00000000" w:rsidRDefault="001D0688">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5E76CA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A411220" w14:textId="77777777" w:rsidR="00000000" w:rsidRDefault="001D0688">
            <w:pPr>
              <w:jc w:val="right"/>
              <w:rPr>
                <w:rFonts w:eastAsia="Times New Roman"/>
              </w:rPr>
            </w:pPr>
            <w:r>
              <w:rPr>
                <w:rFonts w:ascii="Arial" w:eastAsia="Times New Roman" w:hAnsi="Arial" w:cs="Arial"/>
                <w:color w:val="000000"/>
                <w:sz w:val="18"/>
                <w:szCs w:val="18"/>
              </w:rPr>
              <w:t>95.7 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D6110F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D4CE8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20452E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AEC7E45" w14:textId="77777777" w:rsidR="00000000" w:rsidRDefault="001D0688">
            <w:pPr>
              <w:jc w:val="right"/>
              <w:rPr>
                <w:rFonts w:eastAsia="Times New Roman"/>
              </w:rPr>
            </w:pPr>
            <w:r>
              <w:rPr>
                <w:rFonts w:ascii="Arial" w:eastAsia="Times New Roman" w:hAnsi="Arial" w:cs="Arial"/>
                <w:color w:val="000000"/>
                <w:sz w:val="18"/>
                <w:szCs w:val="18"/>
              </w:rPr>
              <w:t>208.3 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DB4F2B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CFFB32"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2E48728"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421C2C6" w14:textId="77777777" w:rsidR="00000000" w:rsidRDefault="001D0688">
            <w:pPr>
              <w:jc w:val="right"/>
              <w:rPr>
                <w:rFonts w:eastAsia="Times New Roman"/>
              </w:rPr>
            </w:pPr>
            <w:r>
              <w:rPr>
                <w:rFonts w:ascii="Arial" w:eastAsia="Times New Roman" w:hAnsi="Arial" w:cs="Arial"/>
                <w:color w:val="000000"/>
                <w:sz w:val="18"/>
                <w:szCs w:val="18"/>
              </w:rPr>
              <w:t>138.6 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E3A1D7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884707"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5199C68"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291F27C" w14:textId="77777777" w:rsidR="00000000" w:rsidRDefault="001D0688">
            <w:pPr>
              <w:jc w:val="right"/>
              <w:rPr>
                <w:rFonts w:eastAsia="Times New Roman"/>
              </w:rPr>
            </w:pPr>
            <w:r>
              <w:rPr>
                <w:rFonts w:ascii="Arial" w:eastAsia="Times New Roman" w:hAnsi="Arial" w:cs="Arial"/>
                <w:color w:val="000000"/>
                <w:sz w:val="18"/>
                <w:szCs w:val="18"/>
              </w:rPr>
              <w:t>(112.6)</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4105B6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9089BE"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E00FE62" w14:textId="77777777" w:rsidR="00000000" w:rsidRDefault="001D0688">
            <w:pPr>
              <w:jc w:val="center"/>
              <w:rPr>
                <w:rFonts w:eastAsia="Times New Roman"/>
              </w:rPr>
            </w:pPr>
            <w:r>
              <w:rPr>
                <w:rFonts w:ascii="Arial" w:eastAsia="Times New Roman" w:hAnsi="Arial" w:cs="Arial"/>
                <w:color w:val="000000"/>
                <w:sz w:val="18"/>
                <w:szCs w:val="18"/>
              </w:rPr>
              <w:t>(54.0)%</w:t>
            </w:r>
          </w:p>
        </w:tc>
      </w:tr>
    </w:tbl>
    <w:p w14:paraId="2CACCFB8" w14:textId="77777777" w:rsidR="00000000" w:rsidRDefault="001D0688">
      <w:pPr>
        <w:divId w:val="216009968"/>
        <w:rPr>
          <w:rFonts w:eastAsia="Times New Roman"/>
        </w:rPr>
      </w:pPr>
      <w:r>
        <w:rPr>
          <w:rFonts w:ascii="Arial" w:eastAsia="Times New Roman" w:hAnsi="Arial" w:cs="Arial"/>
          <w:color w:val="000000"/>
          <w:sz w:val="18"/>
          <w:szCs w:val="18"/>
        </w:rPr>
        <w:t>*Not meaningful</w:t>
      </w:r>
    </w:p>
    <w:tbl>
      <w:tblPr>
        <w:tblW w:w="1461" w:type="pct"/>
        <w:tblCellMar>
          <w:top w:w="15" w:type="dxa"/>
          <w:left w:w="15" w:type="dxa"/>
          <w:bottom w:w="15" w:type="dxa"/>
          <w:right w:w="15" w:type="dxa"/>
        </w:tblCellMar>
        <w:tblLook w:val="04A0" w:firstRow="1" w:lastRow="0" w:firstColumn="1" w:lastColumn="0" w:noHBand="0" w:noVBand="1"/>
      </w:tblPr>
      <w:tblGrid>
        <w:gridCol w:w="36"/>
        <w:gridCol w:w="1141"/>
        <w:gridCol w:w="36"/>
        <w:gridCol w:w="36"/>
        <w:gridCol w:w="1142"/>
        <w:gridCol w:w="36"/>
      </w:tblGrid>
      <w:tr w:rsidR="00000000" w14:paraId="28E5D32A" w14:textId="77777777">
        <w:trPr>
          <w:divId w:val="1887830391"/>
        </w:trPr>
        <w:tc>
          <w:tcPr>
            <w:tcW w:w="50" w:type="pct"/>
            <w:vAlign w:val="center"/>
            <w:hideMark/>
          </w:tcPr>
          <w:p w14:paraId="7CA995B7" w14:textId="77777777" w:rsidR="00000000" w:rsidRDefault="001D0688">
            <w:pPr>
              <w:rPr>
                <w:rFonts w:eastAsia="Times New Roman"/>
              </w:rPr>
            </w:pPr>
          </w:p>
        </w:tc>
        <w:tc>
          <w:tcPr>
            <w:tcW w:w="2445" w:type="pct"/>
            <w:vAlign w:val="center"/>
            <w:hideMark/>
          </w:tcPr>
          <w:p w14:paraId="10E17F73" w14:textId="77777777" w:rsidR="00000000" w:rsidRDefault="001D0688">
            <w:pPr>
              <w:rPr>
                <w:rFonts w:eastAsia="Times New Roman"/>
                <w:sz w:val="20"/>
                <w:szCs w:val="20"/>
              </w:rPr>
            </w:pPr>
          </w:p>
        </w:tc>
        <w:tc>
          <w:tcPr>
            <w:tcW w:w="5" w:type="pct"/>
            <w:vAlign w:val="center"/>
            <w:hideMark/>
          </w:tcPr>
          <w:p w14:paraId="35E31CE5" w14:textId="77777777" w:rsidR="00000000" w:rsidRDefault="001D0688">
            <w:pPr>
              <w:rPr>
                <w:rFonts w:eastAsia="Times New Roman"/>
                <w:sz w:val="20"/>
                <w:szCs w:val="20"/>
              </w:rPr>
            </w:pPr>
          </w:p>
        </w:tc>
        <w:tc>
          <w:tcPr>
            <w:tcW w:w="50" w:type="pct"/>
            <w:vAlign w:val="center"/>
            <w:hideMark/>
          </w:tcPr>
          <w:p w14:paraId="64D846EB" w14:textId="77777777" w:rsidR="00000000" w:rsidRDefault="001D0688">
            <w:pPr>
              <w:rPr>
                <w:rFonts w:eastAsia="Times New Roman"/>
                <w:sz w:val="20"/>
                <w:szCs w:val="20"/>
              </w:rPr>
            </w:pPr>
          </w:p>
        </w:tc>
        <w:tc>
          <w:tcPr>
            <w:tcW w:w="2445" w:type="pct"/>
            <w:vAlign w:val="center"/>
            <w:hideMark/>
          </w:tcPr>
          <w:p w14:paraId="58259B62" w14:textId="77777777" w:rsidR="00000000" w:rsidRDefault="001D0688">
            <w:pPr>
              <w:rPr>
                <w:rFonts w:eastAsia="Times New Roman"/>
                <w:sz w:val="20"/>
                <w:szCs w:val="20"/>
              </w:rPr>
            </w:pPr>
          </w:p>
        </w:tc>
        <w:tc>
          <w:tcPr>
            <w:tcW w:w="5" w:type="pct"/>
            <w:vAlign w:val="center"/>
            <w:hideMark/>
          </w:tcPr>
          <w:p w14:paraId="35C6DBAA" w14:textId="77777777" w:rsidR="00000000" w:rsidRDefault="001D0688">
            <w:pPr>
              <w:rPr>
                <w:rFonts w:eastAsia="Times New Roman"/>
                <w:sz w:val="20"/>
                <w:szCs w:val="20"/>
              </w:rPr>
            </w:pPr>
          </w:p>
        </w:tc>
      </w:tr>
      <w:tr w:rsidR="00000000" w14:paraId="0464A6D3" w14:textId="77777777">
        <w:trPr>
          <w:divId w:val="1887830391"/>
          <w:trHeight w:val="300"/>
        </w:trPr>
        <w:tc>
          <w:tcPr>
            <w:tcW w:w="0" w:type="auto"/>
            <w:gridSpan w:val="3"/>
            <w:tcMar>
              <w:top w:w="0" w:type="dxa"/>
              <w:left w:w="20" w:type="dxa"/>
              <w:bottom w:w="0" w:type="dxa"/>
              <w:right w:w="20" w:type="dxa"/>
            </w:tcMar>
            <w:vAlign w:val="center"/>
            <w:hideMark/>
          </w:tcPr>
          <w:p w14:paraId="13E2B3E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B1C3686" w14:textId="77777777" w:rsidR="00000000" w:rsidRDefault="001D0688">
            <w:pPr>
              <w:rPr>
                <w:rFonts w:eastAsia="Times New Roman"/>
                <w:sz w:val="20"/>
                <w:szCs w:val="20"/>
              </w:rPr>
            </w:pPr>
          </w:p>
        </w:tc>
      </w:tr>
    </w:tbl>
    <w:p w14:paraId="24608EBF" w14:textId="77777777" w:rsidR="00000000" w:rsidRDefault="001D0688">
      <w:pPr>
        <w:divId w:val="931084041"/>
        <w:rPr>
          <w:rFonts w:eastAsia="Times New Roman"/>
        </w:rPr>
      </w:pPr>
    </w:p>
    <w:p w14:paraId="275101AA" w14:textId="77777777" w:rsidR="00000000" w:rsidRDefault="001D0688">
      <w:pPr>
        <w:jc w:val="center"/>
        <w:divId w:val="1623609948"/>
        <w:rPr>
          <w:rFonts w:eastAsia="Times New Roman"/>
        </w:rPr>
      </w:pPr>
      <w:r>
        <w:rPr>
          <w:rFonts w:ascii="Arial" w:eastAsia="Times New Roman" w:hAnsi="Arial" w:cs="Arial"/>
          <w:color w:val="000000"/>
          <w:sz w:val="20"/>
          <w:szCs w:val="20"/>
        </w:rPr>
        <w:t>29</w:t>
      </w:r>
    </w:p>
    <w:p w14:paraId="69B9AD26" w14:textId="77777777" w:rsidR="00000000" w:rsidRDefault="001D0688">
      <w:pPr>
        <w:rPr>
          <w:rFonts w:eastAsia="Times New Roman"/>
        </w:rPr>
      </w:pPr>
      <w:r>
        <w:rPr>
          <w:rFonts w:eastAsia="Times New Roman"/>
        </w:rPr>
        <w:pict w14:anchorId="512C1A3E">
          <v:rect id="_x0000_i1065" style="width:0;height:1.5pt" o:hralign="center" o:hrstd="t" o:hr="t" fillcolor="#a0a0a0" stroked="f"/>
        </w:pict>
      </w:r>
    </w:p>
    <w:p w14:paraId="13347535" w14:textId="77777777" w:rsidR="00000000" w:rsidRDefault="001D0688">
      <w:pPr>
        <w:divId w:val="925305418"/>
        <w:rPr>
          <w:rFonts w:eastAsia="Times New Roman"/>
        </w:rPr>
      </w:pPr>
    </w:p>
    <w:p w14:paraId="5E812308" w14:textId="77777777" w:rsidR="00000000" w:rsidRDefault="001D0688">
      <w:pPr>
        <w:jc w:val="both"/>
        <w:divId w:val="177157167"/>
        <w:rPr>
          <w:rFonts w:eastAsia="Times New Roman"/>
        </w:rPr>
      </w:pPr>
      <w:r>
        <w:rPr>
          <w:rFonts w:ascii="Arial" w:eastAsia="Times New Roman" w:hAnsi="Arial" w:cs="Arial"/>
          <w:b/>
          <w:bCs/>
          <w:i/>
          <w:iCs/>
          <w:color w:val="0046AD"/>
          <w:sz w:val="20"/>
          <w:szCs w:val="20"/>
        </w:rPr>
        <w:t>The Year Ended October 31, 2020 Compared with the Year Ended October 31, 2019</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4"/>
        <w:gridCol w:w="163"/>
        <w:gridCol w:w="36"/>
        <w:gridCol w:w="36"/>
        <w:gridCol w:w="36"/>
        <w:gridCol w:w="133"/>
        <w:gridCol w:w="1024"/>
        <w:gridCol w:w="37"/>
        <w:gridCol w:w="37"/>
        <w:gridCol w:w="36"/>
        <w:gridCol w:w="36"/>
        <w:gridCol w:w="42"/>
        <w:gridCol w:w="997"/>
        <w:gridCol w:w="37"/>
      </w:tblGrid>
      <w:tr w:rsidR="00000000" w14:paraId="207E31CB" w14:textId="77777777">
        <w:trPr>
          <w:divId w:val="600603292"/>
        </w:trPr>
        <w:tc>
          <w:tcPr>
            <w:tcW w:w="50" w:type="pct"/>
            <w:vAlign w:val="center"/>
            <w:hideMark/>
          </w:tcPr>
          <w:p w14:paraId="1B29CD44" w14:textId="77777777" w:rsidR="00000000" w:rsidRDefault="001D0688">
            <w:pPr>
              <w:jc w:val="both"/>
              <w:rPr>
                <w:rFonts w:eastAsia="Times New Roman"/>
              </w:rPr>
            </w:pPr>
          </w:p>
        </w:tc>
        <w:tc>
          <w:tcPr>
            <w:tcW w:w="1819" w:type="pct"/>
            <w:vAlign w:val="center"/>
            <w:hideMark/>
          </w:tcPr>
          <w:p w14:paraId="2DB457A3" w14:textId="77777777" w:rsidR="00000000" w:rsidRDefault="001D0688">
            <w:pPr>
              <w:rPr>
                <w:rFonts w:eastAsia="Times New Roman"/>
                <w:sz w:val="20"/>
                <w:szCs w:val="20"/>
              </w:rPr>
            </w:pPr>
          </w:p>
        </w:tc>
        <w:tc>
          <w:tcPr>
            <w:tcW w:w="5" w:type="pct"/>
            <w:vAlign w:val="center"/>
            <w:hideMark/>
          </w:tcPr>
          <w:p w14:paraId="7A92C8F3" w14:textId="77777777" w:rsidR="00000000" w:rsidRDefault="001D0688">
            <w:pPr>
              <w:rPr>
                <w:rFonts w:eastAsia="Times New Roman"/>
                <w:sz w:val="20"/>
                <w:szCs w:val="20"/>
              </w:rPr>
            </w:pPr>
          </w:p>
        </w:tc>
        <w:tc>
          <w:tcPr>
            <w:tcW w:w="50" w:type="pct"/>
            <w:vAlign w:val="center"/>
            <w:hideMark/>
          </w:tcPr>
          <w:p w14:paraId="6C341014" w14:textId="77777777" w:rsidR="00000000" w:rsidRDefault="001D0688">
            <w:pPr>
              <w:rPr>
                <w:rFonts w:eastAsia="Times New Roman"/>
                <w:sz w:val="20"/>
                <w:szCs w:val="20"/>
              </w:rPr>
            </w:pPr>
          </w:p>
        </w:tc>
        <w:tc>
          <w:tcPr>
            <w:tcW w:w="699" w:type="pct"/>
            <w:vAlign w:val="center"/>
            <w:hideMark/>
          </w:tcPr>
          <w:p w14:paraId="2459CE92" w14:textId="77777777" w:rsidR="00000000" w:rsidRDefault="001D0688">
            <w:pPr>
              <w:rPr>
                <w:rFonts w:eastAsia="Times New Roman"/>
                <w:sz w:val="20"/>
                <w:szCs w:val="20"/>
              </w:rPr>
            </w:pPr>
          </w:p>
        </w:tc>
        <w:tc>
          <w:tcPr>
            <w:tcW w:w="5" w:type="pct"/>
            <w:vAlign w:val="center"/>
            <w:hideMark/>
          </w:tcPr>
          <w:p w14:paraId="245681E5" w14:textId="77777777" w:rsidR="00000000" w:rsidRDefault="001D0688">
            <w:pPr>
              <w:rPr>
                <w:rFonts w:eastAsia="Times New Roman"/>
                <w:sz w:val="20"/>
                <w:szCs w:val="20"/>
              </w:rPr>
            </w:pPr>
          </w:p>
        </w:tc>
        <w:tc>
          <w:tcPr>
            <w:tcW w:w="5" w:type="pct"/>
            <w:vAlign w:val="center"/>
            <w:hideMark/>
          </w:tcPr>
          <w:p w14:paraId="25C1F347" w14:textId="77777777" w:rsidR="00000000" w:rsidRDefault="001D0688">
            <w:pPr>
              <w:rPr>
                <w:rFonts w:eastAsia="Times New Roman"/>
                <w:sz w:val="20"/>
                <w:szCs w:val="20"/>
              </w:rPr>
            </w:pPr>
          </w:p>
        </w:tc>
        <w:tc>
          <w:tcPr>
            <w:tcW w:w="26" w:type="pct"/>
            <w:vAlign w:val="center"/>
            <w:hideMark/>
          </w:tcPr>
          <w:p w14:paraId="1C9EB067" w14:textId="77777777" w:rsidR="00000000" w:rsidRDefault="001D0688">
            <w:pPr>
              <w:rPr>
                <w:rFonts w:eastAsia="Times New Roman"/>
                <w:sz w:val="20"/>
                <w:szCs w:val="20"/>
              </w:rPr>
            </w:pPr>
          </w:p>
        </w:tc>
        <w:tc>
          <w:tcPr>
            <w:tcW w:w="5" w:type="pct"/>
            <w:vAlign w:val="center"/>
            <w:hideMark/>
          </w:tcPr>
          <w:p w14:paraId="0EE22F72" w14:textId="77777777" w:rsidR="00000000" w:rsidRDefault="001D0688">
            <w:pPr>
              <w:rPr>
                <w:rFonts w:eastAsia="Times New Roman"/>
                <w:sz w:val="20"/>
                <w:szCs w:val="20"/>
              </w:rPr>
            </w:pPr>
          </w:p>
        </w:tc>
        <w:tc>
          <w:tcPr>
            <w:tcW w:w="50" w:type="pct"/>
            <w:vAlign w:val="center"/>
            <w:hideMark/>
          </w:tcPr>
          <w:p w14:paraId="1642DB98" w14:textId="77777777" w:rsidR="00000000" w:rsidRDefault="001D0688">
            <w:pPr>
              <w:rPr>
                <w:rFonts w:eastAsia="Times New Roman"/>
                <w:sz w:val="20"/>
                <w:szCs w:val="20"/>
              </w:rPr>
            </w:pPr>
          </w:p>
        </w:tc>
        <w:tc>
          <w:tcPr>
            <w:tcW w:w="699" w:type="pct"/>
            <w:vAlign w:val="center"/>
            <w:hideMark/>
          </w:tcPr>
          <w:p w14:paraId="1DEF0C05" w14:textId="77777777" w:rsidR="00000000" w:rsidRDefault="001D0688">
            <w:pPr>
              <w:rPr>
                <w:rFonts w:eastAsia="Times New Roman"/>
                <w:sz w:val="20"/>
                <w:szCs w:val="20"/>
              </w:rPr>
            </w:pPr>
          </w:p>
        </w:tc>
        <w:tc>
          <w:tcPr>
            <w:tcW w:w="5" w:type="pct"/>
            <w:vAlign w:val="center"/>
            <w:hideMark/>
          </w:tcPr>
          <w:p w14:paraId="76ACDF53" w14:textId="77777777" w:rsidR="00000000" w:rsidRDefault="001D0688">
            <w:pPr>
              <w:rPr>
                <w:rFonts w:eastAsia="Times New Roman"/>
                <w:sz w:val="20"/>
                <w:szCs w:val="20"/>
              </w:rPr>
            </w:pPr>
          </w:p>
        </w:tc>
        <w:tc>
          <w:tcPr>
            <w:tcW w:w="5" w:type="pct"/>
            <w:vAlign w:val="center"/>
            <w:hideMark/>
          </w:tcPr>
          <w:p w14:paraId="6100663E" w14:textId="77777777" w:rsidR="00000000" w:rsidRDefault="001D0688">
            <w:pPr>
              <w:rPr>
                <w:rFonts w:eastAsia="Times New Roman"/>
                <w:sz w:val="20"/>
                <w:szCs w:val="20"/>
              </w:rPr>
            </w:pPr>
          </w:p>
        </w:tc>
        <w:tc>
          <w:tcPr>
            <w:tcW w:w="26" w:type="pct"/>
            <w:vAlign w:val="center"/>
            <w:hideMark/>
          </w:tcPr>
          <w:p w14:paraId="675F325C" w14:textId="77777777" w:rsidR="00000000" w:rsidRDefault="001D0688">
            <w:pPr>
              <w:rPr>
                <w:rFonts w:eastAsia="Times New Roman"/>
                <w:sz w:val="20"/>
                <w:szCs w:val="20"/>
              </w:rPr>
            </w:pPr>
          </w:p>
        </w:tc>
        <w:tc>
          <w:tcPr>
            <w:tcW w:w="5" w:type="pct"/>
            <w:vAlign w:val="center"/>
            <w:hideMark/>
          </w:tcPr>
          <w:p w14:paraId="4A1BEB75" w14:textId="77777777" w:rsidR="00000000" w:rsidRDefault="001D0688">
            <w:pPr>
              <w:rPr>
                <w:rFonts w:eastAsia="Times New Roman"/>
                <w:sz w:val="20"/>
                <w:szCs w:val="20"/>
              </w:rPr>
            </w:pPr>
          </w:p>
        </w:tc>
        <w:tc>
          <w:tcPr>
            <w:tcW w:w="50" w:type="pct"/>
            <w:vAlign w:val="center"/>
            <w:hideMark/>
          </w:tcPr>
          <w:p w14:paraId="2C24C0E5" w14:textId="77777777" w:rsidR="00000000" w:rsidRDefault="001D0688">
            <w:pPr>
              <w:rPr>
                <w:rFonts w:eastAsia="Times New Roman"/>
                <w:sz w:val="20"/>
                <w:szCs w:val="20"/>
              </w:rPr>
            </w:pPr>
          </w:p>
        </w:tc>
        <w:tc>
          <w:tcPr>
            <w:tcW w:w="699" w:type="pct"/>
            <w:vAlign w:val="center"/>
            <w:hideMark/>
          </w:tcPr>
          <w:p w14:paraId="1908DF6B" w14:textId="77777777" w:rsidR="00000000" w:rsidRDefault="001D0688">
            <w:pPr>
              <w:rPr>
                <w:rFonts w:eastAsia="Times New Roman"/>
                <w:sz w:val="20"/>
                <w:szCs w:val="20"/>
              </w:rPr>
            </w:pPr>
          </w:p>
        </w:tc>
        <w:tc>
          <w:tcPr>
            <w:tcW w:w="5" w:type="pct"/>
            <w:vAlign w:val="center"/>
            <w:hideMark/>
          </w:tcPr>
          <w:p w14:paraId="046FD7A1" w14:textId="77777777" w:rsidR="00000000" w:rsidRDefault="001D0688">
            <w:pPr>
              <w:rPr>
                <w:rFonts w:eastAsia="Times New Roman"/>
                <w:sz w:val="20"/>
                <w:szCs w:val="20"/>
              </w:rPr>
            </w:pPr>
          </w:p>
        </w:tc>
        <w:tc>
          <w:tcPr>
            <w:tcW w:w="5" w:type="pct"/>
            <w:vAlign w:val="center"/>
            <w:hideMark/>
          </w:tcPr>
          <w:p w14:paraId="51AFE11A" w14:textId="77777777" w:rsidR="00000000" w:rsidRDefault="001D0688">
            <w:pPr>
              <w:rPr>
                <w:rFonts w:eastAsia="Times New Roman"/>
                <w:sz w:val="20"/>
                <w:szCs w:val="20"/>
              </w:rPr>
            </w:pPr>
          </w:p>
        </w:tc>
        <w:tc>
          <w:tcPr>
            <w:tcW w:w="26" w:type="pct"/>
            <w:vAlign w:val="center"/>
            <w:hideMark/>
          </w:tcPr>
          <w:p w14:paraId="635B8353" w14:textId="77777777" w:rsidR="00000000" w:rsidRDefault="001D0688">
            <w:pPr>
              <w:rPr>
                <w:rFonts w:eastAsia="Times New Roman"/>
                <w:sz w:val="20"/>
                <w:szCs w:val="20"/>
              </w:rPr>
            </w:pPr>
          </w:p>
        </w:tc>
        <w:tc>
          <w:tcPr>
            <w:tcW w:w="5" w:type="pct"/>
            <w:vAlign w:val="center"/>
            <w:hideMark/>
          </w:tcPr>
          <w:p w14:paraId="48CA0209" w14:textId="77777777" w:rsidR="00000000" w:rsidRDefault="001D0688">
            <w:pPr>
              <w:rPr>
                <w:rFonts w:eastAsia="Times New Roman"/>
                <w:sz w:val="20"/>
                <w:szCs w:val="20"/>
              </w:rPr>
            </w:pPr>
          </w:p>
        </w:tc>
        <w:tc>
          <w:tcPr>
            <w:tcW w:w="50" w:type="pct"/>
            <w:vAlign w:val="center"/>
            <w:hideMark/>
          </w:tcPr>
          <w:p w14:paraId="08BCE8EB" w14:textId="77777777" w:rsidR="00000000" w:rsidRDefault="001D0688">
            <w:pPr>
              <w:rPr>
                <w:rFonts w:eastAsia="Times New Roman"/>
                <w:sz w:val="20"/>
                <w:szCs w:val="20"/>
              </w:rPr>
            </w:pPr>
          </w:p>
        </w:tc>
        <w:tc>
          <w:tcPr>
            <w:tcW w:w="699" w:type="pct"/>
            <w:vAlign w:val="center"/>
            <w:hideMark/>
          </w:tcPr>
          <w:p w14:paraId="52402416" w14:textId="77777777" w:rsidR="00000000" w:rsidRDefault="001D0688">
            <w:pPr>
              <w:rPr>
                <w:rFonts w:eastAsia="Times New Roman"/>
                <w:sz w:val="20"/>
                <w:szCs w:val="20"/>
              </w:rPr>
            </w:pPr>
          </w:p>
        </w:tc>
        <w:tc>
          <w:tcPr>
            <w:tcW w:w="5" w:type="pct"/>
            <w:vAlign w:val="center"/>
            <w:hideMark/>
          </w:tcPr>
          <w:p w14:paraId="01B539FC" w14:textId="77777777" w:rsidR="00000000" w:rsidRDefault="001D0688">
            <w:pPr>
              <w:rPr>
                <w:rFonts w:eastAsia="Times New Roman"/>
                <w:sz w:val="20"/>
                <w:szCs w:val="20"/>
              </w:rPr>
            </w:pPr>
          </w:p>
        </w:tc>
      </w:tr>
      <w:tr w:rsidR="00000000" w14:paraId="0188439C" w14:textId="77777777">
        <w:trPr>
          <w:divId w:val="600603292"/>
        </w:trPr>
        <w:tc>
          <w:tcPr>
            <w:tcW w:w="0" w:type="auto"/>
            <w:gridSpan w:val="3"/>
            <w:tcMar>
              <w:top w:w="30" w:type="dxa"/>
              <w:left w:w="20" w:type="dxa"/>
              <w:bottom w:w="30" w:type="dxa"/>
              <w:right w:w="20" w:type="dxa"/>
            </w:tcMar>
            <w:vAlign w:val="bottom"/>
            <w:hideMark/>
          </w:tcPr>
          <w:p w14:paraId="244909E6" w14:textId="77777777" w:rsidR="00000000" w:rsidRDefault="001D0688">
            <w:pPr>
              <w:rPr>
                <w:rFonts w:eastAsia="Times New Roman"/>
              </w:rPr>
            </w:pPr>
            <w:r>
              <w:rPr>
                <w:rFonts w:ascii="Arial" w:eastAsia="Times New Roman" w:hAnsi="Arial" w:cs="Arial"/>
                <w:b/>
                <w:bCs/>
                <w:i/>
                <w:iCs/>
                <w:color w:val="0046AD"/>
                <w:sz w:val="20"/>
                <w:szCs w:val="20"/>
              </w:rPr>
              <w:t>Business &amp; Industry</w:t>
            </w:r>
          </w:p>
        </w:tc>
        <w:tc>
          <w:tcPr>
            <w:tcW w:w="0" w:type="auto"/>
            <w:gridSpan w:val="3"/>
            <w:tcMar>
              <w:top w:w="0" w:type="dxa"/>
              <w:left w:w="20" w:type="dxa"/>
              <w:bottom w:w="0" w:type="dxa"/>
              <w:right w:w="20" w:type="dxa"/>
            </w:tcMar>
            <w:vAlign w:val="center"/>
            <w:hideMark/>
          </w:tcPr>
          <w:p w14:paraId="210D7C2C"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1D615FA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B9E6D7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7D96C9B"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B28470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338E34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873120C" w14:textId="77777777" w:rsidR="00000000" w:rsidRDefault="001D0688">
            <w:pPr>
              <w:rPr>
                <w:rFonts w:eastAsia="Times New Roman"/>
                <w:sz w:val="20"/>
                <w:szCs w:val="20"/>
              </w:rPr>
            </w:pPr>
          </w:p>
        </w:tc>
      </w:tr>
      <w:tr w:rsidR="00000000" w14:paraId="2C788922" w14:textId="77777777">
        <w:trPr>
          <w:divId w:val="600603292"/>
        </w:trPr>
        <w:tc>
          <w:tcPr>
            <w:tcW w:w="0" w:type="auto"/>
            <w:gridSpan w:val="3"/>
            <w:tcMar>
              <w:top w:w="30" w:type="dxa"/>
              <w:left w:w="20" w:type="dxa"/>
              <w:bottom w:w="30" w:type="dxa"/>
              <w:right w:w="20" w:type="dxa"/>
            </w:tcMar>
            <w:vAlign w:val="bottom"/>
            <w:hideMark/>
          </w:tcPr>
          <w:p w14:paraId="639664B4"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1BA22D9A"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37BC3494"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4A39DE1E"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90B0243"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6628441" w14:textId="77777777" w:rsidR="00000000" w:rsidRDefault="001D0688">
            <w:pPr>
              <w:rPr>
                <w:rFonts w:eastAsia="Times New Roman"/>
                <w:sz w:val="20"/>
                <w:szCs w:val="20"/>
              </w:rPr>
            </w:pPr>
          </w:p>
        </w:tc>
      </w:tr>
      <w:tr w:rsidR="00000000" w14:paraId="69F6794E" w14:textId="77777777">
        <w:trPr>
          <w:divId w:val="600603292"/>
        </w:trPr>
        <w:tc>
          <w:tcPr>
            <w:tcW w:w="0" w:type="auto"/>
            <w:gridSpan w:val="3"/>
            <w:tcMar>
              <w:top w:w="30" w:type="dxa"/>
              <w:left w:w="20" w:type="dxa"/>
              <w:bottom w:w="30" w:type="dxa"/>
              <w:right w:w="20" w:type="dxa"/>
            </w:tcMar>
            <w:vAlign w:val="bottom"/>
            <w:hideMark/>
          </w:tcPr>
          <w:p w14:paraId="273196D3"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3473DC58"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BD8DE9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DFBFF7"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07D4254D" w14:textId="77777777" w:rsidR="00000000" w:rsidRDefault="001D0688">
            <w:pPr>
              <w:jc w:val="center"/>
              <w:rPr>
                <w:rFonts w:eastAsia="Times New Roman"/>
              </w:rPr>
            </w:pPr>
          </w:p>
        </w:tc>
        <w:tc>
          <w:tcPr>
            <w:tcW w:w="0" w:type="auto"/>
            <w:gridSpan w:val="9"/>
            <w:tcMar>
              <w:top w:w="30" w:type="dxa"/>
              <w:left w:w="20" w:type="dxa"/>
              <w:bottom w:w="30" w:type="dxa"/>
              <w:right w:w="20" w:type="dxa"/>
            </w:tcMar>
            <w:vAlign w:val="bottom"/>
            <w:hideMark/>
          </w:tcPr>
          <w:p w14:paraId="70A7A1C8" w14:textId="77777777" w:rsidR="00000000" w:rsidRDefault="001D0688">
            <w:pPr>
              <w:jc w:val="center"/>
              <w:rPr>
                <w:rFonts w:eastAsia="Times New Roman"/>
              </w:rPr>
            </w:pPr>
            <w:r>
              <w:rPr>
                <w:rFonts w:ascii="Arial" w:eastAsia="Times New Roman" w:hAnsi="Arial" w:cs="Arial"/>
                <w:b/>
                <w:bCs/>
                <w:color w:val="000000"/>
                <w:sz w:val="20"/>
                <w:szCs w:val="20"/>
              </w:rPr>
              <w:t>(Decrease) / Increase</w:t>
            </w:r>
          </w:p>
        </w:tc>
      </w:tr>
      <w:tr w:rsidR="00000000" w14:paraId="3BD8400C" w14:textId="77777777">
        <w:trPr>
          <w:divId w:val="600603292"/>
        </w:trPr>
        <w:tc>
          <w:tcPr>
            <w:tcW w:w="0" w:type="auto"/>
            <w:gridSpan w:val="3"/>
            <w:shd w:val="clear" w:color="auto" w:fill="DCE2EF"/>
            <w:tcMar>
              <w:top w:w="30" w:type="dxa"/>
              <w:left w:w="20" w:type="dxa"/>
              <w:bottom w:w="30" w:type="dxa"/>
              <w:right w:w="20" w:type="dxa"/>
            </w:tcMar>
            <w:vAlign w:val="bottom"/>
            <w:hideMark/>
          </w:tcPr>
          <w:p w14:paraId="2F9884B9"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928697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E623C1D" w14:textId="77777777" w:rsidR="00000000" w:rsidRDefault="001D0688">
            <w:pPr>
              <w:jc w:val="right"/>
              <w:rPr>
                <w:rFonts w:eastAsia="Times New Roman"/>
              </w:rPr>
            </w:pPr>
            <w:r>
              <w:rPr>
                <w:rFonts w:ascii="Arial" w:eastAsia="Times New Roman" w:hAnsi="Arial" w:cs="Arial"/>
                <w:color w:val="000000"/>
                <w:sz w:val="20"/>
                <w:szCs w:val="20"/>
              </w:rPr>
              <w:t>3,157.8 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9A90E7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9D7EE4"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619D47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7F96301" w14:textId="77777777" w:rsidR="00000000" w:rsidRDefault="001D0688">
            <w:pPr>
              <w:jc w:val="right"/>
              <w:rPr>
                <w:rFonts w:eastAsia="Times New Roman"/>
              </w:rPr>
            </w:pPr>
            <w:r>
              <w:rPr>
                <w:rFonts w:ascii="Arial" w:eastAsia="Times New Roman" w:hAnsi="Arial" w:cs="Arial"/>
                <w:color w:val="000000"/>
                <w:sz w:val="20"/>
                <w:szCs w:val="20"/>
              </w:rPr>
              <w:t>3,251.4 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57DB8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8EA74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9B4670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8E214CC" w14:textId="77777777" w:rsidR="00000000" w:rsidRDefault="001D0688">
            <w:pPr>
              <w:jc w:val="right"/>
              <w:rPr>
                <w:rFonts w:eastAsia="Times New Roman"/>
              </w:rPr>
            </w:pPr>
            <w:r>
              <w:rPr>
                <w:rFonts w:ascii="Arial" w:eastAsia="Times New Roman" w:hAnsi="Arial" w:cs="Arial"/>
                <w:color w:val="000000"/>
                <w:sz w:val="20"/>
                <w:szCs w:val="20"/>
              </w:rPr>
              <w:t>(93.6)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449CFF"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7478FAB"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F5F7354" w14:textId="77777777" w:rsidR="00000000" w:rsidRDefault="001D0688">
            <w:pPr>
              <w:jc w:val="center"/>
              <w:rPr>
                <w:rFonts w:eastAsia="Times New Roman"/>
              </w:rPr>
            </w:pPr>
            <w:r>
              <w:rPr>
                <w:rFonts w:ascii="Arial" w:eastAsia="Times New Roman" w:hAnsi="Arial" w:cs="Arial"/>
                <w:color w:val="000000"/>
                <w:sz w:val="20"/>
                <w:szCs w:val="20"/>
              </w:rPr>
              <w:t>(2.9)%</w:t>
            </w:r>
          </w:p>
        </w:tc>
      </w:tr>
      <w:tr w:rsidR="00000000" w14:paraId="49C34BD9" w14:textId="77777777">
        <w:trPr>
          <w:divId w:val="600603292"/>
        </w:trPr>
        <w:tc>
          <w:tcPr>
            <w:tcW w:w="0" w:type="auto"/>
            <w:gridSpan w:val="3"/>
            <w:shd w:val="clear" w:color="auto" w:fill="FFFFFF"/>
            <w:tcMar>
              <w:top w:w="30" w:type="dxa"/>
              <w:left w:w="20" w:type="dxa"/>
              <w:bottom w:w="30" w:type="dxa"/>
              <w:right w:w="20" w:type="dxa"/>
            </w:tcMar>
            <w:vAlign w:val="bottom"/>
            <w:hideMark/>
          </w:tcPr>
          <w:p w14:paraId="721DE0CD" w14:textId="77777777" w:rsidR="00000000" w:rsidRDefault="001D0688">
            <w:pPr>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7F460D82" w14:textId="77777777" w:rsidR="00000000" w:rsidRDefault="001D0688">
            <w:pPr>
              <w:jc w:val="right"/>
              <w:rPr>
                <w:rFonts w:eastAsia="Times New Roman"/>
              </w:rPr>
            </w:pPr>
            <w:r>
              <w:rPr>
                <w:rFonts w:ascii="Arial" w:eastAsia="Times New Roman" w:hAnsi="Arial" w:cs="Arial"/>
                <w:color w:val="000000"/>
                <w:sz w:val="20"/>
                <w:szCs w:val="20"/>
              </w:rPr>
              <w:t>253.7 </w:t>
            </w:r>
          </w:p>
        </w:tc>
        <w:tc>
          <w:tcPr>
            <w:tcW w:w="0" w:type="auto"/>
            <w:shd w:val="clear" w:color="auto" w:fill="FFFFFF"/>
            <w:tcMar>
              <w:top w:w="30" w:type="dxa"/>
              <w:left w:w="0" w:type="dxa"/>
              <w:bottom w:w="30" w:type="dxa"/>
              <w:right w:w="20" w:type="dxa"/>
            </w:tcMar>
            <w:vAlign w:val="bottom"/>
            <w:hideMark/>
          </w:tcPr>
          <w:p w14:paraId="3D8129F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2C3D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EE46A" w14:textId="77777777" w:rsidR="00000000" w:rsidRDefault="001D0688">
            <w:pPr>
              <w:jc w:val="right"/>
              <w:rPr>
                <w:rFonts w:eastAsia="Times New Roman"/>
              </w:rPr>
            </w:pPr>
            <w:r>
              <w:rPr>
                <w:rFonts w:ascii="Arial" w:eastAsia="Times New Roman" w:hAnsi="Arial" w:cs="Arial"/>
                <w:color w:val="000000"/>
                <w:sz w:val="20"/>
                <w:szCs w:val="20"/>
              </w:rPr>
              <w:t>182.3 </w:t>
            </w:r>
          </w:p>
        </w:tc>
        <w:tc>
          <w:tcPr>
            <w:tcW w:w="0" w:type="auto"/>
            <w:shd w:val="clear" w:color="auto" w:fill="FFFFFF"/>
            <w:tcMar>
              <w:top w:w="30" w:type="dxa"/>
              <w:left w:w="0" w:type="dxa"/>
              <w:bottom w:w="30" w:type="dxa"/>
              <w:right w:w="20" w:type="dxa"/>
            </w:tcMar>
            <w:vAlign w:val="bottom"/>
            <w:hideMark/>
          </w:tcPr>
          <w:p w14:paraId="79DDBF4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EE71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F56741" w14:textId="77777777" w:rsidR="00000000" w:rsidRDefault="001D0688">
            <w:pPr>
              <w:jc w:val="right"/>
              <w:rPr>
                <w:rFonts w:eastAsia="Times New Roman"/>
              </w:rPr>
            </w:pPr>
            <w:r>
              <w:rPr>
                <w:rFonts w:ascii="Arial" w:eastAsia="Times New Roman" w:hAnsi="Arial" w:cs="Arial"/>
                <w:color w:val="000000"/>
                <w:sz w:val="20"/>
                <w:szCs w:val="20"/>
              </w:rPr>
              <w:t>71.4 </w:t>
            </w:r>
          </w:p>
        </w:tc>
        <w:tc>
          <w:tcPr>
            <w:tcW w:w="0" w:type="auto"/>
            <w:shd w:val="clear" w:color="auto" w:fill="FFFFFF"/>
            <w:tcMar>
              <w:top w:w="30" w:type="dxa"/>
              <w:left w:w="0" w:type="dxa"/>
              <w:bottom w:w="30" w:type="dxa"/>
              <w:right w:w="20" w:type="dxa"/>
            </w:tcMar>
            <w:vAlign w:val="bottom"/>
            <w:hideMark/>
          </w:tcPr>
          <w:p w14:paraId="7486FE0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C5571"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F6B67B" w14:textId="77777777" w:rsidR="00000000" w:rsidRDefault="001D0688">
            <w:pPr>
              <w:jc w:val="center"/>
              <w:rPr>
                <w:rFonts w:eastAsia="Times New Roman"/>
              </w:rPr>
            </w:pPr>
            <w:r>
              <w:rPr>
                <w:rFonts w:ascii="Arial" w:eastAsia="Times New Roman" w:hAnsi="Arial" w:cs="Arial"/>
                <w:color w:val="000000"/>
                <w:sz w:val="20"/>
                <w:szCs w:val="20"/>
              </w:rPr>
              <w:t>39.2%</w:t>
            </w:r>
          </w:p>
        </w:tc>
      </w:tr>
      <w:tr w:rsidR="00000000" w14:paraId="7BFA21D8" w14:textId="77777777">
        <w:trPr>
          <w:divId w:val="600603292"/>
        </w:trPr>
        <w:tc>
          <w:tcPr>
            <w:tcW w:w="0" w:type="auto"/>
            <w:gridSpan w:val="3"/>
            <w:shd w:val="clear" w:color="auto" w:fill="DCE2EF"/>
            <w:tcMar>
              <w:top w:w="30" w:type="dxa"/>
              <w:left w:w="155" w:type="dxa"/>
              <w:bottom w:w="30" w:type="dxa"/>
              <w:right w:w="20" w:type="dxa"/>
            </w:tcMar>
            <w:vAlign w:val="bottom"/>
            <w:hideMark/>
          </w:tcPr>
          <w:p w14:paraId="6441A264"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44FFB902" w14:textId="77777777" w:rsidR="00000000" w:rsidRDefault="001D0688">
            <w:pPr>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14:paraId="21696409"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32F6CBB"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D6B3C5E" w14:textId="77777777" w:rsidR="00000000" w:rsidRDefault="001D0688">
            <w:pPr>
              <w:jc w:val="right"/>
              <w:rPr>
                <w:rFonts w:eastAsia="Times New Roman"/>
              </w:rPr>
            </w:pPr>
            <w:r>
              <w:rPr>
                <w:rFonts w:ascii="Arial" w:eastAsia="Times New Roman" w:hAnsi="Arial" w:cs="Arial"/>
                <w:i/>
                <w:iCs/>
                <w:color w:val="000000"/>
                <w:sz w:val="16"/>
                <w:szCs w:val="16"/>
              </w:rPr>
              <w:t>5.6 </w:t>
            </w:r>
          </w:p>
        </w:tc>
        <w:tc>
          <w:tcPr>
            <w:tcW w:w="0" w:type="auto"/>
            <w:shd w:val="clear" w:color="auto" w:fill="DCE2EF"/>
            <w:tcMar>
              <w:top w:w="30" w:type="dxa"/>
              <w:left w:w="0" w:type="dxa"/>
              <w:bottom w:w="30" w:type="dxa"/>
              <w:right w:w="20" w:type="dxa"/>
            </w:tcMar>
            <w:vAlign w:val="bottom"/>
            <w:hideMark/>
          </w:tcPr>
          <w:p w14:paraId="05F7B459"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ACE77C7" w14:textId="77777777" w:rsidR="00000000" w:rsidRDefault="001D0688">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DD5BEAC" w14:textId="77777777" w:rsidR="00000000" w:rsidRDefault="001D0688">
            <w:pPr>
              <w:jc w:val="right"/>
              <w:rPr>
                <w:rFonts w:eastAsia="Times New Roman"/>
              </w:rPr>
            </w:pPr>
            <w:r>
              <w:rPr>
                <w:rFonts w:ascii="Arial" w:eastAsia="Times New Roman" w:hAnsi="Arial" w:cs="Arial"/>
                <w:i/>
                <w:iCs/>
                <w:color w:val="000000"/>
                <w:sz w:val="16"/>
                <w:szCs w:val="16"/>
              </w:rPr>
              <w:t>243 bps</w:t>
            </w:r>
          </w:p>
        </w:tc>
        <w:tc>
          <w:tcPr>
            <w:tcW w:w="0" w:type="auto"/>
            <w:gridSpan w:val="3"/>
            <w:shd w:val="clear" w:color="auto" w:fill="DCE2EF"/>
            <w:tcMar>
              <w:top w:w="0" w:type="dxa"/>
              <w:left w:w="20" w:type="dxa"/>
              <w:bottom w:w="0" w:type="dxa"/>
              <w:right w:w="20" w:type="dxa"/>
            </w:tcMar>
            <w:vAlign w:val="center"/>
            <w:hideMark/>
          </w:tcPr>
          <w:p w14:paraId="7C009AD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41C39D" w14:textId="77777777" w:rsidR="00000000" w:rsidRDefault="001D0688">
            <w:pPr>
              <w:rPr>
                <w:rFonts w:eastAsia="Times New Roman"/>
                <w:sz w:val="20"/>
                <w:szCs w:val="20"/>
              </w:rPr>
            </w:pPr>
          </w:p>
        </w:tc>
      </w:tr>
    </w:tbl>
    <w:p w14:paraId="45F14412" w14:textId="77777777" w:rsidR="00000000" w:rsidRDefault="001D0688">
      <w:pPr>
        <w:ind w:firstLine="720"/>
        <w:jc w:val="both"/>
        <w:divId w:val="1798520786"/>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decreased by $93.6 million, or 2.9%, during 2020, as compared to 2019. The decrease was primarily attributable to account compression resulting from Pandemic-related disruptions in certain markets within both our U.S. and U.K. businesses and the</w:t>
      </w:r>
      <w:r>
        <w:rPr>
          <w:rFonts w:ascii="Arial" w:eastAsia="Times New Roman" w:hAnsi="Arial" w:cs="Arial"/>
          <w:color w:val="000000"/>
          <w:sz w:val="20"/>
          <w:szCs w:val="20"/>
        </w:rPr>
        <w:t xml:space="preserve"> loss of certain accounts in our U.S. business, including the exit from certain lower margin or underperforming accounts that occurred primarily towards the end of the prior year. The decrease was partially offset by: the targeted expansion of certain key </w:t>
      </w:r>
      <w:r>
        <w:rPr>
          <w:rFonts w:ascii="Arial" w:eastAsia="Times New Roman" w:hAnsi="Arial" w:cs="Arial"/>
          <w:color w:val="000000"/>
          <w:sz w:val="20"/>
          <w:szCs w:val="20"/>
        </w:rPr>
        <w:t xml:space="preserve">clients and new business within our U.S. business; an increase in work orders and other services, including EnhancedClean (primarily relating to the Pandemic); and net new business in our U.K. operations. Management reimbursement revenues for this segment </w:t>
      </w:r>
      <w:r>
        <w:rPr>
          <w:rFonts w:ascii="Arial" w:eastAsia="Times New Roman" w:hAnsi="Arial" w:cs="Arial"/>
          <w:color w:val="000000"/>
          <w:sz w:val="20"/>
          <w:szCs w:val="20"/>
        </w:rPr>
        <w:t xml:space="preserve">totaled $221.4 million and $283.1 million during 2020 and 2019, respectively. </w:t>
      </w:r>
    </w:p>
    <w:p w14:paraId="53CD2FE5" w14:textId="77777777" w:rsidR="00000000" w:rsidRDefault="001D0688">
      <w:pPr>
        <w:ind w:firstLine="720"/>
        <w:jc w:val="both"/>
        <w:divId w:val="1828936062"/>
        <w:rPr>
          <w:rFonts w:eastAsia="Times New Roman"/>
        </w:rPr>
      </w:pPr>
      <w:r>
        <w:rPr>
          <w:rFonts w:ascii="Arial" w:eastAsia="Times New Roman" w:hAnsi="Arial" w:cs="Arial"/>
          <w:color w:val="000000"/>
          <w:sz w:val="20"/>
          <w:szCs w:val="20"/>
        </w:rPr>
        <w:t>Operating profit increased by $71.4 million, or 39.2%, during 2020, as compared to 2019. Operating profit margin increased by 243 bps to 8.0% in 2020 from 5.6% in 2019. The increase in operating profit margin was primarily associated with higher margins on</w:t>
      </w:r>
      <w:r>
        <w:rPr>
          <w:rFonts w:ascii="Arial" w:eastAsia="Times New Roman" w:hAnsi="Arial" w:cs="Arial"/>
          <w:color w:val="000000"/>
          <w:sz w:val="20"/>
          <w:szCs w:val="20"/>
        </w:rPr>
        <w:t xml:space="preserve"> work orders and higher margins on certain accounts in both our U.S. and U.K. businesses, driven by the management of direct labor and related personnel costs during the Pandemic. The increase was also driven by the exit from certain lower margin or underp</w:t>
      </w:r>
      <w:r>
        <w:rPr>
          <w:rFonts w:ascii="Arial" w:eastAsia="Times New Roman" w:hAnsi="Arial" w:cs="Arial"/>
          <w:color w:val="000000"/>
          <w:sz w:val="20"/>
          <w:szCs w:val="20"/>
        </w:rPr>
        <w:t>erforming accounts in our U.S. business. The increase was partially offset by account compression resulting from Pandemic-related disruptions in certain markets and higher reserves established for client receivables mainly associated with increasing credit</w:t>
      </w:r>
      <w:r>
        <w:rPr>
          <w:rFonts w:ascii="Arial" w:eastAsia="Times New Roman" w:hAnsi="Arial" w:cs="Arial"/>
          <w:color w:val="000000"/>
          <w:sz w:val="20"/>
          <w:szCs w:val="20"/>
        </w:rPr>
        <w:t xml:space="preserve"> risk in certain industries resulting from the Pandemic.</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22"/>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41"/>
        <w:gridCol w:w="997"/>
        <w:gridCol w:w="36"/>
      </w:tblGrid>
      <w:tr w:rsidR="00000000" w14:paraId="5B2C69A2" w14:textId="77777777">
        <w:trPr>
          <w:divId w:val="1825851659"/>
          <w:jc w:val="center"/>
        </w:trPr>
        <w:tc>
          <w:tcPr>
            <w:tcW w:w="50" w:type="pct"/>
            <w:vAlign w:val="center"/>
            <w:hideMark/>
          </w:tcPr>
          <w:p w14:paraId="01B3375E" w14:textId="77777777" w:rsidR="00000000" w:rsidRDefault="001D0688">
            <w:pPr>
              <w:ind w:firstLine="720"/>
              <w:jc w:val="both"/>
              <w:rPr>
                <w:rFonts w:eastAsia="Times New Roman"/>
              </w:rPr>
            </w:pPr>
          </w:p>
        </w:tc>
        <w:tc>
          <w:tcPr>
            <w:tcW w:w="1819" w:type="pct"/>
            <w:vAlign w:val="center"/>
            <w:hideMark/>
          </w:tcPr>
          <w:p w14:paraId="535FB616" w14:textId="77777777" w:rsidR="00000000" w:rsidRDefault="001D0688">
            <w:pPr>
              <w:rPr>
                <w:rFonts w:eastAsia="Times New Roman"/>
                <w:sz w:val="20"/>
                <w:szCs w:val="20"/>
              </w:rPr>
            </w:pPr>
          </w:p>
        </w:tc>
        <w:tc>
          <w:tcPr>
            <w:tcW w:w="5" w:type="pct"/>
            <w:vAlign w:val="center"/>
            <w:hideMark/>
          </w:tcPr>
          <w:p w14:paraId="19D958E4" w14:textId="77777777" w:rsidR="00000000" w:rsidRDefault="001D0688">
            <w:pPr>
              <w:rPr>
                <w:rFonts w:eastAsia="Times New Roman"/>
                <w:sz w:val="20"/>
                <w:szCs w:val="20"/>
              </w:rPr>
            </w:pPr>
          </w:p>
        </w:tc>
        <w:tc>
          <w:tcPr>
            <w:tcW w:w="50" w:type="pct"/>
            <w:vAlign w:val="center"/>
            <w:hideMark/>
          </w:tcPr>
          <w:p w14:paraId="4233E6B7" w14:textId="77777777" w:rsidR="00000000" w:rsidRDefault="001D0688">
            <w:pPr>
              <w:rPr>
                <w:rFonts w:eastAsia="Times New Roman"/>
                <w:sz w:val="20"/>
                <w:szCs w:val="20"/>
              </w:rPr>
            </w:pPr>
          </w:p>
        </w:tc>
        <w:tc>
          <w:tcPr>
            <w:tcW w:w="699" w:type="pct"/>
            <w:vAlign w:val="center"/>
            <w:hideMark/>
          </w:tcPr>
          <w:p w14:paraId="5C26C3AF" w14:textId="77777777" w:rsidR="00000000" w:rsidRDefault="001D0688">
            <w:pPr>
              <w:rPr>
                <w:rFonts w:eastAsia="Times New Roman"/>
                <w:sz w:val="20"/>
                <w:szCs w:val="20"/>
              </w:rPr>
            </w:pPr>
          </w:p>
        </w:tc>
        <w:tc>
          <w:tcPr>
            <w:tcW w:w="5" w:type="pct"/>
            <w:vAlign w:val="center"/>
            <w:hideMark/>
          </w:tcPr>
          <w:p w14:paraId="562DFC2C" w14:textId="77777777" w:rsidR="00000000" w:rsidRDefault="001D0688">
            <w:pPr>
              <w:rPr>
                <w:rFonts w:eastAsia="Times New Roman"/>
                <w:sz w:val="20"/>
                <w:szCs w:val="20"/>
              </w:rPr>
            </w:pPr>
          </w:p>
        </w:tc>
        <w:tc>
          <w:tcPr>
            <w:tcW w:w="5" w:type="pct"/>
            <w:vAlign w:val="center"/>
            <w:hideMark/>
          </w:tcPr>
          <w:p w14:paraId="3D2FF788" w14:textId="77777777" w:rsidR="00000000" w:rsidRDefault="001D0688">
            <w:pPr>
              <w:rPr>
                <w:rFonts w:eastAsia="Times New Roman"/>
                <w:sz w:val="20"/>
                <w:szCs w:val="20"/>
              </w:rPr>
            </w:pPr>
          </w:p>
        </w:tc>
        <w:tc>
          <w:tcPr>
            <w:tcW w:w="26" w:type="pct"/>
            <w:vAlign w:val="center"/>
            <w:hideMark/>
          </w:tcPr>
          <w:p w14:paraId="7437E42F" w14:textId="77777777" w:rsidR="00000000" w:rsidRDefault="001D0688">
            <w:pPr>
              <w:rPr>
                <w:rFonts w:eastAsia="Times New Roman"/>
                <w:sz w:val="20"/>
                <w:szCs w:val="20"/>
              </w:rPr>
            </w:pPr>
          </w:p>
        </w:tc>
        <w:tc>
          <w:tcPr>
            <w:tcW w:w="5" w:type="pct"/>
            <w:vAlign w:val="center"/>
            <w:hideMark/>
          </w:tcPr>
          <w:p w14:paraId="1F39DFBA" w14:textId="77777777" w:rsidR="00000000" w:rsidRDefault="001D0688">
            <w:pPr>
              <w:rPr>
                <w:rFonts w:eastAsia="Times New Roman"/>
                <w:sz w:val="20"/>
                <w:szCs w:val="20"/>
              </w:rPr>
            </w:pPr>
          </w:p>
        </w:tc>
        <w:tc>
          <w:tcPr>
            <w:tcW w:w="50" w:type="pct"/>
            <w:vAlign w:val="center"/>
            <w:hideMark/>
          </w:tcPr>
          <w:p w14:paraId="0A48B7C4" w14:textId="77777777" w:rsidR="00000000" w:rsidRDefault="001D0688">
            <w:pPr>
              <w:rPr>
                <w:rFonts w:eastAsia="Times New Roman"/>
                <w:sz w:val="20"/>
                <w:szCs w:val="20"/>
              </w:rPr>
            </w:pPr>
          </w:p>
        </w:tc>
        <w:tc>
          <w:tcPr>
            <w:tcW w:w="699" w:type="pct"/>
            <w:vAlign w:val="center"/>
            <w:hideMark/>
          </w:tcPr>
          <w:p w14:paraId="22BEA1D6" w14:textId="77777777" w:rsidR="00000000" w:rsidRDefault="001D0688">
            <w:pPr>
              <w:rPr>
                <w:rFonts w:eastAsia="Times New Roman"/>
                <w:sz w:val="20"/>
                <w:szCs w:val="20"/>
              </w:rPr>
            </w:pPr>
          </w:p>
        </w:tc>
        <w:tc>
          <w:tcPr>
            <w:tcW w:w="5" w:type="pct"/>
            <w:vAlign w:val="center"/>
            <w:hideMark/>
          </w:tcPr>
          <w:p w14:paraId="06535B19" w14:textId="77777777" w:rsidR="00000000" w:rsidRDefault="001D0688">
            <w:pPr>
              <w:rPr>
                <w:rFonts w:eastAsia="Times New Roman"/>
                <w:sz w:val="20"/>
                <w:szCs w:val="20"/>
              </w:rPr>
            </w:pPr>
          </w:p>
        </w:tc>
        <w:tc>
          <w:tcPr>
            <w:tcW w:w="5" w:type="pct"/>
            <w:vAlign w:val="center"/>
            <w:hideMark/>
          </w:tcPr>
          <w:p w14:paraId="46DA8514" w14:textId="77777777" w:rsidR="00000000" w:rsidRDefault="001D0688">
            <w:pPr>
              <w:rPr>
                <w:rFonts w:eastAsia="Times New Roman"/>
                <w:sz w:val="20"/>
                <w:szCs w:val="20"/>
              </w:rPr>
            </w:pPr>
          </w:p>
        </w:tc>
        <w:tc>
          <w:tcPr>
            <w:tcW w:w="26" w:type="pct"/>
            <w:vAlign w:val="center"/>
            <w:hideMark/>
          </w:tcPr>
          <w:p w14:paraId="4830368B" w14:textId="77777777" w:rsidR="00000000" w:rsidRDefault="001D0688">
            <w:pPr>
              <w:rPr>
                <w:rFonts w:eastAsia="Times New Roman"/>
                <w:sz w:val="20"/>
                <w:szCs w:val="20"/>
              </w:rPr>
            </w:pPr>
          </w:p>
        </w:tc>
        <w:tc>
          <w:tcPr>
            <w:tcW w:w="5" w:type="pct"/>
            <w:vAlign w:val="center"/>
            <w:hideMark/>
          </w:tcPr>
          <w:p w14:paraId="7CA94A02" w14:textId="77777777" w:rsidR="00000000" w:rsidRDefault="001D0688">
            <w:pPr>
              <w:rPr>
                <w:rFonts w:eastAsia="Times New Roman"/>
                <w:sz w:val="20"/>
                <w:szCs w:val="20"/>
              </w:rPr>
            </w:pPr>
          </w:p>
        </w:tc>
        <w:tc>
          <w:tcPr>
            <w:tcW w:w="50" w:type="pct"/>
            <w:vAlign w:val="center"/>
            <w:hideMark/>
          </w:tcPr>
          <w:p w14:paraId="058934ED" w14:textId="77777777" w:rsidR="00000000" w:rsidRDefault="001D0688">
            <w:pPr>
              <w:rPr>
                <w:rFonts w:eastAsia="Times New Roman"/>
                <w:sz w:val="20"/>
                <w:szCs w:val="20"/>
              </w:rPr>
            </w:pPr>
          </w:p>
        </w:tc>
        <w:tc>
          <w:tcPr>
            <w:tcW w:w="699" w:type="pct"/>
            <w:vAlign w:val="center"/>
            <w:hideMark/>
          </w:tcPr>
          <w:p w14:paraId="7BC027DC" w14:textId="77777777" w:rsidR="00000000" w:rsidRDefault="001D0688">
            <w:pPr>
              <w:rPr>
                <w:rFonts w:eastAsia="Times New Roman"/>
                <w:sz w:val="20"/>
                <w:szCs w:val="20"/>
              </w:rPr>
            </w:pPr>
          </w:p>
        </w:tc>
        <w:tc>
          <w:tcPr>
            <w:tcW w:w="5" w:type="pct"/>
            <w:vAlign w:val="center"/>
            <w:hideMark/>
          </w:tcPr>
          <w:p w14:paraId="15C612DE" w14:textId="77777777" w:rsidR="00000000" w:rsidRDefault="001D0688">
            <w:pPr>
              <w:rPr>
                <w:rFonts w:eastAsia="Times New Roman"/>
                <w:sz w:val="20"/>
                <w:szCs w:val="20"/>
              </w:rPr>
            </w:pPr>
          </w:p>
        </w:tc>
        <w:tc>
          <w:tcPr>
            <w:tcW w:w="5" w:type="pct"/>
            <w:vAlign w:val="center"/>
            <w:hideMark/>
          </w:tcPr>
          <w:p w14:paraId="6ACE9082" w14:textId="77777777" w:rsidR="00000000" w:rsidRDefault="001D0688">
            <w:pPr>
              <w:rPr>
                <w:rFonts w:eastAsia="Times New Roman"/>
                <w:sz w:val="20"/>
                <w:szCs w:val="20"/>
              </w:rPr>
            </w:pPr>
          </w:p>
        </w:tc>
        <w:tc>
          <w:tcPr>
            <w:tcW w:w="26" w:type="pct"/>
            <w:vAlign w:val="center"/>
            <w:hideMark/>
          </w:tcPr>
          <w:p w14:paraId="118ABE78" w14:textId="77777777" w:rsidR="00000000" w:rsidRDefault="001D0688">
            <w:pPr>
              <w:rPr>
                <w:rFonts w:eastAsia="Times New Roman"/>
                <w:sz w:val="20"/>
                <w:szCs w:val="20"/>
              </w:rPr>
            </w:pPr>
          </w:p>
        </w:tc>
        <w:tc>
          <w:tcPr>
            <w:tcW w:w="5" w:type="pct"/>
            <w:vAlign w:val="center"/>
            <w:hideMark/>
          </w:tcPr>
          <w:p w14:paraId="12B9C329" w14:textId="77777777" w:rsidR="00000000" w:rsidRDefault="001D0688">
            <w:pPr>
              <w:rPr>
                <w:rFonts w:eastAsia="Times New Roman"/>
                <w:sz w:val="20"/>
                <w:szCs w:val="20"/>
              </w:rPr>
            </w:pPr>
          </w:p>
        </w:tc>
        <w:tc>
          <w:tcPr>
            <w:tcW w:w="50" w:type="pct"/>
            <w:vAlign w:val="center"/>
            <w:hideMark/>
          </w:tcPr>
          <w:p w14:paraId="7B80ACE5" w14:textId="77777777" w:rsidR="00000000" w:rsidRDefault="001D0688">
            <w:pPr>
              <w:rPr>
                <w:rFonts w:eastAsia="Times New Roman"/>
                <w:sz w:val="20"/>
                <w:szCs w:val="20"/>
              </w:rPr>
            </w:pPr>
          </w:p>
        </w:tc>
        <w:tc>
          <w:tcPr>
            <w:tcW w:w="699" w:type="pct"/>
            <w:vAlign w:val="center"/>
            <w:hideMark/>
          </w:tcPr>
          <w:p w14:paraId="1275C574" w14:textId="77777777" w:rsidR="00000000" w:rsidRDefault="001D0688">
            <w:pPr>
              <w:rPr>
                <w:rFonts w:eastAsia="Times New Roman"/>
                <w:sz w:val="20"/>
                <w:szCs w:val="20"/>
              </w:rPr>
            </w:pPr>
          </w:p>
        </w:tc>
        <w:tc>
          <w:tcPr>
            <w:tcW w:w="5" w:type="pct"/>
            <w:vAlign w:val="center"/>
            <w:hideMark/>
          </w:tcPr>
          <w:p w14:paraId="4B24BB25" w14:textId="77777777" w:rsidR="00000000" w:rsidRDefault="001D0688">
            <w:pPr>
              <w:rPr>
                <w:rFonts w:eastAsia="Times New Roman"/>
                <w:sz w:val="20"/>
                <w:szCs w:val="20"/>
              </w:rPr>
            </w:pPr>
          </w:p>
        </w:tc>
      </w:tr>
      <w:tr w:rsidR="00000000" w14:paraId="2A25B31B" w14:textId="77777777">
        <w:trPr>
          <w:divId w:val="1825851659"/>
          <w:jc w:val="center"/>
        </w:trPr>
        <w:tc>
          <w:tcPr>
            <w:tcW w:w="0" w:type="auto"/>
            <w:gridSpan w:val="3"/>
            <w:tcMar>
              <w:top w:w="30" w:type="dxa"/>
              <w:left w:w="20" w:type="dxa"/>
              <w:bottom w:w="30" w:type="dxa"/>
              <w:right w:w="20" w:type="dxa"/>
            </w:tcMar>
            <w:vAlign w:val="bottom"/>
            <w:hideMark/>
          </w:tcPr>
          <w:p w14:paraId="51DD5AF8" w14:textId="77777777" w:rsidR="00000000" w:rsidRDefault="001D0688">
            <w:pPr>
              <w:rPr>
                <w:rFonts w:eastAsia="Times New Roman"/>
              </w:rPr>
            </w:pPr>
            <w:r>
              <w:rPr>
                <w:rFonts w:ascii="Arial" w:eastAsia="Times New Roman" w:hAnsi="Arial" w:cs="Arial"/>
                <w:b/>
                <w:bCs/>
                <w:i/>
                <w:iCs/>
                <w:color w:val="0046AD"/>
                <w:sz w:val="20"/>
                <w:szCs w:val="20"/>
              </w:rPr>
              <w:t>Technology &amp; Manufacturing</w:t>
            </w:r>
          </w:p>
        </w:tc>
        <w:tc>
          <w:tcPr>
            <w:tcW w:w="0" w:type="auto"/>
            <w:gridSpan w:val="3"/>
            <w:tcMar>
              <w:top w:w="0" w:type="dxa"/>
              <w:left w:w="20" w:type="dxa"/>
              <w:bottom w:w="0" w:type="dxa"/>
              <w:right w:w="20" w:type="dxa"/>
            </w:tcMar>
            <w:vAlign w:val="center"/>
            <w:hideMark/>
          </w:tcPr>
          <w:p w14:paraId="33F7C43F"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43306AC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37DD9A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E1357FE"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723AF4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F08D28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08219D4" w14:textId="77777777" w:rsidR="00000000" w:rsidRDefault="001D0688">
            <w:pPr>
              <w:rPr>
                <w:rFonts w:eastAsia="Times New Roman"/>
                <w:sz w:val="20"/>
                <w:szCs w:val="20"/>
              </w:rPr>
            </w:pPr>
          </w:p>
        </w:tc>
      </w:tr>
      <w:tr w:rsidR="00000000" w14:paraId="6982AA7B" w14:textId="77777777">
        <w:trPr>
          <w:divId w:val="1825851659"/>
          <w:jc w:val="center"/>
        </w:trPr>
        <w:tc>
          <w:tcPr>
            <w:tcW w:w="0" w:type="auto"/>
            <w:gridSpan w:val="3"/>
            <w:tcMar>
              <w:top w:w="30" w:type="dxa"/>
              <w:left w:w="20" w:type="dxa"/>
              <w:bottom w:w="30" w:type="dxa"/>
              <w:right w:w="20" w:type="dxa"/>
            </w:tcMar>
            <w:vAlign w:val="bottom"/>
            <w:hideMark/>
          </w:tcPr>
          <w:p w14:paraId="0354EB87"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6BDC4FEA"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7DF2B4D9"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6310EEE0"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BA905EE"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E554D48" w14:textId="77777777" w:rsidR="00000000" w:rsidRDefault="001D0688">
            <w:pPr>
              <w:rPr>
                <w:rFonts w:eastAsia="Times New Roman"/>
                <w:sz w:val="20"/>
                <w:szCs w:val="20"/>
              </w:rPr>
            </w:pPr>
          </w:p>
        </w:tc>
      </w:tr>
      <w:tr w:rsidR="00000000" w14:paraId="6D9F60F2" w14:textId="77777777">
        <w:trPr>
          <w:divId w:val="1825851659"/>
          <w:jc w:val="center"/>
        </w:trPr>
        <w:tc>
          <w:tcPr>
            <w:tcW w:w="0" w:type="auto"/>
            <w:gridSpan w:val="3"/>
            <w:tcMar>
              <w:top w:w="30" w:type="dxa"/>
              <w:left w:w="20" w:type="dxa"/>
              <w:bottom w:w="30" w:type="dxa"/>
              <w:right w:w="20" w:type="dxa"/>
            </w:tcMar>
            <w:vAlign w:val="bottom"/>
            <w:hideMark/>
          </w:tcPr>
          <w:p w14:paraId="54D31D07"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420D8869"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C36E91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98824E"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52CB9C3D" w14:textId="77777777" w:rsidR="00000000" w:rsidRDefault="001D0688">
            <w:pPr>
              <w:jc w:val="center"/>
              <w:rPr>
                <w:rFonts w:eastAsia="Times New Roman"/>
              </w:rPr>
            </w:pPr>
          </w:p>
        </w:tc>
        <w:tc>
          <w:tcPr>
            <w:tcW w:w="0" w:type="auto"/>
            <w:gridSpan w:val="9"/>
            <w:tcMar>
              <w:top w:w="30" w:type="dxa"/>
              <w:left w:w="20" w:type="dxa"/>
              <w:bottom w:w="30" w:type="dxa"/>
              <w:right w:w="20" w:type="dxa"/>
            </w:tcMar>
            <w:vAlign w:val="bottom"/>
            <w:hideMark/>
          </w:tcPr>
          <w:p w14:paraId="6835A8F3" w14:textId="77777777" w:rsidR="00000000" w:rsidRDefault="001D0688">
            <w:pPr>
              <w:jc w:val="center"/>
              <w:rPr>
                <w:rFonts w:eastAsia="Times New Roman"/>
              </w:rPr>
            </w:pPr>
            <w:r>
              <w:rPr>
                <w:rFonts w:ascii="Arial" w:eastAsia="Times New Roman" w:hAnsi="Arial" w:cs="Arial"/>
                <w:b/>
                <w:bCs/>
                <w:color w:val="000000"/>
                <w:sz w:val="20"/>
                <w:szCs w:val="20"/>
              </w:rPr>
              <w:t>Increase</w:t>
            </w:r>
          </w:p>
        </w:tc>
      </w:tr>
      <w:tr w:rsidR="00000000" w14:paraId="71678565" w14:textId="77777777">
        <w:trPr>
          <w:divId w:val="1825851659"/>
          <w:jc w:val="center"/>
        </w:trPr>
        <w:tc>
          <w:tcPr>
            <w:tcW w:w="0" w:type="auto"/>
            <w:gridSpan w:val="3"/>
            <w:shd w:val="clear" w:color="auto" w:fill="DCE2EF"/>
            <w:tcMar>
              <w:top w:w="30" w:type="dxa"/>
              <w:left w:w="20" w:type="dxa"/>
              <w:bottom w:w="30" w:type="dxa"/>
              <w:right w:w="20" w:type="dxa"/>
            </w:tcMar>
            <w:vAlign w:val="bottom"/>
            <w:hideMark/>
          </w:tcPr>
          <w:p w14:paraId="1657089F"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3F2740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75A408F" w14:textId="77777777" w:rsidR="00000000" w:rsidRDefault="001D0688">
            <w:pPr>
              <w:jc w:val="right"/>
              <w:rPr>
                <w:rFonts w:eastAsia="Times New Roman"/>
              </w:rPr>
            </w:pPr>
            <w:r>
              <w:rPr>
                <w:rFonts w:ascii="Arial" w:eastAsia="Times New Roman" w:hAnsi="Arial" w:cs="Arial"/>
                <w:color w:val="000000"/>
                <w:sz w:val="20"/>
                <w:szCs w:val="20"/>
              </w:rPr>
              <w:t>956.0 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6B65C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2C1CC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58821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084767D" w14:textId="77777777" w:rsidR="00000000" w:rsidRDefault="001D0688">
            <w:pPr>
              <w:jc w:val="right"/>
              <w:rPr>
                <w:rFonts w:eastAsia="Times New Roman"/>
              </w:rPr>
            </w:pPr>
            <w:r>
              <w:rPr>
                <w:rFonts w:ascii="Arial" w:eastAsia="Times New Roman" w:hAnsi="Arial" w:cs="Arial"/>
                <w:color w:val="000000"/>
                <w:sz w:val="20"/>
                <w:szCs w:val="20"/>
              </w:rPr>
              <w:t>917.0 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C27F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925B7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DCCA4D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EDCFBE2" w14:textId="77777777" w:rsidR="00000000" w:rsidRDefault="001D0688">
            <w:pPr>
              <w:jc w:val="right"/>
              <w:rPr>
                <w:rFonts w:eastAsia="Times New Roman"/>
              </w:rPr>
            </w:pPr>
            <w:r>
              <w:rPr>
                <w:rFonts w:ascii="Arial" w:eastAsia="Times New Roman" w:hAnsi="Arial" w:cs="Arial"/>
                <w:color w:val="000000"/>
                <w:sz w:val="20"/>
                <w:szCs w:val="20"/>
              </w:rPr>
              <w:t>39.0 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EB81240"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6A0F28C"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785C1C5" w14:textId="77777777" w:rsidR="00000000" w:rsidRDefault="001D0688">
            <w:pPr>
              <w:jc w:val="center"/>
              <w:rPr>
                <w:rFonts w:eastAsia="Times New Roman"/>
              </w:rPr>
            </w:pPr>
            <w:r>
              <w:rPr>
                <w:rFonts w:ascii="Arial" w:eastAsia="Times New Roman" w:hAnsi="Arial" w:cs="Arial"/>
                <w:color w:val="000000"/>
                <w:sz w:val="20"/>
                <w:szCs w:val="20"/>
              </w:rPr>
              <w:t>4.3%</w:t>
            </w:r>
          </w:p>
        </w:tc>
      </w:tr>
      <w:tr w:rsidR="00000000" w14:paraId="05170BE3" w14:textId="77777777">
        <w:trPr>
          <w:divId w:val="1825851659"/>
          <w:jc w:val="center"/>
        </w:trPr>
        <w:tc>
          <w:tcPr>
            <w:tcW w:w="0" w:type="auto"/>
            <w:gridSpan w:val="3"/>
            <w:shd w:val="clear" w:color="auto" w:fill="FFFFFF"/>
            <w:tcMar>
              <w:top w:w="30" w:type="dxa"/>
              <w:left w:w="20" w:type="dxa"/>
              <w:bottom w:w="30" w:type="dxa"/>
              <w:right w:w="20" w:type="dxa"/>
            </w:tcMar>
            <w:vAlign w:val="bottom"/>
            <w:hideMark/>
          </w:tcPr>
          <w:p w14:paraId="2B7563F0" w14:textId="77777777" w:rsidR="00000000" w:rsidRDefault="001D0688">
            <w:pPr>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5187A58F" w14:textId="77777777" w:rsidR="00000000" w:rsidRDefault="001D0688">
            <w:pPr>
              <w:jc w:val="right"/>
              <w:rPr>
                <w:rFonts w:eastAsia="Times New Roman"/>
              </w:rPr>
            </w:pPr>
            <w:r>
              <w:rPr>
                <w:rFonts w:ascii="Arial" w:eastAsia="Times New Roman" w:hAnsi="Arial" w:cs="Arial"/>
                <w:color w:val="000000"/>
                <w:sz w:val="20"/>
                <w:szCs w:val="20"/>
              </w:rPr>
              <w:t>84.4 </w:t>
            </w:r>
          </w:p>
        </w:tc>
        <w:tc>
          <w:tcPr>
            <w:tcW w:w="0" w:type="auto"/>
            <w:shd w:val="clear" w:color="auto" w:fill="FFFFFF"/>
            <w:tcMar>
              <w:top w:w="30" w:type="dxa"/>
              <w:left w:w="0" w:type="dxa"/>
              <w:bottom w:w="30" w:type="dxa"/>
              <w:right w:w="20" w:type="dxa"/>
            </w:tcMar>
            <w:vAlign w:val="bottom"/>
            <w:hideMark/>
          </w:tcPr>
          <w:p w14:paraId="5BE741B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07FA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E7E77" w14:textId="77777777" w:rsidR="00000000" w:rsidRDefault="001D0688">
            <w:pPr>
              <w:jc w:val="right"/>
              <w:rPr>
                <w:rFonts w:eastAsia="Times New Roman"/>
              </w:rPr>
            </w:pPr>
            <w:r>
              <w:rPr>
                <w:rFonts w:ascii="Arial" w:eastAsia="Times New Roman" w:hAnsi="Arial" w:cs="Arial"/>
                <w:color w:val="000000"/>
                <w:sz w:val="20"/>
                <w:szCs w:val="20"/>
              </w:rPr>
              <w:t>72.5 </w:t>
            </w:r>
          </w:p>
        </w:tc>
        <w:tc>
          <w:tcPr>
            <w:tcW w:w="0" w:type="auto"/>
            <w:shd w:val="clear" w:color="auto" w:fill="FFFFFF"/>
            <w:tcMar>
              <w:top w:w="30" w:type="dxa"/>
              <w:left w:w="0" w:type="dxa"/>
              <w:bottom w:w="30" w:type="dxa"/>
              <w:right w:w="20" w:type="dxa"/>
            </w:tcMar>
            <w:vAlign w:val="bottom"/>
            <w:hideMark/>
          </w:tcPr>
          <w:p w14:paraId="15066FA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70E8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4F9E1" w14:textId="77777777" w:rsidR="00000000" w:rsidRDefault="001D0688">
            <w:pPr>
              <w:jc w:val="right"/>
              <w:rPr>
                <w:rFonts w:eastAsia="Times New Roman"/>
              </w:rPr>
            </w:pPr>
            <w:r>
              <w:rPr>
                <w:rFonts w:ascii="Arial" w:eastAsia="Times New Roman" w:hAnsi="Arial" w:cs="Arial"/>
                <w:color w:val="000000"/>
                <w:sz w:val="20"/>
                <w:szCs w:val="20"/>
              </w:rPr>
              <w:t>11.9 </w:t>
            </w:r>
          </w:p>
        </w:tc>
        <w:tc>
          <w:tcPr>
            <w:tcW w:w="0" w:type="auto"/>
            <w:shd w:val="clear" w:color="auto" w:fill="FFFFFF"/>
            <w:tcMar>
              <w:top w:w="30" w:type="dxa"/>
              <w:left w:w="0" w:type="dxa"/>
              <w:bottom w:w="30" w:type="dxa"/>
              <w:right w:w="20" w:type="dxa"/>
            </w:tcMar>
            <w:vAlign w:val="bottom"/>
            <w:hideMark/>
          </w:tcPr>
          <w:p w14:paraId="3323065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78DD3"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9C8BD67" w14:textId="77777777" w:rsidR="00000000" w:rsidRDefault="001D0688">
            <w:pPr>
              <w:jc w:val="center"/>
              <w:rPr>
                <w:rFonts w:eastAsia="Times New Roman"/>
              </w:rPr>
            </w:pPr>
            <w:r>
              <w:rPr>
                <w:rFonts w:ascii="Arial" w:eastAsia="Times New Roman" w:hAnsi="Arial" w:cs="Arial"/>
                <w:color w:val="000000"/>
                <w:sz w:val="20"/>
                <w:szCs w:val="20"/>
              </w:rPr>
              <w:t>16.5%</w:t>
            </w:r>
          </w:p>
        </w:tc>
      </w:tr>
      <w:tr w:rsidR="00000000" w14:paraId="4E86BF78" w14:textId="77777777">
        <w:trPr>
          <w:divId w:val="1825851659"/>
          <w:jc w:val="center"/>
        </w:trPr>
        <w:tc>
          <w:tcPr>
            <w:tcW w:w="0" w:type="auto"/>
            <w:gridSpan w:val="3"/>
            <w:shd w:val="clear" w:color="auto" w:fill="DCE2EF"/>
            <w:tcMar>
              <w:top w:w="30" w:type="dxa"/>
              <w:left w:w="155" w:type="dxa"/>
              <w:bottom w:w="30" w:type="dxa"/>
              <w:right w:w="20" w:type="dxa"/>
            </w:tcMar>
            <w:vAlign w:val="bottom"/>
            <w:hideMark/>
          </w:tcPr>
          <w:p w14:paraId="602FB36B"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2102F34E" w14:textId="77777777" w:rsidR="00000000" w:rsidRDefault="001D0688">
            <w:pPr>
              <w:jc w:val="right"/>
              <w:rPr>
                <w:rFonts w:eastAsia="Times New Roman"/>
              </w:rPr>
            </w:pPr>
            <w:r>
              <w:rPr>
                <w:rFonts w:ascii="Arial" w:eastAsia="Times New Roman" w:hAnsi="Arial" w:cs="Arial"/>
                <w:i/>
                <w:iCs/>
                <w:color w:val="000000"/>
                <w:sz w:val="16"/>
                <w:szCs w:val="16"/>
              </w:rPr>
              <w:t>8.8 </w:t>
            </w:r>
          </w:p>
        </w:tc>
        <w:tc>
          <w:tcPr>
            <w:tcW w:w="0" w:type="auto"/>
            <w:shd w:val="clear" w:color="auto" w:fill="DCE2EF"/>
            <w:tcMar>
              <w:top w:w="30" w:type="dxa"/>
              <w:left w:w="0" w:type="dxa"/>
              <w:bottom w:w="30" w:type="dxa"/>
              <w:right w:w="20" w:type="dxa"/>
            </w:tcMar>
            <w:vAlign w:val="bottom"/>
            <w:hideMark/>
          </w:tcPr>
          <w:p w14:paraId="093CAC3D"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7A85CC6"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0FC161D" w14:textId="77777777" w:rsidR="00000000" w:rsidRDefault="001D0688">
            <w:pPr>
              <w:jc w:val="right"/>
              <w:rPr>
                <w:rFonts w:eastAsia="Times New Roman"/>
              </w:rPr>
            </w:pPr>
            <w:r>
              <w:rPr>
                <w:rFonts w:ascii="Arial" w:eastAsia="Times New Roman" w:hAnsi="Arial" w:cs="Arial"/>
                <w:i/>
                <w:iCs/>
                <w:color w:val="000000"/>
                <w:sz w:val="16"/>
                <w:szCs w:val="16"/>
              </w:rPr>
              <w:t>7.9 </w:t>
            </w:r>
          </w:p>
        </w:tc>
        <w:tc>
          <w:tcPr>
            <w:tcW w:w="0" w:type="auto"/>
            <w:shd w:val="clear" w:color="auto" w:fill="DCE2EF"/>
            <w:tcMar>
              <w:top w:w="30" w:type="dxa"/>
              <w:left w:w="0" w:type="dxa"/>
              <w:bottom w:w="30" w:type="dxa"/>
              <w:right w:w="20" w:type="dxa"/>
            </w:tcMar>
            <w:vAlign w:val="bottom"/>
            <w:hideMark/>
          </w:tcPr>
          <w:p w14:paraId="31E90584"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3856E85"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0EDCECA" w14:textId="77777777" w:rsidR="00000000" w:rsidRDefault="001D0688">
            <w:pPr>
              <w:jc w:val="right"/>
              <w:rPr>
                <w:rFonts w:eastAsia="Times New Roman"/>
              </w:rPr>
            </w:pPr>
            <w:r>
              <w:rPr>
                <w:rFonts w:ascii="Arial" w:eastAsia="Times New Roman" w:hAnsi="Arial" w:cs="Arial"/>
                <w:i/>
                <w:iCs/>
                <w:color w:val="000000"/>
                <w:sz w:val="16"/>
                <w:szCs w:val="16"/>
              </w:rPr>
              <w:t>93 bps</w:t>
            </w:r>
          </w:p>
        </w:tc>
        <w:tc>
          <w:tcPr>
            <w:tcW w:w="0" w:type="auto"/>
            <w:gridSpan w:val="3"/>
            <w:shd w:val="clear" w:color="auto" w:fill="DCE2EF"/>
            <w:tcMar>
              <w:top w:w="0" w:type="dxa"/>
              <w:left w:w="20" w:type="dxa"/>
              <w:bottom w:w="0" w:type="dxa"/>
              <w:right w:w="20" w:type="dxa"/>
            </w:tcMar>
            <w:vAlign w:val="center"/>
            <w:hideMark/>
          </w:tcPr>
          <w:p w14:paraId="7E22F97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CA3602" w14:textId="77777777" w:rsidR="00000000" w:rsidRDefault="001D0688">
            <w:pPr>
              <w:rPr>
                <w:rFonts w:eastAsia="Times New Roman"/>
                <w:sz w:val="20"/>
                <w:szCs w:val="20"/>
              </w:rPr>
            </w:pPr>
          </w:p>
        </w:tc>
      </w:tr>
    </w:tbl>
    <w:p w14:paraId="226C4925" w14:textId="77777777" w:rsidR="00000000" w:rsidRDefault="001D0688">
      <w:pPr>
        <w:ind w:firstLine="720"/>
        <w:jc w:val="both"/>
        <w:divId w:val="1381249845"/>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$39.0 million, or 4.3%, during 2020, as compared to 2019. The increase was primarily attributable to: an increase in work orders and other services, including EnhancedClean (primarily relating to the Pandemic); new business; and the</w:t>
      </w:r>
      <w:r>
        <w:rPr>
          <w:rFonts w:ascii="Arial" w:eastAsia="Times New Roman" w:hAnsi="Arial" w:cs="Arial"/>
          <w:color w:val="000000"/>
          <w:sz w:val="20"/>
          <w:szCs w:val="20"/>
        </w:rPr>
        <w:t xml:space="preserve"> expansion of certain accounts. The increase was partially offset by the loss of certain accounts.</w:t>
      </w:r>
    </w:p>
    <w:p w14:paraId="2F3ECF28" w14:textId="77777777" w:rsidR="00000000" w:rsidRDefault="001D0688">
      <w:pPr>
        <w:ind w:firstLine="720"/>
        <w:jc w:val="both"/>
        <w:divId w:val="53747428"/>
        <w:rPr>
          <w:rFonts w:eastAsia="Times New Roman"/>
        </w:rPr>
      </w:pPr>
      <w:r>
        <w:rPr>
          <w:rFonts w:ascii="Arial" w:eastAsia="Times New Roman" w:hAnsi="Arial" w:cs="Arial"/>
          <w:color w:val="000000"/>
          <w:sz w:val="20"/>
          <w:szCs w:val="20"/>
        </w:rPr>
        <w:t xml:space="preserve">Operating profit increased by $11.9 million, or 16.5%, during 2020, as compared to 2019. Operating profit margin increased by 93 bps to 8.8% in 2020 from 7.9% in 2019. The increase in operating profit margin was primarily attributable to higher margins on </w:t>
      </w:r>
      <w:r>
        <w:rPr>
          <w:rFonts w:ascii="Arial" w:eastAsia="Times New Roman" w:hAnsi="Arial" w:cs="Arial"/>
          <w:color w:val="000000"/>
          <w:sz w:val="20"/>
          <w:szCs w:val="20"/>
        </w:rPr>
        <w:t xml:space="preserve">work orders and lower amortization of intangible assets, all partially offset by higher reserves established for client receivables mainly associated with increasing credit risk resulting from the Pandemic and by the loss of certain higher margin accounts </w:t>
      </w:r>
      <w:r>
        <w:rPr>
          <w:rFonts w:ascii="Arial" w:eastAsia="Times New Roman" w:hAnsi="Arial" w:cs="Arial"/>
          <w:color w:val="000000"/>
          <w:sz w:val="20"/>
          <w:szCs w:val="20"/>
        </w:rPr>
        <w:t>that occurred in the prior year.</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2909"/>
        <w:gridCol w:w="36"/>
        <w:gridCol w:w="132"/>
        <w:gridCol w:w="1065"/>
        <w:gridCol w:w="163"/>
        <w:gridCol w:w="36"/>
        <w:gridCol w:w="36"/>
        <w:gridCol w:w="36"/>
        <w:gridCol w:w="132"/>
        <w:gridCol w:w="1026"/>
        <w:gridCol w:w="163"/>
        <w:gridCol w:w="36"/>
        <w:gridCol w:w="36"/>
        <w:gridCol w:w="36"/>
        <w:gridCol w:w="133"/>
        <w:gridCol w:w="1026"/>
        <w:gridCol w:w="36"/>
        <w:gridCol w:w="36"/>
        <w:gridCol w:w="36"/>
        <w:gridCol w:w="36"/>
        <w:gridCol w:w="42"/>
        <w:gridCol w:w="996"/>
        <w:gridCol w:w="36"/>
      </w:tblGrid>
      <w:tr w:rsidR="00000000" w14:paraId="5C568656" w14:textId="77777777">
        <w:trPr>
          <w:divId w:val="1170293529"/>
          <w:jc w:val="center"/>
        </w:trPr>
        <w:tc>
          <w:tcPr>
            <w:tcW w:w="50" w:type="pct"/>
            <w:vAlign w:val="center"/>
            <w:hideMark/>
          </w:tcPr>
          <w:p w14:paraId="179E0CA6" w14:textId="77777777" w:rsidR="00000000" w:rsidRDefault="001D0688">
            <w:pPr>
              <w:ind w:firstLine="720"/>
              <w:jc w:val="both"/>
              <w:rPr>
                <w:rFonts w:eastAsia="Times New Roman"/>
              </w:rPr>
            </w:pPr>
          </w:p>
        </w:tc>
        <w:tc>
          <w:tcPr>
            <w:tcW w:w="1820" w:type="pct"/>
            <w:vAlign w:val="center"/>
            <w:hideMark/>
          </w:tcPr>
          <w:p w14:paraId="2557EAFD" w14:textId="77777777" w:rsidR="00000000" w:rsidRDefault="001D0688">
            <w:pPr>
              <w:rPr>
                <w:rFonts w:eastAsia="Times New Roman"/>
                <w:sz w:val="20"/>
                <w:szCs w:val="20"/>
              </w:rPr>
            </w:pPr>
          </w:p>
        </w:tc>
        <w:tc>
          <w:tcPr>
            <w:tcW w:w="5" w:type="pct"/>
            <w:vAlign w:val="center"/>
            <w:hideMark/>
          </w:tcPr>
          <w:p w14:paraId="38DEA59B" w14:textId="77777777" w:rsidR="00000000" w:rsidRDefault="001D0688">
            <w:pPr>
              <w:rPr>
                <w:rFonts w:eastAsia="Times New Roman"/>
                <w:sz w:val="20"/>
                <w:szCs w:val="20"/>
              </w:rPr>
            </w:pPr>
          </w:p>
        </w:tc>
        <w:tc>
          <w:tcPr>
            <w:tcW w:w="50" w:type="pct"/>
            <w:vAlign w:val="center"/>
            <w:hideMark/>
          </w:tcPr>
          <w:p w14:paraId="5083FFE7" w14:textId="77777777" w:rsidR="00000000" w:rsidRDefault="001D0688">
            <w:pPr>
              <w:rPr>
                <w:rFonts w:eastAsia="Times New Roman"/>
                <w:sz w:val="20"/>
                <w:szCs w:val="20"/>
              </w:rPr>
            </w:pPr>
          </w:p>
        </w:tc>
        <w:tc>
          <w:tcPr>
            <w:tcW w:w="687" w:type="pct"/>
            <w:vAlign w:val="center"/>
            <w:hideMark/>
          </w:tcPr>
          <w:p w14:paraId="72FD1D87" w14:textId="77777777" w:rsidR="00000000" w:rsidRDefault="001D0688">
            <w:pPr>
              <w:rPr>
                <w:rFonts w:eastAsia="Times New Roman"/>
                <w:sz w:val="20"/>
                <w:szCs w:val="20"/>
              </w:rPr>
            </w:pPr>
          </w:p>
        </w:tc>
        <w:tc>
          <w:tcPr>
            <w:tcW w:w="5" w:type="pct"/>
            <w:vAlign w:val="center"/>
            <w:hideMark/>
          </w:tcPr>
          <w:p w14:paraId="7362B15C" w14:textId="77777777" w:rsidR="00000000" w:rsidRDefault="001D0688">
            <w:pPr>
              <w:rPr>
                <w:rFonts w:eastAsia="Times New Roman"/>
                <w:sz w:val="20"/>
                <w:szCs w:val="20"/>
              </w:rPr>
            </w:pPr>
          </w:p>
        </w:tc>
        <w:tc>
          <w:tcPr>
            <w:tcW w:w="5" w:type="pct"/>
            <w:vAlign w:val="center"/>
            <w:hideMark/>
          </w:tcPr>
          <w:p w14:paraId="2C3B173A" w14:textId="77777777" w:rsidR="00000000" w:rsidRDefault="001D0688">
            <w:pPr>
              <w:rPr>
                <w:rFonts w:eastAsia="Times New Roman"/>
                <w:sz w:val="20"/>
                <w:szCs w:val="20"/>
              </w:rPr>
            </w:pPr>
          </w:p>
        </w:tc>
        <w:tc>
          <w:tcPr>
            <w:tcW w:w="26" w:type="pct"/>
            <w:vAlign w:val="center"/>
            <w:hideMark/>
          </w:tcPr>
          <w:p w14:paraId="71F6C8D6" w14:textId="77777777" w:rsidR="00000000" w:rsidRDefault="001D0688">
            <w:pPr>
              <w:rPr>
                <w:rFonts w:eastAsia="Times New Roman"/>
                <w:sz w:val="20"/>
                <w:szCs w:val="20"/>
              </w:rPr>
            </w:pPr>
          </w:p>
        </w:tc>
        <w:tc>
          <w:tcPr>
            <w:tcW w:w="5" w:type="pct"/>
            <w:vAlign w:val="center"/>
            <w:hideMark/>
          </w:tcPr>
          <w:p w14:paraId="23839F7F" w14:textId="77777777" w:rsidR="00000000" w:rsidRDefault="001D0688">
            <w:pPr>
              <w:rPr>
                <w:rFonts w:eastAsia="Times New Roman"/>
                <w:sz w:val="20"/>
                <w:szCs w:val="20"/>
              </w:rPr>
            </w:pPr>
          </w:p>
        </w:tc>
        <w:tc>
          <w:tcPr>
            <w:tcW w:w="50" w:type="pct"/>
            <w:vAlign w:val="center"/>
            <w:hideMark/>
          </w:tcPr>
          <w:p w14:paraId="0B8A9864" w14:textId="77777777" w:rsidR="00000000" w:rsidRDefault="001D0688">
            <w:pPr>
              <w:rPr>
                <w:rFonts w:eastAsia="Times New Roman"/>
                <w:sz w:val="20"/>
                <w:szCs w:val="20"/>
              </w:rPr>
            </w:pPr>
          </w:p>
        </w:tc>
        <w:tc>
          <w:tcPr>
            <w:tcW w:w="702" w:type="pct"/>
            <w:vAlign w:val="center"/>
            <w:hideMark/>
          </w:tcPr>
          <w:p w14:paraId="5F04F238" w14:textId="77777777" w:rsidR="00000000" w:rsidRDefault="001D0688">
            <w:pPr>
              <w:rPr>
                <w:rFonts w:eastAsia="Times New Roman"/>
                <w:sz w:val="20"/>
                <w:szCs w:val="20"/>
              </w:rPr>
            </w:pPr>
          </w:p>
        </w:tc>
        <w:tc>
          <w:tcPr>
            <w:tcW w:w="5" w:type="pct"/>
            <w:vAlign w:val="center"/>
            <w:hideMark/>
          </w:tcPr>
          <w:p w14:paraId="5BCD2988" w14:textId="77777777" w:rsidR="00000000" w:rsidRDefault="001D0688">
            <w:pPr>
              <w:rPr>
                <w:rFonts w:eastAsia="Times New Roman"/>
                <w:sz w:val="20"/>
                <w:szCs w:val="20"/>
              </w:rPr>
            </w:pPr>
          </w:p>
        </w:tc>
        <w:tc>
          <w:tcPr>
            <w:tcW w:w="5" w:type="pct"/>
            <w:vAlign w:val="center"/>
            <w:hideMark/>
          </w:tcPr>
          <w:p w14:paraId="68BF226B" w14:textId="77777777" w:rsidR="00000000" w:rsidRDefault="001D0688">
            <w:pPr>
              <w:rPr>
                <w:rFonts w:eastAsia="Times New Roman"/>
                <w:sz w:val="20"/>
                <w:szCs w:val="20"/>
              </w:rPr>
            </w:pPr>
          </w:p>
        </w:tc>
        <w:tc>
          <w:tcPr>
            <w:tcW w:w="26" w:type="pct"/>
            <w:vAlign w:val="center"/>
            <w:hideMark/>
          </w:tcPr>
          <w:p w14:paraId="07983ED0" w14:textId="77777777" w:rsidR="00000000" w:rsidRDefault="001D0688">
            <w:pPr>
              <w:rPr>
                <w:rFonts w:eastAsia="Times New Roman"/>
                <w:sz w:val="20"/>
                <w:szCs w:val="20"/>
              </w:rPr>
            </w:pPr>
          </w:p>
        </w:tc>
        <w:tc>
          <w:tcPr>
            <w:tcW w:w="5" w:type="pct"/>
            <w:vAlign w:val="center"/>
            <w:hideMark/>
          </w:tcPr>
          <w:p w14:paraId="76AE602A" w14:textId="77777777" w:rsidR="00000000" w:rsidRDefault="001D0688">
            <w:pPr>
              <w:rPr>
                <w:rFonts w:eastAsia="Times New Roman"/>
                <w:sz w:val="20"/>
                <w:szCs w:val="20"/>
              </w:rPr>
            </w:pPr>
          </w:p>
        </w:tc>
        <w:tc>
          <w:tcPr>
            <w:tcW w:w="50" w:type="pct"/>
            <w:vAlign w:val="center"/>
            <w:hideMark/>
          </w:tcPr>
          <w:p w14:paraId="1AAC2AB7" w14:textId="77777777" w:rsidR="00000000" w:rsidRDefault="001D0688">
            <w:pPr>
              <w:rPr>
                <w:rFonts w:eastAsia="Times New Roman"/>
                <w:sz w:val="20"/>
                <w:szCs w:val="20"/>
              </w:rPr>
            </w:pPr>
          </w:p>
        </w:tc>
        <w:tc>
          <w:tcPr>
            <w:tcW w:w="702" w:type="pct"/>
            <w:vAlign w:val="center"/>
            <w:hideMark/>
          </w:tcPr>
          <w:p w14:paraId="59EF60E8" w14:textId="77777777" w:rsidR="00000000" w:rsidRDefault="001D0688">
            <w:pPr>
              <w:rPr>
                <w:rFonts w:eastAsia="Times New Roman"/>
                <w:sz w:val="20"/>
                <w:szCs w:val="20"/>
              </w:rPr>
            </w:pPr>
          </w:p>
        </w:tc>
        <w:tc>
          <w:tcPr>
            <w:tcW w:w="5" w:type="pct"/>
            <w:vAlign w:val="center"/>
            <w:hideMark/>
          </w:tcPr>
          <w:p w14:paraId="4F65877C" w14:textId="77777777" w:rsidR="00000000" w:rsidRDefault="001D0688">
            <w:pPr>
              <w:rPr>
                <w:rFonts w:eastAsia="Times New Roman"/>
                <w:sz w:val="20"/>
                <w:szCs w:val="20"/>
              </w:rPr>
            </w:pPr>
          </w:p>
        </w:tc>
        <w:tc>
          <w:tcPr>
            <w:tcW w:w="5" w:type="pct"/>
            <w:vAlign w:val="center"/>
            <w:hideMark/>
          </w:tcPr>
          <w:p w14:paraId="050B8CC6" w14:textId="77777777" w:rsidR="00000000" w:rsidRDefault="001D0688">
            <w:pPr>
              <w:rPr>
                <w:rFonts w:eastAsia="Times New Roman"/>
                <w:sz w:val="20"/>
                <w:szCs w:val="20"/>
              </w:rPr>
            </w:pPr>
          </w:p>
        </w:tc>
        <w:tc>
          <w:tcPr>
            <w:tcW w:w="26" w:type="pct"/>
            <w:vAlign w:val="center"/>
            <w:hideMark/>
          </w:tcPr>
          <w:p w14:paraId="27242A8C" w14:textId="77777777" w:rsidR="00000000" w:rsidRDefault="001D0688">
            <w:pPr>
              <w:rPr>
                <w:rFonts w:eastAsia="Times New Roman"/>
                <w:sz w:val="20"/>
                <w:szCs w:val="20"/>
              </w:rPr>
            </w:pPr>
          </w:p>
        </w:tc>
        <w:tc>
          <w:tcPr>
            <w:tcW w:w="5" w:type="pct"/>
            <w:vAlign w:val="center"/>
            <w:hideMark/>
          </w:tcPr>
          <w:p w14:paraId="3181138D" w14:textId="77777777" w:rsidR="00000000" w:rsidRDefault="001D0688">
            <w:pPr>
              <w:rPr>
                <w:rFonts w:eastAsia="Times New Roman"/>
                <w:sz w:val="20"/>
                <w:szCs w:val="20"/>
              </w:rPr>
            </w:pPr>
          </w:p>
        </w:tc>
        <w:tc>
          <w:tcPr>
            <w:tcW w:w="50" w:type="pct"/>
            <w:vAlign w:val="center"/>
            <w:hideMark/>
          </w:tcPr>
          <w:p w14:paraId="3FD7E822" w14:textId="77777777" w:rsidR="00000000" w:rsidRDefault="001D0688">
            <w:pPr>
              <w:rPr>
                <w:rFonts w:eastAsia="Times New Roman"/>
                <w:sz w:val="20"/>
                <w:szCs w:val="20"/>
              </w:rPr>
            </w:pPr>
          </w:p>
        </w:tc>
        <w:tc>
          <w:tcPr>
            <w:tcW w:w="702" w:type="pct"/>
            <w:vAlign w:val="center"/>
            <w:hideMark/>
          </w:tcPr>
          <w:p w14:paraId="58F12702" w14:textId="77777777" w:rsidR="00000000" w:rsidRDefault="001D0688">
            <w:pPr>
              <w:rPr>
                <w:rFonts w:eastAsia="Times New Roman"/>
                <w:sz w:val="20"/>
                <w:szCs w:val="20"/>
              </w:rPr>
            </w:pPr>
          </w:p>
        </w:tc>
        <w:tc>
          <w:tcPr>
            <w:tcW w:w="5" w:type="pct"/>
            <w:vAlign w:val="center"/>
            <w:hideMark/>
          </w:tcPr>
          <w:p w14:paraId="36725C95" w14:textId="77777777" w:rsidR="00000000" w:rsidRDefault="001D0688">
            <w:pPr>
              <w:rPr>
                <w:rFonts w:eastAsia="Times New Roman"/>
                <w:sz w:val="20"/>
                <w:szCs w:val="20"/>
              </w:rPr>
            </w:pPr>
          </w:p>
        </w:tc>
      </w:tr>
      <w:tr w:rsidR="00000000" w14:paraId="54DDED1B" w14:textId="77777777">
        <w:trPr>
          <w:divId w:val="1170293529"/>
          <w:jc w:val="center"/>
        </w:trPr>
        <w:tc>
          <w:tcPr>
            <w:tcW w:w="0" w:type="auto"/>
            <w:gridSpan w:val="3"/>
            <w:tcMar>
              <w:top w:w="30" w:type="dxa"/>
              <w:left w:w="20" w:type="dxa"/>
              <w:bottom w:w="30" w:type="dxa"/>
              <w:right w:w="20" w:type="dxa"/>
            </w:tcMar>
            <w:vAlign w:val="bottom"/>
            <w:hideMark/>
          </w:tcPr>
          <w:p w14:paraId="7E6C72A5" w14:textId="77777777" w:rsidR="00000000" w:rsidRDefault="001D0688">
            <w:pPr>
              <w:rPr>
                <w:rFonts w:eastAsia="Times New Roman"/>
              </w:rPr>
            </w:pPr>
            <w:r>
              <w:rPr>
                <w:rFonts w:ascii="Arial" w:eastAsia="Times New Roman" w:hAnsi="Arial" w:cs="Arial"/>
                <w:b/>
                <w:bCs/>
                <w:i/>
                <w:iCs/>
                <w:color w:val="0046AD"/>
                <w:sz w:val="20"/>
                <w:szCs w:val="20"/>
              </w:rPr>
              <w:t>Education</w:t>
            </w:r>
          </w:p>
        </w:tc>
        <w:tc>
          <w:tcPr>
            <w:tcW w:w="0" w:type="auto"/>
            <w:gridSpan w:val="3"/>
            <w:tcMar>
              <w:top w:w="0" w:type="dxa"/>
              <w:left w:w="20" w:type="dxa"/>
              <w:bottom w:w="0" w:type="dxa"/>
              <w:right w:w="20" w:type="dxa"/>
            </w:tcMar>
            <w:vAlign w:val="center"/>
            <w:hideMark/>
          </w:tcPr>
          <w:p w14:paraId="2177293E"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7375E864"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D613F5D"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6C8902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74EF8F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BB1080B"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18E8DAE" w14:textId="77777777" w:rsidR="00000000" w:rsidRDefault="001D0688">
            <w:pPr>
              <w:rPr>
                <w:rFonts w:eastAsia="Times New Roman"/>
                <w:sz w:val="20"/>
                <w:szCs w:val="20"/>
              </w:rPr>
            </w:pPr>
          </w:p>
        </w:tc>
      </w:tr>
      <w:tr w:rsidR="00000000" w14:paraId="67FBEE99" w14:textId="77777777">
        <w:trPr>
          <w:divId w:val="1170293529"/>
          <w:jc w:val="center"/>
        </w:trPr>
        <w:tc>
          <w:tcPr>
            <w:tcW w:w="0" w:type="auto"/>
            <w:gridSpan w:val="3"/>
            <w:tcMar>
              <w:top w:w="30" w:type="dxa"/>
              <w:left w:w="20" w:type="dxa"/>
              <w:bottom w:w="30" w:type="dxa"/>
              <w:right w:w="20" w:type="dxa"/>
            </w:tcMar>
            <w:vAlign w:val="bottom"/>
            <w:hideMark/>
          </w:tcPr>
          <w:p w14:paraId="60DDF4AF"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3E00B4A4"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3C1ED3F7"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05B6832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5D2092B"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5B69196" w14:textId="77777777" w:rsidR="00000000" w:rsidRDefault="001D0688">
            <w:pPr>
              <w:rPr>
                <w:rFonts w:eastAsia="Times New Roman"/>
                <w:sz w:val="20"/>
                <w:szCs w:val="20"/>
              </w:rPr>
            </w:pPr>
          </w:p>
        </w:tc>
      </w:tr>
      <w:tr w:rsidR="00000000" w14:paraId="26CF4616" w14:textId="77777777">
        <w:trPr>
          <w:divId w:val="1170293529"/>
          <w:jc w:val="center"/>
        </w:trPr>
        <w:tc>
          <w:tcPr>
            <w:tcW w:w="0" w:type="auto"/>
            <w:gridSpan w:val="3"/>
            <w:tcMar>
              <w:top w:w="30" w:type="dxa"/>
              <w:left w:w="20" w:type="dxa"/>
              <w:bottom w:w="30" w:type="dxa"/>
              <w:right w:w="20" w:type="dxa"/>
            </w:tcMar>
            <w:vAlign w:val="bottom"/>
            <w:hideMark/>
          </w:tcPr>
          <w:p w14:paraId="46FD4BE2"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E54F0F1"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BAC579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A845FE"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7B9205D3" w14:textId="77777777" w:rsidR="00000000" w:rsidRDefault="001D0688">
            <w:pPr>
              <w:jc w:val="center"/>
              <w:rPr>
                <w:rFonts w:eastAsia="Times New Roman"/>
              </w:rPr>
            </w:pPr>
          </w:p>
        </w:tc>
        <w:tc>
          <w:tcPr>
            <w:tcW w:w="0" w:type="auto"/>
            <w:gridSpan w:val="9"/>
            <w:tcMar>
              <w:top w:w="30" w:type="dxa"/>
              <w:left w:w="20" w:type="dxa"/>
              <w:bottom w:w="30" w:type="dxa"/>
              <w:right w:w="20" w:type="dxa"/>
            </w:tcMar>
            <w:vAlign w:val="bottom"/>
            <w:hideMark/>
          </w:tcPr>
          <w:p w14:paraId="2BF666B7" w14:textId="77777777" w:rsidR="00000000" w:rsidRDefault="001D0688">
            <w:pPr>
              <w:jc w:val="center"/>
              <w:rPr>
                <w:rFonts w:eastAsia="Times New Roman"/>
              </w:rPr>
            </w:pPr>
            <w:r>
              <w:rPr>
                <w:rFonts w:ascii="Arial" w:eastAsia="Times New Roman" w:hAnsi="Arial" w:cs="Arial"/>
                <w:b/>
                <w:bCs/>
                <w:color w:val="000000"/>
                <w:sz w:val="20"/>
                <w:szCs w:val="20"/>
              </w:rPr>
              <w:t>Decrease</w:t>
            </w:r>
          </w:p>
        </w:tc>
      </w:tr>
      <w:tr w:rsidR="00000000" w14:paraId="59B298D3" w14:textId="77777777">
        <w:trPr>
          <w:divId w:val="1170293529"/>
          <w:jc w:val="center"/>
        </w:trPr>
        <w:tc>
          <w:tcPr>
            <w:tcW w:w="0" w:type="auto"/>
            <w:gridSpan w:val="3"/>
            <w:shd w:val="clear" w:color="auto" w:fill="DCE2EF"/>
            <w:tcMar>
              <w:top w:w="30" w:type="dxa"/>
              <w:left w:w="20" w:type="dxa"/>
              <w:bottom w:w="30" w:type="dxa"/>
              <w:right w:w="20" w:type="dxa"/>
            </w:tcMar>
            <w:vAlign w:val="bottom"/>
            <w:hideMark/>
          </w:tcPr>
          <w:p w14:paraId="78C07808"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AC9B40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70C6ABF" w14:textId="77777777" w:rsidR="00000000" w:rsidRDefault="001D0688">
            <w:pPr>
              <w:jc w:val="right"/>
              <w:rPr>
                <w:rFonts w:eastAsia="Times New Roman"/>
              </w:rPr>
            </w:pPr>
            <w:r>
              <w:rPr>
                <w:rFonts w:ascii="Arial" w:eastAsia="Times New Roman" w:hAnsi="Arial" w:cs="Arial"/>
                <w:color w:val="000000"/>
                <w:sz w:val="20"/>
                <w:szCs w:val="20"/>
              </w:rPr>
              <w:t>808.8 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2682B6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55FEB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B1A56D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82B9E4" w14:textId="77777777" w:rsidR="00000000" w:rsidRDefault="001D0688">
            <w:pPr>
              <w:jc w:val="right"/>
              <w:rPr>
                <w:rFonts w:eastAsia="Times New Roman"/>
              </w:rPr>
            </w:pPr>
            <w:r>
              <w:rPr>
                <w:rFonts w:ascii="Arial" w:eastAsia="Times New Roman" w:hAnsi="Arial" w:cs="Arial"/>
                <w:color w:val="000000"/>
                <w:sz w:val="20"/>
                <w:szCs w:val="20"/>
              </w:rPr>
              <w:t>847.4 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E2251B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A5DD4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726DA0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8878506" w14:textId="77777777" w:rsidR="00000000" w:rsidRDefault="001D0688">
            <w:pPr>
              <w:jc w:val="right"/>
              <w:rPr>
                <w:rFonts w:eastAsia="Times New Roman"/>
              </w:rPr>
            </w:pPr>
            <w:r>
              <w:rPr>
                <w:rFonts w:ascii="Arial" w:eastAsia="Times New Roman" w:hAnsi="Arial" w:cs="Arial"/>
                <w:color w:val="000000"/>
                <w:sz w:val="20"/>
                <w:szCs w:val="20"/>
              </w:rPr>
              <w:t>(38.6)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2073DC1"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AD8D147"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AE18B88" w14:textId="77777777" w:rsidR="00000000" w:rsidRDefault="001D0688">
            <w:pPr>
              <w:jc w:val="center"/>
              <w:rPr>
                <w:rFonts w:eastAsia="Times New Roman"/>
              </w:rPr>
            </w:pPr>
            <w:r>
              <w:rPr>
                <w:rFonts w:ascii="Arial" w:eastAsia="Times New Roman" w:hAnsi="Arial" w:cs="Arial"/>
                <w:color w:val="000000"/>
                <w:sz w:val="20"/>
                <w:szCs w:val="20"/>
              </w:rPr>
              <w:t>(4.6)%</w:t>
            </w:r>
          </w:p>
        </w:tc>
      </w:tr>
      <w:tr w:rsidR="00000000" w14:paraId="089CD772" w14:textId="77777777">
        <w:trPr>
          <w:divId w:val="1170293529"/>
          <w:jc w:val="center"/>
        </w:trPr>
        <w:tc>
          <w:tcPr>
            <w:tcW w:w="0" w:type="auto"/>
            <w:gridSpan w:val="3"/>
            <w:shd w:val="clear" w:color="auto" w:fill="FFFFFF"/>
            <w:tcMar>
              <w:top w:w="30" w:type="dxa"/>
              <w:left w:w="20" w:type="dxa"/>
              <w:bottom w:w="30" w:type="dxa"/>
              <w:right w:w="20" w:type="dxa"/>
            </w:tcMar>
            <w:vAlign w:val="bottom"/>
            <w:hideMark/>
          </w:tcPr>
          <w:p w14:paraId="339DCE3D" w14:textId="77777777" w:rsidR="00000000" w:rsidRDefault="001D0688">
            <w:pPr>
              <w:rPr>
                <w:rFonts w:eastAsia="Times New Roman"/>
              </w:rPr>
            </w:pPr>
            <w:r>
              <w:rPr>
                <w:rFonts w:ascii="Arial" w:eastAsia="Times New Roman" w:hAnsi="Arial" w:cs="Arial"/>
                <w:color w:val="000000"/>
                <w:sz w:val="20"/>
                <w:szCs w:val="20"/>
              </w:rPr>
              <w:t>Operating (loss) profit</w:t>
            </w:r>
          </w:p>
        </w:tc>
        <w:tc>
          <w:tcPr>
            <w:tcW w:w="0" w:type="auto"/>
            <w:gridSpan w:val="2"/>
            <w:shd w:val="clear" w:color="auto" w:fill="FFFFFF"/>
            <w:tcMar>
              <w:top w:w="30" w:type="dxa"/>
              <w:left w:w="20" w:type="dxa"/>
              <w:bottom w:w="30" w:type="dxa"/>
              <w:right w:w="0" w:type="dxa"/>
            </w:tcMar>
            <w:vAlign w:val="bottom"/>
            <w:hideMark/>
          </w:tcPr>
          <w:p w14:paraId="47FDD01A" w14:textId="77777777" w:rsidR="00000000" w:rsidRDefault="001D0688">
            <w:pPr>
              <w:jc w:val="right"/>
              <w:rPr>
                <w:rFonts w:eastAsia="Times New Roman"/>
              </w:rPr>
            </w:pPr>
            <w:r>
              <w:rPr>
                <w:rFonts w:ascii="Arial" w:eastAsia="Times New Roman" w:hAnsi="Arial" w:cs="Arial"/>
                <w:color w:val="000000"/>
                <w:sz w:val="20"/>
                <w:szCs w:val="20"/>
              </w:rPr>
              <w:t>(41.1)</w:t>
            </w:r>
          </w:p>
        </w:tc>
        <w:tc>
          <w:tcPr>
            <w:tcW w:w="0" w:type="auto"/>
            <w:shd w:val="clear" w:color="auto" w:fill="FFFFFF"/>
            <w:tcMar>
              <w:top w:w="30" w:type="dxa"/>
              <w:left w:w="0" w:type="dxa"/>
              <w:bottom w:w="30" w:type="dxa"/>
              <w:right w:w="20" w:type="dxa"/>
            </w:tcMar>
            <w:vAlign w:val="bottom"/>
            <w:hideMark/>
          </w:tcPr>
          <w:p w14:paraId="6F255C6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67E9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421522" w14:textId="77777777" w:rsidR="00000000" w:rsidRDefault="001D0688">
            <w:pPr>
              <w:jc w:val="right"/>
              <w:rPr>
                <w:rFonts w:eastAsia="Times New Roman"/>
              </w:rPr>
            </w:pPr>
            <w:r>
              <w:rPr>
                <w:rFonts w:ascii="Arial" w:eastAsia="Times New Roman" w:hAnsi="Arial" w:cs="Arial"/>
                <w:color w:val="000000"/>
                <w:sz w:val="20"/>
                <w:szCs w:val="20"/>
              </w:rPr>
              <w:t>39.0 </w:t>
            </w:r>
          </w:p>
        </w:tc>
        <w:tc>
          <w:tcPr>
            <w:tcW w:w="0" w:type="auto"/>
            <w:shd w:val="clear" w:color="auto" w:fill="FFFFFF"/>
            <w:tcMar>
              <w:top w:w="30" w:type="dxa"/>
              <w:left w:w="0" w:type="dxa"/>
              <w:bottom w:w="30" w:type="dxa"/>
              <w:right w:w="20" w:type="dxa"/>
            </w:tcMar>
            <w:vAlign w:val="bottom"/>
            <w:hideMark/>
          </w:tcPr>
          <w:p w14:paraId="2E31836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A0BC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2046B" w14:textId="77777777" w:rsidR="00000000" w:rsidRDefault="001D0688">
            <w:pPr>
              <w:jc w:val="right"/>
              <w:rPr>
                <w:rFonts w:eastAsia="Times New Roman"/>
              </w:rPr>
            </w:pPr>
            <w:r>
              <w:rPr>
                <w:rFonts w:ascii="Arial" w:eastAsia="Times New Roman" w:hAnsi="Arial" w:cs="Arial"/>
                <w:color w:val="000000"/>
                <w:sz w:val="20"/>
                <w:szCs w:val="20"/>
              </w:rPr>
              <w:t>(80.1)</w:t>
            </w:r>
          </w:p>
        </w:tc>
        <w:tc>
          <w:tcPr>
            <w:tcW w:w="0" w:type="auto"/>
            <w:shd w:val="clear" w:color="auto" w:fill="FFFFFF"/>
            <w:tcMar>
              <w:top w:w="30" w:type="dxa"/>
              <w:left w:w="0" w:type="dxa"/>
              <w:bottom w:w="30" w:type="dxa"/>
              <w:right w:w="20" w:type="dxa"/>
            </w:tcMar>
            <w:vAlign w:val="bottom"/>
            <w:hideMark/>
          </w:tcPr>
          <w:p w14:paraId="5DA048C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4ADD7"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95E101C" w14:textId="77777777" w:rsidR="00000000" w:rsidRDefault="001D0688">
            <w:pPr>
              <w:jc w:val="center"/>
              <w:rPr>
                <w:rFonts w:eastAsia="Times New Roman"/>
              </w:rPr>
            </w:pPr>
            <w:r>
              <w:rPr>
                <w:rFonts w:ascii="Arial" w:eastAsia="Times New Roman" w:hAnsi="Arial" w:cs="Arial"/>
                <w:color w:val="000000"/>
                <w:sz w:val="20"/>
                <w:szCs w:val="20"/>
              </w:rPr>
              <w:t>NM*</w:t>
            </w:r>
          </w:p>
        </w:tc>
      </w:tr>
      <w:tr w:rsidR="00000000" w14:paraId="686B4B56" w14:textId="77777777">
        <w:trPr>
          <w:divId w:val="1170293529"/>
          <w:jc w:val="center"/>
        </w:trPr>
        <w:tc>
          <w:tcPr>
            <w:tcW w:w="0" w:type="auto"/>
            <w:gridSpan w:val="3"/>
            <w:shd w:val="clear" w:color="auto" w:fill="DCE2EF"/>
            <w:tcMar>
              <w:top w:w="30" w:type="dxa"/>
              <w:left w:w="155" w:type="dxa"/>
              <w:bottom w:w="30" w:type="dxa"/>
              <w:right w:w="20" w:type="dxa"/>
            </w:tcMar>
            <w:vAlign w:val="bottom"/>
            <w:hideMark/>
          </w:tcPr>
          <w:p w14:paraId="0401D8A8" w14:textId="77777777" w:rsidR="00000000" w:rsidRDefault="001D0688">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14:paraId="55E146E6" w14:textId="77777777" w:rsidR="00000000" w:rsidRDefault="001D0688">
            <w:pPr>
              <w:jc w:val="right"/>
              <w:rPr>
                <w:rFonts w:eastAsia="Times New Roman"/>
              </w:rPr>
            </w:pPr>
            <w:r>
              <w:rPr>
                <w:rFonts w:ascii="Arial" w:eastAsia="Times New Roman" w:hAnsi="Arial" w:cs="Arial"/>
                <w:i/>
                <w:iCs/>
                <w:color w:val="000000"/>
                <w:sz w:val="16"/>
                <w:szCs w:val="16"/>
              </w:rPr>
              <w:t>(5.1)</w:t>
            </w:r>
          </w:p>
        </w:tc>
        <w:tc>
          <w:tcPr>
            <w:tcW w:w="0" w:type="auto"/>
            <w:shd w:val="clear" w:color="auto" w:fill="DCE2EF"/>
            <w:tcMar>
              <w:top w:w="30" w:type="dxa"/>
              <w:left w:w="0" w:type="dxa"/>
              <w:bottom w:w="30" w:type="dxa"/>
              <w:right w:w="20" w:type="dxa"/>
            </w:tcMar>
            <w:vAlign w:val="bottom"/>
            <w:hideMark/>
          </w:tcPr>
          <w:p w14:paraId="3E69C34A"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A75D0A3"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4D1E67E" w14:textId="77777777" w:rsidR="00000000" w:rsidRDefault="001D0688">
            <w:pPr>
              <w:jc w:val="right"/>
              <w:rPr>
                <w:rFonts w:eastAsia="Times New Roman"/>
              </w:rPr>
            </w:pPr>
            <w:r>
              <w:rPr>
                <w:rFonts w:ascii="Arial" w:eastAsia="Times New Roman" w:hAnsi="Arial" w:cs="Arial"/>
                <w:i/>
                <w:iCs/>
                <w:color w:val="000000"/>
                <w:sz w:val="16"/>
                <w:szCs w:val="16"/>
              </w:rPr>
              <w:t>4.6 </w:t>
            </w:r>
          </w:p>
        </w:tc>
        <w:tc>
          <w:tcPr>
            <w:tcW w:w="0" w:type="auto"/>
            <w:shd w:val="clear" w:color="auto" w:fill="DCE2EF"/>
            <w:tcMar>
              <w:top w:w="30" w:type="dxa"/>
              <w:left w:w="0" w:type="dxa"/>
              <w:bottom w:w="30" w:type="dxa"/>
              <w:right w:w="20" w:type="dxa"/>
            </w:tcMar>
            <w:vAlign w:val="bottom"/>
            <w:hideMark/>
          </w:tcPr>
          <w:p w14:paraId="53842B31"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079D237"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C825289" w14:textId="77777777" w:rsidR="00000000" w:rsidRDefault="001D0688">
            <w:pPr>
              <w:jc w:val="right"/>
              <w:rPr>
                <w:rFonts w:eastAsia="Times New Roman"/>
              </w:rPr>
            </w:pPr>
            <w:r>
              <w:rPr>
                <w:rFonts w:ascii="Arial" w:eastAsia="Times New Roman" w:hAnsi="Arial" w:cs="Arial"/>
                <w:i/>
                <w:iCs/>
                <w:color w:val="000000"/>
                <w:sz w:val="16"/>
                <w:szCs w:val="16"/>
              </w:rPr>
              <w:t>(969) bps</w:t>
            </w:r>
          </w:p>
        </w:tc>
        <w:tc>
          <w:tcPr>
            <w:tcW w:w="0" w:type="auto"/>
            <w:gridSpan w:val="3"/>
            <w:shd w:val="clear" w:color="auto" w:fill="DCE2EF"/>
            <w:tcMar>
              <w:top w:w="0" w:type="dxa"/>
              <w:left w:w="20" w:type="dxa"/>
              <w:bottom w:w="0" w:type="dxa"/>
              <w:right w:w="20" w:type="dxa"/>
            </w:tcMar>
            <w:vAlign w:val="center"/>
            <w:hideMark/>
          </w:tcPr>
          <w:p w14:paraId="1EA5215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FD0310" w14:textId="77777777" w:rsidR="00000000" w:rsidRDefault="001D0688">
            <w:pPr>
              <w:rPr>
                <w:rFonts w:eastAsia="Times New Roman"/>
                <w:sz w:val="20"/>
                <w:szCs w:val="20"/>
              </w:rPr>
            </w:pPr>
          </w:p>
        </w:tc>
      </w:tr>
    </w:tbl>
    <w:p w14:paraId="773609DD" w14:textId="77777777" w:rsidR="00000000" w:rsidRDefault="001D0688">
      <w:pPr>
        <w:ind w:firstLine="720"/>
        <w:jc w:val="both"/>
        <w:divId w:val="921910699"/>
        <w:rPr>
          <w:rFonts w:eastAsia="Times New Roman"/>
        </w:rPr>
      </w:pPr>
      <w:r>
        <w:rPr>
          <w:rFonts w:ascii="Arial" w:eastAsia="Times New Roman" w:hAnsi="Arial" w:cs="Arial"/>
          <w:color w:val="000000"/>
          <w:sz w:val="20"/>
          <w:szCs w:val="20"/>
        </w:rPr>
        <w:t>Education revenues decreased by $38.6 million, or 4.6%, during 2020, as compared to 2019. The decrease was attributable to compression of certain accounts, mainly resulting from Pandemic-related school closures.</w:t>
      </w:r>
    </w:p>
    <w:p w14:paraId="6F256B81" w14:textId="77777777" w:rsidR="00000000" w:rsidRDefault="001D0688">
      <w:pPr>
        <w:ind w:firstLine="720"/>
        <w:jc w:val="both"/>
        <w:divId w:val="1549145007"/>
        <w:rPr>
          <w:rFonts w:eastAsia="Times New Roman"/>
        </w:rPr>
      </w:pPr>
      <w:r>
        <w:rPr>
          <w:rFonts w:ascii="Arial" w:eastAsia="Times New Roman" w:hAnsi="Arial" w:cs="Arial"/>
          <w:color w:val="000000"/>
          <w:sz w:val="20"/>
          <w:szCs w:val="20"/>
        </w:rPr>
        <w:t xml:space="preserve">Education had an operating loss of $41.1 million during 2020, as compared to an operating profit of $39.0 million during 2019. Operating margin decreased by 969 bps to (5.1)% in 2020 from 4.6% in 2019. The decrease in operating profit margin was primarily </w:t>
      </w:r>
      <w:r>
        <w:rPr>
          <w:rFonts w:ascii="Arial" w:eastAsia="Times New Roman" w:hAnsi="Arial" w:cs="Arial"/>
          <w:color w:val="000000"/>
          <w:sz w:val="20"/>
          <w:szCs w:val="20"/>
        </w:rPr>
        <w:t xml:space="preserve">attributable to goodwill impairment charges of $99.3 million due to the adverse </w:t>
      </w:r>
    </w:p>
    <w:p w14:paraId="099A1666" w14:textId="77777777" w:rsidR="00000000" w:rsidRDefault="001D0688">
      <w:pPr>
        <w:jc w:val="center"/>
        <w:divId w:val="499852602"/>
        <w:rPr>
          <w:rFonts w:eastAsia="Times New Roman"/>
        </w:rPr>
      </w:pPr>
      <w:r>
        <w:rPr>
          <w:rFonts w:ascii="Arial" w:eastAsia="Times New Roman" w:hAnsi="Arial" w:cs="Arial"/>
          <w:color w:val="000000"/>
          <w:sz w:val="20"/>
          <w:szCs w:val="20"/>
        </w:rPr>
        <w:t>30</w:t>
      </w:r>
    </w:p>
    <w:p w14:paraId="7759F522" w14:textId="77777777" w:rsidR="00000000" w:rsidRDefault="001D0688">
      <w:pPr>
        <w:rPr>
          <w:rFonts w:eastAsia="Times New Roman"/>
        </w:rPr>
      </w:pPr>
      <w:r>
        <w:rPr>
          <w:rFonts w:eastAsia="Times New Roman"/>
        </w:rPr>
        <w:pict w14:anchorId="23F7AC65">
          <v:rect id="_x0000_i1066" style="width:0;height:1.5pt" o:hralign="center" o:hrstd="t" o:hr="t" fillcolor="#a0a0a0" stroked="f"/>
        </w:pict>
      </w:r>
    </w:p>
    <w:p w14:paraId="511E0E64" w14:textId="77777777" w:rsidR="00000000" w:rsidRDefault="001D0688">
      <w:pPr>
        <w:divId w:val="1676881434"/>
        <w:rPr>
          <w:rFonts w:eastAsia="Times New Roman"/>
        </w:rPr>
      </w:pPr>
    </w:p>
    <w:p w14:paraId="091AE1AE" w14:textId="77777777" w:rsidR="00000000" w:rsidRDefault="001D0688">
      <w:pPr>
        <w:jc w:val="both"/>
        <w:divId w:val="839661090"/>
        <w:rPr>
          <w:rFonts w:eastAsia="Times New Roman"/>
        </w:rPr>
      </w:pPr>
      <w:r>
        <w:rPr>
          <w:rFonts w:ascii="Arial" w:eastAsia="Times New Roman" w:hAnsi="Arial" w:cs="Arial"/>
          <w:color w:val="000000"/>
          <w:sz w:val="20"/>
          <w:szCs w:val="20"/>
        </w:rPr>
        <w:t xml:space="preserve">impact of market and business conditions resulting from the Pandemic and to higher reserves established for client receivables mainly </w:t>
      </w:r>
      <w:r>
        <w:rPr>
          <w:rFonts w:ascii="Arial" w:eastAsia="Times New Roman" w:hAnsi="Arial" w:cs="Arial"/>
          <w:color w:val="000000"/>
          <w:sz w:val="20"/>
          <w:szCs w:val="20"/>
        </w:rPr>
        <w:t>associated with increasing credit risk resulting from the Pandemic. The decrease was partially offset by the management of direct labor and related personnel costs during Pandemic-related school closures, lower amortization of intangible assets, and higher</w:t>
      </w:r>
      <w:r>
        <w:rPr>
          <w:rFonts w:ascii="Arial" w:eastAsia="Times New Roman" w:hAnsi="Arial" w:cs="Arial"/>
          <w:color w:val="000000"/>
          <w:sz w:val="20"/>
          <w:szCs w:val="20"/>
        </w:rPr>
        <w:t xml:space="preserve"> margins on work orders relating to the Pandemic.</w:t>
      </w:r>
    </w:p>
    <w:tbl>
      <w:tblPr>
        <w:tblW w:w="4992" w:type="pct"/>
        <w:tblCellMar>
          <w:top w:w="15" w:type="dxa"/>
          <w:left w:w="15" w:type="dxa"/>
          <w:bottom w:w="15" w:type="dxa"/>
          <w:right w:w="15" w:type="dxa"/>
        </w:tblCellMar>
        <w:tblLook w:val="04A0" w:firstRow="1" w:lastRow="0" w:firstColumn="1" w:lastColumn="0" w:noHBand="0" w:noVBand="1"/>
      </w:tblPr>
      <w:tblGrid>
        <w:gridCol w:w="38"/>
        <w:gridCol w:w="2922"/>
        <w:gridCol w:w="37"/>
        <w:gridCol w:w="132"/>
        <w:gridCol w:w="1088"/>
        <w:gridCol w:w="163"/>
        <w:gridCol w:w="36"/>
        <w:gridCol w:w="36"/>
        <w:gridCol w:w="36"/>
        <w:gridCol w:w="132"/>
        <w:gridCol w:w="1025"/>
        <w:gridCol w:w="163"/>
        <w:gridCol w:w="36"/>
        <w:gridCol w:w="36"/>
        <w:gridCol w:w="36"/>
        <w:gridCol w:w="132"/>
        <w:gridCol w:w="1026"/>
        <w:gridCol w:w="36"/>
        <w:gridCol w:w="36"/>
        <w:gridCol w:w="36"/>
        <w:gridCol w:w="36"/>
        <w:gridCol w:w="50"/>
        <w:gridCol w:w="989"/>
        <w:gridCol w:w="36"/>
      </w:tblGrid>
      <w:tr w:rsidR="00000000" w14:paraId="3322C6E3" w14:textId="77777777">
        <w:trPr>
          <w:divId w:val="1246569936"/>
        </w:trPr>
        <w:tc>
          <w:tcPr>
            <w:tcW w:w="50" w:type="pct"/>
            <w:vAlign w:val="center"/>
            <w:hideMark/>
          </w:tcPr>
          <w:p w14:paraId="67509165" w14:textId="77777777" w:rsidR="00000000" w:rsidRDefault="001D0688">
            <w:pPr>
              <w:jc w:val="both"/>
              <w:rPr>
                <w:rFonts w:eastAsia="Times New Roman"/>
              </w:rPr>
            </w:pPr>
          </w:p>
        </w:tc>
        <w:tc>
          <w:tcPr>
            <w:tcW w:w="1819" w:type="pct"/>
            <w:vAlign w:val="center"/>
            <w:hideMark/>
          </w:tcPr>
          <w:p w14:paraId="18E6D0F2" w14:textId="77777777" w:rsidR="00000000" w:rsidRDefault="001D0688">
            <w:pPr>
              <w:rPr>
                <w:rFonts w:eastAsia="Times New Roman"/>
                <w:sz w:val="20"/>
                <w:szCs w:val="20"/>
              </w:rPr>
            </w:pPr>
          </w:p>
        </w:tc>
        <w:tc>
          <w:tcPr>
            <w:tcW w:w="5" w:type="pct"/>
            <w:vAlign w:val="center"/>
            <w:hideMark/>
          </w:tcPr>
          <w:p w14:paraId="69EA940D" w14:textId="77777777" w:rsidR="00000000" w:rsidRDefault="001D0688">
            <w:pPr>
              <w:rPr>
                <w:rFonts w:eastAsia="Times New Roman"/>
                <w:sz w:val="20"/>
                <w:szCs w:val="20"/>
              </w:rPr>
            </w:pPr>
          </w:p>
        </w:tc>
        <w:tc>
          <w:tcPr>
            <w:tcW w:w="50" w:type="pct"/>
            <w:vAlign w:val="center"/>
            <w:hideMark/>
          </w:tcPr>
          <w:p w14:paraId="673EA324" w14:textId="77777777" w:rsidR="00000000" w:rsidRDefault="001D0688">
            <w:pPr>
              <w:rPr>
                <w:rFonts w:eastAsia="Times New Roman"/>
                <w:sz w:val="20"/>
                <w:szCs w:val="20"/>
              </w:rPr>
            </w:pPr>
          </w:p>
        </w:tc>
        <w:tc>
          <w:tcPr>
            <w:tcW w:w="699" w:type="pct"/>
            <w:vAlign w:val="center"/>
            <w:hideMark/>
          </w:tcPr>
          <w:p w14:paraId="690595E9" w14:textId="77777777" w:rsidR="00000000" w:rsidRDefault="001D0688">
            <w:pPr>
              <w:rPr>
                <w:rFonts w:eastAsia="Times New Roman"/>
                <w:sz w:val="20"/>
                <w:szCs w:val="20"/>
              </w:rPr>
            </w:pPr>
          </w:p>
        </w:tc>
        <w:tc>
          <w:tcPr>
            <w:tcW w:w="5" w:type="pct"/>
            <w:vAlign w:val="center"/>
            <w:hideMark/>
          </w:tcPr>
          <w:p w14:paraId="1654F2D3" w14:textId="77777777" w:rsidR="00000000" w:rsidRDefault="001D0688">
            <w:pPr>
              <w:rPr>
                <w:rFonts w:eastAsia="Times New Roman"/>
                <w:sz w:val="20"/>
                <w:szCs w:val="20"/>
              </w:rPr>
            </w:pPr>
          </w:p>
        </w:tc>
        <w:tc>
          <w:tcPr>
            <w:tcW w:w="5" w:type="pct"/>
            <w:vAlign w:val="center"/>
            <w:hideMark/>
          </w:tcPr>
          <w:p w14:paraId="53F440B3" w14:textId="77777777" w:rsidR="00000000" w:rsidRDefault="001D0688">
            <w:pPr>
              <w:rPr>
                <w:rFonts w:eastAsia="Times New Roman"/>
                <w:sz w:val="20"/>
                <w:szCs w:val="20"/>
              </w:rPr>
            </w:pPr>
          </w:p>
        </w:tc>
        <w:tc>
          <w:tcPr>
            <w:tcW w:w="26" w:type="pct"/>
            <w:vAlign w:val="center"/>
            <w:hideMark/>
          </w:tcPr>
          <w:p w14:paraId="5C62E7C5" w14:textId="77777777" w:rsidR="00000000" w:rsidRDefault="001D0688">
            <w:pPr>
              <w:rPr>
                <w:rFonts w:eastAsia="Times New Roman"/>
                <w:sz w:val="20"/>
                <w:szCs w:val="20"/>
              </w:rPr>
            </w:pPr>
          </w:p>
        </w:tc>
        <w:tc>
          <w:tcPr>
            <w:tcW w:w="5" w:type="pct"/>
            <w:vAlign w:val="center"/>
            <w:hideMark/>
          </w:tcPr>
          <w:p w14:paraId="59625B1D" w14:textId="77777777" w:rsidR="00000000" w:rsidRDefault="001D0688">
            <w:pPr>
              <w:rPr>
                <w:rFonts w:eastAsia="Times New Roman"/>
                <w:sz w:val="20"/>
                <w:szCs w:val="20"/>
              </w:rPr>
            </w:pPr>
          </w:p>
        </w:tc>
        <w:tc>
          <w:tcPr>
            <w:tcW w:w="50" w:type="pct"/>
            <w:vAlign w:val="center"/>
            <w:hideMark/>
          </w:tcPr>
          <w:p w14:paraId="2D4E4C9D" w14:textId="77777777" w:rsidR="00000000" w:rsidRDefault="001D0688">
            <w:pPr>
              <w:rPr>
                <w:rFonts w:eastAsia="Times New Roman"/>
                <w:sz w:val="20"/>
                <w:szCs w:val="20"/>
              </w:rPr>
            </w:pPr>
          </w:p>
        </w:tc>
        <w:tc>
          <w:tcPr>
            <w:tcW w:w="699" w:type="pct"/>
            <w:vAlign w:val="center"/>
            <w:hideMark/>
          </w:tcPr>
          <w:p w14:paraId="2FDDFE26" w14:textId="77777777" w:rsidR="00000000" w:rsidRDefault="001D0688">
            <w:pPr>
              <w:rPr>
                <w:rFonts w:eastAsia="Times New Roman"/>
                <w:sz w:val="20"/>
                <w:szCs w:val="20"/>
              </w:rPr>
            </w:pPr>
          </w:p>
        </w:tc>
        <w:tc>
          <w:tcPr>
            <w:tcW w:w="5" w:type="pct"/>
            <w:vAlign w:val="center"/>
            <w:hideMark/>
          </w:tcPr>
          <w:p w14:paraId="726BCCD8" w14:textId="77777777" w:rsidR="00000000" w:rsidRDefault="001D0688">
            <w:pPr>
              <w:rPr>
                <w:rFonts w:eastAsia="Times New Roman"/>
                <w:sz w:val="20"/>
                <w:szCs w:val="20"/>
              </w:rPr>
            </w:pPr>
          </w:p>
        </w:tc>
        <w:tc>
          <w:tcPr>
            <w:tcW w:w="5" w:type="pct"/>
            <w:vAlign w:val="center"/>
            <w:hideMark/>
          </w:tcPr>
          <w:p w14:paraId="2C9E80E4" w14:textId="77777777" w:rsidR="00000000" w:rsidRDefault="001D0688">
            <w:pPr>
              <w:rPr>
                <w:rFonts w:eastAsia="Times New Roman"/>
                <w:sz w:val="20"/>
                <w:szCs w:val="20"/>
              </w:rPr>
            </w:pPr>
          </w:p>
        </w:tc>
        <w:tc>
          <w:tcPr>
            <w:tcW w:w="26" w:type="pct"/>
            <w:vAlign w:val="center"/>
            <w:hideMark/>
          </w:tcPr>
          <w:p w14:paraId="57C37F92" w14:textId="77777777" w:rsidR="00000000" w:rsidRDefault="001D0688">
            <w:pPr>
              <w:rPr>
                <w:rFonts w:eastAsia="Times New Roman"/>
                <w:sz w:val="20"/>
                <w:szCs w:val="20"/>
              </w:rPr>
            </w:pPr>
          </w:p>
        </w:tc>
        <w:tc>
          <w:tcPr>
            <w:tcW w:w="5" w:type="pct"/>
            <w:vAlign w:val="center"/>
            <w:hideMark/>
          </w:tcPr>
          <w:p w14:paraId="0201EE97" w14:textId="77777777" w:rsidR="00000000" w:rsidRDefault="001D0688">
            <w:pPr>
              <w:rPr>
                <w:rFonts w:eastAsia="Times New Roman"/>
                <w:sz w:val="20"/>
                <w:szCs w:val="20"/>
              </w:rPr>
            </w:pPr>
          </w:p>
        </w:tc>
        <w:tc>
          <w:tcPr>
            <w:tcW w:w="50" w:type="pct"/>
            <w:vAlign w:val="center"/>
            <w:hideMark/>
          </w:tcPr>
          <w:p w14:paraId="1F2AD593" w14:textId="77777777" w:rsidR="00000000" w:rsidRDefault="001D0688">
            <w:pPr>
              <w:rPr>
                <w:rFonts w:eastAsia="Times New Roman"/>
                <w:sz w:val="20"/>
                <w:szCs w:val="20"/>
              </w:rPr>
            </w:pPr>
          </w:p>
        </w:tc>
        <w:tc>
          <w:tcPr>
            <w:tcW w:w="699" w:type="pct"/>
            <w:vAlign w:val="center"/>
            <w:hideMark/>
          </w:tcPr>
          <w:p w14:paraId="49501D27" w14:textId="77777777" w:rsidR="00000000" w:rsidRDefault="001D0688">
            <w:pPr>
              <w:rPr>
                <w:rFonts w:eastAsia="Times New Roman"/>
                <w:sz w:val="20"/>
                <w:szCs w:val="20"/>
              </w:rPr>
            </w:pPr>
          </w:p>
        </w:tc>
        <w:tc>
          <w:tcPr>
            <w:tcW w:w="5" w:type="pct"/>
            <w:vAlign w:val="center"/>
            <w:hideMark/>
          </w:tcPr>
          <w:p w14:paraId="217B4D37" w14:textId="77777777" w:rsidR="00000000" w:rsidRDefault="001D0688">
            <w:pPr>
              <w:rPr>
                <w:rFonts w:eastAsia="Times New Roman"/>
                <w:sz w:val="20"/>
                <w:szCs w:val="20"/>
              </w:rPr>
            </w:pPr>
          </w:p>
        </w:tc>
        <w:tc>
          <w:tcPr>
            <w:tcW w:w="5" w:type="pct"/>
            <w:vAlign w:val="center"/>
            <w:hideMark/>
          </w:tcPr>
          <w:p w14:paraId="124E0DFA" w14:textId="77777777" w:rsidR="00000000" w:rsidRDefault="001D0688">
            <w:pPr>
              <w:rPr>
                <w:rFonts w:eastAsia="Times New Roman"/>
                <w:sz w:val="20"/>
                <w:szCs w:val="20"/>
              </w:rPr>
            </w:pPr>
          </w:p>
        </w:tc>
        <w:tc>
          <w:tcPr>
            <w:tcW w:w="26" w:type="pct"/>
            <w:vAlign w:val="center"/>
            <w:hideMark/>
          </w:tcPr>
          <w:p w14:paraId="577ADEE0" w14:textId="77777777" w:rsidR="00000000" w:rsidRDefault="001D0688">
            <w:pPr>
              <w:rPr>
                <w:rFonts w:eastAsia="Times New Roman"/>
                <w:sz w:val="20"/>
                <w:szCs w:val="20"/>
              </w:rPr>
            </w:pPr>
          </w:p>
        </w:tc>
        <w:tc>
          <w:tcPr>
            <w:tcW w:w="5" w:type="pct"/>
            <w:vAlign w:val="center"/>
            <w:hideMark/>
          </w:tcPr>
          <w:p w14:paraId="1FC513EA" w14:textId="77777777" w:rsidR="00000000" w:rsidRDefault="001D0688">
            <w:pPr>
              <w:rPr>
                <w:rFonts w:eastAsia="Times New Roman"/>
                <w:sz w:val="20"/>
                <w:szCs w:val="20"/>
              </w:rPr>
            </w:pPr>
          </w:p>
        </w:tc>
        <w:tc>
          <w:tcPr>
            <w:tcW w:w="50" w:type="pct"/>
            <w:vAlign w:val="center"/>
            <w:hideMark/>
          </w:tcPr>
          <w:p w14:paraId="6699B7FF" w14:textId="77777777" w:rsidR="00000000" w:rsidRDefault="001D0688">
            <w:pPr>
              <w:rPr>
                <w:rFonts w:eastAsia="Times New Roman"/>
                <w:sz w:val="20"/>
                <w:szCs w:val="20"/>
              </w:rPr>
            </w:pPr>
          </w:p>
        </w:tc>
        <w:tc>
          <w:tcPr>
            <w:tcW w:w="699" w:type="pct"/>
            <w:vAlign w:val="center"/>
            <w:hideMark/>
          </w:tcPr>
          <w:p w14:paraId="3234901F" w14:textId="77777777" w:rsidR="00000000" w:rsidRDefault="001D0688">
            <w:pPr>
              <w:rPr>
                <w:rFonts w:eastAsia="Times New Roman"/>
                <w:sz w:val="20"/>
                <w:szCs w:val="20"/>
              </w:rPr>
            </w:pPr>
          </w:p>
        </w:tc>
        <w:tc>
          <w:tcPr>
            <w:tcW w:w="5" w:type="pct"/>
            <w:vAlign w:val="center"/>
            <w:hideMark/>
          </w:tcPr>
          <w:p w14:paraId="2589D0FA" w14:textId="77777777" w:rsidR="00000000" w:rsidRDefault="001D0688">
            <w:pPr>
              <w:rPr>
                <w:rFonts w:eastAsia="Times New Roman"/>
                <w:sz w:val="20"/>
                <w:szCs w:val="20"/>
              </w:rPr>
            </w:pPr>
          </w:p>
        </w:tc>
      </w:tr>
      <w:tr w:rsidR="00000000" w14:paraId="7332A71E" w14:textId="77777777">
        <w:trPr>
          <w:divId w:val="1246569936"/>
        </w:trPr>
        <w:tc>
          <w:tcPr>
            <w:tcW w:w="0" w:type="auto"/>
            <w:gridSpan w:val="3"/>
            <w:tcMar>
              <w:top w:w="30" w:type="dxa"/>
              <w:left w:w="20" w:type="dxa"/>
              <w:bottom w:w="30" w:type="dxa"/>
              <w:right w:w="20" w:type="dxa"/>
            </w:tcMar>
            <w:vAlign w:val="bottom"/>
            <w:hideMark/>
          </w:tcPr>
          <w:p w14:paraId="5834B18E" w14:textId="77777777" w:rsidR="00000000" w:rsidRDefault="001D0688">
            <w:pPr>
              <w:rPr>
                <w:rFonts w:eastAsia="Times New Roman"/>
              </w:rPr>
            </w:pPr>
            <w:r>
              <w:rPr>
                <w:rFonts w:ascii="Arial" w:eastAsia="Times New Roman" w:hAnsi="Arial" w:cs="Arial"/>
                <w:b/>
                <w:bCs/>
                <w:i/>
                <w:iCs/>
                <w:color w:val="0046AD"/>
                <w:sz w:val="20"/>
                <w:szCs w:val="20"/>
              </w:rPr>
              <w:t>Aviation</w:t>
            </w:r>
          </w:p>
        </w:tc>
        <w:tc>
          <w:tcPr>
            <w:tcW w:w="0" w:type="auto"/>
            <w:gridSpan w:val="3"/>
            <w:tcMar>
              <w:top w:w="0" w:type="dxa"/>
              <w:left w:w="20" w:type="dxa"/>
              <w:bottom w:w="0" w:type="dxa"/>
              <w:right w:w="20" w:type="dxa"/>
            </w:tcMar>
            <w:vAlign w:val="center"/>
            <w:hideMark/>
          </w:tcPr>
          <w:p w14:paraId="788C6C2D"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3E1EE12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1B050B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41625A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0AF139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79064B8"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974DC42" w14:textId="77777777" w:rsidR="00000000" w:rsidRDefault="001D0688">
            <w:pPr>
              <w:rPr>
                <w:rFonts w:eastAsia="Times New Roman"/>
                <w:sz w:val="20"/>
                <w:szCs w:val="20"/>
              </w:rPr>
            </w:pPr>
          </w:p>
        </w:tc>
      </w:tr>
      <w:tr w:rsidR="00000000" w14:paraId="4BCB60BE" w14:textId="77777777">
        <w:trPr>
          <w:divId w:val="1246569936"/>
        </w:trPr>
        <w:tc>
          <w:tcPr>
            <w:tcW w:w="0" w:type="auto"/>
            <w:gridSpan w:val="3"/>
            <w:tcMar>
              <w:top w:w="30" w:type="dxa"/>
              <w:left w:w="20" w:type="dxa"/>
              <w:bottom w:w="30" w:type="dxa"/>
              <w:right w:w="20" w:type="dxa"/>
            </w:tcMar>
            <w:vAlign w:val="bottom"/>
            <w:hideMark/>
          </w:tcPr>
          <w:p w14:paraId="79420D40"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76034B0E"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77634D32"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379573C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B872919"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B40B0CD" w14:textId="77777777" w:rsidR="00000000" w:rsidRDefault="001D0688">
            <w:pPr>
              <w:rPr>
                <w:rFonts w:eastAsia="Times New Roman"/>
                <w:sz w:val="20"/>
                <w:szCs w:val="20"/>
              </w:rPr>
            </w:pPr>
          </w:p>
        </w:tc>
      </w:tr>
      <w:tr w:rsidR="00000000" w14:paraId="7B69F06A" w14:textId="77777777">
        <w:trPr>
          <w:divId w:val="1246569936"/>
        </w:trPr>
        <w:tc>
          <w:tcPr>
            <w:tcW w:w="0" w:type="auto"/>
            <w:gridSpan w:val="3"/>
            <w:tcMar>
              <w:top w:w="30" w:type="dxa"/>
              <w:left w:w="20" w:type="dxa"/>
              <w:bottom w:w="30" w:type="dxa"/>
              <w:right w:w="20" w:type="dxa"/>
            </w:tcMar>
            <w:vAlign w:val="bottom"/>
            <w:hideMark/>
          </w:tcPr>
          <w:p w14:paraId="544B42AC"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66499EAB"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158EC5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6EFCB3"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2BE142FC" w14:textId="77777777" w:rsidR="00000000" w:rsidRDefault="001D0688">
            <w:pPr>
              <w:jc w:val="center"/>
              <w:rPr>
                <w:rFonts w:eastAsia="Times New Roman"/>
              </w:rPr>
            </w:pPr>
          </w:p>
        </w:tc>
        <w:tc>
          <w:tcPr>
            <w:tcW w:w="0" w:type="auto"/>
            <w:gridSpan w:val="9"/>
            <w:tcMar>
              <w:top w:w="30" w:type="dxa"/>
              <w:left w:w="20" w:type="dxa"/>
              <w:bottom w:w="30" w:type="dxa"/>
              <w:right w:w="20" w:type="dxa"/>
            </w:tcMar>
            <w:vAlign w:val="bottom"/>
            <w:hideMark/>
          </w:tcPr>
          <w:p w14:paraId="7BD37CDC" w14:textId="77777777" w:rsidR="00000000" w:rsidRDefault="001D0688">
            <w:pPr>
              <w:jc w:val="center"/>
              <w:rPr>
                <w:rFonts w:eastAsia="Times New Roman"/>
              </w:rPr>
            </w:pPr>
            <w:r>
              <w:rPr>
                <w:rFonts w:ascii="Arial" w:eastAsia="Times New Roman" w:hAnsi="Arial" w:cs="Arial"/>
                <w:b/>
                <w:bCs/>
                <w:color w:val="000000"/>
                <w:sz w:val="20"/>
                <w:szCs w:val="20"/>
              </w:rPr>
              <w:t>Decrease</w:t>
            </w:r>
          </w:p>
        </w:tc>
      </w:tr>
      <w:tr w:rsidR="00000000" w14:paraId="298DE957" w14:textId="77777777">
        <w:trPr>
          <w:divId w:val="1246569936"/>
        </w:trPr>
        <w:tc>
          <w:tcPr>
            <w:tcW w:w="0" w:type="auto"/>
            <w:gridSpan w:val="3"/>
            <w:shd w:val="clear" w:color="auto" w:fill="DCE2EF"/>
            <w:tcMar>
              <w:top w:w="30" w:type="dxa"/>
              <w:left w:w="20" w:type="dxa"/>
              <w:bottom w:w="30" w:type="dxa"/>
              <w:right w:w="20" w:type="dxa"/>
            </w:tcMar>
            <w:vAlign w:val="bottom"/>
            <w:hideMark/>
          </w:tcPr>
          <w:p w14:paraId="2A391350"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A6A0D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574CAC5" w14:textId="77777777" w:rsidR="00000000" w:rsidRDefault="001D0688">
            <w:pPr>
              <w:jc w:val="right"/>
              <w:rPr>
                <w:rFonts w:eastAsia="Times New Roman"/>
              </w:rPr>
            </w:pPr>
            <w:r>
              <w:rPr>
                <w:rFonts w:ascii="Arial" w:eastAsia="Times New Roman" w:hAnsi="Arial" w:cs="Arial"/>
                <w:color w:val="000000"/>
                <w:sz w:val="20"/>
                <w:szCs w:val="20"/>
              </w:rPr>
              <w:t>680.9 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C93B4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86DA71"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576DE1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C34002A" w14:textId="77777777" w:rsidR="00000000" w:rsidRDefault="001D0688">
            <w:pPr>
              <w:jc w:val="right"/>
              <w:rPr>
                <w:rFonts w:eastAsia="Times New Roman"/>
              </w:rPr>
            </w:pPr>
            <w:r>
              <w:rPr>
                <w:rFonts w:ascii="Arial" w:eastAsia="Times New Roman" w:hAnsi="Arial" w:cs="Arial"/>
                <w:color w:val="000000"/>
                <w:sz w:val="20"/>
                <w:szCs w:val="20"/>
              </w:rPr>
              <w:t>1,017.3 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F707E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F5F431"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A5D12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E554E02" w14:textId="77777777" w:rsidR="00000000" w:rsidRDefault="001D0688">
            <w:pPr>
              <w:jc w:val="right"/>
              <w:rPr>
                <w:rFonts w:eastAsia="Times New Roman"/>
              </w:rPr>
            </w:pPr>
            <w:r>
              <w:rPr>
                <w:rFonts w:ascii="Arial" w:eastAsia="Times New Roman" w:hAnsi="Arial" w:cs="Arial"/>
                <w:color w:val="000000"/>
                <w:sz w:val="20"/>
                <w:szCs w:val="20"/>
              </w:rPr>
              <w:t>(336.4)</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9E8D33"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29BBBB7"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B7D1B52" w14:textId="77777777" w:rsidR="00000000" w:rsidRDefault="001D0688">
            <w:pPr>
              <w:jc w:val="center"/>
              <w:rPr>
                <w:rFonts w:eastAsia="Times New Roman"/>
              </w:rPr>
            </w:pPr>
            <w:r>
              <w:rPr>
                <w:rFonts w:ascii="Arial" w:eastAsia="Times New Roman" w:hAnsi="Arial" w:cs="Arial"/>
                <w:color w:val="000000"/>
                <w:sz w:val="20"/>
                <w:szCs w:val="20"/>
              </w:rPr>
              <w:t>(33.1)%</w:t>
            </w:r>
          </w:p>
        </w:tc>
      </w:tr>
      <w:tr w:rsidR="00000000" w14:paraId="69018E23" w14:textId="77777777">
        <w:trPr>
          <w:divId w:val="1246569936"/>
        </w:trPr>
        <w:tc>
          <w:tcPr>
            <w:tcW w:w="0" w:type="auto"/>
            <w:gridSpan w:val="3"/>
            <w:tcMar>
              <w:top w:w="30" w:type="dxa"/>
              <w:left w:w="20" w:type="dxa"/>
              <w:bottom w:w="30" w:type="dxa"/>
              <w:right w:w="20" w:type="dxa"/>
            </w:tcMar>
            <w:vAlign w:val="bottom"/>
            <w:hideMark/>
          </w:tcPr>
          <w:p w14:paraId="443D6C32" w14:textId="77777777" w:rsidR="00000000" w:rsidRDefault="001D0688">
            <w:pPr>
              <w:rPr>
                <w:rFonts w:eastAsia="Times New Roman"/>
              </w:rPr>
            </w:pPr>
            <w:r>
              <w:rPr>
                <w:rFonts w:ascii="Arial" w:eastAsia="Times New Roman" w:hAnsi="Arial" w:cs="Arial"/>
                <w:color w:val="000000"/>
                <w:sz w:val="20"/>
                <w:szCs w:val="20"/>
              </w:rPr>
              <w:t>Operating (loss) profit</w:t>
            </w:r>
          </w:p>
        </w:tc>
        <w:tc>
          <w:tcPr>
            <w:tcW w:w="0" w:type="auto"/>
            <w:gridSpan w:val="2"/>
            <w:shd w:val="clear" w:color="auto" w:fill="FFFFFF"/>
            <w:tcMar>
              <w:top w:w="30" w:type="dxa"/>
              <w:left w:w="20" w:type="dxa"/>
              <w:bottom w:w="30" w:type="dxa"/>
              <w:right w:w="0" w:type="dxa"/>
            </w:tcMar>
            <w:vAlign w:val="bottom"/>
            <w:hideMark/>
          </w:tcPr>
          <w:p w14:paraId="036C9FD9" w14:textId="77777777" w:rsidR="00000000" w:rsidRDefault="001D0688">
            <w:pPr>
              <w:jc w:val="right"/>
              <w:rPr>
                <w:rFonts w:eastAsia="Times New Roman"/>
              </w:rPr>
            </w:pPr>
            <w:r>
              <w:rPr>
                <w:rFonts w:ascii="Arial" w:eastAsia="Times New Roman" w:hAnsi="Arial" w:cs="Arial"/>
                <w:color w:val="000000"/>
                <w:sz w:val="20"/>
                <w:szCs w:val="20"/>
              </w:rPr>
              <w:t>(59.6)</w:t>
            </w:r>
          </w:p>
        </w:tc>
        <w:tc>
          <w:tcPr>
            <w:tcW w:w="0" w:type="auto"/>
            <w:shd w:val="clear" w:color="auto" w:fill="FFFFFF"/>
            <w:tcMar>
              <w:top w:w="30" w:type="dxa"/>
              <w:left w:w="0" w:type="dxa"/>
              <w:bottom w:w="30" w:type="dxa"/>
              <w:right w:w="20" w:type="dxa"/>
            </w:tcMar>
            <w:vAlign w:val="bottom"/>
            <w:hideMark/>
          </w:tcPr>
          <w:p w14:paraId="793CE79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DD96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967BB" w14:textId="77777777" w:rsidR="00000000" w:rsidRDefault="001D0688">
            <w:pPr>
              <w:jc w:val="right"/>
              <w:rPr>
                <w:rFonts w:eastAsia="Times New Roman"/>
              </w:rPr>
            </w:pPr>
            <w:r>
              <w:rPr>
                <w:rFonts w:ascii="Arial" w:eastAsia="Times New Roman" w:hAnsi="Arial" w:cs="Arial"/>
                <w:color w:val="000000"/>
                <w:sz w:val="20"/>
                <w:szCs w:val="20"/>
              </w:rPr>
              <w:t>21.1 </w:t>
            </w:r>
          </w:p>
        </w:tc>
        <w:tc>
          <w:tcPr>
            <w:tcW w:w="0" w:type="auto"/>
            <w:shd w:val="clear" w:color="auto" w:fill="FFFFFF"/>
            <w:tcMar>
              <w:top w:w="30" w:type="dxa"/>
              <w:left w:w="0" w:type="dxa"/>
              <w:bottom w:w="30" w:type="dxa"/>
              <w:right w:w="20" w:type="dxa"/>
            </w:tcMar>
            <w:vAlign w:val="bottom"/>
            <w:hideMark/>
          </w:tcPr>
          <w:p w14:paraId="4B6D56B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36B0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E34F3" w14:textId="77777777" w:rsidR="00000000" w:rsidRDefault="001D0688">
            <w:pPr>
              <w:jc w:val="right"/>
              <w:rPr>
                <w:rFonts w:eastAsia="Times New Roman"/>
              </w:rPr>
            </w:pPr>
            <w:r>
              <w:rPr>
                <w:rFonts w:ascii="Arial" w:eastAsia="Times New Roman" w:hAnsi="Arial" w:cs="Arial"/>
                <w:color w:val="000000"/>
                <w:sz w:val="20"/>
                <w:szCs w:val="20"/>
              </w:rPr>
              <w:t>(80.7)</w:t>
            </w:r>
          </w:p>
        </w:tc>
        <w:tc>
          <w:tcPr>
            <w:tcW w:w="0" w:type="auto"/>
            <w:shd w:val="clear" w:color="auto" w:fill="FFFFFF"/>
            <w:tcMar>
              <w:top w:w="30" w:type="dxa"/>
              <w:left w:w="0" w:type="dxa"/>
              <w:bottom w:w="30" w:type="dxa"/>
              <w:right w:w="20" w:type="dxa"/>
            </w:tcMar>
            <w:vAlign w:val="bottom"/>
            <w:hideMark/>
          </w:tcPr>
          <w:p w14:paraId="275231B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9C805"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48B2470" w14:textId="77777777" w:rsidR="00000000" w:rsidRDefault="001D0688">
            <w:pPr>
              <w:jc w:val="center"/>
              <w:rPr>
                <w:rFonts w:eastAsia="Times New Roman"/>
              </w:rPr>
            </w:pPr>
            <w:r>
              <w:rPr>
                <w:rFonts w:ascii="Arial" w:eastAsia="Times New Roman" w:hAnsi="Arial" w:cs="Arial"/>
                <w:color w:val="000000"/>
                <w:sz w:val="20"/>
                <w:szCs w:val="20"/>
              </w:rPr>
              <w:t>NM*</w:t>
            </w:r>
          </w:p>
        </w:tc>
      </w:tr>
      <w:tr w:rsidR="00000000" w14:paraId="0FF77F53" w14:textId="77777777">
        <w:trPr>
          <w:divId w:val="1246569936"/>
        </w:trPr>
        <w:tc>
          <w:tcPr>
            <w:tcW w:w="0" w:type="auto"/>
            <w:gridSpan w:val="3"/>
            <w:shd w:val="clear" w:color="auto" w:fill="DCE2EF"/>
            <w:tcMar>
              <w:top w:w="30" w:type="dxa"/>
              <w:left w:w="155" w:type="dxa"/>
              <w:bottom w:w="30" w:type="dxa"/>
              <w:right w:w="20" w:type="dxa"/>
            </w:tcMar>
            <w:vAlign w:val="bottom"/>
            <w:hideMark/>
          </w:tcPr>
          <w:p w14:paraId="7BB6D06B" w14:textId="77777777" w:rsidR="00000000" w:rsidRDefault="001D0688">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14:paraId="2F6694CE" w14:textId="77777777" w:rsidR="00000000" w:rsidRDefault="001D0688">
            <w:pPr>
              <w:jc w:val="right"/>
              <w:rPr>
                <w:rFonts w:eastAsia="Times New Roman"/>
              </w:rPr>
            </w:pPr>
            <w:r>
              <w:rPr>
                <w:rFonts w:ascii="Arial" w:eastAsia="Times New Roman" w:hAnsi="Arial" w:cs="Arial"/>
                <w:i/>
                <w:iCs/>
                <w:color w:val="000000"/>
                <w:sz w:val="16"/>
                <w:szCs w:val="16"/>
              </w:rPr>
              <w:t>(8.7)</w:t>
            </w:r>
          </w:p>
        </w:tc>
        <w:tc>
          <w:tcPr>
            <w:tcW w:w="0" w:type="auto"/>
            <w:shd w:val="clear" w:color="auto" w:fill="DCE2EF"/>
            <w:tcMar>
              <w:top w:w="30" w:type="dxa"/>
              <w:left w:w="0" w:type="dxa"/>
              <w:bottom w:w="30" w:type="dxa"/>
              <w:right w:w="20" w:type="dxa"/>
            </w:tcMar>
            <w:vAlign w:val="bottom"/>
            <w:hideMark/>
          </w:tcPr>
          <w:p w14:paraId="0D676719"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2EAEFC4"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9FD0933" w14:textId="77777777" w:rsidR="00000000" w:rsidRDefault="001D0688">
            <w:pPr>
              <w:jc w:val="right"/>
              <w:rPr>
                <w:rFonts w:eastAsia="Times New Roman"/>
              </w:rPr>
            </w:pPr>
            <w:r>
              <w:rPr>
                <w:rFonts w:ascii="Arial" w:eastAsia="Times New Roman" w:hAnsi="Arial" w:cs="Arial"/>
                <w:i/>
                <w:iCs/>
                <w:color w:val="000000"/>
                <w:sz w:val="16"/>
                <w:szCs w:val="16"/>
              </w:rPr>
              <w:t>2.1 </w:t>
            </w:r>
          </w:p>
        </w:tc>
        <w:tc>
          <w:tcPr>
            <w:tcW w:w="0" w:type="auto"/>
            <w:shd w:val="clear" w:color="auto" w:fill="DCE2EF"/>
            <w:tcMar>
              <w:top w:w="30" w:type="dxa"/>
              <w:left w:w="0" w:type="dxa"/>
              <w:bottom w:w="30" w:type="dxa"/>
              <w:right w:w="20" w:type="dxa"/>
            </w:tcMar>
            <w:vAlign w:val="bottom"/>
            <w:hideMark/>
          </w:tcPr>
          <w:p w14:paraId="1B569896"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42868AA"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D44281B" w14:textId="77777777" w:rsidR="00000000" w:rsidRDefault="001D0688">
            <w:pPr>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14:paraId="3AC398A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C440D1" w14:textId="77777777" w:rsidR="00000000" w:rsidRDefault="001D0688">
            <w:pPr>
              <w:rPr>
                <w:rFonts w:eastAsia="Times New Roman"/>
                <w:sz w:val="20"/>
                <w:szCs w:val="20"/>
              </w:rPr>
            </w:pPr>
          </w:p>
        </w:tc>
      </w:tr>
    </w:tbl>
    <w:p w14:paraId="24DC4E1F" w14:textId="77777777" w:rsidR="00000000" w:rsidRDefault="001D0688">
      <w:pPr>
        <w:ind w:firstLine="720"/>
        <w:jc w:val="both"/>
        <w:divId w:val="1108089325"/>
        <w:rPr>
          <w:rFonts w:eastAsia="Times New Roman"/>
        </w:rPr>
      </w:pPr>
      <w:r>
        <w:rPr>
          <w:rFonts w:ascii="Arial" w:eastAsia="Times New Roman" w:hAnsi="Arial" w:cs="Arial"/>
          <w:color w:val="000000"/>
          <w:sz w:val="20"/>
          <w:szCs w:val="20"/>
        </w:rPr>
        <w:t xml:space="preserve">Aviation revenues decreased by $336.4 million, or 33.1%, during 2020, as compared to 2019. The decrease was primarily attributable to travel restrictions and a dramatic decline in passenger demand resulting from the Pandemic. Significant volume reductions </w:t>
      </w:r>
      <w:r>
        <w:rPr>
          <w:rFonts w:ascii="Arial" w:eastAsia="Times New Roman" w:hAnsi="Arial" w:cs="Arial"/>
          <w:color w:val="000000"/>
          <w:sz w:val="20"/>
          <w:szCs w:val="20"/>
        </w:rPr>
        <w:t>impacted cabin cleaning, parking, janitorial, passenger services, transportation, and catering accounts. In addition, we lost certain cabin cleaning and passenger services accounts primarily in the prior year. The decrease was partially offset by Pandemic-</w:t>
      </w:r>
      <w:r>
        <w:rPr>
          <w:rFonts w:ascii="Arial" w:eastAsia="Times New Roman" w:hAnsi="Arial" w:cs="Arial"/>
          <w:color w:val="000000"/>
          <w:sz w:val="20"/>
          <w:szCs w:val="20"/>
        </w:rPr>
        <w:t xml:space="preserve">related cleaning services. Management reimbursement revenues for this segment totaled $74.3 million and $95.5 million during 2020 and 2019, respectively. </w:t>
      </w:r>
    </w:p>
    <w:p w14:paraId="32ADD33B" w14:textId="77777777" w:rsidR="00000000" w:rsidRDefault="001D0688">
      <w:pPr>
        <w:ind w:firstLine="720"/>
        <w:jc w:val="both"/>
        <w:divId w:val="673264849"/>
        <w:rPr>
          <w:rFonts w:eastAsia="Times New Roman"/>
        </w:rPr>
      </w:pPr>
      <w:r>
        <w:rPr>
          <w:rFonts w:ascii="Arial" w:eastAsia="Times New Roman" w:hAnsi="Arial" w:cs="Arial"/>
          <w:color w:val="000000"/>
          <w:sz w:val="20"/>
          <w:szCs w:val="20"/>
        </w:rPr>
        <w:t xml:space="preserve">Aviation had </w:t>
      </w:r>
      <w:r>
        <w:rPr>
          <w:rFonts w:ascii="Arial" w:eastAsia="Times New Roman" w:hAnsi="Arial" w:cs="Arial"/>
          <w:color w:val="000000"/>
          <w:sz w:val="20"/>
          <w:szCs w:val="20"/>
        </w:rPr>
        <w:t>an operating loss of $59.6 million during 2020, as compared to an operating profit of $21.1 million during 2019. Operating margin decreased to (8.7)% during 2020, from 2.1% during 2019. This decrease in operating profit margin was primarily attributable to</w:t>
      </w:r>
      <w:r>
        <w:rPr>
          <w:rFonts w:ascii="Arial" w:eastAsia="Times New Roman" w:hAnsi="Arial" w:cs="Arial"/>
          <w:color w:val="000000"/>
          <w:sz w:val="20"/>
          <w:szCs w:val="20"/>
        </w:rPr>
        <w:t xml:space="preserve"> impairment charges of $55.5 million on goodwill and $5.6 million on customer relationships due to the adverse impact of market and business conditions resulting from the Pandemic. Operating margin was also negatively impacted by Pandemic-related volume re</w:t>
      </w:r>
      <w:r>
        <w:rPr>
          <w:rFonts w:ascii="Arial" w:eastAsia="Times New Roman" w:hAnsi="Arial" w:cs="Arial"/>
          <w:color w:val="000000"/>
          <w:sz w:val="20"/>
          <w:szCs w:val="20"/>
        </w:rPr>
        <w:t>ductions and higher reserves established for client receivables mainly associated with increasing credit risk resulting from the Pandemic. Operating margin was positively impacted by the management of direct labor and related personnel costs during the Pan</w:t>
      </w:r>
      <w:r>
        <w:rPr>
          <w:rFonts w:ascii="Arial" w:eastAsia="Times New Roman" w:hAnsi="Arial" w:cs="Arial"/>
          <w:color w:val="000000"/>
          <w:sz w:val="20"/>
          <w:szCs w:val="20"/>
        </w:rPr>
        <w:t xml:space="preserve">demic, higher margins on work orders, and the loss of lower margin cabin cleaning and passenger service accounts in the prior year. </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5"/>
        <w:gridCol w:w="163"/>
        <w:gridCol w:w="36"/>
        <w:gridCol w:w="36"/>
        <w:gridCol w:w="36"/>
        <w:gridCol w:w="133"/>
        <w:gridCol w:w="1026"/>
        <w:gridCol w:w="36"/>
        <w:gridCol w:w="36"/>
        <w:gridCol w:w="36"/>
        <w:gridCol w:w="36"/>
        <w:gridCol w:w="50"/>
        <w:gridCol w:w="989"/>
        <w:gridCol w:w="36"/>
      </w:tblGrid>
      <w:tr w:rsidR="00000000" w14:paraId="4710173A" w14:textId="77777777">
        <w:trPr>
          <w:divId w:val="1797022523"/>
        </w:trPr>
        <w:tc>
          <w:tcPr>
            <w:tcW w:w="50" w:type="pct"/>
            <w:vAlign w:val="center"/>
            <w:hideMark/>
          </w:tcPr>
          <w:p w14:paraId="518D3B59" w14:textId="77777777" w:rsidR="00000000" w:rsidRDefault="001D0688">
            <w:pPr>
              <w:ind w:firstLine="720"/>
              <w:jc w:val="both"/>
              <w:rPr>
                <w:rFonts w:eastAsia="Times New Roman"/>
              </w:rPr>
            </w:pPr>
          </w:p>
        </w:tc>
        <w:tc>
          <w:tcPr>
            <w:tcW w:w="1819" w:type="pct"/>
            <w:vAlign w:val="center"/>
            <w:hideMark/>
          </w:tcPr>
          <w:p w14:paraId="322AB906" w14:textId="77777777" w:rsidR="00000000" w:rsidRDefault="001D0688">
            <w:pPr>
              <w:rPr>
                <w:rFonts w:eastAsia="Times New Roman"/>
                <w:sz w:val="20"/>
                <w:szCs w:val="20"/>
              </w:rPr>
            </w:pPr>
          </w:p>
        </w:tc>
        <w:tc>
          <w:tcPr>
            <w:tcW w:w="5" w:type="pct"/>
            <w:vAlign w:val="center"/>
            <w:hideMark/>
          </w:tcPr>
          <w:p w14:paraId="2C08E00A" w14:textId="77777777" w:rsidR="00000000" w:rsidRDefault="001D0688">
            <w:pPr>
              <w:rPr>
                <w:rFonts w:eastAsia="Times New Roman"/>
                <w:sz w:val="20"/>
                <w:szCs w:val="20"/>
              </w:rPr>
            </w:pPr>
          </w:p>
        </w:tc>
        <w:tc>
          <w:tcPr>
            <w:tcW w:w="50" w:type="pct"/>
            <w:vAlign w:val="center"/>
            <w:hideMark/>
          </w:tcPr>
          <w:p w14:paraId="6B87B6B2" w14:textId="77777777" w:rsidR="00000000" w:rsidRDefault="001D0688">
            <w:pPr>
              <w:rPr>
                <w:rFonts w:eastAsia="Times New Roman"/>
                <w:sz w:val="20"/>
                <w:szCs w:val="20"/>
              </w:rPr>
            </w:pPr>
          </w:p>
        </w:tc>
        <w:tc>
          <w:tcPr>
            <w:tcW w:w="699" w:type="pct"/>
            <w:vAlign w:val="center"/>
            <w:hideMark/>
          </w:tcPr>
          <w:p w14:paraId="5078CD6A" w14:textId="77777777" w:rsidR="00000000" w:rsidRDefault="001D0688">
            <w:pPr>
              <w:rPr>
                <w:rFonts w:eastAsia="Times New Roman"/>
                <w:sz w:val="20"/>
                <w:szCs w:val="20"/>
              </w:rPr>
            </w:pPr>
          </w:p>
        </w:tc>
        <w:tc>
          <w:tcPr>
            <w:tcW w:w="5" w:type="pct"/>
            <w:vAlign w:val="center"/>
            <w:hideMark/>
          </w:tcPr>
          <w:p w14:paraId="456D3400" w14:textId="77777777" w:rsidR="00000000" w:rsidRDefault="001D0688">
            <w:pPr>
              <w:rPr>
                <w:rFonts w:eastAsia="Times New Roman"/>
                <w:sz w:val="20"/>
                <w:szCs w:val="20"/>
              </w:rPr>
            </w:pPr>
          </w:p>
        </w:tc>
        <w:tc>
          <w:tcPr>
            <w:tcW w:w="5" w:type="pct"/>
            <w:vAlign w:val="center"/>
            <w:hideMark/>
          </w:tcPr>
          <w:p w14:paraId="0970AB56" w14:textId="77777777" w:rsidR="00000000" w:rsidRDefault="001D0688">
            <w:pPr>
              <w:rPr>
                <w:rFonts w:eastAsia="Times New Roman"/>
                <w:sz w:val="20"/>
                <w:szCs w:val="20"/>
              </w:rPr>
            </w:pPr>
          </w:p>
        </w:tc>
        <w:tc>
          <w:tcPr>
            <w:tcW w:w="26" w:type="pct"/>
            <w:vAlign w:val="center"/>
            <w:hideMark/>
          </w:tcPr>
          <w:p w14:paraId="4269B2B9" w14:textId="77777777" w:rsidR="00000000" w:rsidRDefault="001D0688">
            <w:pPr>
              <w:rPr>
                <w:rFonts w:eastAsia="Times New Roman"/>
                <w:sz w:val="20"/>
                <w:szCs w:val="20"/>
              </w:rPr>
            </w:pPr>
          </w:p>
        </w:tc>
        <w:tc>
          <w:tcPr>
            <w:tcW w:w="5" w:type="pct"/>
            <w:vAlign w:val="center"/>
            <w:hideMark/>
          </w:tcPr>
          <w:p w14:paraId="6BFA2AB0" w14:textId="77777777" w:rsidR="00000000" w:rsidRDefault="001D0688">
            <w:pPr>
              <w:rPr>
                <w:rFonts w:eastAsia="Times New Roman"/>
                <w:sz w:val="20"/>
                <w:szCs w:val="20"/>
              </w:rPr>
            </w:pPr>
          </w:p>
        </w:tc>
        <w:tc>
          <w:tcPr>
            <w:tcW w:w="50" w:type="pct"/>
            <w:vAlign w:val="center"/>
            <w:hideMark/>
          </w:tcPr>
          <w:p w14:paraId="774486B7" w14:textId="77777777" w:rsidR="00000000" w:rsidRDefault="001D0688">
            <w:pPr>
              <w:rPr>
                <w:rFonts w:eastAsia="Times New Roman"/>
                <w:sz w:val="20"/>
                <w:szCs w:val="20"/>
              </w:rPr>
            </w:pPr>
          </w:p>
        </w:tc>
        <w:tc>
          <w:tcPr>
            <w:tcW w:w="699" w:type="pct"/>
            <w:vAlign w:val="center"/>
            <w:hideMark/>
          </w:tcPr>
          <w:p w14:paraId="1AF10029" w14:textId="77777777" w:rsidR="00000000" w:rsidRDefault="001D0688">
            <w:pPr>
              <w:rPr>
                <w:rFonts w:eastAsia="Times New Roman"/>
                <w:sz w:val="20"/>
                <w:szCs w:val="20"/>
              </w:rPr>
            </w:pPr>
          </w:p>
        </w:tc>
        <w:tc>
          <w:tcPr>
            <w:tcW w:w="5" w:type="pct"/>
            <w:vAlign w:val="center"/>
            <w:hideMark/>
          </w:tcPr>
          <w:p w14:paraId="2A9FEB1B" w14:textId="77777777" w:rsidR="00000000" w:rsidRDefault="001D0688">
            <w:pPr>
              <w:rPr>
                <w:rFonts w:eastAsia="Times New Roman"/>
                <w:sz w:val="20"/>
                <w:szCs w:val="20"/>
              </w:rPr>
            </w:pPr>
          </w:p>
        </w:tc>
        <w:tc>
          <w:tcPr>
            <w:tcW w:w="5" w:type="pct"/>
            <w:vAlign w:val="center"/>
            <w:hideMark/>
          </w:tcPr>
          <w:p w14:paraId="540B25DA" w14:textId="77777777" w:rsidR="00000000" w:rsidRDefault="001D0688">
            <w:pPr>
              <w:rPr>
                <w:rFonts w:eastAsia="Times New Roman"/>
                <w:sz w:val="20"/>
                <w:szCs w:val="20"/>
              </w:rPr>
            </w:pPr>
          </w:p>
        </w:tc>
        <w:tc>
          <w:tcPr>
            <w:tcW w:w="26" w:type="pct"/>
            <w:vAlign w:val="center"/>
            <w:hideMark/>
          </w:tcPr>
          <w:p w14:paraId="4AB7FB21" w14:textId="77777777" w:rsidR="00000000" w:rsidRDefault="001D0688">
            <w:pPr>
              <w:rPr>
                <w:rFonts w:eastAsia="Times New Roman"/>
                <w:sz w:val="20"/>
                <w:szCs w:val="20"/>
              </w:rPr>
            </w:pPr>
          </w:p>
        </w:tc>
        <w:tc>
          <w:tcPr>
            <w:tcW w:w="5" w:type="pct"/>
            <w:vAlign w:val="center"/>
            <w:hideMark/>
          </w:tcPr>
          <w:p w14:paraId="0F2A0027" w14:textId="77777777" w:rsidR="00000000" w:rsidRDefault="001D0688">
            <w:pPr>
              <w:rPr>
                <w:rFonts w:eastAsia="Times New Roman"/>
                <w:sz w:val="20"/>
                <w:szCs w:val="20"/>
              </w:rPr>
            </w:pPr>
          </w:p>
        </w:tc>
        <w:tc>
          <w:tcPr>
            <w:tcW w:w="50" w:type="pct"/>
            <w:vAlign w:val="center"/>
            <w:hideMark/>
          </w:tcPr>
          <w:p w14:paraId="59547F81" w14:textId="77777777" w:rsidR="00000000" w:rsidRDefault="001D0688">
            <w:pPr>
              <w:rPr>
                <w:rFonts w:eastAsia="Times New Roman"/>
                <w:sz w:val="20"/>
                <w:szCs w:val="20"/>
              </w:rPr>
            </w:pPr>
          </w:p>
        </w:tc>
        <w:tc>
          <w:tcPr>
            <w:tcW w:w="699" w:type="pct"/>
            <w:vAlign w:val="center"/>
            <w:hideMark/>
          </w:tcPr>
          <w:p w14:paraId="19AC5F91" w14:textId="77777777" w:rsidR="00000000" w:rsidRDefault="001D0688">
            <w:pPr>
              <w:rPr>
                <w:rFonts w:eastAsia="Times New Roman"/>
                <w:sz w:val="20"/>
                <w:szCs w:val="20"/>
              </w:rPr>
            </w:pPr>
          </w:p>
        </w:tc>
        <w:tc>
          <w:tcPr>
            <w:tcW w:w="5" w:type="pct"/>
            <w:vAlign w:val="center"/>
            <w:hideMark/>
          </w:tcPr>
          <w:p w14:paraId="04DB0024" w14:textId="77777777" w:rsidR="00000000" w:rsidRDefault="001D0688">
            <w:pPr>
              <w:rPr>
                <w:rFonts w:eastAsia="Times New Roman"/>
                <w:sz w:val="20"/>
                <w:szCs w:val="20"/>
              </w:rPr>
            </w:pPr>
          </w:p>
        </w:tc>
        <w:tc>
          <w:tcPr>
            <w:tcW w:w="5" w:type="pct"/>
            <w:vAlign w:val="center"/>
            <w:hideMark/>
          </w:tcPr>
          <w:p w14:paraId="60A11CF9" w14:textId="77777777" w:rsidR="00000000" w:rsidRDefault="001D0688">
            <w:pPr>
              <w:rPr>
                <w:rFonts w:eastAsia="Times New Roman"/>
                <w:sz w:val="20"/>
                <w:szCs w:val="20"/>
              </w:rPr>
            </w:pPr>
          </w:p>
        </w:tc>
        <w:tc>
          <w:tcPr>
            <w:tcW w:w="26" w:type="pct"/>
            <w:vAlign w:val="center"/>
            <w:hideMark/>
          </w:tcPr>
          <w:p w14:paraId="1FE169A1" w14:textId="77777777" w:rsidR="00000000" w:rsidRDefault="001D0688">
            <w:pPr>
              <w:rPr>
                <w:rFonts w:eastAsia="Times New Roman"/>
                <w:sz w:val="20"/>
                <w:szCs w:val="20"/>
              </w:rPr>
            </w:pPr>
          </w:p>
        </w:tc>
        <w:tc>
          <w:tcPr>
            <w:tcW w:w="5" w:type="pct"/>
            <w:vAlign w:val="center"/>
            <w:hideMark/>
          </w:tcPr>
          <w:p w14:paraId="259E11EB" w14:textId="77777777" w:rsidR="00000000" w:rsidRDefault="001D0688">
            <w:pPr>
              <w:rPr>
                <w:rFonts w:eastAsia="Times New Roman"/>
                <w:sz w:val="20"/>
                <w:szCs w:val="20"/>
              </w:rPr>
            </w:pPr>
          </w:p>
        </w:tc>
        <w:tc>
          <w:tcPr>
            <w:tcW w:w="50" w:type="pct"/>
            <w:vAlign w:val="center"/>
            <w:hideMark/>
          </w:tcPr>
          <w:p w14:paraId="3C222256" w14:textId="77777777" w:rsidR="00000000" w:rsidRDefault="001D0688">
            <w:pPr>
              <w:rPr>
                <w:rFonts w:eastAsia="Times New Roman"/>
                <w:sz w:val="20"/>
                <w:szCs w:val="20"/>
              </w:rPr>
            </w:pPr>
          </w:p>
        </w:tc>
        <w:tc>
          <w:tcPr>
            <w:tcW w:w="699" w:type="pct"/>
            <w:vAlign w:val="center"/>
            <w:hideMark/>
          </w:tcPr>
          <w:p w14:paraId="048C1F67" w14:textId="77777777" w:rsidR="00000000" w:rsidRDefault="001D0688">
            <w:pPr>
              <w:rPr>
                <w:rFonts w:eastAsia="Times New Roman"/>
                <w:sz w:val="20"/>
                <w:szCs w:val="20"/>
              </w:rPr>
            </w:pPr>
          </w:p>
        </w:tc>
        <w:tc>
          <w:tcPr>
            <w:tcW w:w="5" w:type="pct"/>
            <w:vAlign w:val="center"/>
            <w:hideMark/>
          </w:tcPr>
          <w:p w14:paraId="0E9D63F3" w14:textId="77777777" w:rsidR="00000000" w:rsidRDefault="001D0688">
            <w:pPr>
              <w:rPr>
                <w:rFonts w:eastAsia="Times New Roman"/>
                <w:sz w:val="20"/>
                <w:szCs w:val="20"/>
              </w:rPr>
            </w:pPr>
          </w:p>
        </w:tc>
      </w:tr>
      <w:tr w:rsidR="00000000" w14:paraId="4311AD82" w14:textId="77777777">
        <w:trPr>
          <w:divId w:val="1797022523"/>
        </w:trPr>
        <w:tc>
          <w:tcPr>
            <w:tcW w:w="0" w:type="auto"/>
            <w:gridSpan w:val="3"/>
            <w:tcMar>
              <w:top w:w="30" w:type="dxa"/>
              <w:left w:w="20" w:type="dxa"/>
              <w:bottom w:w="30" w:type="dxa"/>
              <w:right w:w="20" w:type="dxa"/>
            </w:tcMar>
            <w:vAlign w:val="bottom"/>
            <w:hideMark/>
          </w:tcPr>
          <w:p w14:paraId="4F57DD84" w14:textId="77777777" w:rsidR="00000000" w:rsidRDefault="001D0688">
            <w:pPr>
              <w:rPr>
                <w:rFonts w:eastAsia="Times New Roman"/>
              </w:rPr>
            </w:pPr>
            <w:r>
              <w:rPr>
                <w:rFonts w:ascii="Arial" w:eastAsia="Times New Roman" w:hAnsi="Arial" w:cs="Arial"/>
                <w:b/>
                <w:bCs/>
                <w:i/>
                <w:iCs/>
                <w:color w:val="0046AD"/>
                <w:sz w:val="20"/>
                <w:szCs w:val="20"/>
              </w:rPr>
              <w:t>Technical Solutions</w:t>
            </w:r>
          </w:p>
        </w:tc>
        <w:tc>
          <w:tcPr>
            <w:tcW w:w="0" w:type="auto"/>
            <w:gridSpan w:val="3"/>
            <w:tcMar>
              <w:top w:w="0" w:type="dxa"/>
              <w:left w:w="20" w:type="dxa"/>
              <w:bottom w:w="0" w:type="dxa"/>
              <w:right w:w="20" w:type="dxa"/>
            </w:tcMar>
            <w:vAlign w:val="center"/>
            <w:hideMark/>
          </w:tcPr>
          <w:p w14:paraId="78D9FBCC"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5D9DC20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82AAA8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7DC677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D7A0E1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E7B0AE8"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15E207F" w14:textId="77777777" w:rsidR="00000000" w:rsidRDefault="001D0688">
            <w:pPr>
              <w:rPr>
                <w:rFonts w:eastAsia="Times New Roman"/>
                <w:sz w:val="20"/>
                <w:szCs w:val="20"/>
              </w:rPr>
            </w:pPr>
          </w:p>
        </w:tc>
      </w:tr>
      <w:tr w:rsidR="00000000" w14:paraId="230F7163" w14:textId="77777777">
        <w:trPr>
          <w:divId w:val="1797022523"/>
        </w:trPr>
        <w:tc>
          <w:tcPr>
            <w:tcW w:w="0" w:type="auto"/>
            <w:gridSpan w:val="3"/>
            <w:tcMar>
              <w:top w:w="30" w:type="dxa"/>
              <w:left w:w="20" w:type="dxa"/>
              <w:bottom w:w="30" w:type="dxa"/>
              <w:right w:w="20" w:type="dxa"/>
            </w:tcMar>
            <w:vAlign w:val="bottom"/>
            <w:hideMark/>
          </w:tcPr>
          <w:p w14:paraId="183A3A5B"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0CDD7EA4"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28501B4B"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2433CB30"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206BA17"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71DF367" w14:textId="77777777" w:rsidR="00000000" w:rsidRDefault="001D0688">
            <w:pPr>
              <w:rPr>
                <w:rFonts w:eastAsia="Times New Roman"/>
                <w:sz w:val="20"/>
                <w:szCs w:val="20"/>
              </w:rPr>
            </w:pPr>
          </w:p>
        </w:tc>
      </w:tr>
      <w:tr w:rsidR="00000000" w14:paraId="6D811480" w14:textId="77777777">
        <w:trPr>
          <w:divId w:val="1797022523"/>
        </w:trPr>
        <w:tc>
          <w:tcPr>
            <w:tcW w:w="0" w:type="auto"/>
            <w:gridSpan w:val="3"/>
            <w:tcMar>
              <w:top w:w="30" w:type="dxa"/>
              <w:left w:w="20" w:type="dxa"/>
              <w:bottom w:w="30" w:type="dxa"/>
              <w:right w:w="20" w:type="dxa"/>
            </w:tcMar>
            <w:vAlign w:val="bottom"/>
            <w:hideMark/>
          </w:tcPr>
          <w:p w14:paraId="227DBAEF"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4C791FBE"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DC3895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79068E"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0AFD4CA8" w14:textId="77777777" w:rsidR="00000000" w:rsidRDefault="001D0688">
            <w:pPr>
              <w:jc w:val="center"/>
              <w:rPr>
                <w:rFonts w:eastAsia="Times New Roman"/>
              </w:rPr>
            </w:pPr>
          </w:p>
        </w:tc>
        <w:tc>
          <w:tcPr>
            <w:tcW w:w="0" w:type="auto"/>
            <w:gridSpan w:val="9"/>
            <w:tcMar>
              <w:top w:w="30" w:type="dxa"/>
              <w:left w:w="20" w:type="dxa"/>
              <w:bottom w:w="30" w:type="dxa"/>
              <w:right w:w="20" w:type="dxa"/>
            </w:tcMar>
            <w:vAlign w:val="bottom"/>
            <w:hideMark/>
          </w:tcPr>
          <w:p w14:paraId="32727F0E" w14:textId="77777777" w:rsidR="00000000" w:rsidRDefault="001D0688">
            <w:pPr>
              <w:jc w:val="center"/>
              <w:rPr>
                <w:rFonts w:eastAsia="Times New Roman"/>
              </w:rPr>
            </w:pPr>
            <w:r>
              <w:rPr>
                <w:rFonts w:ascii="Arial" w:eastAsia="Times New Roman" w:hAnsi="Arial" w:cs="Arial"/>
                <w:b/>
                <w:bCs/>
                <w:color w:val="000000"/>
                <w:sz w:val="20"/>
                <w:szCs w:val="20"/>
              </w:rPr>
              <w:t>Decrease</w:t>
            </w:r>
          </w:p>
        </w:tc>
      </w:tr>
      <w:tr w:rsidR="00000000" w14:paraId="5AD3B3BA" w14:textId="77777777">
        <w:trPr>
          <w:divId w:val="1797022523"/>
        </w:trPr>
        <w:tc>
          <w:tcPr>
            <w:tcW w:w="0" w:type="auto"/>
            <w:gridSpan w:val="3"/>
            <w:shd w:val="clear" w:color="auto" w:fill="DCE2EF"/>
            <w:tcMar>
              <w:top w:w="30" w:type="dxa"/>
              <w:left w:w="20" w:type="dxa"/>
              <w:bottom w:w="30" w:type="dxa"/>
              <w:right w:w="20" w:type="dxa"/>
            </w:tcMar>
            <w:vAlign w:val="bottom"/>
            <w:hideMark/>
          </w:tcPr>
          <w:p w14:paraId="0BFC593B"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F7E11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283BD3F" w14:textId="77777777" w:rsidR="00000000" w:rsidRDefault="001D0688">
            <w:pPr>
              <w:jc w:val="right"/>
              <w:rPr>
                <w:rFonts w:eastAsia="Times New Roman"/>
              </w:rPr>
            </w:pPr>
            <w:r>
              <w:rPr>
                <w:rFonts w:ascii="Arial" w:eastAsia="Times New Roman" w:hAnsi="Arial" w:cs="Arial"/>
                <w:color w:val="000000"/>
                <w:sz w:val="20"/>
                <w:szCs w:val="20"/>
              </w:rPr>
              <w:t>506.6 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FFFE3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C8662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003249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3A02A9F" w14:textId="77777777" w:rsidR="00000000" w:rsidRDefault="001D0688">
            <w:pPr>
              <w:jc w:val="right"/>
              <w:rPr>
                <w:rFonts w:eastAsia="Times New Roman"/>
              </w:rPr>
            </w:pPr>
            <w:r>
              <w:rPr>
                <w:rFonts w:ascii="Arial" w:eastAsia="Times New Roman" w:hAnsi="Arial" w:cs="Arial"/>
                <w:color w:val="000000"/>
                <w:sz w:val="20"/>
                <w:szCs w:val="20"/>
              </w:rPr>
              <w:t>593.2 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28FE73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A5C71B"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D40B0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8B822E6" w14:textId="77777777" w:rsidR="00000000" w:rsidRDefault="001D0688">
            <w:pPr>
              <w:jc w:val="right"/>
              <w:rPr>
                <w:rFonts w:eastAsia="Times New Roman"/>
              </w:rPr>
            </w:pPr>
            <w:r>
              <w:rPr>
                <w:rFonts w:ascii="Arial" w:eastAsia="Times New Roman" w:hAnsi="Arial" w:cs="Arial"/>
                <w:color w:val="000000"/>
                <w:sz w:val="20"/>
                <w:szCs w:val="20"/>
              </w:rPr>
              <w:t>(86.6)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1FA819"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880990D"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787C7CFB" w14:textId="77777777" w:rsidR="00000000" w:rsidRDefault="001D0688">
            <w:pPr>
              <w:jc w:val="center"/>
              <w:rPr>
                <w:rFonts w:eastAsia="Times New Roman"/>
              </w:rPr>
            </w:pPr>
            <w:r>
              <w:rPr>
                <w:rFonts w:ascii="Arial" w:eastAsia="Times New Roman" w:hAnsi="Arial" w:cs="Arial"/>
                <w:color w:val="000000"/>
                <w:sz w:val="20"/>
                <w:szCs w:val="20"/>
              </w:rPr>
              <w:t>(14.6)%</w:t>
            </w:r>
          </w:p>
        </w:tc>
      </w:tr>
      <w:tr w:rsidR="00000000" w14:paraId="289D9FCA" w14:textId="77777777">
        <w:trPr>
          <w:divId w:val="1797022523"/>
        </w:trPr>
        <w:tc>
          <w:tcPr>
            <w:tcW w:w="0" w:type="auto"/>
            <w:gridSpan w:val="3"/>
            <w:tcMar>
              <w:top w:w="30" w:type="dxa"/>
              <w:left w:w="20" w:type="dxa"/>
              <w:bottom w:w="30" w:type="dxa"/>
              <w:right w:w="20" w:type="dxa"/>
            </w:tcMar>
            <w:vAlign w:val="bottom"/>
            <w:hideMark/>
          </w:tcPr>
          <w:p w14:paraId="06A2BADE" w14:textId="77777777" w:rsidR="00000000" w:rsidRDefault="001D0688">
            <w:pPr>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14:paraId="2BE79763" w14:textId="77777777" w:rsidR="00000000" w:rsidRDefault="001D0688">
            <w:pPr>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14:paraId="6EA7886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8D6A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F6244" w14:textId="77777777" w:rsidR="00000000" w:rsidRDefault="001D0688">
            <w:pPr>
              <w:jc w:val="right"/>
              <w:rPr>
                <w:rFonts w:eastAsia="Times New Roman"/>
              </w:rPr>
            </w:pPr>
            <w:r>
              <w:rPr>
                <w:rFonts w:ascii="Arial" w:eastAsia="Times New Roman" w:hAnsi="Arial" w:cs="Arial"/>
                <w:color w:val="000000"/>
                <w:sz w:val="20"/>
                <w:szCs w:val="20"/>
              </w:rPr>
              <w:t>55.4 </w:t>
            </w:r>
          </w:p>
        </w:tc>
        <w:tc>
          <w:tcPr>
            <w:tcW w:w="0" w:type="auto"/>
            <w:shd w:val="clear" w:color="auto" w:fill="FFFFFF"/>
            <w:tcMar>
              <w:top w:w="30" w:type="dxa"/>
              <w:left w:w="0" w:type="dxa"/>
              <w:bottom w:w="30" w:type="dxa"/>
              <w:right w:w="20" w:type="dxa"/>
            </w:tcMar>
            <w:vAlign w:val="bottom"/>
            <w:hideMark/>
          </w:tcPr>
          <w:p w14:paraId="0A299AE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76AD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3B011D" w14:textId="77777777" w:rsidR="00000000" w:rsidRDefault="001D0688">
            <w:pPr>
              <w:jc w:val="right"/>
              <w:rPr>
                <w:rFonts w:eastAsia="Times New Roman"/>
              </w:rPr>
            </w:pPr>
            <w:r>
              <w:rPr>
                <w:rFonts w:ascii="Arial" w:eastAsia="Times New Roman" w:hAnsi="Arial" w:cs="Arial"/>
                <w:color w:val="000000"/>
                <w:sz w:val="20"/>
                <w:szCs w:val="20"/>
              </w:rPr>
              <w:t>(45.9)</w:t>
            </w:r>
          </w:p>
        </w:tc>
        <w:tc>
          <w:tcPr>
            <w:tcW w:w="0" w:type="auto"/>
            <w:shd w:val="clear" w:color="auto" w:fill="FFFFFF"/>
            <w:tcMar>
              <w:top w:w="30" w:type="dxa"/>
              <w:left w:w="0" w:type="dxa"/>
              <w:bottom w:w="30" w:type="dxa"/>
              <w:right w:w="20" w:type="dxa"/>
            </w:tcMar>
            <w:vAlign w:val="bottom"/>
            <w:hideMark/>
          </w:tcPr>
          <w:p w14:paraId="0AA6A02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B0AA7"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B486A2" w14:textId="77777777" w:rsidR="00000000" w:rsidRDefault="001D0688">
            <w:pPr>
              <w:jc w:val="center"/>
              <w:rPr>
                <w:rFonts w:eastAsia="Times New Roman"/>
              </w:rPr>
            </w:pPr>
            <w:r>
              <w:rPr>
                <w:rFonts w:ascii="Arial" w:eastAsia="Times New Roman" w:hAnsi="Arial" w:cs="Arial"/>
                <w:color w:val="000000"/>
                <w:sz w:val="20"/>
                <w:szCs w:val="20"/>
              </w:rPr>
              <w:t>(82.9)</w:t>
            </w:r>
          </w:p>
        </w:tc>
      </w:tr>
      <w:tr w:rsidR="00000000" w14:paraId="19BA6517" w14:textId="77777777">
        <w:trPr>
          <w:divId w:val="1797022523"/>
        </w:trPr>
        <w:tc>
          <w:tcPr>
            <w:tcW w:w="0" w:type="auto"/>
            <w:gridSpan w:val="3"/>
            <w:shd w:val="clear" w:color="auto" w:fill="DCE2EF"/>
            <w:tcMar>
              <w:top w:w="30" w:type="dxa"/>
              <w:left w:w="155" w:type="dxa"/>
              <w:bottom w:w="30" w:type="dxa"/>
              <w:right w:w="20" w:type="dxa"/>
            </w:tcMar>
            <w:vAlign w:val="bottom"/>
            <w:hideMark/>
          </w:tcPr>
          <w:p w14:paraId="4207BEEF" w14:textId="77777777" w:rsidR="00000000" w:rsidRDefault="001D0688">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3E349ECB" w14:textId="77777777" w:rsidR="00000000" w:rsidRDefault="001D0688">
            <w:pPr>
              <w:jc w:val="right"/>
              <w:rPr>
                <w:rFonts w:eastAsia="Times New Roman"/>
              </w:rPr>
            </w:pPr>
            <w:r>
              <w:rPr>
                <w:rFonts w:ascii="Arial" w:eastAsia="Times New Roman" w:hAnsi="Arial" w:cs="Arial"/>
                <w:i/>
                <w:iCs/>
                <w:color w:val="000000"/>
                <w:sz w:val="16"/>
                <w:szCs w:val="16"/>
              </w:rPr>
              <w:t>1.9 </w:t>
            </w:r>
          </w:p>
        </w:tc>
        <w:tc>
          <w:tcPr>
            <w:tcW w:w="0" w:type="auto"/>
            <w:shd w:val="clear" w:color="auto" w:fill="DCE2EF"/>
            <w:tcMar>
              <w:top w:w="30" w:type="dxa"/>
              <w:left w:w="0" w:type="dxa"/>
              <w:bottom w:w="30" w:type="dxa"/>
              <w:right w:w="20" w:type="dxa"/>
            </w:tcMar>
            <w:vAlign w:val="bottom"/>
            <w:hideMark/>
          </w:tcPr>
          <w:p w14:paraId="03BCAA51" w14:textId="77777777" w:rsidR="00000000" w:rsidRDefault="001D0688">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7DE8D5C"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FE1FB82" w14:textId="77777777" w:rsidR="00000000" w:rsidRDefault="001D0688">
            <w:pPr>
              <w:jc w:val="right"/>
              <w:rPr>
                <w:rFonts w:eastAsia="Times New Roman"/>
              </w:rPr>
            </w:pPr>
            <w:r>
              <w:rPr>
                <w:rFonts w:ascii="Arial" w:eastAsia="Times New Roman" w:hAnsi="Arial" w:cs="Arial"/>
                <w:i/>
                <w:iCs/>
                <w:color w:val="000000"/>
                <w:sz w:val="16"/>
                <w:szCs w:val="16"/>
              </w:rPr>
              <w:t>9.3 </w:t>
            </w:r>
          </w:p>
        </w:tc>
        <w:tc>
          <w:tcPr>
            <w:tcW w:w="0" w:type="auto"/>
            <w:shd w:val="clear" w:color="auto" w:fill="DCE2EF"/>
            <w:tcMar>
              <w:top w:w="30" w:type="dxa"/>
              <w:left w:w="0" w:type="dxa"/>
              <w:bottom w:w="30" w:type="dxa"/>
              <w:right w:w="20" w:type="dxa"/>
            </w:tcMar>
            <w:vAlign w:val="bottom"/>
            <w:hideMark/>
          </w:tcPr>
          <w:p w14:paraId="0B7A7216" w14:textId="77777777" w:rsidR="00000000" w:rsidRDefault="001D0688">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37770E2"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8328576" w14:textId="77777777" w:rsidR="00000000" w:rsidRDefault="001D0688">
            <w:pPr>
              <w:jc w:val="right"/>
              <w:rPr>
                <w:rFonts w:eastAsia="Times New Roman"/>
              </w:rPr>
            </w:pPr>
            <w:r>
              <w:rPr>
                <w:rFonts w:ascii="Arial" w:eastAsia="Times New Roman" w:hAnsi="Arial" w:cs="Arial"/>
                <w:i/>
                <w:iCs/>
                <w:color w:val="000000"/>
                <w:sz w:val="16"/>
                <w:szCs w:val="16"/>
              </w:rPr>
              <w:t>(747) bps</w:t>
            </w:r>
          </w:p>
        </w:tc>
        <w:tc>
          <w:tcPr>
            <w:tcW w:w="0" w:type="auto"/>
            <w:gridSpan w:val="3"/>
            <w:shd w:val="clear" w:color="auto" w:fill="DCE2EF"/>
            <w:tcMar>
              <w:top w:w="0" w:type="dxa"/>
              <w:left w:w="20" w:type="dxa"/>
              <w:bottom w:w="0" w:type="dxa"/>
              <w:right w:w="20" w:type="dxa"/>
            </w:tcMar>
            <w:vAlign w:val="center"/>
            <w:hideMark/>
          </w:tcPr>
          <w:p w14:paraId="5536E75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55EEE4" w14:textId="77777777" w:rsidR="00000000" w:rsidRDefault="001D0688">
            <w:pPr>
              <w:rPr>
                <w:rFonts w:eastAsia="Times New Roman"/>
                <w:sz w:val="20"/>
                <w:szCs w:val="20"/>
              </w:rPr>
            </w:pPr>
          </w:p>
        </w:tc>
      </w:tr>
    </w:tbl>
    <w:p w14:paraId="1EC4E90B" w14:textId="77777777" w:rsidR="00000000" w:rsidRDefault="001D0688">
      <w:pPr>
        <w:ind w:firstLine="720"/>
        <w:jc w:val="both"/>
        <w:divId w:val="1759596908"/>
        <w:rPr>
          <w:rFonts w:eastAsia="Times New Roman"/>
        </w:rPr>
      </w:pPr>
      <w:r>
        <w:rPr>
          <w:rFonts w:ascii="Arial" w:eastAsia="Times New Roman" w:hAnsi="Arial" w:cs="Arial"/>
          <w:color w:val="000000"/>
          <w:sz w:val="20"/>
          <w:szCs w:val="20"/>
        </w:rPr>
        <w:t>Technical Solutions revenues decreased by $86.6 million, or 14.6%, during 2020, as compared to 2019. The decrease was primarily attributable to a lower volume of projects in both our U.S. and U.K. businesses due to Pandemic-related disruptions beginning in</w:t>
      </w:r>
      <w:r>
        <w:rPr>
          <w:rFonts w:ascii="Arial" w:eastAsia="Times New Roman" w:hAnsi="Arial" w:cs="Arial"/>
          <w:color w:val="000000"/>
          <w:sz w:val="20"/>
          <w:szCs w:val="20"/>
        </w:rPr>
        <w:t xml:space="preserve"> the second quarter of 2020 as well as to the loss of certain accounts in our U.K. business that primarily occurred during the prior year. The decrease was partially offset by growth in our U.S. business related to bundled energy solutions projects and pow</w:t>
      </w:r>
      <w:r>
        <w:rPr>
          <w:rFonts w:ascii="Arial" w:eastAsia="Times New Roman" w:hAnsi="Arial" w:cs="Arial"/>
          <w:color w:val="000000"/>
          <w:sz w:val="20"/>
          <w:szCs w:val="20"/>
        </w:rPr>
        <w:t xml:space="preserve">er projects prior to Pandemic-related disruptions. </w:t>
      </w:r>
    </w:p>
    <w:p w14:paraId="032CFBA1" w14:textId="77777777" w:rsidR="00000000" w:rsidRDefault="001D0688">
      <w:pPr>
        <w:ind w:firstLine="720"/>
        <w:jc w:val="both"/>
        <w:divId w:val="1206873906"/>
        <w:rPr>
          <w:rFonts w:eastAsia="Times New Roman"/>
        </w:rPr>
      </w:pPr>
      <w:r>
        <w:rPr>
          <w:rFonts w:ascii="Arial" w:eastAsia="Times New Roman" w:hAnsi="Arial" w:cs="Arial"/>
          <w:color w:val="000000"/>
          <w:sz w:val="20"/>
          <w:szCs w:val="20"/>
        </w:rPr>
        <w:t>Operating profit decreased by $45.9 million during 2020, as compared to 2019. Operating profit margin decreased by 747 bps to 1.9% in 2020 from 9.3% in 2019. The decrease in operating profit margin was primarily attributable to a $17.6 million reserve on n</w:t>
      </w:r>
      <w:r>
        <w:rPr>
          <w:rFonts w:ascii="Arial" w:eastAsia="Times New Roman" w:hAnsi="Arial" w:cs="Arial"/>
          <w:color w:val="000000"/>
          <w:sz w:val="20"/>
          <w:szCs w:val="20"/>
        </w:rPr>
        <w:t xml:space="preserve">otes receivable related to a unique, entertainment-related project, mainly associated with increasing credit risk resulting from the Pandemic. In addition, the decrease was due to impairment charges of $9.0 million on goodwill and $3.4 million on customer </w:t>
      </w:r>
      <w:r>
        <w:rPr>
          <w:rFonts w:ascii="Arial" w:eastAsia="Times New Roman" w:hAnsi="Arial" w:cs="Arial"/>
          <w:color w:val="000000"/>
          <w:sz w:val="20"/>
          <w:szCs w:val="20"/>
        </w:rPr>
        <w:t>relationships related to our U.K. business due to the adverse impact of market and business conditions resulting from the Pandemic. In addition, during the current year we were negatively impacted by: revenue compression resulting from Pandemic-related dis</w:t>
      </w:r>
      <w:r>
        <w:rPr>
          <w:rFonts w:ascii="Arial" w:eastAsia="Times New Roman" w:hAnsi="Arial" w:cs="Arial"/>
          <w:color w:val="000000"/>
          <w:sz w:val="20"/>
          <w:szCs w:val="20"/>
        </w:rPr>
        <w:t>ruptions; higher commissions expense due to the amortization of commissions that were capitalized in the prior year; and the loss of certain higher margin contracts in our U.K. business. The decrease was partially offset by the management of project relate</w:t>
      </w:r>
      <w:r>
        <w:rPr>
          <w:rFonts w:ascii="Arial" w:eastAsia="Times New Roman" w:hAnsi="Arial" w:cs="Arial"/>
          <w:color w:val="000000"/>
          <w:sz w:val="20"/>
          <w:szCs w:val="20"/>
        </w:rPr>
        <w:t xml:space="preserve">d expenses, management and staff employee furloughs, and lower amortization of intangible assets. </w:t>
      </w:r>
    </w:p>
    <w:p w14:paraId="6FBDFE8A" w14:textId="77777777" w:rsidR="00000000" w:rsidRDefault="001D0688">
      <w:pPr>
        <w:jc w:val="both"/>
        <w:divId w:val="2064481491"/>
        <w:rPr>
          <w:rFonts w:eastAsia="Times New Roman"/>
        </w:rPr>
      </w:pPr>
    </w:p>
    <w:p w14:paraId="66DAF708" w14:textId="77777777" w:rsidR="00000000" w:rsidRDefault="001D0688">
      <w:pPr>
        <w:jc w:val="center"/>
        <w:divId w:val="1588493883"/>
        <w:rPr>
          <w:rFonts w:eastAsia="Times New Roman"/>
        </w:rPr>
      </w:pPr>
      <w:r>
        <w:rPr>
          <w:rFonts w:ascii="Arial" w:eastAsia="Times New Roman" w:hAnsi="Arial" w:cs="Arial"/>
          <w:color w:val="000000"/>
          <w:sz w:val="20"/>
          <w:szCs w:val="20"/>
        </w:rPr>
        <w:t>31</w:t>
      </w:r>
    </w:p>
    <w:p w14:paraId="7943EB42" w14:textId="77777777" w:rsidR="00000000" w:rsidRDefault="001D0688">
      <w:pPr>
        <w:rPr>
          <w:rFonts w:eastAsia="Times New Roman"/>
        </w:rPr>
      </w:pPr>
      <w:r>
        <w:rPr>
          <w:rFonts w:eastAsia="Times New Roman"/>
        </w:rPr>
        <w:pict w14:anchorId="6F9D596F">
          <v:rect id="_x0000_i1067" style="width:0;height:1.5pt" o:hralign="center" o:hrstd="t" o:hr="t" fillcolor="#a0a0a0" stroked="f"/>
        </w:pict>
      </w:r>
    </w:p>
    <w:p w14:paraId="3DA53EC2" w14:textId="77777777" w:rsidR="00000000" w:rsidRDefault="001D0688">
      <w:pPr>
        <w:divId w:val="50478685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070"/>
        <w:gridCol w:w="36"/>
        <w:gridCol w:w="132"/>
        <w:gridCol w:w="1114"/>
        <w:gridCol w:w="36"/>
        <w:gridCol w:w="36"/>
        <w:gridCol w:w="36"/>
        <w:gridCol w:w="36"/>
        <w:gridCol w:w="132"/>
        <w:gridCol w:w="1076"/>
        <w:gridCol w:w="36"/>
        <w:gridCol w:w="36"/>
        <w:gridCol w:w="36"/>
        <w:gridCol w:w="36"/>
        <w:gridCol w:w="133"/>
        <w:gridCol w:w="1076"/>
        <w:gridCol w:w="37"/>
        <w:gridCol w:w="36"/>
        <w:gridCol w:w="36"/>
        <w:gridCol w:w="36"/>
        <w:gridCol w:w="46"/>
        <w:gridCol w:w="971"/>
        <w:gridCol w:w="36"/>
      </w:tblGrid>
      <w:tr w:rsidR="00000000" w14:paraId="4637619D" w14:textId="77777777">
        <w:trPr>
          <w:divId w:val="1939169007"/>
          <w:jc w:val="center"/>
        </w:trPr>
        <w:tc>
          <w:tcPr>
            <w:tcW w:w="50" w:type="pct"/>
            <w:vAlign w:val="center"/>
            <w:hideMark/>
          </w:tcPr>
          <w:p w14:paraId="07657504" w14:textId="77777777" w:rsidR="00000000" w:rsidRDefault="001D0688">
            <w:pPr>
              <w:rPr>
                <w:rFonts w:eastAsia="Times New Roman"/>
              </w:rPr>
            </w:pPr>
          </w:p>
        </w:tc>
        <w:tc>
          <w:tcPr>
            <w:tcW w:w="1877" w:type="pct"/>
            <w:vAlign w:val="center"/>
            <w:hideMark/>
          </w:tcPr>
          <w:p w14:paraId="5A46DA71" w14:textId="77777777" w:rsidR="00000000" w:rsidRDefault="001D0688">
            <w:pPr>
              <w:rPr>
                <w:rFonts w:eastAsia="Times New Roman"/>
                <w:sz w:val="20"/>
                <w:szCs w:val="20"/>
              </w:rPr>
            </w:pPr>
          </w:p>
        </w:tc>
        <w:tc>
          <w:tcPr>
            <w:tcW w:w="5" w:type="pct"/>
            <w:vAlign w:val="center"/>
            <w:hideMark/>
          </w:tcPr>
          <w:p w14:paraId="6B36FF88" w14:textId="77777777" w:rsidR="00000000" w:rsidRDefault="001D0688">
            <w:pPr>
              <w:rPr>
                <w:rFonts w:eastAsia="Times New Roman"/>
                <w:sz w:val="20"/>
                <w:szCs w:val="20"/>
              </w:rPr>
            </w:pPr>
          </w:p>
        </w:tc>
        <w:tc>
          <w:tcPr>
            <w:tcW w:w="50" w:type="pct"/>
            <w:vAlign w:val="center"/>
            <w:hideMark/>
          </w:tcPr>
          <w:p w14:paraId="37F6067C" w14:textId="77777777" w:rsidR="00000000" w:rsidRDefault="001D0688">
            <w:pPr>
              <w:rPr>
                <w:rFonts w:eastAsia="Times New Roman"/>
                <w:sz w:val="20"/>
                <w:szCs w:val="20"/>
              </w:rPr>
            </w:pPr>
          </w:p>
        </w:tc>
        <w:tc>
          <w:tcPr>
            <w:tcW w:w="699" w:type="pct"/>
            <w:vAlign w:val="center"/>
            <w:hideMark/>
          </w:tcPr>
          <w:p w14:paraId="7463831C" w14:textId="77777777" w:rsidR="00000000" w:rsidRDefault="001D0688">
            <w:pPr>
              <w:rPr>
                <w:rFonts w:eastAsia="Times New Roman"/>
                <w:sz w:val="20"/>
                <w:szCs w:val="20"/>
              </w:rPr>
            </w:pPr>
          </w:p>
        </w:tc>
        <w:tc>
          <w:tcPr>
            <w:tcW w:w="5" w:type="pct"/>
            <w:vAlign w:val="center"/>
            <w:hideMark/>
          </w:tcPr>
          <w:p w14:paraId="28A9AEA0" w14:textId="77777777" w:rsidR="00000000" w:rsidRDefault="001D0688">
            <w:pPr>
              <w:rPr>
                <w:rFonts w:eastAsia="Times New Roman"/>
                <w:sz w:val="20"/>
                <w:szCs w:val="20"/>
              </w:rPr>
            </w:pPr>
          </w:p>
        </w:tc>
        <w:tc>
          <w:tcPr>
            <w:tcW w:w="5" w:type="pct"/>
            <w:vAlign w:val="center"/>
            <w:hideMark/>
          </w:tcPr>
          <w:p w14:paraId="109D07DF" w14:textId="77777777" w:rsidR="00000000" w:rsidRDefault="001D0688">
            <w:pPr>
              <w:rPr>
                <w:rFonts w:eastAsia="Times New Roman"/>
                <w:sz w:val="20"/>
                <w:szCs w:val="20"/>
              </w:rPr>
            </w:pPr>
          </w:p>
        </w:tc>
        <w:tc>
          <w:tcPr>
            <w:tcW w:w="26" w:type="pct"/>
            <w:vAlign w:val="center"/>
            <w:hideMark/>
          </w:tcPr>
          <w:p w14:paraId="73439E05" w14:textId="77777777" w:rsidR="00000000" w:rsidRDefault="001D0688">
            <w:pPr>
              <w:rPr>
                <w:rFonts w:eastAsia="Times New Roman"/>
                <w:sz w:val="20"/>
                <w:szCs w:val="20"/>
              </w:rPr>
            </w:pPr>
          </w:p>
        </w:tc>
        <w:tc>
          <w:tcPr>
            <w:tcW w:w="5" w:type="pct"/>
            <w:vAlign w:val="center"/>
            <w:hideMark/>
          </w:tcPr>
          <w:p w14:paraId="041225DF" w14:textId="77777777" w:rsidR="00000000" w:rsidRDefault="001D0688">
            <w:pPr>
              <w:rPr>
                <w:rFonts w:eastAsia="Times New Roman"/>
                <w:sz w:val="20"/>
                <w:szCs w:val="20"/>
              </w:rPr>
            </w:pPr>
          </w:p>
        </w:tc>
        <w:tc>
          <w:tcPr>
            <w:tcW w:w="50" w:type="pct"/>
            <w:vAlign w:val="center"/>
            <w:hideMark/>
          </w:tcPr>
          <w:p w14:paraId="47439FD2" w14:textId="77777777" w:rsidR="00000000" w:rsidRDefault="001D0688">
            <w:pPr>
              <w:rPr>
                <w:rFonts w:eastAsia="Times New Roman"/>
                <w:sz w:val="20"/>
                <w:szCs w:val="20"/>
              </w:rPr>
            </w:pPr>
          </w:p>
        </w:tc>
        <w:tc>
          <w:tcPr>
            <w:tcW w:w="699" w:type="pct"/>
            <w:vAlign w:val="center"/>
            <w:hideMark/>
          </w:tcPr>
          <w:p w14:paraId="085723E5" w14:textId="77777777" w:rsidR="00000000" w:rsidRDefault="001D0688">
            <w:pPr>
              <w:rPr>
                <w:rFonts w:eastAsia="Times New Roman"/>
                <w:sz w:val="20"/>
                <w:szCs w:val="20"/>
              </w:rPr>
            </w:pPr>
          </w:p>
        </w:tc>
        <w:tc>
          <w:tcPr>
            <w:tcW w:w="5" w:type="pct"/>
            <w:vAlign w:val="center"/>
            <w:hideMark/>
          </w:tcPr>
          <w:p w14:paraId="1208AB30" w14:textId="77777777" w:rsidR="00000000" w:rsidRDefault="001D0688">
            <w:pPr>
              <w:rPr>
                <w:rFonts w:eastAsia="Times New Roman"/>
                <w:sz w:val="20"/>
                <w:szCs w:val="20"/>
              </w:rPr>
            </w:pPr>
          </w:p>
        </w:tc>
        <w:tc>
          <w:tcPr>
            <w:tcW w:w="5" w:type="pct"/>
            <w:vAlign w:val="center"/>
            <w:hideMark/>
          </w:tcPr>
          <w:p w14:paraId="719BFD3E" w14:textId="77777777" w:rsidR="00000000" w:rsidRDefault="001D0688">
            <w:pPr>
              <w:rPr>
                <w:rFonts w:eastAsia="Times New Roman"/>
                <w:sz w:val="20"/>
                <w:szCs w:val="20"/>
              </w:rPr>
            </w:pPr>
          </w:p>
        </w:tc>
        <w:tc>
          <w:tcPr>
            <w:tcW w:w="26" w:type="pct"/>
            <w:vAlign w:val="center"/>
            <w:hideMark/>
          </w:tcPr>
          <w:p w14:paraId="084F2532" w14:textId="77777777" w:rsidR="00000000" w:rsidRDefault="001D0688">
            <w:pPr>
              <w:rPr>
                <w:rFonts w:eastAsia="Times New Roman"/>
                <w:sz w:val="20"/>
                <w:szCs w:val="20"/>
              </w:rPr>
            </w:pPr>
          </w:p>
        </w:tc>
        <w:tc>
          <w:tcPr>
            <w:tcW w:w="5" w:type="pct"/>
            <w:vAlign w:val="center"/>
            <w:hideMark/>
          </w:tcPr>
          <w:p w14:paraId="5F529168" w14:textId="77777777" w:rsidR="00000000" w:rsidRDefault="001D0688">
            <w:pPr>
              <w:rPr>
                <w:rFonts w:eastAsia="Times New Roman"/>
                <w:sz w:val="20"/>
                <w:szCs w:val="20"/>
              </w:rPr>
            </w:pPr>
          </w:p>
        </w:tc>
        <w:tc>
          <w:tcPr>
            <w:tcW w:w="50" w:type="pct"/>
            <w:vAlign w:val="center"/>
            <w:hideMark/>
          </w:tcPr>
          <w:p w14:paraId="7DA11CFE" w14:textId="77777777" w:rsidR="00000000" w:rsidRDefault="001D0688">
            <w:pPr>
              <w:rPr>
                <w:rFonts w:eastAsia="Times New Roman"/>
                <w:sz w:val="20"/>
                <w:szCs w:val="20"/>
              </w:rPr>
            </w:pPr>
          </w:p>
        </w:tc>
        <w:tc>
          <w:tcPr>
            <w:tcW w:w="699" w:type="pct"/>
            <w:vAlign w:val="center"/>
            <w:hideMark/>
          </w:tcPr>
          <w:p w14:paraId="28E230CA" w14:textId="77777777" w:rsidR="00000000" w:rsidRDefault="001D0688">
            <w:pPr>
              <w:rPr>
                <w:rFonts w:eastAsia="Times New Roman"/>
                <w:sz w:val="20"/>
                <w:szCs w:val="20"/>
              </w:rPr>
            </w:pPr>
          </w:p>
        </w:tc>
        <w:tc>
          <w:tcPr>
            <w:tcW w:w="5" w:type="pct"/>
            <w:vAlign w:val="center"/>
            <w:hideMark/>
          </w:tcPr>
          <w:p w14:paraId="08767A3F" w14:textId="77777777" w:rsidR="00000000" w:rsidRDefault="001D0688">
            <w:pPr>
              <w:rPr>
                <w:rFonts w:eastAsia="Times New Roman"/>
                <w:sz w:val="20"/>
                <w:szCs w:val="20"/>
              </w:rPr>
            </w:pPr>
          </w:p>
        </w:tc>
        <w:tc>
          <w:tcPr>
            <w:tcW w:w="5" w:type="pct"/>
            <w:vAlign w:val="center"/>
            <w:hideMark/>
          </w:tcPr>
          <w:p w14:paraId="443C7397" w14:textId="77777777" w:rsidR="00000000" w:rsidRDefault="001D0688">
            <w:pPr>
              <w:rPr>
                <w:rFonts w:eastAsia="Times New Roman"/>
                <w:sz w:val="20"/>
                <w:szCs w:val="20"/>
              </w:rPr>
            </w:pPr>
          </w:p>
        </w:tc>
        <w:tc>
          <w:tcPr>
            <w:tcW w:w="26" w:type="pct"/>
            <w:vAlign w:val="center"/>
            <w:hideMark/>
          </w:tcPr>
          <w:p w14:paraId="5E2B443E" w14:textId="77777777" w:rsidR="00000000" w:rsidRDefault="001D0688">
            <w:pPr>
              <w:rPr>
                <w:rFonts w:eastAsia="Times New Roman"/>
                <w:sz w:val="20"/>
                <w:szCs w:val="20"/>
              </w:rPr>
            </w:pPr>
          </w:p>
        </w:tc>
        <w:tc>
          <w:tcPr>
            <w:tcW w:w="5" w:type="pct"/>
            <w:vAlign w:val="center"/>
            <w:hideMark/>
          </w:tcPr>
          <w:p w14:paraId="3CE5D6F0" w14:textId="77777777" w:rsidR="00000000" w:rsidRDefault="001D0688">
            <w:pPr>
              <w:rPr>
                <w:rFonts w:eastAsia="Times New Roman"/>
                <w:sz w:val="20"/>
                <w:szCs w:val="20"/>
              </w:rPr>
            </w:pPr>
          </w:p>
        </w:tc>
        <w:tc>
          <w:tcPr>
            <w:tcW w:w="50" w:type="pct"/>
            <w:vAlign w:val="center"/>
            <w:hideMark/>
          </w:tcPr>
          <w:p w14:paraId="58739BEA" w14:textId="77777777" w:rsidR="00000000" w:rsidRDefault="001D0688">
            <w:pPr>
              <w:rPr>
                <w:rFonts w:eastAsia="Times New Roman"/>
                <w:sz w:val="20"/>
                <w:szCs w:val="20"/>
              </w:rPr>
            </w:pPr>
          </w:p>
        </w:tc>
        <w:tc>
          <w:tcPr>
            <w:tcW w:w="640" w:type="pct"/>
            <w:vAlign w:val="center"/>
            <w:hideMark/>
          </w:tcPr>
          <w:p w14:paraId="66313AF8" w14:textId="77777777" w:rsidR="00000000" w:rsidRDefault="001D0688">
            <w:pPr>
              <w:rPr>
                <w:rFonts w:eastAsia="Times New Roman"/>
                <w:sz w:val="20"/>
                <w:szCs w:val="20"/>
              </w:rPr>
            </w:pPr>
          </w:p>
        </w:tc>
        <w:tc>
          <w:tcPr>
            <w:tcW w:w="5" w:type="pct"/>
            <w:vAlign w:val="center"/>
            <w:hideMark/>
          </w:tcPr>
          <w:p w14:paraId="09B02991" w14:textId="77777777" w:rsidR="00000000" w:rsidRDefault="001D0688">
            <w:pPr>
              <w:rPr>
                <w:rFonts w:eastAsia="Times New Roman"/>
                <w:sz w:val="20"/>
                <w:szCs w:val="20"/>
              </w:rPr>
            </w:pPr>
          </w:p>
        </w:tc>
      </w:tr>
      <w:tr w:rsidR="00000000" w14:paraId="7A4AC9AA" w14:textId="77777777">
        <w:trPr>
          <w:divId w:val="1939169007"/>
          <w:jc w:val="center"/>
        </w:trPr>
        <w:tc>
          <w:tcPr>
            <w:tcW w:w="0" w:type="auto"/>
            <w:gridSpan w:val="3"/>
            <w:tcMar>
              <w:top w:w="30" w:type="dxa"/>
              <w:left w:w="20" w:type="dxa"/>
              <w:bottom w:w="30" w:type="dxa"/>
              <w:right w:w="20" w:type="dxa"/>
            </w:tcMar>
            <w:vAlign w:val="bottom"/>
            <w:hideMark/>
          </w:tcPr>
          <w:p w14:paraId="55A897E1" w14:textId="77777777" w:rsidR="00000000" w:rsidRDefault="001D0688">
            <w:pPr>
              <w:rPr>
                <w:rFonts w:eastAsia="Times New Roman"/>
              </w:rPr>
            </w:pPr>
            <w:r>
              <w:rPr>
                <w:rFonts w:ascii="Arial" w:eastAsia="Times New Roman" w:hAnsi="Arial" w:cs="Arial"/>
                <w:b/>
                <w:bCs/>
                <w:i/>
                <w:iCs/>
                <w:color w:val="0046AD"/>
                <w:sz w:val="20"/>
                <w:szCs w:val="20"/>
              </w:rPr>
              <w:t>Corporate</w:t>
            </w:r>
          </w:p>
        </w:tc>
        <w:tc>
          <w:tcPr>
            <w:tcW w:w="0" w:type="auto"/>
            <w:gridSpan w:val="3"/>
            <w:tcMar>
              <w:top w:w="0" w:type="dxa"/>
              <w:left w:w="20" w:type="dxa"/>
              <w:bottom w:w="0" w:type="dxa"/>
              <w:right w:w="20" w:type="dxa"/>
            </w:tcMar>
            <w:vAlign w:val="center"/>
            <w:hideMark/>
          </w:tcPr>
          <w:p w14:paraId="3FD77665"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47E5CA7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59640C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03F050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0CB1B4DE"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87466C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497454F" w14:textId="77777777" w:rsidR="00000000" w:rsidRDefault="001D0688">
            <w:pPr>
              <w:rPr>
                <w:rFonts w:eastAsia="Times New Roman"/>
                <w:sz w:val="20"/>
                <w:szCs w:val="20"/>
              </w:rPr>
            </w:pPr>
          </w:p>
        </w:tc>
      </w:tr>
      <w:tr w:rsidR="00000000" w14:paraId="25660DCF" w14:textId="77777777">
        <w:trPr>
          <w:divId w:val="1939169007"/>
          <w:jc w:val="center"/>
        </w:trPr>
        <w:tc>
          <w:tcPr>
            <w:tcW w:w="0" w:type="auto"/>
            <w:gridSpan w:val="3"/>
            <w:tcMar>
              <w:top w:w="30" w:type="dxa"/>
              <w:left w:w="20" w:type="dxa"/>
              <w:bottom w:w="30" w:type="dxa"/>
              <w:right w:w="20" w:type="dxa"/>
            </w:tcMar>
            <w:vAlign w:val="bottom"/>
            <w:hideMark/>
          </w:tcPr>
          <w:p w14:paraId="22277EBD"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14:paraId="6035D56D"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14:paraId="0C499C5B"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7EFFF5CB"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C85696D"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52A5E07" w14:textId="77777777" w:rsidR="00000000" w:rsidRDefault="001D0688">
            <w:pPr>
              <w:rPr>
                <w:rFonts w:eastAsia="Times New Roman"/>
                <w:sz w:val="20"/>
                <w:szCs w:val="20"/>
              </w:rPr>
            </w:pPr>
          </w:p>
        </w:tc>
      </w:tr>
      <w:tr w:rsidR="00000000" w14:paraId="5E4B44FB" w14:textId="77777777">
        <w:trPr>
          <w:divId w:val="1939169007"/>
          <w:jc w:val="center"/>
        </w:trPr>
        <w:tc>
          <w:tcPr>
            <w:tcW w:w="0" w:type="auto"/>
            <w:gridSpan w:val="3"/>
            <w:tcMar>
              <w:top w:w="30" w:type="dxa"/>
              <w:left w:w="20" w:type="dxa"/>
              <w:bottom w:w="30" w:type="dxa"/>
              <w:right w:w="20" w:type="dxa"/>
            </w:tcMar>
            <w:vAlign w:val="bottom"/>
            <w:hideMark/>
          </w:tcPr>
          <w:p w14:paraId="572C7AD1" w14:textId="77777777" w:rsidR="00000000" w:rsidRDefault="001D0688">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60707BBD"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647FD5E"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CFD4B8"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1A205AF5" w14:textId="77777777" w:rsidR="00000000" w:rsidRDefault="001D0688">
            <w:pPr>
              <w:jc w:val="center"/>
              <w:rPr>
                <w:rFonts w:eastAsia="Times New Roman"/>
              </w:rPr>
            </w:pPr>
          </w:p>
        </w:tc>
        <w:tc>
          <w:tcPr>
            <w:tcW w:w="0" w:type="auto"/>
            <w:gridSpan w:val="9"/>
            <w:tcMar>
              <w:top w:w="30" w:type="dxa"/>
              <w:left w:w="20" w:type="dxa"/>
              <w:bottom w:w="30" w:type="dxa"/>
              <w:right w:w="20" w:type="dxa"/>
            </w:tcMar>
            <w:vAlign w:val="bottom"/>
            <w:hideMark/>
          </w:tcPr>
          <w:p w14:paraId="664E20C0" w14:textId="77777777" w:rsidR="00000000" w:rsidRDefault="001D0688">
            <w:pPr>
              <w:jc w:val="center"/>
              <w:rPr>
                <w:rFonts w:eastAsia="Times New Roman"/>
              </w:rPr>
            </w:pPr>
            <w:r>
              <w:rPr>
                <w:rFonts w:ascii="Arial" w:eastAsia="Times New Roman" w:hAnsi="Arial" w:cs="Arial"/>
                <w:b/>
                <w:bCs/>
                <w:color w:val="000000"/>
                <w:sz w:val="20"/>
                <w:szCs w:val="20"/>
              </w:rPr>
              <w:t>Decrease</w:t>
            </w:r>
          </w:p>
        </w:tc>
      </w:tr>
      <w:tr w:rsidR="00000000" w14:paraId="6E146479" w14:textId="77777777">
        <w:trPr>
          <w:divId w:val="1939169007"/>
          <w:jc w:val="center"/>
        </w:trPr>
        <w:tc>
          <w:tcPr>
            <w:tcW w:w="0" w:type="auto"/>
            <w:gridSpan w:val="3"/>
            <w:shd w:val="clear" w:color="auto" w:fill="DCE2EF"/>
            <w:tcMar>
              <w:top w:w="30" w:type="dxa"/>
              <w:left w:w="20" w:type="dxa"/>
              <w:bottom w:w="30" w:type="dxa"/>
              <w:right w:w="20" w:type="dxa"/>
            </w:tcMar>
            <w:vAlign w:val="bottom"/>
            <w:hideMark/>
          </w:tcPr>
          <w:p w14:paraId="08A24C38" w14:textId="77777777" w:rsidR="00000000" w:rsidRDefault="001D0688">
            <w:pPr>
              <w:rPr>
                <w:rFonts w:eastAsia="Times New Roman"/>
              </w:rPr>
            </w:pPr>
            <w:r>
              <w:rPr>
                <w:rFonts w:ascii="Arial" w:eastAsia="Times New Roman" w:hAnsi="Arial" w:cs="Arial"/>
                <w:color w:val="000000"/>
                <w:sz w:val="20"/>
                <w:szCs w:val="20"/>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552BD8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23F0026" w14:textId="77777777" w:rsidR="00000000" w:rsidRDefault="001D0688">
            <w:pPr>
              <w:jc w:val="right"/>
              <w:rPr>
                <w:rFonts w:eastAsia="Times New Roman"/>
              </w:rPr>
            </w:pPr>
            <w:r>
              <w:rPr>
                <w:rFonts w:ascii="Arial" w:eastAsia="Times New Roman" w:hAnsi="Arial" w:cs="Arial"/>
                <w:color w:val="000000"/>
                <w:sz w:val="20"/>
                <w:szCs w:val="20"/>
              </w:rPr>
              <w:t>146.9 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5F58C8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1D890F"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01FF91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5A4A041" w14:textId="77777777" w:rsidR="00000000" w:rsidRDefault="001D0688">
            <w:pPr>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7A4CBD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2C9A07"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21DA48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63DD2C5" w14:textId="77777777" w:rsidR="00000000" w:rsidRDefault="001D0688">
            <w:pPr>
              <w:jc w:val="right"/>
              <w:rPr>
                <w:rFonts w:eastAsia="Times New Roman"/>
              </w:rPr>
            </w:pPr>
            <w:r>
              <w:rPr>
                <w:rFonts w:ascii="Arial" w:eastAsia="Times New Roman" w:hAnsi="Arial" w:cs="Arial"/>
                <w:color w:val="000000"/>
                <w:sz w:val="20"/>
                <w:szCs w:val="20"/>
              </w:rPr>
              <w:t>(12.1)</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CCB8F7A"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84C3934"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0F3B395D" w14:textId="77777777" w:rsidR="00000000" w:rsidRDefault="001D0688">
            <w:pPr>
              <w:jc w:val="center"/>
              <w:rPr>
                <w:rFonts w:eastAsia="Times New Roman"/>
              </w:rPr>
            </w:pPr>
            <w:r>
              <w:rPr>
                <w:rFonts w:ascii="Arial" w:eastAsia="Times New Roman" w:hAnsi="Arial" w:cs="Arial"/>
                <w:color w:val="000000"/>
                <w:sz w:val="20"/>
                <w:szCs w:val="20"/>
              </w:rPr>
              <w:t>(7.6)%</w:t>
            </w:r>
          </w:p>
        </w:tc>
      </w:tr>
    </w:tbl>
    <w:p w14:paraId="1F5F5EEF" w14:textId="77777777" w:rsidR="00000000" w:rsidRDefault="001D0688">
      <w:pPr>
        <w:ind w:firstLine="720"/>
        <w:jc w:val="both"/>
        <w:divId w:val="695888293"/>
        <w:rPr>
          <w:rFonts w:eastAsia="Times New Roman"/>
        </w:rPr>
      </w:pPr>
      <w:r>
        <w:rPr>
          <w:rFonts w:ascii="Arial" w:eastAsia="Times New Roman" w:hAnsi="Arial" w:cs="Arial"/>
          <w:color w:val="000000"/>
          <w:sz w:val="20"/>
          <w:szCs w:val="20"/>
        </w:rPr>
        <w:t>Corporate expenses decreased by $12.1 million, or 7.6%, during 2020, as compared to 2019. The decrease in corporate expenses was primarily related to:</w:t>
      </w:r>
    </w:p>
    <w:p w14:paraId="28C9BCBC" w14:textId="77777777" w:rsidR="00000000" w:rsidRDefault="001D0688">
      <w:pPr>
        <w:ind w:hanging="360"/>
        <w:jc w:val="both"/>
        <w:divId w:val="214453970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$26.8 million decrease in self-insurance reserve adjustments, related to prior years, as a result of actuarial evaluations completed in the year ended October 31, 2020;</w:t>
      </w:r>
    </w:p>
    <w:p w14:paraId="5E5A3DD4" w14:textId="77777777" w:rsidR="00000000" w:rsidRDefault="001D0688">
      <w:pPr>
        <w:ind w:hanging="360"/>
        <w:jc w:val="both"/>
        <w:divId w:val="1422945166"/>
        <w:rPr>
          <w:rFonts w:eastAsia="Times New Roman"/>
        </w:rPr>
      </w:pPr>
      <w:r>
        <w:rPr>
          <w:rFonts w:ascii="Arial" w:eastAsia="Times New Roman" w:hAnsi="Arial" w:cs="Arial"/>
          <w:color w:val="000000"/>
          <w:sz w:val="20"/>
          <w:szCs w:val="20"/>
        </w:rPr>
        <w:t>•the absence of a $3.9 million reserve for an anticipated union pension settlement in</w:t>
      </w:r>
      <w:r>
        <w:rPr>
          <w:rFonts w:ascii="Arial" w:eastAsia="Times New Roman" w:hAnsi="Arial" w:cs="Arial"/>
          <w:color w:val="000000"/>
          <w:sz w:val="20"/>
          <w:szCs w:val="20"/>
        </w:rPr>
        <w:t xml:space="preserve"> the prior year; and</w:t>
      </w:r>
    </w:p>
    <w:p w14:paraId="4702DD6F" w14:textId="77777777" w:rsidR="00000000" w:rsidRDefault="001D0688">
      <w:pPr>
        <w:ind w:hanging="360"/>
        <w:jc w:val="both"/>
        <w:divId w:val="1048187415"/>
        <w:rPr>
          <w:rFonts w:eastAsia="Times New Roman"/>
        </w:rPr>
      </w:pPr>
      <w:r>
        <w:rPr>
          <w:rFonts w:ascii="Arial" w:eastAsia="Times New Roman" w:hAnsi="Arial" w:cs="Arial"/>
          <w:color w:val="000000"/>
          <w:sz w:val="20"/>
          <w:szCs w:val="20"/>
        </w:rPr>
        <w:t>•a $3.6 million decrease in restructuring and related expenses due to a decline in severance, other expenses incurred in the prior year related to the GCA integration, and a decrease in expenses related to our ongoing technology initia</w:t>
      </w:r>
      <w:r>
        <w:rPr>
          <w:rFonts w:ascii="Arial" w:eastAsia="Times New Roman" w:hAnsi="Arial" w:cs="Arial"/>
          <w:color w:val="000000"/>
          <w:sz w:val="20"/>
          <w:szCs w:val="20"/>
        </w:rPr>
        <w:t xml:space="preserve">tives. The majority of these initiatives have been temporarily suspended since the second quarter of 2020 due to the Pandemic. </w:t>
      </w:r>
    </w:p>
    <w:p w14:paraId="53F5C8FC" w14:textId="77777777" w:rsidR="00000000" w:rsidRDefault="001D0688">
      <w:pPr>
        <w:jc w:val="both"/>
        <w:divId w:val="303506418"/>
        <w:rPr>
          <w:rFonts w:eastAsia="Times New Roman"/>
        </w:rPr>
      </w:pPr>
      <w:r>
        <w:rPr>
          <w:rFonts w:ascii="Arial" w:eastAsia="Times New Roman" w:hAnsi="Arial" w:cs="Arial"/>
          <w:color w:val="000000"/>
          <w:sz w:val="20"/>
          <w:szCs w:val="20"/>
        </w:rPr>
        <w:t>This decrease was partially offset by:</w:t>
      </w:r>
    </w:p>
    <w:p w14:paraId="172C4756" w14:textId="77777777" w:rsidR="00000000" w:rsidRDefault="001D0688">
      <w:pPr>
        <w:ind w:hanging="360"/>
        <w:jc w:val="both"/>
        <w:divId w:val="370620413"/>
        <w:rPr>
          <w:rFonts w:eastAsia="Times New Roman"/>
        </w:rPr>
      </w:pPr>
      <w:r>
        <w:rPr>
          <w:rFonts w:ascii="Arial" w:eastAsia="Times New Roman" w:hAnsi="Arial" w:cs="Arial"/>
          <w:color w:val="000000"/>
          <w:sz w:val="20"/>
          <w:szCs w:val="20"/>
        </w:rPr>
        <w:t xml:space="preserve">•a $9.1 million increase in legal costs and settlements; </w:t>
      </w:r>
    </w:p>
    <w:p w14:paraId="18B97547" w14:textId="77777777" w:rsidR="00000000" w:rsidRDefault="001D0688">
      <w:pPr>
        <w:ind w:hanging="360"/>
        <w:jc w:val="both"/>
        <w:divId w:val="2146926160"/>
        <w:rPr>
          <w:rFonts w:eastAsia="Times New Roman"/>
        </w:rPr>
      </w:pPr>
      <w:r>
        <w:rPr>
          <w:rFonts w:ascii="Arial" w:eastAsia="Times New Roman" w:hAnsi="Arial" w:cs="Arial"/>
          <w:color w:val="000000"/>
          <w:sz w:val="20"/>
          <w:szCs w:val="20"/>
        </w:rPr>
        <w:t>•an $8.5 million increase relat</w:t>
      </w:r>
      <w:r>
        <w:rPr>
          <w:rFonts w:ascii="Arial" w:eastAsia="Times New Roman" w:hAnsi="Arial" w:cs="Arial"/>
          <w:color w:val="000000"/>
          <w:sz w:val="20"/>
          <w:szCs w:val="20"/>
        </w:rPr>
        <w:t>ed to investments in EnhancedClean, other Pandemic-related projects, and certain corporate initiatives; and</w:t>
      </w:r>
    </w:p>
    <w:p w14:paraId="1DD4DFC4" w14:textId="77777777" w:rsidR="00000000" w:rsidRDefault="001D0688">
      <w:pPr>
        <w:ind w:hanging="360"/>
        <w:jc w:val="both"/>
        <w:divId w:val="1925451974"/>
        <w:rPr>
          <w:rFonts w:eastAsia="Times New Roman"/>
        </w:rPr>
      </w:pPr>
      <w:r>
        <w:rPr>
          <w:rFonts w:ascii="Arial" w:eastAsia="Times New Roman" w:hAnsi="Arial" w:cs="Arial"/>
          <w:color w:val="000000"/>
          <w:sz w:val="20"/>
          <w:szCs w:val="20"/>
        </w:rPr>
        <w:t>•a $4.6 million increase in medical and dental insurance expenses as a result of actuarial evaluations performed in the current year.</w:t>
      </w:r>
    </w:p>
    <w:p w14:paraId="0A9913CF" w14:textId="77777777" w:rsidR="00000000" w:rsidRDefault="001D0688">
      <w:pPr>
        <w:jc w:val="both"/>
        <w:divId w:val="2065132137"/>
        <w:rPr>
          <w:rFonts w:eastAsia="Times New Roman"/>
        </w:rPr>
      </w:pPr>
      <w:r>
        <w:rPr>
          <w:rFonts w:ascii="Arial" w:eastAsia="Times New Roman" w:hAnsi="Arial" w:cs="Arial"/>
          <w:b/>
          <w:bCs/>
          <w:i/>
          <w:iCs/>
          <w:color w:val="0046AD"/>
          <w:sz w:val="20"/>
          <w:szCs w:val="20"/>
        </w:rPr>
        <w:t>The Year Ended</w:t>
      </w:r>
      <w:r>
        <w:rPr>
          <w:rFonts w:ascii="Arial" w:eastAsia="Times New Roman" w:hAnsi="Arial" w:cs="Arial"/>
          <w:b/>
          <w:bCs/>
          <w:i/>
          <w:iCs/>
          <w:color w:val="0046AD"/>
          <w:sz w:val="20"/>
          <w:szCs w:val="20"/>
        </w:rPr>
        <w:t xml:space="preserve"> October 31, 2019 Compared with the Year Ended October 31, 2018</w:t>
      </w:r>
    </w:p>
    <w:p w14:paraId="2D99A91E" w14:textId="77777777" w:rsidR="00000000" w:rsidRDefault="001D0688">
      <w:pPr>
        <w:ind w:firstLine="720"/>
        <w:jc w:val="both"/>
        <w:divId w:val="1592735150"/>
        <w:rPr>
          <w:rFonts w:eastAsia="Times New Roman"/>
        </w:rPr>
      </w:pPr>
      <w:r>
        <w:rPr>
          <w:rFonts w:ascii="Arial" w:eastAsia="Times New Roman" w:hAnsi="Arial" w:cs="Arial"/>
          <w:color w:val="000000"/>
          <w:sz w:val="20"/>
          <w:szCs w:val="20"/>
        </w:rPr>
        <w:t>For a comparison of our Segment Information for the year ended October 31, 2019, to the year ended October 31, 2018, see “Part II, Item 7. Management’s Discussion and Analysis of Financial Con</w:t>
      </w:r>
      <w:r>
        <w:rPr>
          <w:rFonts w:ascii="Arial" w:eastAsia="Times New Roman" w:hAnsi="Arial" w:cs="Arial"/>
          <w:color w:val="000000"/>
          <w:sz w:val="20"/>
          <w:szCs w:val="20"/>
        </w:rPr>
        <w:t>dition and Results of Operations” of our Form 10-K for the fiscal year ended October 31, 2019, filed with the SEC on December 20, 2019.</w:t>
      </w:r>
    </w:p>
    <w:p w14:paraId="7AF9B139" w14:textId="77777777" w:rsidR="00000000" w:rsidRDefault="001D0688">
      <w:pPr>
        <w:jc w:val="center"/>
        <w:divId w:val="1876189850"/>
        <w:rPr>
          <w:rFonts w:eastAsia="Times New Roman"/>
        </w:rPr>
      </w:pPr>
      <w:r>
        <w:rPr>
          <w:rFonts w:ascii="Arial" w:eastAsia="Times New Roman" w:hAnsi="Arial" w:cs="Arial"/>
          <w:color w:val="000000"/>
          <w:sz w:val="20"/>
          <w:szCs w:val="20"/>
        </w:rPr>
        <w:t>32</w:t>
      </w:r>
    </w:p>
    <w:p w14:paraId="5810C2EE" w14:textId="77777777" w:rsidR="00000000" w:rsidRDefault="001D0688">
      <w:pPr>
        <w:rPr>
          <w:rFonts w:eastAsia="Times New Roman"/>
        </w:rPr>
      </w:pPr>
      <w:r>
        <w:rPr>
          <w:rFonts w:eastAsia="Times New Roman"/>
        </w:rPr>
        <w:pict w14:anchorId="027CE0C1">
          <v:rect id="_x0000_i1068" style="width:0;height:1.5pt" o:hralign="center" o:hrstd="t" o:hr="t" fillcolor="#a0a0a0" stroked="f"/>
        </w:pict>
      </w:r>
    </w:p>
    <w:p w14:paraId="1612FB9B" w14:textId="77777777" w:rsidR="00000000" w:rsidRDefault="001D0688">
      <w:pPr>
        <w:divId w:val="700017025"/>
        <w:rPr>
          <w:rFonts w:eastAsia="Times New Roman"/>
        </w:rPr>
      </w:pPr>
    </w:p>
    <w:p w14:paraId="714B264C" w14:textId="77777777" w:rsidR="00000000" w:rsidRDefault="001D0688">
      <w:pPr>
        <w:divId w:val="352539986"/>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74497467" w14:textId="77777777">
        <w:trPr>
          <w:divId w:val="1724014664"/>
        </w:trPr>
        <w:tc>
          <w:tcPr>
            <w:tcW w:w="5" w:type="pct"/>
            <w:vAlign w:val="center"/>
            <w:hideMark/>
          </w:tcPr>
          <w:p w14:paraId="6B092C44" w14:textId="77777777" w:rsidR="00000000" w:rsidRDefault="001D0688">
            <w:pPr>
              <w:rPr>
                <w:rFonts w:eastAsia="Times New Roman"/>
              </w:rPr>
            </w:pPr>
          </w:p>
        </w:tc>
        <w:tc>
          <w:tcPr>
            <w:tcW w:w="128" w:type="pct"/>
            <w:vAlign w:val="center"/>
            <w:hideMark/>
          </w:tcPr>
          <w:p w14:paraId="59F413E1" w14:textId="77777777" w:rsidR="00000000" w:rsidRDefault="001D0688">
            <w:pPr>
              <w:rPr>
                <w:rFonts w:eastAsia="Times New Roman"/>
                <w:sz w:val="20"/>
                <w:szCs w:val="20"/>
              </w:rPr>
            </w:pPr>
          </w:p>
        </w:tc>
        <w:tc>
          <w:tcPr>
            <w:tcW w:w="5" w:type="pct"/>
            <w:vAlign w:val="center"/>
            <w:hideMark/>
          </w:tcPr>
          <w:p w14:paraId="03AB7D3A" w14:textId="77777777" w:rsidR="00000000" w:rsidRDefault="001D0688">
            <w:pPr>
              <w:rPr>
                <w:rFonts w:eastAsia="Times New Roman"/>
                <w:sz w:val="20"/>
                <w:szCs w:val="20"/>
              </w:rPr>
            </w:pPr>
          </w:p>
        </w:tc>
        <w:tc>
          <w:tcPr>
            <w:tcW w:w="50" w:type="pct"/>
            <w:vAlign w:val="center"/>
            <w:hideMark/>
          </w:tcPr>
          <w:p w14:paraId="64EFCF6B" w14:textId="77777777" w:rsidR="00000000" w:rsidRDefault="001D0688">
            <w:pPr>
              <w:rPr>
                <w:rFonts w:eastAsia="Times New Roman"/>
                <w:sz w:val="20"/>
                <w:szCs w:val="20"/>
              </w:rPr>
            </w:pPr>
          </w:p>
        </w:tc>
        <w:tc>
          <w:tcPr>
            <w:tcW w:w="4806" w:type="pct"/>
            <w:vAlign w:val="center"/>
            <w:hideMark/>
          </w:tcPr>
          <w:p w14:paraId="5EF5224C" w14:textId="77777777" w:rsidR="00000000" w:rsidRDefault="001D0688">
            <w:pPr>
              <w:rPr>
                <w:rFonts w:eastAsia="Times New Roman"/>
                <w:sz w:val="20"/>
                <w:szCs w:val="20"/>
              </w:rPr>
            </w:pPr>
          </w:p>
        </w:tc>
        <w:tc>
          <w:tcPr>
            <w:tcW w:w="5" w:type="pct"/>
            <w:vAlign w:val="center"/>
            <w:hideMark/>
          </w:tcPr>
          <w:p w14:paraId="7D31A30F" w14:textId="77777777" w:rsidR="00000000" w:rsidRDefault="001D0688">
            <w:pPr>
              <w:rPr>
                <w:rFonts w:eastAsia="Times New Roman"/>
                <w:sz w:val="20"/>
                <w:szCs w:val="20"/>
              </w:rPr>
            </w:pPr>
          </w:p>
        </w:tc>
      </w:tr>
      <w:tr w:rsidR="00000000" w14:paraId="3D777839" w14:textId="77777777">
        <w:trPr>
          <w:divId w:val="1724014664"/>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41037A4B" w14:textId="77777777" w:rsidR="00000000" w:rsidRDefault="001D0688">
            <w:pPr>
              <w:rPr>
                <w:rFonts w:eastAsia="Times New Roman"/>
                <w:sz w:val="20"/>
                <w:szCs w:val="20"/>
              </w:rPr>
            </w:pPr>
          </w:p>
        </w:tc>
      </w:tr>
    </w:tbl>
    <w:p w14:paraId="2B4BE88B" w14:textId="77777777" w:rsidR="00000000" w:rsidRDefault="001D0688">
      <w:pPr>
        <w:ind w:firstLine="720"/>
        <w:jc w:val="both"/>
        <w:divId w:val="1082681816"/>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 xml:space="preserve">ated cash requirements as well as cash flows generated from operating activities to meet those needs. </w:t>
      </w:r>
    </w:p>
    <w:p w14:paraId="1A24DB10" w14:textId="77777777" w:rsidR="00000000" w:rsidRDefault="001D0688">
      <w:pPr>
        <w:ind w:firstLine="720"/>
        <w:jc w:val="both"/>
        <w:divId w:val="809514123"/>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include funding legal settlements,</w:t>
      </w:r>
      <w:r>
        <w:rPr>
          <w:rFonts w:ascii="Arial" w:eastAsia="Times New Roman" w:hAnsi="Arial" w:cs="Arial"/>
          <w:color w:val="000000"/>
          <w:sz w:val="20"/>
          <w:szCs w:val="20"/>
        </w:rPr>
        <w:t xml:space="preserve"> insurance claims, dividend payments, capital expenditures, share repurchases, and continued systems and technology transformation initiatives. We anticipate long-term cash uses may also include strategic acquisitions. On a long-term basis, we will continu</w:t>
      </w:r>
      <w:r>
        <w:rPr>
          <w:rFonts w:ascii="Arial" w:eastAsia="Times New Roman" w:hAnsi="Arial" w:cs="Arial"/>
          <w:color w:val="000000"/>
          <w:sz w:val="20"/>
          <w:szCs w:val="20"/>
        </w:rPr>
        <w:t>e to rely on our Credit Facility for any long-term funding not provided by operating cash flows.</w:t>
      </w:r>
    </w:p>
    <w:p w14:paraId="12F4C1FE" w14:textId="77777777" w:rsidR="00000000" w:rsidRDefault="001D0688">
      <w:pPr>
        <w:ind w:firstLine="720"/>
        <w:jc w:val="both"/>
        <w:divId w:val="1481724736"/>
        <w:rPr>
          <w:rFonts w:eastAsia="Times New Roman"/>
        </w:rPr>
      </w:pPr>
      <w:r>
        <w:rPr>
          <w:rFonts w:ascii="Arial" w:eastAsia="Times New Roman" w:hAnsi="Arial" w:cs="Arial"/>
          <w:color w:val="000000"/>
          <w:sz w:val="20"/>
          <w:szCs w:val="20"/>
        </w:rPr>
        <w:t>We believe that the Pandemic has had, and will likely continue to have, an adverse impact on our consolidated financial position, results of operations, and ca</w:t>
      </w:r>
      <w:r>
        <w:rPr>
          <w:rFonts w:ascii="Arial" w:eastAsia="Times New Roman" w:hAnsi="Arial" w:cs="Arial"/>
          <w:color w:val="000000"/>
          <w:sz w:val="20"/>
          <w:szCs w:val="20"/>
        </w:rPr>
        <w:t xml:space="preserve">sh flows. Since we cannot predict the duration or scope of the Pandemic, we cannot fully anticipate or reasonably estimate all the ways in which the current global health crisis and financial market conditions could adversely impact our business in fiscal </w:t>
      </w:r>
      <w:r>
        <w:rPr>
          <w:rFonts w:ascii="Arial" w:eastAsia="Times New Roman" w:hAnsi="Arial" w:cs="Arial"/>
          <w:color w:val="000000"/>
          <w:sz w:val="20"/>
          <w:szCs w:val="20"/>
        </w:rPr>
        <w:t>2021 or in the future. It is also possible that our accounts receivable cash collections will be adversely impacted by our clients’ Pandemic-related challenges.</w:t>
      </w:r>
    </w:p>
    <w:p w14:paraId="52C2E432" w14:textId="77777777" w:rsidR="00000000" w:rsidRDefault="001D0688">
      <w:pPr>
        <w:ind w:firstLine="720"/>
        <w:jc w:val="both"/>
        <w:divId w:val="1661034130"/>
        <w:rPr>
          <w:rFonts w:eastAsia="Times New Roman"/>
        </w:rPr>
      </w:pPr>
      <w:r>
        <w:rPr>
          <w:rFonts w:ascii="Arial" w:eastAsia="Times New Roman" w:hAnsi="Arial" w:cs="Arial"/>
          <w:color w:val="000000"/>
          <w:sz w:val="20"/>
          <w:szCs w:val="20"/>
        </w:rPr>
        <w:t>We have taken and continue to take certain steps to preserve liquidity, including: temporary pa</w:t>
      </w:r>
      <w:r>
        <w:rPr>
          <w:rFonts w:ascii="Arial" w:eastAsia="Times New Roman" w:hAnsi="Arial" w:cs="Arial"/>
          <w:color w:val="000000"/>
          <w:sz w:val="20"/>
          <w:szCs w:val="20"/>
        </w:rPr>
        <w:t>y reductions with full pay reinstated as of August 1, 2020; temporary furloughs or working hour reductions for certain staff and management employees, most of whom returned to work effective August 1, 2020; and the temporary suspension of certain benefits.</w:t>
      </w:r>
      <w:r>
        <w:rPr>
          <w:rFonts w:ascii="Arial" w:eastAsia="Times New Roman" w:hAnsi="Arial" w:cs="Arial"/>
          <w:color w:val="000000"/>
          <w:sz w:val="20"/>
          <w:szCs w:val="20"/>
        </w:rPr>
        <w:t xml:space="preserve"> We have also actively managed direct labor and related personnel costs, including: imposing furloughs or reduced hours for certain service employees in markets significantly impacted by business slowdowns and shutdowns; reducing our planned capital and op</w:t>
      </w:r>
      <w:r>
        <w:rPr>
          <w:rFonts w:ascii="Arial" w:eastAsia="Times New Roman" w:hAnsi="Arial" w:cs="Arial"/>
          <w:color w:val="000000"/>
          <w:sz w:val="20"/>
          <w:szCs w:val="20"/>
        </w:rPr>
        <w:t>erating expenditures and management of other expenses; and suspending share repurchases under our share repurchase program. In addition, we continue focusing on collection of customer receivables, monitoring the adequacy of our reserves, and extending vend</w:t>
      </w:r>
      <w:r>
        <w:rPr>
          <w:rFonts w:ascii="Arial" w:eastAsia="Times New Roman" w:hAnsi="Arial" w:cs="Arial"/>
          <w:color w:val="000000"/>
          <w:sz w:val="20"/>
          <w:szCs w:val="20"/>
        </w:rPr>
        <w:t xml:space="preserve">or payment terms where possible. We evaluated the business tax provisions of the CARES Act and have deferred remittance of approximately $101 million of payroll tax as of October 31, 2020. </w:t>
      </w:r>
    </w:p>
    <w:p w14:paraId="19B9317A" w14:textId="77777777" w:rsidR="00000000" w:rsidRDefault="001D0688">
      <w:pPr>
        <w:ind w:firstLine="720"/>
        <w:jc w:val="both"/>
        <w:divId w:val="989408345"/>
        <w:rPr>
          <w:rFonts w:eastAsia="Times New Roman"/>
        </w:rPr>
      </w:pPr>
      <w:r>
        <w:rPr>
          <w:rFonts w:ascii="Arial" w:eastAsia="Times New Roman" w:hAnsi="Arial" w:cs="Arial"/>
          <w:color w:val="000000"/>
          <w:sz w:val="20"/>
          <w:szCs w:val="20"/>
        </w:rPr>
        <w:t>In addition, we are taking certain steps to ensure adequate access</w:t>
      </w:r>
      <w:r>
        <w:rPr>
          <w:rFonts w:ascii="Arial" w:eastAsia="Times New Roman" w:hAnsi="Arial" w:cs="Arial"/>
          <w:color w:val="000000"/>
          <w:sz w:val="20"/>
          <w:szCs w:val="20"/>
        </w:rPr>
        <w:t xml:space="preserve"> to liquidity. In late March 2020, we borrowed approximately $300 million under our revolving line of credit, which represented all amounts then available under the Credit Facility, as a precautionary measure to provide increased liquidity and preserve fin</w:t>
      </w:r>
      <w:r>
        <w:rPr>
          <w:rFonts w:ascii="Arial" w:eastAsia="Times New Roman" w:hAnsi="Arial" w:cs="Arial"/>
          <w:color w:val="000000"/>
          <w:sz w:val="20"/>
          <w:szCs w:val="20"/>
        </w:rPr>
        <w:t>ancial flexibility due to uncertainty resulting from the Pandemic. On May 28, 2020, we amended our Credit Facility (the “Amendment”) in order to enhance our financial flexibility, as further described under “Credit Facility” below. During the quarter ended</w:t>
      </w:r>
      <w:r>
        <w:rPr>
          <w:rFonts w:ascii="Arial" w:eastAsia="Times New Roman" w:hAnsi="Arial" w:cs="Arial"/>
          <w:color w:val="000000"/>
          <w:sz w:val="20"/>
          <w:szCs w:val="20"/>
        </w:rPr>
        <w:t xml:space="preserve"> July 31, 2020, we repaid substantially all of the amounts borrowed under the revolving line of credit without penalty. </w:t>
      </w:r>
    </w:p>
    <w:p w14:paraId="70ABCA97" w14:textId="77777777" w:rsidR="00000000" w:rsidRDefault="001D0688">
      <w:pPr>
        <w:ind w:firstLine="720"/>
        <w:jc w:val="both"/>
        <w:divId w:val="1700162387"/>
        <w:rPr>
          <w:rFonts w:eastAsia="Times New Roman"/>
        </w:rPr>
      </w:pPr>
      <w:r>
        <w:rPr>
          <w:rFonts w:ascii="Arial" w:eastAsia="Times New Roman" w:hAnsi="Arial" w:cs="Arial"/>
          <w:color w:val="000000"/>
          <w:sz w:val="20"/>
          <w:szCs w:val="20"/>
        </w:rPr>
        <w:t xml:space="preserve">We believe that our operating cash flows and borrowing capacity under our Credit Facility are sufficient to fund our cash requirements </w:t>
      </w:r>
      <w:r>
        <w:rPr>
          <w:rFonts w:ascii="Arial" w:eastAsia="Times New Roman" w:hAnsi="Arial" w:cs="Arial"/>
          <w:color w:val="000000"/>
          <w:sz w:val="20"/>
          <w:szCs w:val="20"/>
        </w:rPr>
        <w:t>for the next twelve months. In the event that our plans change or our cash requirements are greater than we anticipate, we may need to access the capital markets to finance future cash requirements. However, there can be no assurance that such financing wi</w:t>
      </w:r>
      <w:r>
        <w:rPr>
          <w:rFonts w:ascii="Arial" w:eastAsia="Times New Roman" w:hAnsi="Arial" w:cs="Arial"/>
          <w:color w:val="000000"/>
          <w:sz w:val="20"/>
          <w:szCs w:val="20"/>
        </w:rPr>
        <w:t xml:space="preserve">ll be available to us should we need it or, if available, that the terms will be satisfactory to us and not dilutive to existing shareholders. </w:t>
      </w:r>
    </w:p>
    <w:p w14:paraId="098808AE" w14:textId="77777777" w:rsidR="00000000" w:rsidRDefault="001D0688">
      <w:pPr>
        <w:jc w:val="both"/>
        <w:divId w:val="1837957143"/>
        <w:rPr>
          <w:rFonts w:eastAsia="Times New Roman"/>
        </w:rPr>
      </w:pPr>
      <w:r>
        <w:rPr>
          <w:rFonts w:ascii="Arial" w:eastAsia="Times New Roman" w:hAnsi="Arial" w:cs="Arial"/>
          <w:b/>
          <w:bCs/>
          <w:i/>
          <w:iCs/>
          <w:color w:val="0046AD"/>
          <w:sz w:val="20"/>
          <w:szCs w:val="20"/>
        </w:rPr>
        <w:t>Credit Facility</w:t>
      </w:r>
    </w:p>
    <w:p w14:paraId="42C1BE92" w14:textId="77777777" w:rsidR="00000000" w:rsidRDefault="001D0688">
      <w:pPr>
        <w:ind w:firstLine="720"/>
        <w:jc w:val="both"/>
        <w:divId w:val="149951566"/>
        <w:rPr>
          <w:rFonts w:eastAsia="Times New Roman"/>
        </w:rPr>
      </w:pPr>
      <w:r>
        <w:rPr>
          <w:rFonts w:ascii="Arial" w:eastAsia="Times New Roman" w:hAnsi="Arial" w:cs="Arial"/>
          <w:color w:val="000000"/>
          <w:sz w:val="20"/>
          <w:szCs w:val="20"/>
        </w:rPr>
        <w:t>On September 1, 2017, we refinanced and replaced our then-existing $800.0 million credit facilit</w:t>
      </w:r>
      <w:r>
        <w:rPr>
          <w:rFonts w:ascii="Arial" w:eastAsia="Times New Roman" w:hAnsi="Arial" w:cs="Arial"/>
          <w:color w:val="000000"/>
          <w:sz w:val="20"/>
          <w:szCs w:val="20"/>
        </w:rPr>
        <w:t>y with a new senior, secured five-year syndicated credit facility (the “Credit Facility”), consisting of a $900.0 million revolving line of credit and an $800.0 million amortizing term loan, both of which are scheduled to mature on September 1, 2022. In ac</w:t>
      </w:r>
      <w:r>
        <w:rPr>
          <w:rFonts w:ascii="Arial" w:eastAsia="Times New Roman" w:hAnsi="Arial" w:cs="Arial"/>
          <w:color w:val="000000"/>
          <w:sz w:val="20"/>
          <w:szCs w:val="20"/>
        </w:rPr>
        <w:t>cordance with the terms of the Credit Facility, the revolving line of credit was reduced to $800.0 million on September 1, 2018. In late March 2020, we borrowed approximately $300 million as a precautionary measure to provide increased liquidity and preser</w:t>
      </w:r>
      <w:r>
        <w:rPr>
          <w:rFonts w:ascii="Arial" w:eastAsia="Times New Roman" w:hAnsi="Arial" w:cs="Arial"/>
          <w:color w:val="000000"/>
          <w:sz w:val="20"/>
          <w:szCs w:val="20"/>
        </w:rPr>
        <w:t xml:space="preserve">ve financial flexibility in response to uncertainty resulting from the Pandemic. This represented all remaining amounts then available under the revolving line of credit. During the quarter ended July 31, 2020, we repaid substantially all of these amounts </w:t>
      </w:r>
      <w:r>
        <w:rPr>
          <w:rFonts w:ascii="Arial" w:eastAsia="Times New Roman" w:hAnsi="Arial" w:cs="Arial"/>
          <w:color w:val="000000"/>
          <w:sz w:val="20"/>
          <w:szCs w:val="20"/>
        </w:rPr>
        <w:t xml:space="preserve">borrowed under the revolving line of credit without penalty. </w:t>
      </w:r>
    </w:p>
    <w:p w14:paraId="1DB8CC32" w14:textId="77777777" w:rsidR="00000000" w:rsidRDefault="001D0688">
      <w:pPr>
        <w:ind w:firstLine="720"/>
        <w:jc w:val="both"/>
        <w:divId w:val="244461386"/>
        <w:rPr>
          <w:rFonts w:eastAsia="Times New Roman"/>
        </w:rPr>
      </w:pPr>
      <w:r>
        <w:rPr>
          <w:rFonts w:ascii="Arial" w:eastAsia="Times New Roman" w:hAnsi="Arial" w:cs="Arial"/>
          <w:color w:val="000000"/>
          <w:sz w:val="20"/>
          <w:szCs w:val="20"/>
        </w:rPr>
        <w:t>The Amendment modified the financial covenants under the Credit Facility, including: (i) replacing a maximum total leverage ratio with a maximum total net leverage ratio (allowing for up to $100</w:t>
      </w:r>
      <w:r>
        <w:rPr>
          <w:rFonts w:ascii="Arial" w:eastAsia="Times New Roman" w:hAnsi="Arial" w:cs="Arial"/>
          <w:color w:val="000000"/>
          <w:sz w:val="20"/>
          <w:szCs w:val="20"/>
        </w:rPr>
        <w:t xml:space="preserve"> million in cash and cash equivalents to be excluded from the calculation of total indebtedness) that varies on a quarterly basis and </w:t>
      </w:r>
    </w:p>
    <w:p w14:paraId="557E55E2" w14:textId="77777777" w:rsidR="00000000" w:rsidRDefault="001D0688">
      <w:pPr>
        <w:jc w:val="center"/>
        <w:divId w:val="996224514"/>
        <w:rPr>
          <w:rFonts w:eastAsia="Times New Roman"/>
        </w:rPr>
      </w:pPr>
      <w:r>
        <w:rPr>
          <w:rFonts w:ascii="Arial" w:eastAsia="Times New Roman" w:hAnsi="Arial" w:cs="Arial"/>
          <w:color w:val="000000"/>
          <w:sz w:val="20"/>
          <w:szCs w:val="20"/>
        </w:rPr>
        <w:t>33</w:t>
      </w:r>
    </w:p>
    <w:p w14:paraId="6AB19006" w14:textId="77777777" w:rsidR="00000000" w:rsidRDefault="001D0688">
      <w:pPr>
        <w:rPr>
          <w:rFonts w:eastAsia="Times New Roman"/>
        </w:rPr>
      </w:pPr>
      <w:r>
        <w:rPr>
          <w:rFonts w:eastAsia="Times New Roman"/>
        </w:rPr>
        <w:pict w14:anchorId="0BC6EF1C">
          <v:rect id="_x0000_i1069" style="width:0;height:1.5pt" o:hralign="center" o:hrstd="t" o:hr="t" fillcolor="#a0a0a0" stroked="f"/>
        </w:pict>
      </w:r>
    </w:p>
    <w:p w14:paraId="38EF169D" w14:textId="77777777" w:rsidR="00000000" w:rsidRDefault="001D0688">
      <w:pPr>
        <w:divId w:val="1905214239"/>
        <w:rPr>
          <w:rFonts w:eastAsia="Times New Roman"/>
        </w:rPr>
      </w:pPr>
    </w:p>
    <w:p w14:paraId="4743561C" w14:textId="77777777" w:rsidR="00000000" w:rsidRDefault="001D0688">
      <w:pPr>
        <w:jc w:val="both"/>
        <w:divId w:val="1554536685"/>
        <w:rPr>
          <w:rFonts w:eastAsia="Times New Roman"/>
        </w:rPr>
      </w:pPr>
      <w:r>
        <w:rPr>
          <w:rFonts w:ascii="Arial" w:eastAsia="Times New Roman" w:hAnsi="Arial" w:cs="Arial"/>
          <w:color w:val="000000"/>
          <w:sz w:val="20"/>
          <w:szCs w:val="20"/>
        </w:rPr>
        <w:t>adjusted to 6.50 to 1.00 by the quarter ending October 31, 2020, and will adjust back to 4.00 to 1.00 by the quarter ending October 31, 2022; (ii) modifying the minimum fixed charge coverage ratio on a quarterly basis,</w:t>
      </w:r>
      <w:r>
        <w:rPr>
          <w:rFonts w:ascii="Arial" w:eastAsia="Times New Roman" w:hAnsi="Arial" w:cs="Arial"/>
          <w:color w:val="000000"/>
          <w:sz w:val="20"/>
          <w:szCs w:val="20"/>
        </w:rPr>
        <w:t xml:space="preserve"> which adjusts to 1.25 to 1.00 as of the quarter ending April 30, 2022; and (iii) adding a minimum liquidity (defined in the Amendment as domestic cash plus available revolving loans) of $250.0 million. These financial covenants were effective with the qua</w:t>
      </w:r>
      <w:r>
        <w:rPr>
          <w:rFonts w:ascii="Arial" w:eastAsia="Times New Roman" w:hAnsi="Arial" w:cs="Arial"/>
          <w:color w:val="000000"/>
          <w:sz w:val="20"/>
          <w:szCs w:val="20"/>
        </w:rPr>
        <w:t>rter ended April 30, 2020. Our borrowing capacity is subject to, and limited by, compliance with these covenants.</w:t>
      </w:r>
    </w:p>
    <w:p w14:paraId="7D4B382D" w14:textId="77777777" w:rsidR="00000000" w:rsidRDefault="001D0688">
      <w:pPr>
        <w:ind w:firstLine="720"/>
        <w:jc w:val="both"/>
        <w:divId w:val="825559141"/>
        <w:rPr>
          <w:rFonts w:eastAsia="Times New Roman"/>
        </w:rPr>
      </w:pPr>
      <w:r>
        <w:rPr>
          <w:rFonts w:ascii="Arial" w:eastAsia="Times New Roman" w:hAnsi="Arial" w:cs="Arial"/>
          <w:color w:val="000000"/>
          <w:sz w:val="20"/>
          <w:szCs w:val="20"/>
        </w:rPr>
        <w:t xml:space="preserve">The Amendment changed the interest rate, interest margins, and commitment fees applicable to loans and commitments under the Credit Facility. </w:t>
      </w:r>
      <w:r>
        <w:rPr>
          <w:rFonts w:ascii="Arial" w:eastAsia="Times New Roman" w:hAnsi="Arial" w:cs="Arial"/>
          <w:color w:val="000000"/>
          <w:sz w:val="20"/>
          <w:szCs w:val="20"/>
        </w:rPr>
        <w:t>It also added a new anti-cash hoarding mandatory prepayment that requires us to repay outstanding revolving loans or swingline loans if, at any time, we have in excess of $250 million of cash and cash equivalents on our balance sheet. The Amendment made ce</w:t>
      </w:r>
      <w:r>
        <w:rPr>
          <w:rFonts w:ascii="Arial" w:eastAsia="Times New Roman" w:hAnsi="Arial" w:cs="Arial"/>
          <w:color w:val="000000"/>
          <w:sz w:val="20"/>
          <w:szCs w:val="20"/>
        </w:rPr>
        <w:t>rtain additional changes to the negative covenants restrictions under the Credit Facility, including, subject to certain exceptions, restrictions to our ability to make acquisitions, share repurchases, and other defined restricted payments, depending on ou</w:t>
      </w:r>
      <w:r>
        <w:rPr>
          <w:rFonts w:ascii="Arial" w:eastAsia="Times New Roman" w:hAnsi="Arial" w:cs="Arial"/>
          <w:color w:val="000000"/>
          <w:sz w:val="20"/>
          <w:szCs w:val="20"/>
        </w:rPr>
        <w:t xml:space="preserve">r total net leverage ratio. The anti-cash hoarding provision and certain of these restrictions were terminated from the Credit Facility in the fourth quarter of 2020 due to our favorable cash flow position and leverage ratios. At October 31, 2020, we were </w:t>
      </w:r>
      <w:r>
        <w:rPr>
          <w:rFonts w:ascii="Arial" w:eastAsia="Times New Roman" w:hAnsi="Arial" w:cs="Arial"/>
          <w:color w:val="000000"/>
          <w:sz w:val="20"/>
          <w:szCs w:val="20"/>
        </w:rPr>
        <w:t>in compliance with these covenants and expect to be in compliance in the foreseeable future.</w:t>
      </w:r>
    </w:p>
    <w:p w14:paraId="49B7058A" w14:textId="77777777" w:rsidR="00000000" w:rsidRDefault="001D0688">
      <w:pPr>
        <w:ind w:firstLine="720"/>
        <w:jc w:val="both"/>
        <w:divId w:val="555630614"/>
        <w:rPr>
          <w:rFonts w:eastAsia="Times New Roman"/>
        </w:rPr>
      </w:pPr>
      <w:r>
        <w:rPr>
          <w:rFonts w:ascii="Arial" w:eastAsia="Times New Roman" w:hAnsi="Arial" w:cs="Arial"/>
          <w:color w:val="000000"/>
          <w:sz w:val="20"/>
          <w:szCs w:val="20"/>
        </w:rPr>
        <w:t>During 2020, we made $60.0 million of principal payments under the term loan. At October 31, 2020, the total outstanding borrowings under our Credit Facility in th</w:t>
      </w:r>
      <w:r>
        <w:rPr>
          <w:rFonts w:ascii="Arial" w:eastAsia="Times New Roman" w:hAnsi="Arial" w:cs="Arial"/>
          <w:color w:val="000000"/>
          <w:sz w:val="20"/>
          <w:szCs w:val="20"/>
        </w:rPr>
        <w:t xml:space="preserve">e form of cash borrowings and standby letters of credit were $725.3 million and $153.1 million, respectively. At October 31, 2020, we had up to </w:t>
      </w:r>
      <w:r>
        <w:rPr>
          <w:rFonts w:ascii="Arial" w:eastAsia="Times New Roman" w:hAnsi="Arial" w:cs="Arial"/>
          <w:color w:val="000000"/>
          <w:sz w:val="20"/>
          <w:szCs w:val="20"/>
          <w:shd w:val="clear" w:color="auto" w:fill="FFFFFF"/>
        </w:rPr>
        <w:t>$596.6 million</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of borrowing capacity, reflecting covenant restrictions. </w:t>
      </w:r>
    </w:p>
    <w:p w14:paraId="0D5C6E41" w14:textId="77777777" w:rsidR="00000000" w:rsidRDefault="001D0688">
      <w:pPr>
        <w:ind w:firstLine="720"/>
        <w:jc w:val="both"/>
        <w:divId w:val="391542168"/>
        <w:rPr>
          <w:rFonts w:eastAsia="Times New Roman"/>
        </w:rPr>
      </w:pPr>
      <w:r>
        <w:rPr>
          <w:rFonts w:ascii="Arial" w:eastAsia="Times New Roman" w:hAnsi="Arial" w:cs="Arial"/>
          <w:color w:val="000000"/>
          <w:sz w:val="20"/>
          <w:szCs w:val="20"/>
        </w:rPr>
        <w:t>In July 2017, the U.K. Financial Conduct Authority, the regulator of LIBOR, indicated that it will no longer require banks to submit rates to the LIBOR administrator after 2021. This announcement si</w:t>
      </w:r>
      <w:r>
        <w:rPr>
          <w:rFonts w:ascii="Arial" w:eastAsia="Times New Roman" w:hAnsi="Arial" w:cs="Arial"/>
          <w:color w:val="000000"/>
          <w:sz w:val="20"/>
          <w:szCs w:val="20"/>
        </w:rPr>
        <w:t>gnaled that the calculation of LIBOR and its continued use could not be guaranteed after 2021. A change away from LIBOR after 2021 may impact our Credit Facility and interest rate swaps. Our current credit agreement as well as our International Swaps and D</w:t>
      </w:r>
      <w:r>
        <w:rPr>
          <w:rFonts w:ascii="Arial" w:eastAsia="Times New Roman" w:hAnsi="Arial" w:cs="Arial"/>
          <w:color w:val="000000"/>
          <w:sz w:val="20"/>
          <w:szCs w:val="20"/>
        </w:rPr>
        <w:t>erivatives Association, Inc. agreement provide for any changes away from LIBOR to a successor rate to be based on prevailing or equivalent standards. We continue to monitor developments related to the LIBOR transition and/or identification of an alternativ</w:t>
      </w:r>
      <w:r>
        <w:rPr>
          <w:rFonts w:ascii="Arial" w:eastAsia="Times New Roman" w:hAnsi="Arial" w:cs="Arial"/>
          <w:color w:val="000000"/>
          <w:sz w:val="20"/>
          <w:szCs w:val="20"/>
        </w:rPr>
        <w:t>e, market-accepted rate. The impact related to any changes cannot be predicted at this time.</w:t>
      </w:r>
    </w:p>
    <w:p w14:paraId="2DFE7567" w14:textId="77777777" w:rsidR="00000000" w:rsidRDefault="001D0688">
      <w:pPr>
        <w:jc w:val="both"/>
        <w:divId w:val="2030136584"/>
        <w:rPr>
          <w:rFonts w:eastAsia="Times New Roman"/>
        </w:rPr>
      </w:pPr>
      <w:r>
        <w:rPr>
          <w:rFonts w:ascii="Arial" w:eastAsia="Times New Roman" w:hAnsi="Arial" w:cs="Arial"/>
          <w:b/>
          <w:bCs/>
          <w:i/>
          <w:iCs/>
          <w:color w:val="0046AD"/>
          <w:sz w:val="20"/>
          <w:szCs w:val="20"/>
        </w:rPr>
        <w:t>Reinvestment of Foreign Earnings</w:t>
      </w:r>
    </w:p>
    <w:p w14:paraId="15EAB654" w14:textId="77777777" w:rsidR="00000000" w:rsidRDefault="001D0688">
      <w:pPr>
        <w:ind w:firstLine="720"/>
        <w:jc w:val="both"/>
        <w:divId w:val="2028437142"/>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w:t>
      </w:r>
      <w:r>
        <w:rPr>
          <w:rFonts w:ascii="Arial" w:eastAsia="Times New Roman" w:hAnsi="Arial" w:cs="Arial"/>
          <w:color w:val="000000"/>
          <w:sz w:val="20"/>
          <w:szCs w:val="20"/>
        </w:rPr>
        <w:t>nings to the United States. While U.S. federal tax expense has been recognized as a result of the Tax Cuts and Jobs Act of 2017, no deferred tax liabilities with respect to federal and state income taxes or foreign withholding taxes have been recognized. W</w:t>
      </w:r>
      <w:r>
        <w:rPr>
          <w:rFonts w:ascii="Arial" w:eastAsia="Times New Roman" w:hAnsi="Arial" w:cs="Arial"/>
          <w:color w:val="000000"/>
          <w:sz w:val="20"/>
          <w:szCs w:val="20"/>
        </w:rPr>
        <w:t xml:space="preserve">e believe that our cash on hand in the United States, along with our Credit Facility and future domestic cash flows, are sufficient to satisfy our domestic liquidity requirements. </w:t>
      </w:r>
    </w:p>
    <w:p w14:paraId="68617A0C" w14:textId="77777777" w:rsidR="00000000" w:rsidRDefault="001D0688">
      <w:pPr>
        <w:jc w:val="both"/>
        <w:divId w:val="1592590369"/>
        <w:rPr>
          <w:rFonts w:eastAsia="Times New Roman"/>
        </w:rPr>
      </w:pPr>
      <w:r>
        <w:rPr>
          <w:rFonts w:ascii="Arial" w:eastAsia="Times New Roman" w:hAnsi="Arial" w:cs="Arial"/>
          <w:b/>
          <w:bCs/>
          <w:i/>
          <w:iCs/>
          <w:color w:val="0046AD"/>
          <w:sz w:val="20"/>
          <w:szCs w:val="20"/>
        </w:rPr>
        <w:t xml:space="preserve">IFM Insurance Company </w:t>
      </w:r>
    </w:p>
    <w:p w14:paraId="7E940DC6" w14:textId="77777777" w:rsidR="00000000" w:rsidRDefault="001D0688">
      <w:pPr>
        <w:ind w:firstLine="720"/>
        <w:jc w:val="both"/>
        <w:divId w:val="217211845"/>
        <w:rPr>
          <w:rFonts w:eastAsia="Times New Roman"/>
        </w:rPr>
      </w:pPr>
      <w:r>
        <w:rPr>
          <w:rFonts w:ascii="Arial" w:eastAsia="Times New Roman" w:hAnsi="Arial" w:cs="Arial"/>
          <w:color w:val="000000"/>
          <w:sz w:val="20"/>
          <w:szCs w:val="20"/>
        </w:rPr>
        <w:t>IFM Assurance Company (“IFM”) is a wholly-owned capt</w:t>
      </w:r>
      <w:r>
        <w:rPr>
          <w:rFonts w:ascii="Arial" w:eastAsia="Times New Roman" w:hAnsi="Arial" w:cs="Arial"/>
          <w:color w:val="000000"/>
          <w:sz w:val="20"/>
          <w:szCs w:val="20"/>
        </w:rPr>
        <w:t>ive insurance company that we formed in 2015. IFM is part of our enterprise-wide, multi-year insurance strategy that is intended to better position our risk and safety programs and provide us with increased flexibility in the end-to-end management of our i</w:t>
      </w:r>
      <w:r>
        <w:rPr>
          <w:rFonts w:ascii="Arial" w:eastAsia="Times New Roman" w:hAnsi="Arial" w:cs="Arial"/>
          <w:color w:val="000000"/>
          <w:sz w:val="20"/>
          <w:szCs w:val="20"/>
        </w:rPr>
        <w:t xml:space="preserve">nsurance programs. IFM began providing coverage to us as of January 1, 2015. We had accelerated cash tax savings related to coverage provided by IFM of approximately $8 million in 2020, $6 million in 2019, and $7 million in 2018. </w:t>
      </w:r>
    </w:p>
    <w:p w14:paraId="10E168F5" w14:textId="77777777" w:rsidR="00000000" w:rsidRDefault="001D0688">
      <w:pPr>
        <w:jc w:val="both"/>
        <w:divId w:val="445081199"/>
        <w:rPr>
          <w:rFonts w:eastAsia="Times New Roman"/>
        </w:rPr>
      </w:pPr>
    </w:p>
    <w:p w14:paraId="32843494" w14:textId="77777777" w:rsidR="00000000" w:rsidRDefault="001D0688">
      <w:pPr>
        <w:jc w:val="center"/>
        <w:divId w:val="1680809529"/>
        <w:rPr>
          <w:rFonts w:eastAsia="Times New Roman"/>
        </w:rPr>
      </w:pPr>
      <w:r>
        <w:rPr>
          <w:rFonts w:ascii="Arial" w:eastAsia="Times New Roman" w:hAnsi="Arial" w:cs="Arial"/>
          <w:color w:val="000000"/>
          <w:sz w:val="20"/>
          <w:szCs w:val="20"/>
        </w:rPr>
        <w:t>34</w:t>
      </w:r>
    </w:p>
    <w:p w14:paraId="14E1E6BD" w14:textId="77777777" w:rsidR="00000000" w:rsidRDefault="001D0688">
      <w:pPr>
        <w:rPr>
          <w:rFonts w:eastAsia="Times New Roman"/>
        </w:rPr>
      </w:pPr>
      <w:r>
        <w:rPr>
          <w:rFonts w:eastAsia="Times New Roman"/>
        </w:rPr>
        <w:pict w14:anchorId="69CFB1FB">
          <v:rect id="_x0000_i1070" style="width:0;height:1.5pt" o:hralign="center" o:hrstd="t" o:hr="t" fillcolor="#a0a0a0" stroked="f"/>
        </w:pict>
      </w:r>
    </w:p>
    <w:p w14:paraId="395D9363" w14:textId="77777777" w:rsidR="00000000" w:rsidRDefault="001D0688">
      <w:pPr>
        <w:divId w:val="363678924"/>
        <w:rPr>
          <w:rFonts w:eastAsia="Times New Roman"/>
        </w:rPr>
      </w:pPr>
    </w:p>
    <w:p w14:paraId="55EC15AE" w14:textId="77777777" w:rsidR="00000000" w:rsidRDefault="001D0688">
      <w:pPr>
        <w:jc w:val="both"/>
        <w:divId w:val="659231579"/>
        <w:rPr>
          <w:rFonts w:eastAsia="Times New Roman"/>
        </w:rPr>
      </w:pPr>
      <w:r>
        <w:rPr>
          <w:rFonts w:ascii="Arial" w:eastAsia="Times New Roman" w:hAnsi="Arial" w:cs="Arial"/>
          <w:b/>
          <w:bCs/>
          <w:i/>
          <w:iCs/>
          <w:color w:val="0046AD"/>
          <w:sz w:val="20"/>
          <w:szCs w:val="20"/>
        </w:rPr>
        <w:t>Share Repurchases</w:t>
      </w:r>
    </w:p>
    <w:p w14:paraId="5D089072" w14:textId="77777777" w:rsidR="00000000" w:rsidRDefault="001D0688">
      <w:pPr>
        <w:ind w:firstLine="720"/>
        <w:jc w:val="both"/>
        <w:divId w:val="215238189"/>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We repur</w:t>
      </w:r>
      <w:r>
        <w:rPr>
          <w:rFonts w:ascii="Arial" w:eastAsia="Times New Roman" w:hAnsi="Arial" w:cs="Arial"/>
          <w:color w:val="000000"/>
          <w:sz w:val="20"/>
          <w:szCs w:val="20"/>
        </w:rPr>
        <w:t xml:space="preserve">chased shares under the 2019 Share Repurchase Program during the second quarter of 2020, as summarized below. However, due to the market and business conditions arising from the Pandemic, in March 2020 we suspended further repurchases of our common stock. </w:t>
      </w:r>
      <w:r>
        <w:rPr>
          <w:rFonts w:ascii="Arial" w:eastAsia="Times New Roman" w:hAnsi="Arial" w:cs="Arial"/>
          <w:color w:val="000000"/>
          <w:sz w:val="20"/>
          <w:szCs w:val="20"/>
        </w:rPr>
        <w:t xml:space="preserve">At October 31, 2020, authorization for $144.9 million of repurchases remained under the 2019 Share Repurchase Program. </w:t>
      </w:r>
    </w:p>
    <w:tbl>
      <w:tblPr>
        <w:tblW w:w="5000" w:type="pct"/>
        <w:tblCellMar>
          <w:top w:w="15" w:type="dxa"/>
          <w:left w:w="15" w:type="dxa"/>
          <w:bottom w:w="15" w:type="dxa"/>
          <w:right w:w="15" w:type="dxa"/>
        </w:tblCellMar>
        <w:tblLook w:val="04A0" w:firstRow="1" w:lastRow="0" w:firstColumn="1" w:lastColumn="0" w:noHBand="0" w:noVBand="1"/>
      </w:tblPr>
      <w:tblGrid>
        <w:gridCol w:w="46"/>
        <w:gridCol w:w="5860"/>
        <w:gridCol w:w="38"/>
        <w:gridCol w:w="133"/>
        <w:gridCol w:w="2192"/>
        <w:gridCol w:w="37"/>
      </w:tblGrid>
      <w:tr w:rsidR="00000000" w14:paraId="0B35DEE8" w14:textId="77777777">
        <w:trPr>
          <w:divId w:val="1449203804"/>
        </w:trPr>
        <w:tc>
          <w:tcPr>
            <w:tcW w:w="50" w:type="pct"/>
            <w:vAlign w:val="center"/>
            <w:hideMark/>
          </w:tcPr>
          <w:p w14:paraId="2C9A5642" w14:textId="77777777" w:rsidR="00000000" w:rsidRDefault="001D0688">
            <w:pPr>
              <w:ind w:firstLine="720"/>
              <w:jc w:val="both"/>
              <w:rPr>
                <w:rFonts w:eastAsia="Times New Roman"/>
              </w:rPr>
            </w:pPr>
          </w:p>
        </w:tc>
        <w:tc>
          <w:tcPr>
            <w:tcW w:w="3548" w:type="pct"/>
            <w:vAlign w:val="center"/>
            <w:hideMark/>
          </w:tcPr>
          <w:p w14:paraId="37EBEA95" w14:textId="77777777" w:rsidR="00000000" w:rsidRDefault="001D0688">
            <w:pPr>
              <w:rPr>
                <w:rFonts w:eastAsia="Times New Roman"/>
                <w:sz w:val="20"/>
                <w:szCs w:val="20"/>
              </w:rPr>
            </w:pPr>
          </w:p>
        </w:tc>
        <w:tc>
          <w:tcPr>
            <w:tcW w:w="5" w:type="pct"/>
            <w:vAlign w:val="center"/>
            <w:hideMark/>
          </w:tcPr>
          <w:p w14:paraId="70933057" w14:textId="77777777" w:rsidR="00000000" w:rsidRDefault="001D0688">
            <w:pPr>
              <w:rPr>
                <w:rFonts w:eastAsia="Times New Roman"/>
                <w:sz w:val="20"/>
                <w:szCs w:val="20"/>
              </w:rPr>
            </w:pPr>
          </w:p>
        </w:tc>
        <w:tc>
          <w:tcPr>
            <w:tcW w:w="50" w:type="pct"/>
            <w:vAlign w:val="center"/>
            <w:hideMark/>
          </w:tcPr>
          <w:p w14:paraId="59B26E1E" w14:textId="77777777" w:rsidR="00000000" w:rsidRDefault="001D0688">
            <w:pPr>
              <w:rPr>
                <w:rFonts w:eastAsia="Times New Roman"/>
                <w:sz w:val="20"/>
                <w:szCs w:val="20"/>
              </w:rPr>
            </w:pPr>
          </w:p>
        </w:tc>
        <w:tc>
          <w:tcPr>
            <w:tcW w:w="1341" w:type="pct"/>
            <w:vAlign w:val="center"/>
            <w:hideMark/>
          </w:tcPr>
          <w:p w14:paraId="2D37601F" w14:textId="77777777" w:rsidR="00000000" w:rsidRDefault="001D0688">
            <w:pPr>
              <w:rPr>
                <w:rFonts w:eastAsia="Times New Roman"/>
                <w:sz w:val="20"/>
                <w:szCs w:val="20"/>
              </w:rPr>
            </w:pPr>
          </w:p>
        </w:tc>
        <w:tc>
          <w:tcPr>
            <w:tcW w:w="5" w:type="pct"/>
            <w:vAlign w:val="center"/>
            <w:hideMark/>
          </w:tcPr>
          <w:p w14:paraId="406F5C54" w14:textId="77777777" w:rsidR="00000000" w:rsidRDefault="001D0688">
            <w:pPr>
              <w:rPr>
                <w:rFonts w:eastAsia="Times New Roman"/>
                <w:sz w:val="20"/>
                <w:szCs w:val="20"/>
              </w:rPr>
            </w:pPr>
          </w:p>
        </w:tc>
      </w:tr>
      <w:tr w:rsidR="00000000" w14:paraId="75854845" w14:textId="77777777">
        <w:trPr>
          <w:divId w:val="1449203804"/>
        </w:trPr>
        <w:tc>
          <w:tcPr>
            <w:tcW w:w="0" w:type="auto"/>
            <w:gridSpan w:val="3"/>
            <w:tcMar>
              <w:top w:w="0" w:type="dxa"/>
              <w:left w:w="20" w:type="dxa"/>
              <w:bottom w:w="0" w:type="dxa"/>
              <w:right w:w="20" w:type="dxa"/>
            </w:tcMar>
            <w:vAlign w:val="center"/>
            <w:hideMark/>
          </w:tcPr>
          <w:p w14:paraId="2CB51C56"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3B0CCF9B" w14:textId="77777777" w:rsidR="00000000" w:rsidRDefault="001D0688">
            <w:pPr>
              <w:jc w:val="center"/>
              <w:rPr>
                <w:rFonts w:eastAsia="Times New Roman"/>
              </w:rPr>
            </w:pPr>
            <w:r>
              <w:rPr>
                <w:rFonts w:ascii="Arial" w:eastAsia="Times New Roman" w:hAnsi="Arial" w:cs="Arial"/>
                <w:b/>
                <w:bCs/>
                <w:color w:val="000000"/>
                <w:sz w:val="20"/>
                <w:szCs w:val="20"/>
              </w:rPr>
              <w:t>Year Ended</w:t>
            </w:r>
          </w:p>
        </w:tc>
      </w:tr>
      <w:tr w:rsidR="00000000" w14:paraId="5F2AE241" w14:textId="77777777">
        <w:trPr>
          <w:divId w:val="1449203804"/>
        </w:trPr>
        <w:tc>
          <w:tcPr>
            <w:tcW w:w="0" w:type="auto"/>
            <w:gridSpan w:val="3"/>
            <w:tcMar>
              <w:top w:w="30" w:type="dxa"/>
              <w:left w:w="20" w:type="dxa"/>
              <w:bottom w:w="30" w:type="dxa"/>
              <w:right w:w="20" w:type="dxa"/>
            </w:tcMar>
            <w:vAlign w:val="bottom"/>
            <w:hideMark/>
          </w:tcPr>
          <w:p w14:paraId="15326C8A"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Mar>
              <w:top w:w="30" w:type="dxa"/>
              <w:left w:w="20" w:type="dxa"/>
              <w:bottom w:w="30" w:type="dxa"/>
              <w:right w:w="20" w:type="dxa"/>
            </w:tcMar>
            <w:vAlign w:val="bottom"/>
            <w:hideMark/>
          </w:tcPr>
          <w:p w14:paraId="4A7AAC25"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r>
      <w:tr w:rsidR="00000000" w14:paraId="76252246" w14:textId="77777777">
        <w:trPr>
          <w:divId w:val="1449203804"/>
        </w:trPr>
        <w:tc>
          <w:tcPr>
            <w:tcW w:w="0" w:type="auto"/>
            <w:gridSpan w:val="3"/>
            <w:shd w:val="clear" w:color="auto" w:fill="DCE2EF"/>
            <w:tcMar>
              <w:top w:w="30" w:type="dxa"/>
              <w:left w:w="20" w:type="dxa"/>
              <w:bottom w:w="30" w:type="dxa"/>
              <w:right w:w="20" w:type="dxa"/>
            </w:tcMar>
            <w:vAlign w:val="bottom"/>
            <w:hideMark/>
          </w:tcPr>
          <w:p w14:paraId="0B36B727" w14:textId="77777777" w:rsidR="00000000" w:rsidRDefault="001D0688">
            <w:pPr>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D1CF6FC"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3BF4A4" w14:textId="77777777" w:rsidR="00000000" w:rsidRDefault="001D0688">
            <w:pPr>
              <w:jc w:val="right"/>
              <w:rPr>
                <w:rFonts w:eastAsia="Times New Roman"/>
              </w:rPr>
            </w:pPr>
          </w:p>
        </w:tc>
      </w:tr>
      <w:tr w:rsidR="00000000" w14:paraId="1D6486F5" w14:textId="77777777">
        <w:trPr>
          <w:divId w:val="1449203804"/>
        </w:trPr>
        <w:tc>
          <w:tcPr>
            <w:tcW w:w="0" w:type="auto"/>
            <w:gridSpan w:val="3"/>
            <w:shd w:val="clear" w:color="auto" w:fill="FFFFFF"/>
            <w:tcMar>
              <w:top w:w="30" w:type="dxa"/>
              <w:left w:w="20" w:type="dxa"/>
              <w:bottom w:w="30" w:type="dxa"/>
              <w:right w:w="20" w:type="dxa"/>
            </w:tcMar>
            <w:vAlign w:val="bottom"/>
            <w:hideMark/>
          </w:tcPr>
          <w:p w14:paraId="09A0CA73" w14:textId="77777777" w:rsidR="00000000" w:rsidRDefault="001D0688">
            <w:pPr>
              <w:rPr>
                <w:rFonts w:eastAsia="Times New Roman"/>
              </w:rPr>
            </w:pPr>
            <w:r>
              <w:rPr>
                <w:rFonts w:ascii="Arial" w:eastAsia="Times New Roman" w:hAnsi="Arial" w:cs="Arial"/>
                <w:color w:val="000000"/>
                <w:sz w:val="20"/>
                <w:szCs w:val="20"/>
              </w:rPr>
              <w:t>Average price paid per share</w:t>
            </w:r>
          </w:p>
        </w:tc>
        <w:tc>
          <w:tcPr>
            <w:tcW w:w="0" w:type="auto"/>
            <w:shd w:val="clear" w:color="auto" w:fill="FFFFFF"/>
            <w:tcMar>
              <w:top w:w="30" w:type="dxa"/>
              <w:left w:w="20" w:type="dxa"/>
              <w:bottom w:w="30" w:type="dxa"/>
              <w:right w:w="0" w:type="dxa"/>
            </w:tcMar>
            <w:vAlign w:val="bottom"/>
            <w:hideMark/>
          </w:tcPr>
          <w:p w14:paraId="78834A5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FC8882E" w14:textId="77777777" w:rsidR="00000000" w:rsidRDefault="001D0688">
            <w:pPr>
              <w:jc w:val="right"/>
              <w:rPr>
                <w:rFonts w:eastAsia="Times New Roman"/>
              </w:rPr>
            </w:pPr>
            <w:r>
              <w:rPr>
                <w:rFonts w:ascii="Arial" w:eastAsia="Times New Roman" w:hAnsi="Arial" w:cs="Arial"/>
                <w:color w:val="000000"/>
                <w:sz w:val="20"/>
                <w:szCs w:val="20"/>
              </w:rPr>
              <w:t>36.16 </w:t>
            </w:r>
          </w:p>
        </w:tc>
        <w:tc>
          <w:tcPr>
            <w:tcW w:w="0" w:type="auto"/>
            <w:shd w:val="clear" w:color="auto" w:fill="FFFFFF"/>
            <w:tcMar>
              <w:top w:w="30" w:type="dxa"/>
              <w:left w:w="0" w:type="dxa"/>
              <w:bottom w:w="30" w:type="dxa"/>
              <w:right w:w="20" w:type="dxa"/>
            </w:tcMar>
            <w:vAlign w:val="bottom"/>
            <w:hideMark/>
          </w:tcPr>
          <w:p w14:paraId="2B1D481F" w14:textId="77777777" w:rsidR="00000000" w:rsidRDefault="001D0688">
            <w:pPr>
              <w:jc w:val="right"/>
              <w:rPr>
                <w:rFonts w:eastAsia="Times New Roman"/>
              </w:rPr>
            </w:pPr>
          </w:p>
        </w:tc>
      </w:tr>
      <w:tr w:rsidR="00000000" w14:paraId="588FA15C" w14:textId="77777777">
        <w:trPr>
          <w:divId w:val="1449203804"/>
        </w:trPr>
        <w:tc>
          <w:tcPr>
            <w:tcW w:w="0" w:type="auto"/>
            <w:gridSpan w:val="3"/>
            <w:shd w:val="clear" w:color="auto" w:fill="DCE2EF"/>
            <w:tcMar>
              <w:top w:w="30" w:type="dxa"/>
              <w:left w:w="20" w:type="dxa"/>
              <w:bottom w:w="30" w:type="dxa"/>
              <w:right w:w="20" w:type="dxa"/>
            </w:tcMar>
            <w:vAlign w:val="bottom"/>
            <w:hideMark/>
          </w:tcPr>
          <w:p w14:paraId="349A3999" w14:textId="77777777" w:rsidR="00000000" w:rsidRDefault="001D0688">
            <w:pPr>
              <w:rPr>
                <w:rFonts w:eastAsia="Times New Roman"/>
              </w:rPr>
            </w:pPr>
            <w:r>
              <w:rPr>
                <w:rFonts w:ascii="Arial" w:eastAsia="Times New Roman" w:hAnsi="Arial" w:cs="Arial"/>
                <w:color w:val="000000"/>
                <w:sz w:val="20"/>
                <w:szCs w:val="20"/>
              </w:rPr>
              <w:t>Total cash paid for share repurchases</w:t>
            </w:r>
          </w:p>
        </w:tc>
        <w:tc>
          <w:tcPr>
            <w:tcW w:w="0" w:type="auto"/>
            <w:shd w:val="clear" w:color="auto" w:fill="DCE2EF"/>
            <w:tcMar>
              <w:top w:w="30" w:type="dxa"/>
              <w:left w:w="20" w:type="dxa"/>
              <w:bottom w:w="30" w:type="dxa"/>
              <w:right w:w="0" w:type="dxa"/>
            </w:tcMar>
            <w:vAlign w:val="bottom"/>
            <w:hideMark/>
          </w:tcPr>
          <w:p w14:paraId="1BA07F3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73C681E" w14:textId="77777777" w:rsidR="00000000" w:rsidRDefault="001D0688">
            <w:pPr>
              <w:jc w:val="right"/>
              <w:rPr>
                <w:rFonts w:eastAsia="Times New Roman"/>
              </w:rPr>
            </w:pPr>
            <w:r>
              <w:rPr>
                <w:rFonts w:ascii="Arial" w:eastAsia="Times New Roman" w:hAnsi="Arial" w:cs="Arial"/>
                <w:color w:val="000000"/>
                <w:sz w:val="20"/>
                <w:szCs w:val="20"/>
              </w:rPr>
              <w:t>5.1 </w:t>
            </w:r>
          </w:p>
        </w:tc>
        <w:tc>
          <w:tcPr>
            <w:tcW w:w="0" w:type="auto"/>
            <w:shd w:val="clear" w:color="auto" w:fill="DCE2EF"/>
            <w:tcMar>
              <w:top w:w="30" w:type="dxa"/>
              <w:left w:w="0" w:type="dxa"/>
              <w:bottom w:w="30" w:type="dxa"/>
              <w:right w:w="20" w:type="dxa"/>
            </w:tcMar>
            <w:vAlign w:val="bottom"/>
            <w:hideMark/>
          </w:tcPr>
          <w:p w14:paraId="637347A0" w14:textId="77777777" w:rsidR="00000000" w:rsidRDefault="001D0688">
            <w:pPr>
              <w:jc w:val="right"/>
              <w:rPr>
                <w:rFonts w:eastAsia="Times New Roman"/>
              </w:rPr>
            </w:pPr>
          </w:p>
        </w:tc>
      </w:tr>
    </w:tbl>
    <w:p w14:paraId="192E3744" w14:textId="77777777" w:rsidR="00000000" w:rsidRDefault="001D0688">
      <w:pPr>
        <w:jc w:val="both"/>
        <w:divId w:val="546916424"/>
        <w:rPr>
          <w:rFonts w:eastAsia="Times New Roman"/>
        </w:rPr>
      </w:pPr>
      <w:r>
        <w:rPr>
          <w:rFonts w:ascii="Arial" w:eastAsia="Times New Roman" w:hAnsi="Arial" w:cs="Arial"/>
          <w:b/>
          <w:bCs/>
          <w:i/>
          <w:iCs/>
          <w:color w:val="0046AD"/>
          <w:sz w:val="20"/>
          <w:szCs w:val="20"/>
        </w:rPr>
        <w:t>Proceeds from Federal Energy Savings Performance Contracts</w:t>
      </w:r>
    </w:p>
    <w:p w14:paraId="1D0AF450" w14:textId="77777777" w:rsidR="00000000" w:rsidRDefault="001D0688">
      <w:pPr>
        <w:ind w:firstLine="720"/>
        <w:jc w:val="both"/>
        <w:divId w:val="406879384"/>
        <w:rPr>
          <w:rFonts w:eastAsia="Times New Roman"/>
        </w:rPr>
      </w:pPr>
      <w:r>
        <w:rPr>
          <w:rFonts w:ascii="Arial" w:eastAsia="Times New Roman" w:hAnsi="Arial" w:cs="Arial"/>
          <w:color w:val="000000"/>
          <w:sz w:val="20"/>
          <w:szCs w:val="20"/>
        </w:rPr>
        <w:t>As part of our Technical Solutions business, we enter into energy savings performance contracts (“ESPC”) with the federal government pursuant to which we agree to develop, design, engineer, and construct a project and guarantee that the project will satisf</w:t>
      </w:r>
      <w:r>
        <w:rPr>
          <w:rFonts w:ascii="Arial" w:eastAsia="Times New Roman" w:hAnsi="Arial" w:cs="Arial"/>
          <w:color w:val="000000"/>
          <w:sz w:val="20"/>
          <w:szCs w:val="20"/>
        </w:rPr>
        <w:t>y agreed-upon performance standards. Proceeds from ESPC projects are generally received in advance of construction through agreements to sell the ESPC receivables to unaffiliated third parties. We use the advances from the third parties under these agreeme</w:t>
      </w:r>
      <w:r>
        <w:rPr>
          <w:rFonts w:ascii="Arial" w:eastAsia="Times New Roman" w:hAnsi="Arial" w:cs="Arial"/>
          <w:color w:val="000000"/>
          <w:sz w:val="20"/>
          <w:szCs w:val="20"/>
        </w:rPr>
        <w:t xml:space="preserve">nts to finance the projects, which are recorded as cash flows from financing activities. The use of the cash received under these arrangements to pay project costs is classified as operating cash flows. </w:t>
      </w:r>
    </w:p>
    <w:p w14:paraId="484B54EA" w14:textId="77777777" w:rsidR="00000000" w:rsidRDefault="001D0688">
      <w:pPr>
        <w:jc w:val="both"/>
        <w:divId w:val="282420155"/>
        <w:rPr>
          <w:rFonts w:eastAsia="Times New Roman"/>
        </w:rPr>
      </w:pPr>
      <w:r>
        <w:rPr>
          <w:rFonts w:ascii="Arial" w:eastAsia="Times New Roman" w:hAnsi="Arial" w:cs="Arial"/>
          <w:b/>
          <w:bCs/>
          <w:i/>
          <w:iCs/>
          <w:color w:val="0046AD"/>
          <w:sz w:val="20"/>
          <w:szCs w:val="20"/>
        </w:rPr>
        <w:t>Effect of Inflation</w:t>
      </w:r>
    </w:p>
    <w:p w14:paraId="0D056329" w14:textId="77777777" w:rsidR="00000000" w:rsidRDefault="001D0688">
      <w:pPr>
        <w:ind w:firstLine="720"/>
        <w:jc w:val="both"/>
        <w:divId w:val="825903015"/>
        <w:rPr>
          <w:rFonts w:eastAsia="Times New Roman"/>
        </w:rPr>
      </w:pPr>
      <w:r>
        <w:rPr>
          <w:rFonts w:ascii="Arial" w:eastAsia="Times New Roman" w:hAnsi="Arial" w:cs="Arial"/>
          <w:color w:val="000000"/>
          <w:sz w:val="20"/>
          <w:szCs w:val="20"/>
        </w:rPr>
        <w:t>The rates of inflation experienc</w:t>
      </w:r>
      <w:r>
        <w:rPr>
          <w:rFonts w:ascii="Arial" w:eastAsia="Times New Roman" w:hAnsi="Arial" w:cs="Arial"/>
          <w:color w:val="000000"/>
          <w:sz w:val="20"/>
          <w:szCs w:val="20"/>
        </w:rPr>
        <w:t>ed in recent years have not had a material impact on our Financial Statements. We attempt to recover increased costs by increasing prices for our services, to the extent permitted by contracts and competition.</w:t>
      </w:r>
    </w:p>
    <w:p w14:paraId="22B9E0AE" w14:textId="77777777" w:rsidR="00000000" w:rsidRDefault="001D0688">
      <w:pPr>
        <w:jc w:val="both"/>
        <w:divId w:val="6443328"/>
        <w:rPr>
          <w:rFonts w:eastAsia="Times New Roman"/>
        </w:rPr>
      </w:pPr>
      <w:r>
        <w:rPr>
          <w:rFonts w:ascii="Arial" w:eastAsia="Times New Roman" w:hAnsi="Arial" w:cs="Arial"/>
          <w:b/>
          <w:bCs/>
          <w:i/>
          <w:iCs/>
          <w:color w:val="0046AD"/>
          <w:sz w:val="20"/>
          <w:szCs w:val="20"/>
        </w:rPr>
        <w:t>Regulatory Environment</w:t>
      </w:r>
    </w:p>
    <w:p w14:paraId="4FED434F" w14:textId="77777777" w:rsidR="00000000" w:rsidRDefault="001D0688">
      <w:pPr>
        <w:ind w:firstLine="720"/>
        <w:jc w:val="both"/>
        <w:divId w:val="383917792"/>
        <w:rPr>
          <w:rFonts w:eastAsia="Times New Roman"/>
        </w:rPr>
      </w:pPr>
      <w:r>
        <w:rPr>
          <w:rFonts w:ascii="Arial" w:eastAsia="Times New Roman" w:hAnsi="Arial" w:cs="Arial"/>
          <w:color w:val="000000"/>
          <w:sz w:val="20"/>
          <w:szCs w:val="20"/>
        </w:rPr>
        <w:t>Our operations are subj</w:t>
      </w:r>
      <w:r>
        <w:rPr>
          <w:rFonts w:ascii="Arial" w:eastAsia="Times New Roman" w:hAnsi="Arial" w:cs="Arial"/>
          <w:color w:val="000000"/>
          <w:sz w:val="20"/>
          <w:szCs w:val="20"/>
        </w:rPr>
        <w:t>ect to various federal, state, and/or local laws, rules, and regulations regulating the discharge of materials into the environment or otherwise relating to the protection of the environment, as well as laws and regulations relating to, among other things,</w:t>
      </w:r>
      <w:r>
        <w:rPr>
          <w:rFonts w:ascii="Arial" w:eastAsia="Times New Roman" w:hAnsi="Arial" w:cs="Arial"/>
          <w:color w:val="000000"/>
          <w:sz w:val="20"/>
          <w:szCs w:val="20"/>
        </w:rPr>
        <w:t xml:space="preserve"> labor, wages, and health and safety matters. Historically, the cost of complying with these laws, rules, and regulations has not had a material adverse effect on our financial position, results of operations, or cash flows. </w:t>
      </w:r>
    </w:p>
    <w:p w14:paraId="5C3C0E35" w14:textId="77777777" w:rsidR="00000000" w:rsidRDefault="001D0688">
      <w:pPr>
        <w:jc w:val="both"/>
        <w:divId w:val="1991205175"/>
        <w:rPr>
          <w:rFonts w:eastAsia="Times New Roman"/>
        </w:rPr>
      </w:pPr>
    </w:p>
    <w:p w14:paraId="06F9DF4C" w14:textId="77777777" w:rsidR="00000000" w:rsidRDefault="001D0688">
      <w:pPr>
        <w:jc w:val="center"/>
        <w:divId w:val="472874460"/>
        <w:rPr>
          <w:rFonts w:eastAsia="Times New Roman"/>
        </w:rPr>
      </w:pPr>
      <w:r>
        <w:rPr>
          <w:rFonts w:ascii="Arial" w:eastAsia="Times New Roman" w:hAnsi="Arial" w:cs="Arial"/>
          <w:color w:val="000000"/>
          <w:sz w:val="20"/>
          <w:szCs w:val="20"/>
        </w:rPr>
        <w:t>35</w:t>
      </w:r>
    </w:p>
    <w:p w14:paraId="3AF82A7F" w14:textId="77777777" w:rsidR="00000000" w:rsidRDefault="001D0688">
      <w:pPr>
        <w:rPr>
          <w:rFonts w:eastAsia="Times New Roman"/>
        </w:rPr>
      </w:pPr>
      <w:r>
        <w:rPr>
          <w:rFonts w:eastAsia="Times New Roman"/>
        </w:rPr>
        <w:pict w14:anchorId="5FEBCC7B">
          <v:rect id="_x0000_i1071" style="width:0;height:1.5pt" o:hralign="center" o:hrstd="t" o:hr="t" fillcolor="#a0a0a0" stroked="f"/>
        </w:pict>
      </w:r>
    </w:p>
    <w:p w14:paraId="5D831357" w14:textId="77777777" w:rsidR="00000000" w:rsidRDefault="001D0688">
      <w:pPr>
        <w:divId w:val="1784183245"/>
        <w:rPr>
          <w:rFonts w:eastAsia="Times New Roman"/>
        </w:rPr>
      </w:pPr>
    </w:p>
    <w:p w14:paraId="0889DC35" w14:textId="77777777" w:rsidR="00000000" w:rsidRDefault="001D0688">
      <w:pPr>
        <w:jc w:val="both"/>
        <w:divId w:val="673916580"/>
        <w:rPr>
          <w:rFonts w:eastAsia="Times New Roman"/>
        </w:rPr>
      </w:pPr>
      <w:r>
        <w:rPr>
          <w:rFonts w:ascii="Arial" w:eastAsia="Times New Roman" w:hAnsi="Arial" w:cs="Arial"/>
          <w:b/>
          <w:bCs/>
          <w:i/>
          <w:iCs/>
          <w:color w:val="0046AD"/>
          <w:sz w:val="20"/>
          <w:szCs w:val="20"/>
        </w:rPr>
        <w:t xml:space="preserve">Cash Flows </w:t>
      </w:r>
    </w:p>
    <w:p w14:paraId="2BD18A70" w14:textId="77777777" w:rsidR="00000000" w:rsidRDefault="001D0688">
      <w:pPr>
        <w:jc w:val="both"/>
        <w:divId w:val="75833605"/>
        <w:rPr>
          <w:rFonts w:eastAsia="Times New Roman"/>
        </w:rPr>
      </w:pPr>
      <w:r>
        <w:rPr>
          <w:rFonts w:ascii="Arial" w:eastAsia="Times New Roman" w:hAnsi="Arial" w:cs="Arial"/>
          <w:color w:val="000000"/>
          <w:sz w:val="20"/>
          <w:szCs w:val="20"/>
        </w:rPr>
        <w:t>    In addition to revenues and operating profit, our management views operating cash flows as a good indicator of financial performance, because strong operating cash flows provide opportunities for growth both organically and th</w:t>
      </w:r>
      <w:r>
        <w:rPr>
          <w:rFonts w:ascii="Arial" w:eastAsia="Times New Roman" w:hAnsi="Arial" w:cs="Arial"/>
          <w:color w:val="000000"/>
          <w:sz w:val="20"/>
          <w:szCs w:val="20"/>
        </w:rPr>
        <w:t xml:space="preserve">rough acquisitions. Net cash provided by operating activities of continuing operations was $457.4 million, which includes the deferral of approximately $101 million of payroll tax under the CARES Act, during 2020. Operating cash flows primarily depend on: </w:t>
      </w:r>
      <w:r>
        <w:rPr>
          <w:rFonts w:ascii="Arial" w:eastAsia="Times New Roman" w:hAnsi="Arial" w:cs="Arial"/>
          <w:color w:val="000000"/>
          <w:sz w:val="20"/>
          <w:szCs w:val="20"/>
        </w:rPr>
        <w:t>revenue levels; the quality and timing of collections of accounts receivable; the timing of payments to suppliers and other vendors; the timing and amount of income tax payments; and the timing and amount of payments on insurance claims and legal settlemen</w:t>
      </w:r>
      <w:r>
        <w:rPr>
          <w:rFonts w:ascii="Arial" w:eastAsia="Times New Roman" w:hAnsi="Arial" w:cs="Arial"/>
          <w:color w:val="000000"/>
          <w:sz w:val="20"/>
          <w:szCs w:val="20"/>
        </w:rPr>
        <w:t xml:space="preserve">ts. </w:t>
      </w:r>
    </w:p>
    <w:tbl>
      <w:tblPr>
        <w:tblW w:w="5000" w:type="pct"/>
        <w:tblCellMar>
          <w:top w:w="15" w:type="dxa"/>
          <w:left w:w="15" w:type="dxa"/>
          <w:bottom w:w="15" w:type="dxa"/>
          <w:right w:w="15" w:type="dxa"/>
        </w:tblCellMar>
        <w:tblLook w:val="04A0" w:firstRow="1" w:lastRow="0" w:firstColumn="1" w:lastColumn="0" w:noHBand="0" w:noVBand="1"/>
      </w:tblPr>
      <w:tblGrid>
        <w:gridCol w:w="39"/>
        <w:gridCol w:w="5520"/>
        <w:gridCol w:w="37"/>
        <w:gridCol w:w="132"/>
        <w:gridCol w:w="693"/>
        <w:gridCol w:w="36"/>
        <w:gridCol w:w="36"/>
        <w:gridCol w:w="36"/>
        <w:gridCol w:w="36"/>
        <w:gridCol w:w="132"/>
        <w:gridCol w:w="648"/>
        <w:gridCol w:w="36"/>
        <w:gridCol w:w="36"/>
        <w:gridCol w:w="36"/>
        <w:gridCol w:w="36"/>
        <w:gridCol w:w="132"/>
        <w:gridCol w:w="649"/>
        <w:gridCol w:w="36"/>
      </w:tblGrid>
      <w:tr w:rsidR="00000000" w14:paraId="7AF8F1AE" w14:textId="77777777">
        <w:trPr>
          <w:divId w:val="2051295295"/>
        </w:trPr>
        <w:tc>
          <w:tcPr>
            <w:tcW w:w="50" w:type="pct"/>
            <w:vAlign w:val="center"/>
            <w:hideMark/>
          </w:tcPr>
          <w:p w14:paraId="20B8B279" w14:textId="77777777" w:rsidR="00000000" w:rsidRDefault="001D0688">
            <w:pPr>
              <w:jc w:val="both"/>
              <w:rPr>
                <w:rFonts w:eastAsia="Times New Roman"/>
              </w:rPr>
            </w:pPr>
          </w:p>
        </w:tc>
        <w:tc>
          <w:tcPr>
            <w:tcW w:w="3358" w:type="pct"/>
            <w:vAlign w:val="center"/>
            <w:hideMark/>
          </w:tcPr>
          <w:p w14:paraId="68A37FE1" w14:textId="77777777" w:rsidR="00000000" w:rsidRDefault="001D0688">
            <w:pPr>
              <w:rPr>
                <w:rFonts w:eastAsia="Times New Roman"/>
                <w:sz w:val="20"/>
                <w:szCs w:val="20"/>
              </w:rPr>
            </w:pPr>
          </w:p>
        </w:tc>
        <w:tc>
          <w:tcPr>
            <w:tcW w:w="5" w:type="pct"/>
            <w:vAlign w:val="center"/>
            <w:hideMark/>
          </w:tcPr>
          <w:p w14:paraId="636DD638" w14:textId="77777777" w:rsidR="00000000" w:rsidRDefault="001D0688">
            <w:pPr>
              <w:rPr>
                <w:rFonts w:eastAsia="Times New Roman"/>
                <w:sz w:val="20"/>
                <w:szCs w:val="20"/>
              </w:rPr>
            </w:pPr>
          </w:p>
        </w:tc>
        <w:tc>
          <w:tcPr>
            <w:tcW w:w="50" w:type="pct"/>
            <w:vAlign w:val="center"/>
            <w:hideMark/>
          </w:tcPr>
          <w:p w14:paraId="07C00960" w14:textId="77777777" w:rsidR="00000000" w:rsidRDefault="001D0688">
            <w:pPr>
              <w:rPr>
                <w:rFonts w:eastAsia="Times New Roman"/>
                <w:sz w:val="20"/>
                <w:szCs w:val="20"/>
              </w:rPr>
            </w:pPr>
          </w:p>
        </w:tc>
        <w:tc>
          <w:tcPr>
            <w:tcW w:w="449" w:type="pct"/>
            <w:vAlign w:val="center"/>
            <w:hideMark/>
          </w:tcPr>
          <w:p w14:paraId="6D3451FB" w14:textId="77777777" w:rsidR="00000000" w:rsidRDefault="001D0688">
            <w:pPr>
              <w:rPr>
                <w:rFonts w:eastAsia="Times New Roman"/>
                <w:sz w:val="20"/>
                <w:szCs w:val="20"/>
              </w:rPr>
            </w:pPr>
          </w:p>
        </w:tc>
        <w:tc>
          <w:tcPr>
            <w:tcW w:w="5" w:type="pct"/>
            <w:vAlign w:val="center"/>
            <w:hideMark/>
          </w:tcPr>
          <w:p w14:paraId="0B3A0D89" w14:textId="77777777" w:rsidR="00000000" w:rsidRDefault="001D0688">
            <w:pPr>
              <w:rPr>
                <w:rFonts w:eastAsia="Times New Roman"/>
                <w:sz w:val="20"/>
                <w:szCs w:val="20"/>
              </w:rPr>
            </w:pPr>
          </w:p>
        </w:tc>
        <w:tc>
          <w:tcPr>
            <w:tcW w:w="5" w:type="pct"/>
            <w:vAlign w:val="center"/>
            <w:hideMark/>
          </w:tcPr>
          <w:p w14:paraId="4D260448" w14:textId="77777777" w:rsidR="00000000" w:rsidRDefault="001D0688">
            <w:pPr>
              <w:rPr>
                <w:rFonts w:eastAsia="Times New Roman"/>
                <w:sz w:val="20"/>
                <w:szCs w:val="20"/>
              </w:rPr>
            </w:pPr>
          </w:p>
        </w:tc>
        <w:tc>
          <w:tcPr>
            <w:tcW w:w="26" w:type="pct"/>
            <w:vAlign w:val="center"/>
            <w:hideMark/>
          </w:tcPr>
          <w:p w14:paraId="467F0AE2" w14:textId="77777777" w:rsidR="00000000" w:rsidRDefault="001D0688">
            <w:pPr>
              <w:rPr>
                <w:rFonts w:eastAsia="Times New Roman"/>
                <w:sz w:val="20"/>
                <w:szCs w:val="20"/>
              </w:rPr>
            </w:pPr>
          </w:p>
        </w:tc>
        <w:tc>
          <w:tcPr>
            <w:tcW w:w="5" w:type="pct"/>
            <w:vAlign w:val="center"/>
            <w:hideMark/>
          </w:tcPr>
          <w:p w14:paraId="12D159F2" w14:textId="77777777" w:rsidR="00000000" w:rsidRDefault="001D0688">
            <w:pPr>
              <w:rPr>
                <w:rFonts w:eastAsia="Times New Roman"/>
                <w:sz w:val="20"/>
                <w:szCs w:val="20"/>
              </w:rPr>
            </w:pPr>
          </w:p>
        </w:tc>
        <w:tc>
          <w:tcPr>
            <w:tcW w:w="50" w:type="pct"/>
            <w:vAlign w:val="center"/>
            <w:hideMark/>
          </w:tcPr>
          <w:p w14:paraId="0474443A" w14:textId="77777777" w:rsidR="00000000" w:rsidRDefault="001D0688">
            <w:pPr>
              <w:rPr>
                <w:rFonts w:eastAsia="Times New Roman"/>
                <w:sz w:val="20"/>
                <w:szCs w:val="20"/>
              </w:rPr>
            </w:pPr>
          </w:p>
        </w:tc>
        <w:tc>
          <w:tcPr>
            <w:tcW w:w="449" w:type="pct"/>
            <w:vAlign w:val="center"/>
            <w:hideMark/>
          </w:tcPr>
          <w:p w14:paraId="7B6A1818" w14:textId="77777777" w:rsidR="00000000" w:rsidRDefault="001D0688">
            <w:pPr>
              <w:rPr>
                <w:rFonts w:eastAsia="Times New Roman"/>
                <w:sz w:val="20"/>
                <w:szCs w:val="20"/>
              </w:rPr>
            </w:pPr>
          </w:p>
        </w:tc>
        <w:tc>
          <w:tcPr>
            <w:tcW w:w="5" w:type="pct"/>
            <w:vAlign w:val="center"/>
            <w:hideMark/>
          </w:tcPr>
          <w:p w14:paraId="302B454F" w14:textId="77777777" w:rsidR="00000000" w:rsidRDefault="001D0688">
            <w:pPr>
              <w:rPr>
                <w:rFonts w:eastAsia="Times New Roman"/>
                <w:sz w:val="20"/>
                <w:szCs w:val="20"/>
              </w:rPr>
            </w:pPr>
          </w:p>
        </w:tc>
        <w:tc>
          <w:tcPr>
            <w:tcW w:w="5" w:type="pct"/>
            <w:vAlign w:val="center"/>
            <w:hideMark/>
          </w:tcPr>
          <w:p w14:paraId="070EB375" w14:textId="77777777" w:rsidR="00000000" w:rsidRDefault="001D0688">
            <w:pPr>
              <w:rPr>
                <w:rFonts w:eastAsia="Times New Roman"/>
                <w:sz w:val="20"/>
                <w:szCs w:val="20"/>
              </w:rPr>
            </w:pPr>
          </w:p>
        </w:tc>
        <w:tc>
          <w:tcPr>
            <w:tcW w:w="26" w:type="pct"/>
            <w:vAlign w:val="center"/>
            <w:hideMark/>
          </w:tcPr>
          <w:p w14:paraId="5A07351E" w14:textId="77777777" w:rsidR="00000000" w:rsidRDefault="001D0688">
            <w:pPr>
              <w:rPr>
                <w:rFonts w:eastAsia="Times New Roman"/>
                <w:sz w:val="20"/>
                <w:szCs w:val="20"/>
              </w:rPr>
            </w:pPr>
          </w:p>
        </w:tc>
        <w:tc>
          <w:tcPr>
            <w:tcW w:w="5" w:type="pct"/>
            <w:vAlign w:val="center"/>
            <w:hideMark/>
          </w:tcPr>
          <w:p w14:paraId="618DA0C7" w14:textId="77777777" w:rsidR="00000000" w:rsidRDefault="001D0688">
            <w:pPr>
              <w:rPr>
                <w:rFonts w:eastAsia="Times New Roman"/>
                <w:sz w:val="20"/>
                <w:szCs w:val="20"/>
              </w:rPr>
            </w:pPr>
          </w:p>
        </w:tc>
        <w:tc>
          <w:tcPr>
            <w:tcW w:w="50" w:type="pct"/>
            <w:vAlign w:val="center"/>
            <w:hideMark/>
          </w:tcPr>
          <w:p w14:paraId="115DED2E" w14:textId="77777777" w:rsidR="00000000" w:rsidRDefault="001D0688">
            <w:pPr>
              <w:rPr>
                <w:rFonts w:eastAsia="Times New Roman"/>
                <w:sz w:val="20"/>
                <w:szCs w:val="20"/>
              </w:rPr>
            </w:pPr>
          </w:p>
        </w:tc>
        <w:tc>
          <w:tcPr>
            <w:tcW w:w="449" w:type="pct"/>
            <w:vAlign w:val="center"/>
            <w:hideMark/>
          </w:tcPr>
          <w:p w14:paraId="5B60ACFD" w14:textId="77777777" w:rsidR="00000000" w:rsidRDefault="001D0688">
            <w:pPr>
              <w:rPr>
                <w:rFonts w:eastAsia="Times New Roman"/>
                <w:sz w:val="20"/>
                <w:szCs w:val="20"/>
              </w:rPr>
            </w:pPr>
          </w:p>
        </w:tc>
        <w:tc>
          <w:tcPr>
            <w:tcW w:w="5" w:type="pct"/>
            <w:vAlign w:val="center"/>
            <w:hideMark/>
          </w:tcPr>
          <w:p w14:paraId="26D9575A" w14:textId="77777777" w:rsidR="00000000" w:rsidRDefault="001D0688">
            <w:pPr>
              <w:rPr>
                <w:rFonts w:eastAsia="Times New Roman"/>
                <w:sz w:val="20"/>
                <w:szCs w:val="20"/>
              </w:rPr>
            </w:pPr>
          </w:p>
        </w:tc>
      </w:tr>
      <w:tr w:rsidR="00000000" w14:paraId="40409BAF" w14:textId="77777777">
        <w:trPr>
          <w:divId w:val="2051295295"/>
        </w:trPr>
        <w:tc>
          <w:tcPr>
            <w:tcW w:w="0" w:type="auto"/>
            <w:gridSpan w:val="3"/>
            <w:tcMar>
              <w:top w:w="30" w:type="dxa"/>
              <w:left w:w="20" w:type="dxa"/>
              <w:bottom w:w="30" w:type="dxa"/>
              <w:right w:w="20" w:type="dxa"/>
            </w:tcMar>
            <w:vAlign w:val="bottom"/>
            <w:hideMark/>
          </w:tcPr>
          <w:p w14:paraId="3B5CA62F" w14:textId="77777777" w:rsidR="00000000" w:rsidRDefault="001D0688">
            <w:pPr>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14:paraId="6C602A38"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36EB995A" w14:textId="77777777">
        <w:trPr>
          <w:divId w:val="2051295295"/>
        </w:trPr>
        <w:tc>
          <w:tcPr>
            <w:tcW w:w="0" w:type="auto"/>
            <w:gridSpan w:val="3"/>
            <w:tcMar>
              <w:top w:w="30" w:type="dxa"/>
              <w:left w:w="20" w:type="dxa"/>
              <w:bottom w:w="30" w:type="dxa"/>
              <w:right w:w="20" w:type="dxa"/>
            </w:tcMar>
            <w:vAlign w:val="bottom"/>
            <w:hideMark/>
          </w:tcPr>
          <w:p w14:paraId="09A14D70" w14:textId="77777777" w:rsidR="00000000" w:rsidRDefault="001D0688">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C247265"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6D4542B6"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1D3EE6"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1E02BDEC"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3CBB55"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03C4DF5E" w14:textId="77777777">
        <w:trPr>
          <w:divId w:val="2051295295"/>
        </w:trPr>
        <w:tc>
          <w:tcPr>
            <w:tcW w:w="0" w:type="auto"/>
            <w:gridSpan w:val="3"/>
            <w:shd w:val="clear" w:color="auto" w:fill="DCE2EF"/>
            <w:tcMar>
              <w:top w:w="30" w:type="dxa"/>
              <w:left w:w="20" w:type="dxa"/>
              <w:bottom w:w="30" w:type="dxa"/>
              <w:right w:w="20" w:type="dxa"/>
            </w:tcMar>
            <w:vAlign w:val="bottom"/>
            <w:hideMark/>
          </w:tcPr>
          <w:p w14:paraId="0766D3A3" w14:textId="77777777" w:rsidR="00000000" w:rsidRDefault="001D0688">
            <w:pPr>
              <w:rPr>
                <w:rFonts w:eastAsia="Times New Roman"/>
              </w:rPr>
            </w:pPr>
            <w:r>
              <w:rPr>
                <w:rFonts w:ascii="Arial" w:eastAsia="Times New Roman" w:hAnsi="Arial" w:cs="Arial"/>
                <w:color w:val="000000"/>
                <w:sz w:val="20"/>
                <w:szCs w:val="20"/>
              </w:rPr>
              <w:t>Net cash provided by operating activities of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ED1C1B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000AD52" w14:textId="77777777" w:rsidR="00000000" w:rsidRDefault="001D0688">
            <w:pPr>
              <w:jc w:val="right"/>
              <w:rPr>
                <w:rFonts w:eastAsia="Times New Roman"/>
              </w:rPr>
            </w:pPr>
            <w:r>
              <w:rPr>
                <w:rFonts w:ascii="Arial" w:eastAsia="Times New Roman" w:hAnsi="Arial" w:cs="Arial"/>
                <w:color w:val="000000"/>
                <w:sz w:val="20"/>
                <w:szCs w:val="20"/>
              </w:rPr>
              <w:t>457.4 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505EC9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5259D6"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54D3FA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F90E75B" w14:textId="77777777" w:rsidR="00000000" w:rsidRDefault="001D0688">
            <w:pPr>
              <w:jc w:val="right"/>
              <w:rPr>
                <w:rFonts w:eastAsia="Times New Roman"/>
              </w:rPr>
            </w:pPr>
            <w:r>
              <w:rPr>
                <w:rFonts w:ascii="Arial" w:eastAsia="Times New Roman" w:hAnsi="Arial" w:cs="Arial"/>
                <w:color w:val="000000"/>
                <w:sz w:val="20"/>
                <w:szCs w:val="20"/>
              </w:rPr>
              <w:t>262.8 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5084C5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64E3D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B84B6B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D61A87A" w14:textId="77777777" w:rsidR="00000000" w:rsidRDefault="001D0688">
            <w:pPr>
              <w:jc w:val="right"/>
              <w:rPr>
                <w:rFonts w:eastAsia="Times New Roman"/>
              </w:rPr>
            </w:pPr>
            <w:r>
              <w:rPr>
                <w:rFonts w:ascii="Arial" w:eastAsia="Times New Roman" w:hAnsi="Arial" w:cs="Arial"/>
                <w:color w:val="000000"/>
                <w:sz w:val="20"/>
                <w:szCs w:val="20"/>
              </w:rPr>
              <w:t>299.7 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68913AE" w14:textId="77777777" w:rsidR="00000000" w:rsidRDefault="001D0688">
            <w:pPr>
              <w:jc w:val="right"/>
              <w:rPr>
                <w:rFonts w:eastAsia="Times New Roman"/>
              </w:rPr>
            </w:pPr>
          </w:p>
        </w:tc>
      </w:tr>
      <w:tr w:rsidR="00000000" w14:paraId="575FB40C" w14:textId="77777777">
        <w:trPr>
          <w:divId w:val="2051295295"/>
        </w:trPr>
        <w:tc>
          <w:tcPr>
            <w:tcW w:w="0" w:type="auto"/>
            <w:gridSpan w:val="3"/>
            <w:tcMar>
              <w:top w:w="30" w:type="dxa"/>
              <w:left w:w="20" w:type="dxa"/>
              <w:bottom w:w="30" w:type="dxa"/>
              <w:right w:w="20" w:type="dxa"/>
            </w:tcMar>
            <w:vAlign w:val="bottom"/>
            <w:hideMark/>
          </w:tcPr>
          <w:p w14:paraId="32B9D504" w14:textId="77777777" w:rsidR="00000000" w:rsidRDefault="001D0688">
            <w:pPr>
              <w:rPr>
                <w:rFonts w:eastAsia="Times New Roman"/>
              </w:rPr>
            </w:pPr>
            <w:r>
              <w:rPr>
                <w:rFonts w:ascii="Arial" w:eastAsia="Times New Roman" w:hAnsi="Arial" w:cs="Arial"/>
                <w:color w:val="000000"/>
                <w:sz w:val="20"/>
                <w:szCs w:val="20"/>
              </w:rPr>
              <w:t>Net cash provided by (used in) operating activities of discontinued operations</w:t>
            </w:r>
          </w:p>
        </w:tc>
        <w:tc>
          <w:tcPr>
            <w:tcW w:w="0" w:type="auto"/>
            <w:gridSpan w:val="2"/>
            <w:shd w:val="clear" w:color="auto" w:fill="FFFFFF"/>
            <w:tcMar>
              <w:top w:w="30" w:type="dxa"/>
              <w:left w:w="20" w:type="dxa"/>
              <w:bottom w:w="30" w:type="dxa"/>
              <w:right w:w="0" w:type="dxa"/>
            </w:tcMar>
            <w:vAlign w:val="bottom"/>
            <w:hideMark/>
          </w:tcPr>
          <w:p w14:paraId="1E2DD951"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5FF6AA4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E517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6F6A7"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27212AA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E152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2EFDEC" w14:textId="77777777" w:rsidR="00000000" w:rsidRDefault="001D0688">
            <w:pPr>
              <w:jc w:val="right"/>
              <w:rPr>
                <w:rFonts w:eastAsia="Times New Roman"/>
              </w:rPr>
            </w:pPr>
            <w:r>
              <w:rPr>
                <w:rFonts w:ascii="Arial" w:eastAsia="Times New Roman" w:hAnsi="Arial" w:cs="Arial"/>
                <w:color w:val="000000"/>
                <w:sz w:val="20"/>
                <w:szCs w:val="20"/>
              </w:rPr>
              <w:t>21.2 </w:t>
            </w:r>
          </w:p>
        </w:tc>
        <w:tc>
          <w:tcPr>
            <w:tcW w:w="0" w:type="auto"/>
            <w:shd w:val="clear" w:color="auto" w:fill="FFFFFF"/>
            <w:tcMar>
              <w:top w:w="30" w:type="dxa"/>
              <w:left w:w="0" w:type="dxa"/>
              <w:bottom w:w="30" w:type="dxa"/>
              <w:right w:w="20" w:type="dxa"/>
            </w:tcMar>
            <w:vAlign w:val="bottom"/>
            <w:hideMark/>
          </w:tcPr>
          <w:p w14:paraId="45CFFE68" w14:textId="77777777" w:rsidR="00000000" w:rsidRDefault="001D0688">
            <w:pPr>
              <w:jc w:val="right"/>
              <w:rPr>
                <w:rFonts w:eastAsia="Times New Roman"/>
              </w:rPr>
            </w:pPr>
          </w:p>
        </w:tc>
      </w:tr>
      <w:tr w:rsidR="00000000" w14:paraId="42C2D2D0" w14:textId="77777777">
        <w:trPr>
          <w:divId w:val="2051295295"/>
        </w:trPr>
        <w:tc>
          <w:tcPr>
            <w:tcW w:w="0" w:type="auto"/>
            <w:gridSpan w:val="3"/>
            <w:shd w:val="clear" w:color="auto" w:fill="DCE2EF"/>
            <w:tcMar>
              <w:top w:w="30" w:type="dxa"/>
              <w:left w:w="20" w:type="dxa"/>
              <w:bottom w:w="30" w:type="dxa"/>
              <w:right w:w="20" w:type="dxa"/>
            </w:tcMar>
            <w:vAlign w:val="bottom"/>
            <w:hideMark/>
          </w:tcPr>
          <w:p w14:paraId="0D8B0927" w14:textId="77777777" w:rsidR="00000000" w:rsidRDefault="001D0688">
            <w:pPr>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9EADA03" w14:textId="77777777" w:rsidR="00000000" w:rsidRDefault="001D0688">
            <w:pPr>
              <w:jc w:val="right"/>
              <w:rPr>
                <w:rFonts w:eastAsia="Times New Roman"/>
              </w:rPr>
            </w:pPr>
            <w:r>
              <w:rPr>
                <w:rFonts w:ascii="Arial" w:eastAsia="Times New Roman" w:hAnsi="Arial" w:cs="Arial"/>
                <w:color w:val="000000"/>
                <w:sz w:val="20"/>
                <w:szCs w:val="20"/>
              </w:rPr>
              <w:t>457.5 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1BA6B7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B8E3C2"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B06602B" w14:textId="77777777" w:rsidR="00000000" w:rsidRDefault="001D0688">
            <w:pPr>
              <w:jc w:val="right"/>
              <w:rPr>
                <w:rFonts w:eastAsia="Times New Roman"/>
              </w:rPr>
            </w:pPr>
            <w:r>
              <w:rPr>
                <w:rFonts w:ascii="Arial" w:eastAsia="Times New Roman" w:hAnsi="Arial" w:cs="Arial"/>
                <w:color w:val="000000"/>
                <w:sz w:val="20"/>
                <w:szCs w:val="20"/>
              </w:rPr>
              <w:t>262.7 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EA4318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0CF511"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8224BBF" w14:textId="77777777" w:rsidR="00000000" w:rsidRDefault="001D0688">
            <w:pPr>
              <w:jc w:val="right"/>
              <w:rPr>
                <w:rFonts w:eastAsia="Times New Roman"/>
              </w:rPr>
            </w:pPr>
            <w:r>
              <w:rPr>
                <w:rFonts w:ascii="Arial" w:eastAsia="Times New Roman" w:hAnsi="Arial" w:cs="Arial"/>
                <w:color w:val="000000"/>
                <w:sz w:val="20"/>
                <w:szCs w:val="20"/>
              </w:rPr>
              <w:t>320.9 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C08534" w14:textId="77777777" w:rsidR="00000000" w:rsidRDefault="001D0688">
            <w:pPr>
              <w:jc w:val="right"/>
              <w:rPr>
                <w:rFonts w:eastAsia="Times New Roman"/>
              </w:rPr>
            </w:pPr>
          </w:p>
        </w:tc>
      </w:tr>
      <w:tr w:rsidR="00000000" w14:paraId="3252E4FC" w14:textId="77777777">
        <w:trPr>
          <w:divId w:val="2051295295"/>
          <w:trHeight w:val="280"/>
        </w:trPr>
        <w:tc>
          <w:tcPr>
            <w:tcW w:w="0" w:type="auto"/>
            <w:gridSpan w:val="3"/>
            <w:shd w:val="clear" w:color="auto" w:fill="FFFFFF"/>
            <w:tcMar>
              <w:top w:w="0" w:type="dxa"/>
              <w:left w:w="20" w:type="dxa"/>
              <w:bottom w:w="0" w:type="dxa"/>
              <w:right w:w="20" w:type="dxa"/>
            </w:tcMar>
            <w:vAlign w:val="center"/>
            <w:hideMark/>
          </w:tcPr>
          <w:p w14:paraId="471E54DF"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AACAA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2D21C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751F9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8BC7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730350" w14:textId="77777777" w:rsidR="00000000" w:rsidRDefault="001D0688">
            <w:pPr>
              <w:rPr>
                <w:rFonts w:eastAsia="Times New Roman"/>
                <w:sz w:val="20"/>
                <w:szCs w:val="20"/>
              </w:rPr>
            </w:pPr>
          </w:p>
        </w:tc>
      </w:tr>
      <w:tr w:rsidR="00000000" w14:paraId="50092DBE" w14:textId="77777777">
        <w:trPr>
          <w:divId w:val="2051295295"/>
        </w:trPr>
        <w:tc>
          <w:tcPr>
            <w:tcW w:w="0" w:type="auto"/>
            <w:gridSpan w:val="3"/>
            <w:shd w:val="clear" w:color="auto" w:fill="DCE2EF"/>
            <w:tcMar>
              <w:top w:w="30" w:type="dxa"/>
              <w:left w:w="20" w:type="dxa"/>
              <w:bottom w:w="30" w:type="dxa"/>
              <w:right w:w="20" w:type="dxa"/>
            </w:tcMar>
            <w:vAlign w:val="bottom"/>
            <w:hideMark/>
          </w:tcPr>
          <w:p w14:paraId="312777FB" w14:textId="77777777" w:rsidR="00000000" w:rsidRDefault="001D0688">
            <w:pPr>
              <w:rPr>
                <w:rFonts w:eastAsia="Times New Roman"/>
              </w:rPr>
            </w:pPr>
            <w:r>
              <w:rPr>
                <w:rFonts w:ascii="Arial" w:eastAsia="Times New Roman" w:hAnsi="Arial" w:cs="Arial"/>
                <w:color w:val="000000"/>
                <w:sz w:val="20"/>
                <w:szCs w:val="20"/>
              </w:rPr>
              <w:t>Net cash used in investing activities</w:t>
            </w:r>
          </w:p>
        </w:tc>
        <w:tc>
          <w:tcPr>
            <w:tcW w:w="0" w:type="auto"/>
            <w:gridSpan w:val="2"/>
            <w:shd w:val="clear" w:color="auto" w:fill="DCE2EF"/>
            <w:tcMar>
              <w:top w:w="30" w:type="dxa"/>
              <w:left w:w="20" w:type="dxa"/>
              <w:bottom w:w="30" w:type="dxa"/>
              <w:right w:w="0" w:type="dxa"/>
            </w:tcMar>
            <w:vAlign w:val="bottom"/>
            <w:hideMark/>
          </w:tcPr>
          <w:p w14:paraId="5232A941" w14:textId="77777777" w:rsidR="00000000" w:rsidRDefault="001D0688">
            <w:pPr>
              <w:jc w:val="right"/>
              <w:rPr>
                <w:rFonts w:eastAsia="Times New Roman"/>
              </w:rPr>
            </w:pPr>
            <w:r>
              <w:rPr>
                <w:rFonts w:ascii="Arial" w:eastAsia="Times New Roman" w:hAnsi="Arial" w:cs="Arial"/>
                <w:color w:val="000000"/>
                <w:sz w:val="20"/>
                <w:szCs w:val="20"/>
              </w:rPr>
              <w:t>(27.5)</w:t>
            </w:r>
          </w:p>
        </w:tc>
        <w:tc>
          <w:tcPr>
            <w:tcW w:w="0" w:type="auto"/>
            <w:shd w:val="clear" w:color="auto" w:fill="DCE2EF"/>
            <w:tcMar>
              <w:top w:w="30" w:type="dxa"/>
              <w:left w:w="0" w:type="dxa"/>
              <w:bottom w:w="30" w:type="dxa"/>
              <w:right w:w="20" w:type="dxa"/>
            </w:tcMar>
            <w:vAlign w:val="bottom"/>
            <w:hideMark/>
          </w:tcPr>
          <w:p w14:paraId="7C9410F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5C5C6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50BDFF" w14:textId="77777777" w:rsidR="00000000" w:rsidRDefault="001D0688">
            <w:pPr>
              <w:jc w:val="right"/>
              <w:rPr>
                <w:rFonts w:eastAsia="Times New Roman"/>
              </w:rPr>
            </w:pPr>
            <w:r>
              <w:rPr>
                <w:rFonts w:ascii="Arial" w:eastAsia="Times New Roman" w:hAnsi="Arial" w:cs="Arial"/>
                <w:color w:val="000000"/>
                <w:sz w:val="20"/>
                <w:szCs w:val="20"/>
              </w:rPr>
              <w:t>(58.3)</w:t>
            </w:r>
          </w:p>
        </w:tc>
        <w:tc>
          <w:tcPr>
            <w:tcW w:w="0" w:type="auto"/>
            <w:shd w:val="clear" w:color="auto" w:fill="DCE2EF"/>
            <w:tcMar>
              <w:top w:w="30" w:type="dxa"/>
              <w:left w:w="0" w:type="dxa"/>
              <w:bottom w:w="30" w:type="dxa"/>
              <w:right w:w="20" w:type="dxa"/>
            </w:tcMar>
            <w:vAlign w:val="bottom"/>
            <w:hideMark/>
          </w:tcPr>
          <w:p w14:paraId="6D95A1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5E988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80D78D5" w14:textId="77777777" w:rsidR="00000000" w:rsidRDefault="001D0688">
            <w:pPr>
              <w:jc w:val="right"/>
              <w:rPr>
                <w:rFonts w:eastAsia="Times New Roman"/>
              </w:rPr>
            </w:pPr>
            <w:r>
              <w:rPr>
                <w:rFonts w:ascii="Arial" w:eastAsia="Times New Roman" w:hAnsi="Arial" w:cs="Arial"/>
                <w:color w:val="000000"/>
                <w:sz w:val="20"/>
                <w:szCs w:val="20"/>
              </w:rPr>
              <w:t>(48.1)</w:t>
            </w:r>
          </w:p>
        </w:tc>
        <w:tc>
          <w:tcPr>
            <w:tcW w:w="0" w:type="auto"/>
            <w:shd w:val="clear" w:color="auto" w:fill="DCE2EF"/>
            <w:tcMar>
              <w:top w:w="30" w:type="dxa"/>
              <w:left w:w="0" w:type="dxa"/>
              <w:bottom w:w="30" w:type="dxa"/>
              <w:right w:w="20" w:type="dxa"/>
            </w:tcMar>
            <w:vAlign w:val="bottom"/>
            <w:hideMark/>
          </w:tcPr>
          <w:p w14:paraId="67E179C3" w14:textId="77777777" w:rsidR="00000000" w:rsidRDefault="001D0688">
            <w:pPr>
              <w:jc w:val="right"/>
              <w:rPr>
                <w:rFonts w:eastAsia="Times New Roman"/>
              </w:rPr>
            </w:pPr>
          </w:p>
        </w:tc>
      </w:tr>
      <w:tr w:rsidR="00000000" w14:paraId="4A6E0F82" w14:textId="77777777">
        <w:trPr>
          <w:divId w:val="2051295295"/>
          <w:trHeight w:val="300"/>
        </w:trPr>
        <w:tc>
          <w:tcPr>
            <w:tcW w:w="0" w:type="auto"/>
            <w:gridSpan w:val="3"/>
            <w:shd w:val="clear" w:color="auto" w:fill="FFFFFF"/>
            <w:tcMar>
              <w:top w:w="0" w:type="dxa"/>
              <w:left w:w="20" w:type="dxa"/>
              <w:bottom w:w="0" w:type="dxa"/>
              <w:right w:w="20" w:type="dxa"/>
            </w:tcMar>
            <w:vAlign w:val="center"/>
            <w:hideMark/>
          </w:tcPr>
          <w:p w14:paraId="0B2CAE30"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232AF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3790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5F53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C9DA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885693" w14:textId="77777777" w:rsidR="00000000" w:rsidRDefault="001D0688">
            <w:pPr>
              <w:rPr>
                <w:rFonts w:eastAsia="Times New Roman"/>
                <w:sz w:val="20"/>
                <w:szCs w:val="20"/>
              </w:rPr>
            </w:pPr>
          </w:p>
        </w:tc>
      </w:tr>
      <w:tr w:rsidR="00000000" w14:paraId="6D3C5EA3" w14:textId="77777777">
        <w:trPr>
          <w:divId w:val="2051295295"/>
        </w:trPr>
        <w:tc>
          <w:tcPr>
            <w:tcW w:w="0" w:type="auto"/>
            <w:gridSpan w:val="3"/>
            <w:shd w:val="clear" w:color="auto" w:fill="DCE2EF"/>
            <w:tcMar>
              <w:top w:w="30" w:type="dxa"/>
              <w:left w:w="20" w:type="dxa"/>
              <w:bottom w:w="30" w:type="dxa"/>
              <w:right w:w="20" w:type="dxa"/>
            </w:tcMar>
            <w:vAlign w:val="bottom"/>
            <w:hideMark/>
          </w:tcPr>
          <w:p w14:paraId="7B55BA5A" w14:textId="77777777" w:rsidR="00000000" w:rsidRDefault="001D0688">
            <w:pPr>
              <w:rPr>
                <w:rFonts w:eastAsia="Times New Roman"/>
              </w:rPr>
            </w:pPr>
            <w:r>
              <w:rPr>
                <w:rFonts w:ascii="Arial" w:eastAsia="Times New Roman" w:hAnsi="Arial" w:cs="Arial"/>
                <w:color w:val="000000"/>
                <w:sz w:val="20"/>
                <w:szCs w:val="20"/>
              </w:rPr>
              <w:t>Net cash used in financing activities</w:t>
            </w:r>
          </w:p>
        </w:tc>
        <w:tc>
          <w:tcPr>
            <w:tcW w:w="0" w:type="auto"/>
            <w:gridSpan w:val="2"/>
            <w:shd w:val="clear" w:color="auto" w:fill="DCE2EF"/>
            <w:tcMar>
              <w:top w:w="30" w:type="dxa"/>
              <w:left w:w="20" w:type="dxa"/>
              <w:bottom w:w="30" w:type="dxa"/>
              <w:right w:w="0" w:type="dxa"/>
            </w:tcMar>
            <w:vAlign w:val="bottom"/>
            <w:hideMark/>
          </w:tcPr>
          <w:p w14:paraId="22DAFD84" w14:textId="77777777" w:rsidR="00000000" w:rsidRDefault="001D0688">
            <w:pPr>
              <w:jc w:val="right"/>
              <w:rPr>
                <w:rFonts w:eastAsia="Times New Roman"/>
              </w:rPr>
            </w:pPr>
            <w:r>
              <w:rPr>
                <w:rFonts w:ascii="Arial" w:eastAsia="Times New Roman" w:hAnsi="Arial" w:cs="Arial"/>
                <w:color w:val="000000"/>
                <w:sz w:val="20"/>
                <w:szCs w:val="20"/>
              </w:rPr>
              <w:t>(94.1)</w:t>
            </w:r>
          </w:p>
        </w:tc>
        <w:tc>
          <w:tcPr>
            <w:tcW w:w="0" w:type="auto"/>
            <w:shd w:val="clear" w:color="auto" w:fill="DCE2EF"/>
            <w:tcMar>
              <w:top w:w="30" w:type="dxa"/>
              <w:left w:w="0" w:type="dxa"/>
              <w:bottom w:w="30" w:type="dxa"/>
              <w:right w:w="20" w:type="dxa"/>
            </w:tcMar>
            <w:vAlign w:val="bottom"/>
            <w:hideMark/>
          </w:tcPr>
          <w:p w14:paraId="463C7D4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9FF6B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C7F0F1" w14:textId="77777777" w:rsidR="00000000" w:rsidRDefault="001D0688">
            <w:pPr>
              <w:jc w:val="right"/>
              <w:rPr>
                <w:rFonts w:eastAsia="Times New Roman"/>
              </w:rPr>
            </w:pPr>
            <w:r>
              <w:rPr>
                <w:rFonts w:ascii="Arial" w:eastAsia="Times New Roman" w:hAnsi="Arial" w:cs="Arial"/>
                <w:color w:val="000000"/>
                <w:sz w:val="20"/>
                <w:szCs w:val="20"/>
              </w:rPr>
              <w:t>(184.8)</w:t>
            </w:r>
          </w:p>
        </w:tc>
        <w:tc>
          <w:tcPr>
            <w:tcW w:w="0" w:type="auto"/>
            <w:shd w:val="clear" w:color="auto" w:fill="DCE2EF"/>
            <w:tcMar>
              <w:top w:w="30" w:type="dxa"/>
              <w:left w:w="0" w:type="dxa"/>
              <w:bottom w:w="30" w:type="dxa"/>
              <w:right w:w="20" w:type="dxa"/>
            </w:tcMar>
            <w:vAlign w:val="bottom"/>
            <w:hideMark/>
          </w:tcPr>
          <w:p w14:paraId="1973251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61DD0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687BC7" w14:textId="77777777" w:rsidR="00000000" w:rsidRDefault="001D0688">
            <w:pPr>
              <w:jc w:val="right"/>
              <w:rPr>
                <w:rFonts w:eastAsia="Times New Roman"/>
              </w:rPr>
            </w:pPr>
            <w:r>
              <w:rPr>
                <w:rFonts w:ascii="Arial" w:eastAsia="Times New Roman" w:hAnsi="Arial" w:cs="Arial"/>
                <w:color w:val="000000"/>
                <w:sz w:val="20"/>
                <w:szCs w:val="20"/>
              </w:rPr>
              <w:t>(295.8)</w:t>
            </w:r>
          </w:p>
        </w:tc>
        <w:tc>
          <w:tcPr>
            <w:tcW w:w="0" w:type="auto"/>
            <w:shd w:val="clear" w:color="auto" w:fill="DCE2EF"/>
            <w:tcMar>
              <w:top w:w="30" w:type="dxa"/>
              <w:left w:w="0" w:type="dxa"/>
              <w:bottom w:w="30" w:type="dxa"/>
              <w:right w:w="20" w:type="dxa"/>
            </w:tcMar>
            <w:vAlign w:val="bottom"/>
            <w:hideMark/>
          </w:tcPr>
          <w:p w14:paraId="0D616A6C" w14:textId="77777777" w:rsidR="00000000" w:rsidRDefault="001D0688">
            <w:pPr>
              <w:jc w:val="right"/>
              <w:rPr>
                <w:rFonts w:eastAsia="Times New Roman"/>
              </w:rPr>
            </w:pPr>
          </w:p>
        </w:tc>
      </w:tr>
    </w:tbl>
    <w:p w14:paraId="40079644" w14:textId="77777777" w:rsidR="00000000" w:rsidRDefault="001D0688">
      <w:pPr>
        <w:ind w:firstLine="720"/>
        <w:divId w:val="826481878"/>
        <w:rPr>
          <w:rFonts w:eastAsia="Times New Roman"/>
        </w:rPr>
      </w:pPr>
      <w:r>
        <w:rPr>
          <w:rFonts w:ascii="Arial" w:eastAsia="Times New Roman" w:hAnsi="Arial" w:cs="Arial"/>
          <w:i/>
          <w:iCs/>
          <w:color w:val="0046AD"/>
          <w:sz w:val="20"/>
          <w:szCs w:val="20"/>
        </w:rPr>
        <w:t>Operating Activities of Continuing Operations</w:t>
      </w:r>
    </w:p>
    <w:p w14:paraId="7E1C7CB3" w14:textId="77777777" w:rsidR="00000000" w:rsidRDefault="001D0688">
      <w:pPr>
        <w:ind w:firstLine="720"/>
        <w:jc w:val="both"/>
        <w:divId w:val="1013458694"/>
        <w:rPr>
          <w:rFonts w:eastAsia="Times New Roman"/>
        </w:rPr>
      </w:pPr>
      <w:r>
        <w:rPr>
          <w:rFonts w:ascii="Arial" w:eastAsia="Times New Roman" w:hAnsi="Arial" w:cs="Arial"/>
          <w:color w:val="000000"/>
          <w:sz w:val="20"/>
          <w:szCs w:val="20"/>
        </w:rPr>
        <w:t>Net cash provided by operating activities of continuing operations increased by $194.6 million during 2020, as compared to 2019. The increase was primarily related to the timing of client receivable collections and deferred remittance of approximately $101</w:t>
      </w:r>
      <w:r>
        <w:rPr>
          <w:rFonts w:ascii="Arial" w:eastAsia="Times New Roman" w:hAnsi="Arial" w:cs="Arial"/>
          <w:color w:val="000000"/>
          <w:sz w:val="20"/>
          <w:szCs w:val="20"/>
        </w:rPr>
        <w:t xml:space="preserve"> million of payroll taxes under the CARES Act, partially offset by the timing of vendor payments. </w:t>
      </w:r>
    </w:p>
    <w:p w14:paraId="25E8E29A" w14:textId="77777777" w:rsidR="00000000" w:rsidRDefault="001D0688">
      <w:pPr>
        <w:ind w:firstLine="720"/>
        <w:jc w:val="both"/>
        <w:divId w:val="434863593"/>
        <w:rPr>
          <w:rFonts w:eastAsia="Times New Roman"/>
        </w:rPr>
      </w:pPr>
      <w:r>
        <w:rPr>
          <w:rFonts w:ascii="Arial" w:eastAsia="Times New Roman" w:hAnsi="Arial" w:cs="Arial"/>
          <w:color w:val="000000"/>
          <w:sz w:val="20"/>
          <w:szCs w:val="20"/>
        </w:rPr>
        <w:t>Net cash provided by operating activities of continuing operations decreased by $36.9 million during 2019, as compared to 2018. The decrease was primarily re</w:t>
      </w:r>
      <w:r>
        <w:rPr>
          <w:rFonts w:ascii="Arial" w:eastAsia="Times New Roman" w:hAnsi="Arial" w:cs="Arial"/>
          <w:color w:val="000000"/>
          <w:sz w:val="20"/>
          <w:szCs w:val="20"/>
        </w:rPr>
        <w:t>lated to the timing of client receivable collections, including a one-time settlement payment received from a client in 2018, and the absence of proceeds from the termination of interest rate swaps in 2018, partially offset by the timing of vendor payments</w:t>
      </w:r>
      <w:r>
        <w:rPr>
          <w:rFonts w:ascii="Arial" w:eastAsia="Times New Roman" w:hAnsi="Arial" w:cs="Arial"/>
          <w:color w:val="000000"/>
          <w:sz w:val="20"/>
          <w:szCs w:val="20"/>
        </w:rPr>
        <w:t>.</w:t>
      </w:r>
    </w:p>
    <w:p w14:paraId="724A0648" w14:textId="77777777" w:rsidR="00000000" w:rsidRDefault="001D0688">
      <w:pPr>
        <w:ind w:firstLine="720"/>
        <w:jc w:val="both"/>
        <w:divId w:val="235483534"/>
        <w:rPr>
          <w:rFonts w:eastAsia="Times New Roman"/>
        </w:rPr>
      </w:pPr>
      <w:r>
        <w:rPr>
          <w:rFonts w:ascii="Arial" w:eastAsia="Times New Roman" w:hAnsi="Arial" w:cs="Arial"/>
          <w:i/>
          <w:iCs/>
          <w:color w:val="0046AD"/>
          <w:sz w:val="20"/>
          <w:szCs w:val="20"/>
        </w:rPr>
        <w:t xml:space="preserve">Operating Activities of Discontinued Operations </w:t>
      </w:r>
      <w:r>
        <w:rPr>
          <w:rFonts w:ascii="Arial" w:eastAsia="Times New Roman" w:hAnsi="Arial" w:cs="Arial"/>
          <w:color w:val="000000"/>
          <w:sz w:val="16"/>
          <w:szCs w:val="16"/>
        </w:rPr>
        <w:t>    </w:t>
      </w:r>
    </w:p>
    <w:p w14:paraId="1CDFFE48" w14:textId="77777777" w:rsidR="00000000" w:rsidRDefault="001D0688">
      <w:pPr>
        <w:ind w:firstLine="720"/>
        <w:jc w:val="both"/>
        <w:divId w:val="598106753"/>
        <w:rPr>
          <w:rFonts w:eastAsia="Times New Roman"/>
        </w:rPr>
      </w:pPr>
      <w:r>
        <w:rPr>
          <w:rFonts w:ascii="Arial" w:eastAsia="Times New Roman" w:hAnsi="Arial" w:cs="Arial"/>
          <w:color w:val="000000"/>
          <w:sz w:val="20"/>
          <w:szCs w:val="20"/>
        </w:rPr>
        <w:t>Net cash provided by operating activities of discontinued operations was $0.1 million during 2020, as compared to net cash used in operating activities of discontinued operations of $0.1 million during</w:t>
      </w:r>
      <w:r>
        <w:rPr>
          <w:rFonts w:ascii="Arial" w:eastAsia="Times New Roman" w:hAnsi="Arial" w:cs="Arial"/>
          <w:color w:val="000000"/>
          <w:sz w:val="20"/>
          <w:szCs w:val="20"/>
        </w:rPr>
        <w:t xml:space="preserve"> 2019, a change of $0.2 million.</w:t>
      </w:r>
    </w:p>
    <w:p w14:paraId="582AC907" w14:textId="77777777" w:rsidR="00000000" w:rsidRDefault="001D0688">
      <w:pPr>
        <w:ind w:firstLine="720"/>
        <w:jc w:val="both"/>
        <w:divId w:val="263654677"/>
        <w:rPr>
          <w:rFonts w:eastAsia="Times New Roman"/>
        </w:rPr>
      </w:pPr>
      <w:r>
        <w:rPr>
          <w:rFonts w:ascii="Arial" w:eastAsia="Times New Roman" w:hAnsi="Arial" w:cs="Arial"/>
          <w:color w:val="000000"/>
          <w:sz w:val="20"/>
          <w:szCs w:val="20"/>
        </w:rPr>
        <w:t>Net cash used in operating activities of discontinued operations was $0.1 million during 2019, as compared to net cash provided by operating activities of discontinued operations of $21.2 million during 2018, a change of $2</w:t>
      </w:r>
      <w:r>
        <w:rPr>
          <w:rFonts w:ascii="Arial" w:eastAsia="Times New Roman" w:hAnsi="Arial" w:cs="Arial"/>
          <w:color w:val="000000"/>
          <w:sz w:val="20"/>
          <w:szCs w:val="20"/>
        </w:rPr>
        <w:t>1.3 million, primarily attributable to an income tax refund received on a legal settlement during 2018.</w:t>
      </w:r>
    </w:p>
    <w:p w14:paraId="7C6EE635" w14:textId="77777777" w:rsidR="00000000" w:rsidRDefault="001D0688">
      <w:pPr>
        <w:ind w:firstLine="720"/>
        <w:jc w:val="both"/>
        <w:divId w:val="2073693924"/>
        <w:rPr>
          <w:rFonts w:eastAsia="Times New Roman"/>
        </w:rPr>
      </w:pPr>
      <w:r>
        <w:rPr>
          <w:rFonts w:ascii="Arial" w:eastAsia="Times New Roman" w:hAnsi="Arial" w:cs="Arial"/>
          <w:i/>
          <w:iCs/>
          <w:color w:val="0046AD"/>
          <w:sz w:val="20"/>
          <w:szCs w:val="20"/>
        </w:rPr>
        <w:t>Investing Activities</w:t>
      </w:r>
    </w:p>
    <w:p w14:paraId="45828932" w14:textId="77777777" w:rsidR="00000000" w:rsidRDefault="001D0688">
      <w:pPr>
        <w:ind w:firstLine="720"/>
        <w:jc w:val="both"/>
        <w:divId w:val="1122111020"/>
        <w:rPr>
          <w:rFonts w:eastAsia="Times New Roman"/>
        </w:rPr>
      </w:pPr>
      <w:r>
        <w:rPr>
          <w:rFonts w:ascii="Arial" w:eastAsia="Times New Roman" w:hAnsi="Arial" w:cs="Arial"/>
          <w:color w:val="000000"/>
          <w:sz w:val="20"/>
          <w:szCs w:val="20"/>
        </w:rPr>
        <w:t>Net cash used in investing activities decreased by $30.8 million during 2020, as compared to 2019. The decrease was primarily relat</w:t>
      </w:r>
      <w:r>
        <w:rPr>
          <w:rFonts w:ascii="Arial" w:eastAsia="Times New Roman" w:hAnsi="Arial" w:cs="Arial"/>
          <w:color w:val="000000"/>
          <w:sz w:val="20"/>
          <w:szCs w:val="20"/>
        </w:rPr>
        <w:t xml:space="preserve">ed to lower additions to property, plant and equipment in 2020. Additionally, the implementation of the new ERP system was temporarily suspended during 2020 due to the Pandemic. </w:t>
      </w:r>
    </w:p>
    <w:p w14:paraId="3BD62C70" w14:textId="77777777" w:rsidR="00000000" w:rsidRDefault="001D0688">
      <w:pPr>
        <w:ind w:firstLine="720"/>
        <w:jc w:val="both"/>
        <w:divId w:val="1091001622"/>
        <w:rPr>
          <w:rFonts w:eastAsia="Times New Roman"/>
        </w:rPr>
      </w:pPr>
      <w:r>
        <w:rPr>
          <w:rFonts w:ascii="Arial" w:eastAsia="Times New Roman" w:hAnsi="Arial" w:cs="Arial"/>
          <w:color w:val="000000"/>
          <w:sz w:val="20"/>
          <w:szCs w:val="20"/>
        </w:rPr>
        <w:t>Net cash used in investing activities increased by $10.2 million during 2019,</w:t>
      </w:r>
      <w:r>
        <w:rPr>
          <w:rFonts w:ascii="Arial" w:eastAsia="Times New Roman" w:hAnsi="Arial" w:cs="Arial"/>
          <w:color w:val="000000"/>
          <w:sz w:val="20"/>
          <w:szCs w:val="20"/>
        </w:rPr>
        <w:t xml:space="preserve"> as compared to 2018. The increase was primarily related to higher additions to property, plant and equipment in 2019. </w:t>
      </w:r>
    </w:p>
    <w:p w14:paraId="2273A665" w14:textId="77777777" w:rsidR="00000000" w:rsidRDefault="001D0688">
      <w:pPr>
        <w:ind w:firstLine="720"/>
        <w:jc w:val="both"/>
        <w:divId w:val="999892662"/>
        <w:rPr>
          <w:rFonts w:eastAsia="Times New Roman"/>
        </w:rPr>
      </w:pPr>
      <w:r>
        <w:rPr>
          <w:rFonts w:ascii="Arial" w:eastAsia="Times New Roman" w:hAnsi="Arial" w:cs="Arial"/>
          <w:i/>
          <w:iCs/>
          <w:color w:val="0046AD"/>
          <w:sz w:val="20"/>
          <w:szCs w:val="20"/>
        </w:rPr>
        <w:t xml:space="preserve">Financing Activities </w:t>
      </w:r>
    </w:p>
    <w:p w14:paraId="49C34523" w14:textId="77777777" w:rsidR="00000000" w:rsidRDefault="001D0688">
      <w:pPr>
        <w:ind w:firstLine="720"/>
        <w:jc w:val="both"/>
        <w:divId w:val="952596866"/>
        <w:rPr>
          <w:rFonts w:eastAsia="Times New Roman"/>
        </w:rPr>
      </w:pPr>
      <w:r>
        <w:rPr>
          <w:rFonts w:ascii="Arial" w:eastAsia="Times New Roman" w:hAnsi="Arial" w:cs="Arial"/>
          <w:color w:val="000000"/>
          <w:sz w:val="20"/>
          <w:szCs w:val="20"/>
        </w:rPr>
        <w:t>Net cash used in financing activities decreased by $90.7 million during 2020, as compared to 2019, primarily due t</w:t>
      </w:r>
      <w:r>
        <w:rPr>
          <w:rFonts w:ascii="Arial" w:eastAsia="Times New Roman" w:hAnsi="Arial" w:cs="Arial"/>
          <w:color w:val="000000"/>
          <w:sz w:val="20"/>
          <w:szCs w:val="20"/>
        </w:rPr>
        <w:t>o lower repayments of our borrowings in 2020.</w:t>
      </w:r>
    </w:p>
    <w:p w14:paraId="63401E63" w14:textId="77777777" w:rsidR="00000000" w:rsidRDefault="001D0688">
      <w:pPr>
        <w:ind w:firstLine="720"/>
        <w:jc w:val="both"/>
        <w:divId w:val="393508072"/>
        <w:rPr>
          <w:rFonts w:eastAsia="Times New Roman"/>
        </w:rPr>
      </w:pPr>
      <w:r>
        <w:rPr>
          <w:rFonts w:ascii="Arial" w:eastAsia="Times New Roman" w:hAnsi="Arial" w:cs="Arial"/>
          <w:color w:val="000000"/>
          <w:sz w:val="20"/>
          <w:szCs w:val="20"/>
        </w:rPr>
        <w:t>Net cash used in financing activities decreased by $111.0 million during 2019, as compared to 2018, primarily due to lower repayments of our borrowings in 2019.</w:t>
      </w:r>
    </w:p>
    <w:p w14:paraId="2DDAB187" w14:textId="77777777" w:rsidR="00000000" w:rsidRDefault="001D0688">
      <w:pPr>
        <w:jc w:val="both"/>
        <w:divId w:val="148449141"/>
        <w:rPr>
          <w:rFonts w:eastAsia="Times New Roman"/>
        </w:rPr>
      </w:pPr>
    </w:p>
    <w:p w14:paraId="39D961A8" w14:textId="77777777" w:rsidR="00000000" w:rsidRDefault="001D0688">
      <w:pPr>
        <w:jc w:val="center"/>
        <w:divId w:val="1293368923"/>
        <w:rPr>
          <w:rFonts w:eastAsia="Times New Roman"/>
        </w:rPr>
      </w:pPr>
      <w:r>
        <w:rPr>
          <w:rFonts w:ascii="Arial" w:eastAsia="Times New Roman" w:hAnsi="Arial" w:cs="Arial"/>
          <w:color w:val="000000"/>
          <w:sz w:val="20"/>
          <w:szCs w:val="20"/>
        </w:rPr>
        <w:t>36</w:t>
      </w:r>
    </w:p>
    <w:p w14:paraId="63844D29" w14:textId="77777777" w:rsidR="00000000" w:rsidRDefault="001D0688">
      <w:pPr>
        <w:rPr>
          <w:rFonts w:eastAsia="Times New Roman"/>
        </w:rPr>
      </w:pPr>
      <w:r>
        <w:rPr>
          <w:rFonts w:eastAsia="Times New Roman"/>
        </w:rPr>
        <w:pict w14:anchorId="74106139">
          <v:rect id="_x0000_i1072" style="width:0;height:1.5pt" o:hralign="center" o:hrstd="t" o:hr="t" fillcolor="#a0a0a0" stroked="f"/>
        </w:pict>
      </w:r>
    </w:p>
    <w:p w14:paraId="659103A5" w14:textId="77777777" w:rsidR="00000000" w:rsidRDefault="001D0688">
      <w:pPr>
        <w:divId w:val="1396203820"/>
        <w:rPr>
          <w:rFonts w:eastAsia="Times New Roman"/>
        </w:rPr>
      </w:pPr>
    </w:p>
    <w:p w14:paraId="0745C469" w14:textId="77777777" w:rsidR="00000000" w:rsidRDefault="001D0688">
      <w:pPr>
        <w:jc w:val="both"/>
        <w:divId w:val="1169557477"/>
        <w:rPr>
          <w:rFonts w:eastAsia="Times New Roman"/>
        </w:rPr>
      </w:pPr>
      <w:r>
        <w:rPr>
          <w:rFonts w:ascii="Arial" w:eastAsia="Times New Roman" w:hAnsi="Arial" w:cs="Arial"/>
          <w:b/>
          <w:bCs/>
          <w:i/>
          <w:iCs/>
          <w:color w:val="0046AD"/>
          <w:sz w:val="20"/>
          <w:szCs w:val="20"/>
        </w:rPr>
        <w:t>Divide</w:t>
      </w:r>
      <w:r>
        <w:rPr>
          <w:rFonts w:ascii="Arial" w:eastAsia="Times New Roman" w:hAnsi="Arial" w:cs="Arial"/>
          <w:b/>
          <w:bCs/>
          <w:i/>
          <w:iCs/>
          <w:color w:val="0046AD"/>
          <w:sz w:val="20"/>
          <w:szCs w:val="20"/>
        </w:rPr>
        <w:t>nds</w:t>
      </w:r>
    </w:p>
    <w:p w14:paraId="1A8CA01A" w14:textId="77777777" w:rsidR="00000000" w:rsidRDefault="001D0688">
      <w:pPr>
        <w:ind w:firstLine="720"/>
        <w:jc w:val="both"/>
        <w:divId w:val="1682586085"/>
        <w:rPr>
          <w:rFonts w:eastAsia="Times New Roman"/>
        </w:rPr>
      </w:pPr>
      <w:r>
        <w:rPr>
          <w:rFonts w:ascii="Arial" w:eastAsia="Times New Roman" w:hAnsi="Arial" w:cs="Arial"/>
          <w:color w:val="000000"/>
          <w:sz w:val="20"/>
          <w:szCs w:val="20"/>
        </w:rPr>
        <w:t>On December 16, 2020, we announced a quarterly cash dividend of $0.190 per share on our common stock, payable on February 1, 2021. We declared a quarterly cash dividend on our common stock every quarter during 2020, 2019, and 2018. We paid total annual div</w:t>
      </w:r>
      <w:r>
        <w:rPr>
          <w:rFonts w:ascii="Arial" w:eastAsia="Times New Roman" w:hAnsi="Arial" w:cs="Arial"/>
          <w:color w:val="000000"/>
          <w:sz w:val="20"/>
          <w:szCs w:val="20"/>
        </w:rPr>
        <w:t>idends of $49.3 million, $47.7 million, and $46.0 million during 2020, 2019, and 2018, respectively.</w:t>
      </w:r>
    </w:p>
    <w:p w14:paraId="1FE6C284" w14:textId="77777777" w:rsidR="00000000" w:rsidRDefault="001D0688">
      <w:pPr>
        <w:jc w:val="both"/>
        <w:divId w:val="431821187"/>
        <w:rPr>
          <w:rFonts w:eastAsia="Times New Roman"/>
        </w:rPr>
      </w:pPr>
      <w:r>
        <w:rPr>
          <w:rFonts w:ascii="Arial" w:eastAsia="Times New Roman" w:hAnsi="Arial" w:cs="Arial"/>
          <w:b/>
          <w:bCs/>
          <w:i/>
          <w:iCs/>
          <w:color w:val="0046AD"/>
          <w:sz w:val="20"/>
          <w:szCs w:val="20"/>
        </w:rPr>
        <w:t>Contractual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525"/>
        <w:gridCol w:w="37"/>
        <w:gridCol w:w="121"/>
        <w:gridCol w:w="663"/>
        <w:gridCol w:w="36"/>
        <w:gridCol w:w="36"/>
        <w:gridCol w:w="36"/>
        <w:gridCol w:w="36"/>
        <w:gridCol w:w="121"/>
        <w:gridCol w:w="663"/>
        <w:gridCol w:w="36"/>
        <w:gridCol w:w="36"/>
        <w:gridCol w:w="36"/>
        <w:gridCol w:w="36"/>
        <w:gridCol w:w="121"/>
        <w:gridCol w:w="674"/>
        <w:gridCol w:w="36"/>
        <w:gridCol w:w="36"/>
        <w:gridCol w:w="36"/>
        <w:gridCol w:w="36"/>
        <w:gridCol w:w="122"/>
        <w:gridCol w:w="824"/>
        <w:gridCol w:w="36"/>
        <w:gridCol w:w="36"/>
        <w:gridCol w:w="36"/>
        <w:gridCol w:w="36"/>
        <w:gridCol w:w="121"/>
        <w:gridCol w:w="663"/>
        <w:gridCol w:w="36"/>
      </w:tblGrid>
      <w:tr w:rsidR="00000000" w14:paraId="1E751447" w14:textId="77777777">
        <w:trPr>
          <w:divId w:val="1877354631"/>
        </w:trPr>
        <w:tc>
          <w:tcPr>
            <w:tcW w:w="50" w:type="pct"/>
            <w:vAlign w:val="center"/>
            <w:hideMark/>
          </w:tcPr>
          <w:p w14:paraId="72C0F6DA" w14:textId="77777777" w:rsidR="00000000" w:rsidRDefault="001D0688">
            <w:pPr>
              <w:jc w:val="both"/>
              <w:rPr>
                <w:rFonts w:eastAsia="Times New Roman"/>
              </w:rPr>
            </w:pPr>
          </w:p>
        </w:tc>
        <w:tc>
          <w:tcPr>
            <w:tcW w:w="2225" w:type="pct"/>
            <w:vAlign w:val="center"/>
            <w:hideMark/>
          </w:tcPr>
          <w:p w14:paraId="6FCAEC2C" w14:textId="77777777" w:rsidR="00000000" w:rsidRDefault="001D0688">
            <w:pPr>
              <w:rPr>
                <w:rFonts w:eastAsia="Times New Roman"/>
                <w:sz w:val="20"/>
                <w:szCs w:val="20"/>
              </w:rPr>
            </w:pPr>
          </w:p>
        </w:tc>
        <w:tc>
          <w:tcPr>
            <w:tcW w:w="5" w:type="pct"/>
            <w:vAlign w:val="center"/>
            <w:hideMark/>
          </w:tcPr>
          <w:p w14:paraId="56D3523D" w14:textId="77777777" w:rsidR="00000000" w:rsidRDefault="001D0688">
            <w:pPr>
              <w:rPr>
                <w:rFonts w:eastAsia="Times New Roman"/>
                <w:sz w:val="20"/>
                <w:szCs w:val="20"/>
              </w:rPr>
            </w:pPr>
          </w:p>
        </w:tc>
        <w:tc>
          <w:tcPr>
            <w:tcW w:w="50" w:type="pct"/>
            <w:vAlign w:val="center"/>
            <w:hideMark/>
          </w:tcPr>
          <w:p w14:paraId="0406CA8D" w14:textId="77777777" w:rsidR="00000000" w:rsidRDefault="001D0688">
            <w:pPr>
              <w:rPr>
                <w:rFonts w:eastAsia="Times New Roman"/>
                <w:sz w:val="20"/>
                <w:szCs w:val="20"/>
              </w:rPr>
            </w:pPr>
          </w:p>
        </w:tc>
        <w:tc>
          <w:tcPr>
            <w:tcW w:w="464" w:type="pct"/>
            <w:vAlign w:val="center"/>
            <w:hideMark/>
          </w:tcPr>
          <w:p w14:paraId="13953547" w14:textId="77777777" w:rsidR="00000000" w:rsidRDefault="001D0688">
            <w:pPr>
              <w:rPr>
                <w:rFonts w:eastAsia="Times New Roman"/>
                <w:sz w:val="20"/>
                <w:szCs w:val="20"/>
              </w:rPr>
            </w:pPr>
          </w:p>
        </w:tc>
        <w:tc>
          <w:tcPr>
            <w:tcW w:w="5" w:type="pct"/>
            <w:vAlign w:val="center"/>
            <w:hideMark/>
          </w:tcPr>
          <w:p w14:paraId="5E29A528" w14:textId="77777777" w:rsidR="00000000" w:rsidRDefault="001D0688">
            <w:pPr>
              <w:rPr>
                <w:rFonts w:eastAsia="Times New Roman"/>
                <w:sz w:val="20"/>
                <w:szCs w:val="20"/>
              </w:rPr>
            </w:pPr>
          </w:p>
        </w:tc>
        <w:tc>
          <w:tcPr>
            <w:tcW w:w="5" w:type="pct"/>
            <w:vAlign w:val="center"/>
            <w:hideMark/>
          </w:tcPr>
          <w:p w14:paraId="7EB1CA7E" w14:textId="77777777" w:rsidR="00000000" w:rsidRDefault="001D0688">
            <w:pPr>
              <w:rPr>
                <w:rFonts w:eastAsia="Times New Roman"/>
                <w:sz w:val="20"/>
                <w:szCs w:val="20"/>
              </w:rPr>
            </w:pPr>
          </w:p>
        </w:tc>
        <w:tc>
          <w:tcPr>
            <w:tcW w:w="19" w:type="pct"/>
            <w:vAlign w:val="center"/>
            <w:hideMark/>
          </w:tcPr>
          <w:p w14:paraId="05B2313F" w14:textId="77777777" w:rsidR="00000000" w:rsidRDefault="001D0688">
            <w:pPr>
              <w:rPr>
                <w:rFonts w:eastAsia="Times New Roman"/>
                <w:sz w:val="20"/>
                <w:szCs w:val="20"/>
              </w:rPr>
            </w:pPr>
          </w:p>
        </w:tc>
        <w:tc>
          <w:tcPr>
            <w:tcW w:w="5" w:type="pct"/>
            <w:vAlign w:val="center"/>
            <w:hideMark/>
          </w:tcPr>
          <w:p w14:paraId="2017FFE7" w14:textId="77777777" w:rsidR="00000000" w:rsidRDefault="001D0688">
            <w:pPr>
              <w:rPr>
                <w:rFonts w:eastAsia="Times New Roman"/>
                <w:sz w:val="20"/>
                <w:szCs w:val="20"/>
              </w:rPr>
            </w:pPr>
          </w:p>
        </w:tc>
        <w:tc>
          <w:tcPr>
            <w:tcW w:w="50" w:type="pct"/>
            <w:vAlign w:val="center"/>
            <w:hideMark/>
          </w:tcPr>
          <w:p w14:paraId="53C0F55E" w14:textId="77777777" w:rsidR="00000000" w:rsidRDefault="001D0688">
            <w:pPr>
              <w:rPr>
                <w:rFonts w:eastAsia="Times New Roman"/>
                <w:sz w:val="20"/>
                <w:szCs w:val="20"/>
              </w:rPr>
            </w:pPr>
          </w:p>
        </w:tc>
        <w:tc>
          <w:tcPr>
            <w:tcW w:w="464" w:type="pct"/>
            <w:vAlign w:val="center"/>
            <w:hideMark/>
          </w:tcPr>
          <w:p w14:paraId="2C91F6AF" w14:textId="77777777" w:rsidR="00000000" w:rsidRDefault="001D0688">
            <w:pPr>
              <w:rPr>
                <w:rFonts w:eastAsia="Times New Roman"/>
                <w:sz w:val="20"/>
                <w:szCs w:val="20"/>
              </w:rPr>
            </w:pPr>
          </w:p>
        </w:tc>
        <w:tc>
          <w:tcPr>
            <w:tcW w:w="5" w:type="pct"/>
            <w:vAlign w:val="center"/>
            <w:hideMark/>
          </w:tcPr>
          <w:p w14:paraId="76B161C0" w14:textId="77777777" w:rsidR="00000000" w:rsidRDefault="001D0688">
            <w:pPr>
              <w:rPr>
                <w:rFonts w:eastAsia="Times New Roman"/>
                <w:sz w:val="20"/>
                <w:szCs w:val="20"/>
              </w:rPr>
            </w:pPr>
          </w:p>
        </w:tc>
        <w:tc>
          <w:tcPr>
            <w:tcW w:w="5" w:type="pct"/>
            <w:vAlign w:val="center"/>
            <w:hideMark/>
          </w:tcPr>
          <w:p w14:paraId="0DFFFC36" w14:textId="77777777" w:rsidR="00000000" w:rsidRDefault="001D0688">
            <w:pPr>
              <w:rPr>
                <w:rFonts w:eastAsia="Times New Roman"/>
                <w:sz w:val="20"/>
                <w:szCs w:val="20"/>
              </w:rPr>
            </w:pPr>
          </w:p>
        </w:tc>
        <w:tc>
          <w:tcPr>
            <w:tcW w:w="19" w:type="pct"/>
            <w:vAlign w:val="center"/>
            <w:hideMark/>
          </w:tcPr>
          <w:p w14:paraId="307B6807" w14:textId="77777777" w:rsidR="00000000" w:rsidRDefault="001D0688">
            <w:pPr>
              <w:rPr>
                <w:rFonts w:eastAsia="Times New Roman"/>
                <w:sz w:val="20"/>
                <w:szCs w:val="20"/>
              </w:rPr>
            </w:pPr>
          </w:p>
        </w:tc>
        <w:tc>
          <w:tcPr>
            <w:tcW w:w="5" w:type="pct"/>
            <w:vAlign w:val="center"/>
            <w:hideMark/>
          </w:tcPr>
          <w:p w14:paraId="0952A82B" w14:textId="77777777" w:rsidR="00000000" w:rsidRDefault="001D0688">
            <w:pPr>
              <w:rPr>
                <w:rFonts w:eastAsia="Times New Roman"/>
                <w:sz w:val="20"/>
                <w:szCs w:val="20"/>
              </w:rPr>
            </w:pPr>
          </w:p>
        </w:tc>
        <w:tc>
          <w:tcPr>
            <w:tcW w:w="50" w:type="pct"/>
            <w:vAlign w:val="center"/>
            <w:hideMark/>
          </w:tcPr>
          <w:p w14:paraId="430A2202" w14:textId="77777777" w:rsidR="00000000" w:rsidRDefault="001D0688">
            <w:pPr>
              <w:rPr>
                <w:rFonts w:eastAsia="Times New Roman"/>
                <w:sz w:val="20"/>
                <w:szCs w:val="20"/>
              </w:rPr>
            </w:pPr>
          </w:p>
        </w:tc>
        <w:tc>
          <w:tcPr>
            <w:tcW w:w="471" w:type="pct"/>
            <w:vAlign w:val="center"/>
            <w:hideMark/>
          </w:tcPr>
          <w:p w14:paraId="76C77CE4" w14:textId="77777777" w:rsidR="00000000" w:rsidRDefault="001D0688">
            <w:pPr>
              <w:rPr>
                <w:rFonts w:eastAsia="Times New Roman"/>
                <w:sz w:val="20"/>
                <w:szCs w:val="20"/>
              </w:rPr>
            </w:pPr>
          </w:p>
        </w:tc>
        <w:tc>
          <w:tcPr>
            <w:tcW w:w="5" w:type="pct"/>
            <w:vAlign w:val="center"/>
            <w:hideMark/>
          </w:tcPr>
          <w:p w14:paraId="5E0F32AF" w14:textId="77777777" w:rsidR="00000000" w:rsidRDefault="001D0688">
            <w:pPr>
              <w:rPr>
                <w:rFonts w:eastAsia="Times New Roman"/>
                <w:sz w:val="20"/>
                <w:szCs w:val="20"/>
              </w:rPr>
            </w:pPr>
          </w:p>
        </w:tc>
        <w:tc>
          <w:tcPr>
            <w:tcW w:w="5" w:type="pct"/>
            <w:vAlign w:val="center"/>
            <w:hideMark/>
          </w:tcPr>
          <w:p w14:paraId="08184728" w14:textId="77777777" w:rsidR="00000000" w:rsidRDefault="001D0688">
            <w:pPr>
              <w:rPr>
                <w:rFonts w:eastAsia="Times New Roman"/>
                <w:sz w:val="20"/>
                <w:szCs w:val="20"/>
              </w:rPr>
            </w:pPr>
          </w:p>
        </w:tc>
        <w:tc>
          <w:tcPr>
            <w:tcW w:w="19" w:type="pct"/>
            <w:vAlign w:val="center"/>
            <w:hideMark/>
          </w:tcPr>
          <w:p w14:paraId="266E8C5F" w14:textId="77777777" w:rsidR="00000000" w:rsidRDefault="001D0688">
            <w:pPr>
              <w:rPr>
                <w:rFonts w:eastAsia="Times New Roman"/>
                <w:sz w:val="20"/>
                <w:szCs w:val="20"/>
              </w:rPr>
            </w:pPr>
          </w:p>
        </w:tc>
        <w:tc>
          <w:tcPr>
            <w:tcW w:w="5" w:type="pct"/>
            <w:vAlign w:val="center"/>
            <w:hideMark/>
          </w:tcPr>
          <w:p w14:paraId="7A0BCCE2" w14:textId="77777777" w:rsidR="00000000" w:rsidRDefault="001D0688">
            <w:pPr>
              <w:rPr>
                <w:rFonts w:eastAsia="Times New Roman"/>
                <w:sz w:val="20"/>
                <w:szCs w:val="20"/>
              </w:rPr>
            </w:pPr>
          </w:p>
        </w:tc>
        <w:tc>
          <w:tcPr>
            <w:tcW w:w="50" w:type="pct"/>
            <w:vAlign w:val="center"/>
            <w:hideMark/>
          </w:tcPr>
          <w:p w14:paraId="31BFF908" w14:textId="77777777" w:rsidR="00000000" w:rsidRDefault="001D0688">
            <w:pPr>
              <w:rPr>
                <w:rFonts w:eastAsia="Times New Roman"/>
                <w:sz w:val="20"/>
                <w:szCs w:val="20"/>
              </w:rPr>
            </w:pPr>
          </w:p>
        </w:tc>
        <w:tc>
          <w:tcPr>
            <w:tcW w:w="464" w:type="pct"/>
            <w:vAlign w:val="center"/>
            <w:hideMark/>
          </w:tcPr>
          <w:p w14:paraId="2CC1765C" w14:textId="77777777" w:rsidR="00000000" w:rsidRDefault="001D0688">
            <w:pPr>
              <w:rPr>
                <w:rFonts w:eastAsia="Times New Roman"/>
                <w:sz w:val="20"/>
                <w:szCs w:val="20"/>
              </w:rPr>
            </w:pPr>
          </w:p>
        </w:tc>
        <w:tc>
          <w:tcPr>
            <w:tcW w:w="5" w:type="pct"/>
            <w:vAlign w:val="center"/>
            <w:hideMark/>
          </w:tcPr>
          <w:p w14:paraId="14E661B8" w14:textId="77777777" w:rsidR="00000000" w:rsidRDefault="001D0688">
            <w:pPr>
              <w:rPr>
                <w:rFonts w:eastAsia="Times New Roman"/>
                <w:sz w:val="20"/>
                <w:szCs w:val="20"/>
              </w:rPr>
            </w:pPr>
          </w:p>
        </w:tc>
        <w:tc>
          <w:tcPr>
            <w:tcW w:w="5" w:type="pct"/>
            <w:vAlign w:val="center"/>
            <w:hideMark/>
          </w:tcPr>
          <w:p w14:paraId="653F8F75" w14:textId="77777777" w:rsidR="00000000" w:rsidRDefault="001D0688">
            <w:pPr>
              <w:rPr>
                <w:rFonts w:eastAsia="Times New Roman"/>
                <w:sz w:val="20"/>
                <w:szCs w:val="20"/>
              </w:rPr>
            </w:pPr>
          </w:p>
        </w:tc>
        <w:tc>
          <w:tcPr>
            <w:tcW w:w="19" w:type="pct"/>
            <w:vAlign w:val="center"/>
            <w:hideMark/>
          </w:tcPr>
          <w:p w14:paraId="526F5D82" w14:textId="77777777" w:rsidR="00000000" w:rsidRDefault="001D0688">
            <w:pPr>
              <w:rPr>
                <w:rFonts w:eastAsia="Times New Roman"/>
                <w:sz w:val="20"/>
                <w:szCs w:val="20"/>
              </w:rPr>
            </w:pPr>
          </w:p>
        </w:tc>
        <w:tc>
          <w:tcPr>
            <w:tcW w:w="5" w:type="pct"/>
            <w:vAlign w:val="center"/>
            <w:hideMark/>
          </w:tcPr>
          <w:p w14:paraId="1563348C" w14:textId="77777777" w:rsidR="00000000" w:rsidRDefault="001D0688">
            <w:pPr>
              <w:rPr>
                <w:rFonts w:eastAsia="Times New Roman"/>
                <w:sz w:val="20"/>
                <w:szCs w:val="20"/>
              </w:rPr>
            </w:pPr>
          </w:p>
        </w:tc>
        <w:tc>
          <w:tcPr>
            <w:tcW w:w="50" w:type="pct"/>
            <w:vAlign w:val="center"/>
            <w:hideMark/>
          </w:tcPr>
          <w:p w14:paraId="19E39D0D" w14:textId="77777777" w:rsidR="00000000" w:rsidRDefault="001D0688">
            <w:pPr>
              <w:rPr>
                <w:rFonts w:eastAsia="Times New Roman"/>
                <w:sz w:val="20"/>
                <w:szCs w:val="20"/>
              </w:rPr>
            </w:pPr>
          </w:p>
        </w:tc>
        <w:tc>
          <w:tcPr>
            <w:tcW w:w="464" w:type="pct"/>
            <w:vAlign w:val="center"/>
            <w:hideMark/>
          </w:tcPr>
          <w:p w14:paraId="4C0CCC6C" w14:textId="77777777" w:rsidR="00000000" w:rsidRDefault="001D0688">
            <w:pPr>
              <w:rPr>
                <w:rFonts w:eastAsia="Times New Roman"/>
                <w:sz w:val="20"/>
                <w:szCs w:val="20"/>
              </w:rPr>
            </w:pPr>
          </w:p>
        </w:tc>
        <w:tc>
          <w:tcPr>
            <w:tcW w:w="5" w:type="pct"/>
            <w:vAlign w:val="center"/>
            <w:hideMark/>
          </w:tcPr>
          <w:p w14:paraId="220B16C4" w14:textId="77777777" w:rsidR="00000000" w:rsidRDefault="001D0688">
            <w:pPr>
              <w:rPr>
                <w:rFonts w:eastAsia="Times New Roman"/>
                <w:sz w:val="20"/>
                <w:szCs w:val="20"/>
              </w:rPr>
            </w:pPr>
          </w:p>
        </w:tc>
      </w:tr>
      <w:tr w:rsidR="00000000" w14:paraId="693788BB" w14:textId="77777777">
        <w:trPr>
          <w:divId w:val="1877354631"/>
        </w:trPr>
        <w:tc>
          <w:tcPr>
            <w:tcW w:w="0" w:type="auto"/>
            <w:gridSpan w:val="3"/>
            <w:tcMar>
              <w:top w:w="30" w:type="dxa"/>
              <w:left w:w="20" w:type="dxa"/>
              <w:bottom w:w="30" w:type="dxa"/>
              <w:right w:w="20" w:type="dxa"/>
            </w:tcMar>
            <w:vAlign w:val="bottom"/>
            <w:hideMark/>
          </w:tcPr>
          <w:p w14:paraId="0C97AEAE"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27"/>
            <w:shd w:val="clear" w:color="auto" w:fill="FFFFFF"/>
            <w:tcMar>
              <w:top w:w="30" w:type="dxa"/>
              <w:left w:w="20" w:type="dxa"/>
              <w:bottom w:w="30" w:type="dxa"/>
              <w:right w:w="20" w:type="dxa"/>
            </w:tcMar>
            <w:vAlign w:val="bottom"/>
            <w:hideMark/>
          </w:tcPr>
          <w:p w14:paraId="3214F63E" w14:textId="77777777" w:rsidR="00000000" w:rsidRDefault="001D0688">
            <w:pPr>
              <w:jc w:val="center"/>
              <w:rPr>
                <w:rFonts w:eastAsia="Times New Roman"/>
              </w:rPr>
            </w:pPr>
            <w:r>
              <w:rPr>
                <w:rFonts w:ascii="Arial" w:eastAsia="Times New Roman" w:hAnsi="Arial" w:cs="Arial"/>
                <w:b/>
                <w:bCs/>
                <w:color w:val="000000"/>
                <w:sz w:val="18"/>
                <w:szCs w:val="18"/>
              </w:rPr>
              <w:t>Commitments Due By Period</w:t>
            </w:r>
          </w:p>
        </w:tc>
      </w:tr>
      <w:tr w:rsidR="00000000" w14:paraId="634301C2" w14:textId="77777777">
        <w:trPr>
          <w:divId w:val="1877354631"/>
        </w:trPr>
        <w:tc>
          <w:tcPr>
            <w:tcW w:w="0" w:type="auto"/>
            <w:gridSpan w:val="3"/>
            <w:tcMar>
              <w:top w:w="30" w:type="dxa"/>
              <w:left w:w="20" w:type="dxa"/>
              <w:bottom w:w="30" w:type="dxa"/>
              <w:right w:w="20" w:type="dxa"/>
            </w:tcMar>
            <w:vAlign w:val="bottom"/>
            <w:hideMark/>
          </w:tcPr>
          <w:p w14:paraId="12855078" w14:textId="77777777" w:rsidR="00000000" w:rsidRDefault="001D0688">
            <w:pPr>
              <w:rPr>
                <w:rFonts w:eastAsia="Times New Roman"/>
              </w:rPr>
            </w:pPr>
            <w:r>
              <w:rPr>
                <w:rFonts w:ascii="Arial" w:eastAsia="Times New Roman" w:hAnsi="Arial" w:cs="Arial"/>
                <w:b/>
                <w:bCs/>
                <w:color w:val="000000"/>
                <w:sz w:val="18"/>
                <w:szCs w:val="18"/>
                <w:u w:val="single"/>
              </w:rPr>
              <w:t>Contractual Obligations</w:t>
            </w:r>
          </w:p>
        </w:tc>
        <w:tc>
          <w:tcPr>
            <w:tcW w:w="0" w:type="auto"/>
            <w:gridSpan w:val="3"/>
            <w:tcBorders>
              <w:top w:val="single" w:sz="8" w:space="0" w:color="000000"/>
            </w:tcBorders>
            <w:tcMar>
              <w:top w:w="30" w:type="dxa"/>
              <w:left w:w="20" w:type="dxa"/>
              <w:bottom w:w="30" w:type="dxa"/>
              <w:right w:w="20" w:type="dxa"/>
            </w:tcMar>
            <w:vAlign w:val="bottom"/>
            <w:hideMark/>
          </w:tcPr>
          <w:p w14:paraId="1F6CB99A" w14:textId="77777777" w:rsidR="00000000" w:rsidRDefault="001D0688">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291910A7"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A0A9FD" w14:textId="77777777" w:rsidR="00000000" w:rsidRDefault="001D0688">
            <w:pPr>
              <w:jc w:val="center"/>
              <w:rPr>
                <w:rFonts w:eastAsia="Times New Roman"/>
              </w:rPr>
            </w:pPr>
            <w:r>
              <w:rPr>
                <w:rFonts w:ascii="Arial" w:eastAsia="Times New Roman" w:hAnsi="Arial" w:cs="Arial"/>
                <w:b/>
                <w:bCs/>
                <w:color w:val="000000"/>
                <w:sz w:val="18"/>
                <w:szCs w:val="18"/>
              </w:rPr>
              <w:t>2022-2023</w:t>
            </w:r>
          </w:p>
        </w:tc>
        <w:tc>
          <w:tcPr>
            <w:tcW w:w="0" w:type="auto"/>
            <w:gridSpan w:val="3"/>
            <w:tcBorders>
              <w:top w:val="single" w:sz="8" w:space="0" w:color="000000"/>
            </w:tcBorders>
            <w:tcMar>
              <w:top w:w="0" w:type="dxa"/>
              <w:left w:w="20" w:type="dxa"/>
              <w:bottom w:w="0" w:type="dxa"/>
              <w:right w:w="20" w:type="dxa"/>
            </w:tcMar>
            <w:vAlign w:val="center"/>
            <w:hideMark/>
          </w:tcPr>
          <w:p w14:paraId="4BA62826"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5F2075" w14:textId="77777777" w:rsidR="00000000" w:rsidRDefault="001D0688">
            <w:pPr>
              <w:jc w:val="center"/>
              <w:rPr>
                <w:rFonts w:eastAsia="Times New Roman"/>
              </w:rPr>
            </w:pPr>
            <w:r>
              <w:rPr>
                <w:rFonts w:ascii="Arial" w:eastAsia="Times New Roman" w:hAnsi="Arial" w:cs="Arial"/>
                <w:b/>
                <w:bCs/>
                <w:color w:val="000000"/>
                <w:sz w:val="18"/>
                <w:szCs w:val="18"/>
              </w:rPr>
              <w:t>2024-2025</w:t>
            </w:r>
          </w:p>
        </w:tc>
        <w:tc>
          <w:tcPr>
            <w:tcW w:w="0" w:type="auto"/>
            <w:gridSpan w:val="3"/>
            <w:tcBorders>
              <w:top w:val="single" w:sz="8" w:space="0" w:color="000000"/>
            </w:tcBorders>
            <w:tcMar>
              <w:top w:w="0" w:type="dxa"/>
              <w:left w:w="20" w:type="dxa"/>
              <w:bottom w:w="0" w:type="dxa"/>
              <w:right w:w="20" w:type="dxa"/>
            </w:tcMar>
            <w:vAlign w:val="center"/>
            <w:hideMark/>
          </w:tcPr>
          <w:p w14:paraId="1C6CFC80"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1F85BB" w14:textId="77777777" w:rsidR="00000000" w:rsidRDefault="001D0688">
            <w:pPr>
              <w:jc w:val="center"/>
              <w:rPr>
                <w:rFonts w:eastAsia="Times New Roman"/>
              </w:rPr>
            </w:pPr>
            <w:r>
              <w:rPr>
                <w:rFonts w:ascii="Arial" w:eastAsia="Times New Roman" w:hAnsi="Arial" w:cs="Arial"/>
                <w:b/>
                <w:bCs/>
                <w:color w:val="000000"/>
                <w:sz w:val="18"/>
                <w:szCs w:val="18"/>
              </w:rPr>
              <w:t>Thereafter</w:t>
            </w:r>
          </w:p>
        </w:tc>
        <w:tc>
          <w:tcPr>
            <w:tcW w:w="0" w:type="auto"/>
            <w:gridSpan w:val="3"/>
            <w:tcBorders>
              <w:top w:val="single" w:sz="8" w:space="0" w:color="000000"/>
            </w:tcBorders>
            <w:tcMar>
              <w:top w:w="0" w:type="dxa"/>
              <w:left w:w="20" w:type="dxa"/>
              <w:bottom w:w="0" w:type="dxa"/>
              <w:right w:w="20" w:type="dxa"/>
            </w:tcMar>
            <w:vAlign w:val="center"/>
            <w:hideMark/>
          </w:tcPr>
          <w:p w14:paraId="005A1880"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6A9781" w14:textId="77777777" w:rsidR="00000000" w:rsidRDefault="001D0688">
            <w:pPr>
              <w:jc w:val="center"/>
              <w:rPr>
                <w:rFonts w:eastAsia="Times New Roman"/>
              </w:rPr>
            </w:pPr>
            <w:r>
              <w:rPr>
                <w:rFonts w:ascii="Arial" w:eastAsia="Times New Roman" w:hAnsi="Arial" w:cs="Arial"/>
                <w:b/>
                <w:bCs/>
                <w:color w:val="000000"/>
                <w:sz w:val="18"/>
                <w:szCs w:val="18"/>
              </w:rPr>
              <w:t>Total</w:t>
            </w:r>
          </w:p>
        </w:tc>
      </w:tr>
      <w:tr w:rsidR="00000000" w14:paraId="775205FD" w14:textId="77777777">
        <w:trPr>
          <w:divId w:val="1877354631"/>
        </w:trPr>
        <w:tc>
          <w:tcPr>
            <w:tcW w:w="0" w:type="auto"/>
            <w:gridSpan w:val="3"/>
            <w:shd w:val="clear" w:color="auto" w:fill="DCE2EF"/>
            <w:tcMar>
              <w:top w:w="30" w:type="dxa"/>
              <w:left w:w="20" w:type="dxa"/>
              <w:bottom w:w="30" w:type="dxa"/>
              <w:right w:w="20" w:type="dxa"/>
            </w:tcMar>
            <w:vAlign w:val="bottom"/>
            <w:hideMark/>
          </w:tcPr>
          <w:p w14:paraId="1CA76C29" w14:textId="77777777" w:rsidR="00000000" w:rsidRDefault="001D0688">
            <w:pPr>
              <w:divId w:val="1343705305"/>
              <w:rPr>
                <w:rFonts w:eastAsia="Times New Roman"/>
              </w:rPr>
            </w:pPr>
            <w:r>
              <w:rPr>
                <w:rFonts w:ascii="Arial" w:eastAsia="Times New Roman" w:hAnsi="Arial" w:cs="Arial"/>
                <w:color w:val="000000"/>
                <w:sz w:val="18"/>
                <w:szCs w:val="18"/>
              </w:rPr>
              <w:t>Borrowings under term loa</w:t>
            </w:r>
            <w:r>
              <w:rPr>
                <w:rFonts w:ascii="Arial" w:eastAsia="Times New Roman" w:hAnsi="Arial" w:cs="Arial"/>
                <w:color w:val="000000"/>
                <w:sz w:val="18"/>
                <w:szCs w:val="18"/>
              </w:rPr>
              <w:t>n</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DED1DF6"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CA341A1" w14:textId="77777777" w:rsidR="00000000" w:rsidRDefault="001D0688">
            <w:pPr>
              <w:jc w:val="right"/>
              <w:rPr>
                <w:rFonts w:eastAsia="Times New Roman"/>
              </w:rPr>
            </w:pPr>
            <w:r>
              <w:rPr>
                <w:rFonts w:ascii="Arial" w:eastAsia="Times New Roman" w:hAnsi="Arial" w:cs="Arial"/>
                <w:color w:val="000000"/>
                <w:sz w:val="18"/>
                <w:szCs w:val="18"/>
              </w:rPr>
              <w:t>120.0 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19A07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2DF37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E2B85C"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5C772DF" w14:textId="77777777" w:rsidR="00000000" w:rsidRDefault="001D0688">
            <w:pPr>
              <w:jc w:val="right"/>
              <w:rPr>
                <w:rFonts w:eastAsia="Times New Roman"/>
              </w:rPr>
            </w:pPr>
            <w:r>
              <w:rPr>
                <w:rFonts w:ascii="Arial" w:eastAsia="Times New Roman" w:hAnsi="Arial" w:cs="Arial"/>
                <w:color w:val="000000"/>
                <w:sz w:val="18"/>
                <w:szCs w:val="18"/>
              </w:rPr>
              <w:t>560.0 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8E997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A377B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634E53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649AC13"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35B008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2F707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7FB4F83"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F264835"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ACD72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C681A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167D97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80FDF70" w14:textId="77777777" w:rsidR="00000000" w:rsidRDefault="001D0688">
            <w:pPr>
              <w:jc w:val="right"/>
              <w:rPr>
                <w:rFonts w:eastAsia="Times New Roman"/>
              </w:rPr>
            </w:pPr>
            <w:r>
              <w:rPr>
                <w:rFonts w:ascii="Arial" w:eastAsia="Times New Roman" w:hAnsi="Arial" w:cs="Arial"/>
                <w:color w:val="000000"/>
                <w:sz w:val="18"/>
                <w:szCs w:val="18"/>
              </w:rPr>
              <w:t>680.0 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3FBA0BB" w14:textId="77777777" w:rsidR="00000000" w:rsidRDefault="001D0688">
            <w:pPr>
              <w:jc w:val="right"/>
              <w:rPr>
                <w:rFonts w:eastAsia="Times New Roman"/>
              </w:rPr>
            </w:pPr>
          </w:p>
        </w:tc>
      </w:tr>
      <w:tr w:rsidR="00000000" w14:paraId="6341D88E" w14:textId="77777777">
        <w:trPr>
          <w:divId w:val="1877354631"/>
        </w:trPr>
        <w:tc>
          <w:tcPr>
            <w:tcW w:w="0" w:type="auto"/>
            <w:gridSpan w:val="3"/>
            <w:shd w:val="clear" w:color="auto" w:fill="FFFFFF"/>
            <w:tcMar>
              <w:top w:w="30" w:type="dxa"/>
              <w:left w:w="20" w:type="dxa"/>
              <w:bottom w:w="30" w:type="dxa"/>
              <w:right w:w="20" w:type="dxa"/>
            </w:tcMar>
            <w:vAlign w:val="bottom"/>
            <w:hideMark/>
          </w:tcPr>
          <w:p w14:paraId="20BCB5DF" w14:textId="77777777" w:rsidR="00000000" w:rsidRDefault="001D0688">
            <w:pPr>
              <w:divId w:val="1146822539"/>
              <w:rPr>
                <w:rFonts w:eastAsia="Times New Roman"/>
              </w:rPr>
            </w:pPr>
            <w:r>
              <w:rPr>
                <w:rFonts w:ascii="Arial" w:eastAsia="Times New Roman" w:hAnsi="Arial" w:cs="Arial"/>
                <w:color w:val="000000"/>
                <w:sz w:val="18"/>
                <w:szCs w:val="18"/>
              </w:rPr>
              <w:t>Borrowings under line of credi</w:t>
            </w:r>
            <w:r>
              <w:rPr>
                <w:rFonts w:ascii="Arial" w:eastAsia="Times New Roman" w:hAnsi="Arial" w:cs="Arial"/>
                <w:color w:val="000000"/>
                <w:sz w:val="18"/>
                <w:szCs w:val="18"/>
              </w:rPr>
              <w:t>t</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0299E257"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48CCB2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B06D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33FC0" w14:textId="77777777" w:rsidR="00000000" w:rsidRDefault="001D0688">
            <w:pPr>
              <w:jc w:val="right"/>
              <w:rPr>
                <w:rFonts w:eastAsia="Times New Roman"/>
              </w:rPr>
            </w:pPr>
            <w:r>
              <w:rPr>
                <w:rFonts w:ascii="Arial" w:eastAsia="Times New Roman" w:hAnsi="Arial" w:cs="Arial"/>
                <w:color w:val="000000"/>
                <w:sz w:val="18"/>
                <w:szCs w:val="18"/>
              </w:rPr>
              <w:t>45.3 </w:t>
            </w:r>
          </w:p>
        </w:tc>
        <w:tc>
          <w:tcPr>
            <w:tcW w:w="0" w:type="auto"/>
            <w:shd w:val="clear" w:color="auto" w:fill="FFFFFF"/>
            <w:tcMar>
              <w:top w:w="30" w:type="dxa"/>
              <w:left w:w="0" w:type="dxa"/>
              <w:bottom w:w="30" w:type="dxa"/>
              <w:right w:w="20" w:type="dxa"/>
            </w:tcMar>
            <w:vAlign w:val="bottom"/>
            <w:hideMark/>
          </w:tcPr>
          <w:p w14:paraId="0E517F1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4929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F91F92"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73D070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322A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947632"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F8731B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BBD6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E1CE4" w14:textId="77777777" w:rsidR="00000000" w:rsidRDefault="001D0688">
            <w:pPr>
              <w:jc w:val="right"/>
              <w:rPr>
                <w:rFonts w:eastAsia="Times New Roman"/>
              </w:rPr>
            </w:pPr>
            <w:r>
              <w:rPr>
                <w:rFonts w:ascii="Arial" w:eastAsia="Times New Roman" w:hAnsi="Arial" w:cs="Arial"/>
                <w:color w:val="000000"/>
                <w:sz w:val="18"/>
                <w:szCs w:val="18"/>
              </w:rPr>
              <w:t>45.3 </w:t>
            </w:r>
          </w:p>
        </w:tc>
        <w:tc>
          <w:tcPr>
            <w:tcW w:w="0" w:type="auto"/>
            <w:shd w:val="clear" w:color="auto" w:fill="FFFFFF"/>
            <w:tcMar>
              <w:top w:w="30" w:type="dxa"/>
              <w:left w:w="0" w:type="dxa"/>
              <w:bottom w:w="30" w:type="dxa"/>
              <w:right w:w="20" w:type="dxa"/>
            </w:tcMar>
            <w:vAlign w:val="bottom"/>
            <w:hideMark/>
          </w:tcPr>
          <w:p w14:paraId="28D73610" w14:textId="77777777" w:rsidR="00000000" w:rsidRDefault="001D0688">
            <w:pPr>
              <w:jc w:val="right"/>
              <w:rPr>
                <w:rFonts w:eastAsia="Times New Roman"/>
              </w:rPr>
            </w:pPr>
          </w:p>
        </w:tc>
      </w:tr>
      <w:tr w:rsidR="00000000" w14:paraId="79CE9948" w14:textId="77777777">
        <w:trPr>
          <w:divId w:val="1877354631"/>
        </w:trPr>
        <w:tc>
          <w:tcPr>
            <w:tcW w:w="0" w:type="auto"/>
            <w:gridSpan w:val="3"/>
            <w:shd w:val="clear" w:color="auto" w:fill="DCE2EF"/>
            <w:tcMar>
              <w:top w:w="30" w:type="dxa"/>
              <w:left w:w="20" w:type="dxa"/>
              <w:bottom w:w="30" w:type="dxa"/>
              <w:right w:w="20" w:type="dxa"/>
            </w:tcMar>
            <w:vAlign w:val="bottom"/>
            <w:hideMark/>
          </w:tcPr>
          <w:p w14:paraId="701DAA22" w14:textId="77777777" w:rsidR="00000000" w:rsidRDefault="001D0688">
            <w:pPr>
              <w:divId w:val="769082628"/>
              <w:rPr>
                <w:rFonts w:eastAsia="Times New Roman"/>
              </w:rPr>
            </w:pPr>
            <w:r>
              <w:rPr>
                <w:rFonts w:ascii="Arial" w:eastAsia="Times New Roman" w:hAnsi="Arial" w:cs="Arial"/>
                <w:color w:val="000000"/>
                <w:sz w:val="18"/>
                <w:szCs w:val="18"/>
              </w:rPr>
              <w:t>Fixed interest related to interest rate swap</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14:paraId="3D14BF6E" w14:textId="77777777" w:rsidR="00000000" w:rsidRDefault="001D0688">
            <w:pPr>
              <w:jc w:val="right"/>
              <w:rPr>
                <w:rFonts w:eastAsia="Times New Roman"/>
              </w:rPr>
            </w:pPr>
            <w:r>
              <w:rPr>
                <w:rFonts w:ascii="Arial" w:eastAsia="Times New Roman" w:hAnsi="Arial" w:cs="Arial"/>
                <w:color w:val="000000"/>
                <w:sz w:val="18"/>
                <w:szCs w:val="18"/>
              </w:rPr>
              <w:t>11.2 </w:t>
            </w:r>
          </w:p>
        </w:tc>
        <w:tc>
          <w:tcPr>
            <w:tcW w:w="0" w:type="auto"/>
            <w:shd w:val="clear" w:color="auto" w:fill="DCE2EF"/>
            <w:tcMar>
              <w:top w:w="30" w:type="dxa"/>
              <w:left w:w="0" w:type="dxa"/>
              <w:bottom w:w="30" w:type="dxa"/>
              <w:right w:w="20" w:type="dxa"/>
            </w:tcMar>
            <w:vAlign w:val="bottom"/>
            <w:hideMark/>
          </w:tcPr>
          <w:p w14:paraId="6000BA2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F21FD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BB70DC" w14:textId="77777777" w:rsidR="00000000" w:rsidRDefault="001D0688">
            <w:pPr>
              <w:jc w:val="right"/>
              <w:rPr>
                <w:rFonts w:eastAsia="Times New Roman"/>
              </w:rPr>
            </w:pPr>
            <w:r>
              <w:rPr>
                <w:rFonts w:ascii="Arial" w:eastAsia="Times New Roman" w:hAnsi="Arial" w:cs="Arial"/>
                <w:color w:val="000000"/>
                <w:sz w:val="18"/>
                <w:szCs w:val="18"/>
              </w:rPr>
              <w:t>5.0 </w:t>
            </w:r>
          </w:p>
        </w:tc>
        <w:tc>
          <w:tcPr>
            <w:tcW w:w="0" w:type="auto"/>
            <w:shd w:val="clear" w:color="auto" w:fill="DCE2EF"/>
            <w:tcMar>
              <w:top w:w="30" w:type="dxa"/>
              <w:left w:w="0" w:type="dxa"/>
              <w:bottom w:w="30" w:type="dxa"/>
              <w:right w:w="20" w:type="dxa"/>
            </w:tcMar>
            <w:vAlign w:val="bottom"/>
            <w:hideMark/>
          </w:tcPr>
          <w:p w14:paraId="6EE5A34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B4CDB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444B2F"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80506F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EA0B9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CBD7CE"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3B22D0E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B50A4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592AC0" w14:textId="77777777" w:rsidR="00000000" w:rsidRDefault="001D0688">
            <w:pPr>
              <w:jc w:val="right"/>
              <w:rPr>
                <w:rFonts w:eastAsia="Times New Roman"/>
              </w:rPr>
            </w:pPr>
            <w:r>
              <w:rPr>
                <w:rFonts w:ascii="Arial" w:eastAsia="Times New Roman" w:hAnsi="Arial" w:cs="Arial"/>
                <w:color w:val="000000"/>
                <w:sz w:val="18"/>
                <w:szCs w:val="18"/>
              </w:rPr>
              <w:t>16.2 </w:t>
            </w:r>
          </w:p>
        </w:tc>
        <w:tc>
          <w:tcPr>
            <w:tcW w:w="0" w:type="auto"/>
            <w:shd w:val="clear" w:color="auto" w:fill="DCE2EF"/>
            <w:tcMar>
              <w:top w:w="30" w:type="dxa"/>
              <w:left w:w="0" w:type="dxa"/>
              <w:bottom w:w="30" w:type="dxa"/>
              <w:right w:w="20" w:type="dxa"/>
            </w:tcMar>
            <w:vAlign w:val="bottom"/>
            <w:hideMark/>
          </w:tcPr>
          <w:p w14:paraId="4CC9EE7A" w14:textId="77777777" w:rsidR="00000000" w:rsidRDefault="001D0688">
            <w:pPr>
              <w:jc w:val="right"/>
              <w:rPr>
                <w:rFonts w:eastAsia="Times New Roman"/>
              </w:rPr>
            </w:pPr>
          </w:p>
        </w:tc>
      </w:tr>
      <w:tr w:rsidR="00000000" w14:paraId="4F7CC11F" w14:textId="77777777">
        <w:trPr>
          <w:divId w:val="1877354631"/>
        </w:trPr>
        <w:tc>
          <w:tcPr>
            <w:tcW w:w="0" w:type="auto"/>
            <w:gridSpan w:val="3"/>
            <w:shd w:val="clear" w:color="auto" w:fill="FFFFFF"/>
            <w:tcMar>
              <w:top w:w="30" w:type="dxa"/>
              <w:left w:w="20" w:type="dxa"/>
              <w:bottom w:w="30" w:type="dxa"/>
              <w:right w:w="20" w:type="dxa"/>
            </w:tcMar>
            <w:vAlign w:val="bottom"/>
            <w:hideMark/>
          </w:tcPr>
          <w:p w14:paraId="05DB4CA1" w14:textId="77777777" w:rsidR="00000000" w:rsidRDefault="001D0688">
            <w:pPr>
              <w:divId w:val="1371152226"/>
              <w:rPr>
                <w:rFonts w:eastAsia="Times New Roman"/>
              </w:rPr>
            </w:pPr>
            <w:r>
              <w:rPr>
                <w:rFonts w:ascii="Arial" w:eastAsia="Times New Roman" w:hAnsi="Arial" w:cs="Arial"/>
                <w:color w:val="000000"/>
                <w:sz w:val="18"/>
                <w:szCs w:val="18"/>
              </w:rPr>
              <w:t>Operating leases and other similar commitment</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49177E80" w14:textId="77777777" w:rsidR="00000000" w:rsidRDefault="001D0688">
            <w:pPr>
              <w:jc w:val="right"/>
              <w:rPr>
                <w:rFonts w:eastAsia="Times New Roman"/>
              </w:rPr>
            </w:pPr>
            <w:r>
              <w:rPr>
                <w:rFonts w:ascii="Arial" w:eastAsia="Times New Roman" w:hAnsi="Arial" w:cs="Arial"/>
                <w:color w:val="000000"/>
                <w:sz w:val="18"/>
                <w:szCs w:val="18"/>
              </w:rPr>
              <w:t>41.3 </w:t>
            </w:r>
          </w:p>
        </w:tc>
        <w:tc>
          <w:tcPr>
            <w:tcW w:w="0" w:type="auto"/>
            <w:shd w:val="clear" w:color="auto" w:fill="FFFFFF"/>
            <w:tcMar>
              <w:top w:w="30" w:type="dxa"/>
              <w:left w:w="0" w:type="dxa"/>
              <w:bottom w:w="30" w:type="dxa"/>
              <w:right w:w="20" w:type="dxa"/>
            </w:tcMar>
            <w:vAlign w:val="bottom"/>
            <w:hideMark/>
          </w:tcPr>
          <w:p w14:paraId="255CCF5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A0F9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52AC2" w14:textId="77777777" w:rsidR="00000000" w:rsidRDefault="001D0688">
            <w:pPr>
              <w:jc w:val="right"/>
              <w:rPr>
                <w:rFonts w:eastAsia="Times New Roman"/>
              </w:rPr>
            </w:pPr>
            <w:r>
              <w:rPr>
                <w:rFonts w:ascii="Arial" w:eastAsia="Times New Roman" w:hAnsi="Arial" w:cs="Arial"/>
                <w:color w:val="000000"/>
                <w:sz w:val="18"/>
                <w:szCs w:val="18"/>
              </w:rPr>
              <w:t>63.5 </w:t>
            </w:r>
          </w:p>
        </w:tc>
        <w:tc>
          <w:tcPr>
            <w:tcW w:w="0" w:type="auto"/>
            <w:shd w:val="clear" w:color="auto" w:fill="FFFFFF"/>
            <w:tcMar>
              <w:top w:w="30" w:type="dxa"/>
              <w:left w:w="0" w:type="dxa"/>
              <w:bottom w:w="30" w:type="dxa"/>
              <w:right w:w="20" w:type="dxa"/>
            </w:tcMar>
            <w:vAlign w:val="bottom"/>
            <w:hideMark/>
          </w:tcPr>
          <w:p w14:paraId="62C64E1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E745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1F8FB" w14:textId="77777777" w:rsidR="00000000" w:rsidRDefault="001D0688">
            <w:pPr>
              <w:jc w:val="right"/>
              <w:rPr>
                <w:rFonts w:eastAsia="Times New Roman"/>
              </w:rPr>
            </w:pPr>
            <w:r>
              <w:rPr>
                <w:rFonts w:ascii="Arial" w:eastAsia="Times New Roman" w:hAnsi="Arial" w:cs="Arial"/>
                <w:color w:val="000000"/>
                <w:sz w:val="18"/>
                <w:szCs w:val="18"/>
              </w:rPr>
              <w:t>42.3 </w:t>
            </w:r>
          </w:p>
        </w:tc>
        <w:tc>
          <w:tcPr>
            <w:tcW w:w="0" w:type="auto"/>
            <w:shd w:val="clear" w:color="auto" w:fill="FFFFFF"/>
            <w:tcMar>
              <w:top w:w="30" w:type="dxa"/>
              <w:left w:w="0" w:type="dxa"/>
              <w:bottom w:w="30" w:type="dxa"/>
              <w:right w:w="20" w:type="dxa"/>
            </w:tcMar>
            <w:vAlign w:val="bottom"/>
            <w:hideMark/>
          </w:tcPr>
          <w:p w14:paraId="75A9AB3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97A4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5AD6C" w14:textId="77777777" w:rsidR="00000000" w:rsidRDefault="001D0688">
            <w:pPr>
              <w:jc w:val="right"/>
              <w:rPr>
                <w:rFonts w:eastAsia="Times New Roman"/>
              </w:rPr>
            </w:pPr>
            <w:r>
              <w:rPr>
                <w:rFonts w:ascii="Arial" w:eastAsia="Times New Roman" w:hAnsi="Arial" w:cs="Arial"/>
                <w:color w:val="000000"/>
                <w:sz w:val="18"/>
                <w:szCs w:val="18"/>
              </w:rPr>
              <w:t>43.3 </w:t>
            </w:r>
          </w:p>
        </w:tc>
        <w:tc>
          <w:tcPr>
            <w:tcW w:w="0" w:type="auto"/>
            <w:shd w:val="clear" w:color="auto" w:fill="FFFFFF"/>
            <w:tcMar>
              <w:top w:w="30" w:type="dxa"/>
              <w:left w:w="0" w:type="dxa"/>
              <w:bottom w:w="30" w:type="dxa"/>
              <w:right w:w="20" w:type="dxa"/>
            </w:tcMar>
            <w:vAlign w:val="bottom"/>
            <w:hideMark/>
          </w:tcPr>
          <w:p w14:paraId="0A8ACCB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C897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9131F3" w14:textId="77777777" w:rsidR="00000000" w:rsidRDefault="001D0688">
            <w:pPr>
              <w:jc w:val="right"/>
              <w:rPr>
                <w:rFonts w:eastAsia="Times New Roman"/>
              </w:rPr>
            </w:pPr>
            <w:r>
              <w:rPr>
                <w:rFonts w:ascii="Arial" w:eastAsia="Times New Roman" w:hAnsi="Arial" w:cs="Arial"/>
                <w:color w:val="000000"/>
                <w:sz w:val="18"/>
                <w:szCs w:val="18"/>
              </w:rPr>
              <w:t>190.4 </w:t>
            </w:r>
          </w:p>
        </w:tc>
        <w:tc>
          <w:tcPr>
            <w:tcW w:w="0" w:type="auto"/>
            <w:shd w:val="clear" w:color="auto" w:fill="FFFFFF"/>
            <w:tcMar>
              <w:top w:w="30" w:type="dxa"/>
              <w:left w:w="0" w:type="dxa"/>
              <w:bottom w:w="30" w:type="dxa"/>
              <w:right w:w="20" w:type="dxa"/>
            </w:tcMar>
            <w:vAlign w:val="bottom"/>
            <w:hideMark/>
          </w:tcPr>
          <w:p w14:paraId="1936342F" w14:textId="77777777" w:rsidR="00000000" w:rsidRDefault="001D0688">
            <w:pPr>
              <w:jc w:val="right"/>
              <w:rPr>
                <w:rFonts w:eastAsia="Times New Roman"/>
              </w:rPr>
            </w:pPr>
          </w:p>
        </w:tc>
      </w:tr>
      <w:tr w:rsidR="00000000" w14:paraId="26D66B99" w14:textId="77777777">
        <w:trPr>
          <w:divId w:val="1877354631"/>
        </w:trPr>
        <w:tc>
          <w:tcPr>
            <w:tcW w:w="0" w:type="auto"/>
            <w:gridSpan w:val="3"/>
            <w:shd w:val="clear" w:color="auto" w:fill="DCE2EF"/>
            <w:tcMar>
              <w:top w:w="30" w:type="dxa"/>
              <w:left w:w="20" w:type="dxa"/>
              <w:bottom w:w="30" w:type="dxa"/>
              <w:right w:w="20" w:type="dxa"/>
            </w:tcMar>
            <w:vAlign w:val="bottom"/>
            <w:hideMark/>
          </w:tcPr>
          <w:p w14:paraId="00099822" w14:textId="77777777" w:rsidR="00000000" w:rsidRDefault="001D0688">
            <w:pPr>
              <w:divId w:val="367224880"/>
              <w:rPr>
                <w:rFonts w:eastAsia="Times New Roman"/>
              </w:rPr>
            </w:pPr>
            <w:r>
              <w:rPr>
                <w:rFonts w:ascii="Arial" w:eastAsia="Times New Roman" w:hAnsi="Arial" w:cs="Arial"/>
                <w:color w:val="000000"/>
                <w:sz w:val="18"/>
                <w:szCs w:val="18"/>
              </w:rPr>
              <w:t>Service concession arrangement</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14:paraId="0B1E09FA" w14:textId="77777777" w:rsidR="00000000" w:rsidRDefault="001D0688">
            <w:pPr>
              <w:jc w:val="right"/>
              <w:rPr>
                <w:rFonts w:eastAsia="Times New Roman"/>
              </w:rPr>
            </w:pPr>
            <w:r>
              <w:rPr>
                <w:rFonts w:ascii="Arial" w:eastAsia="Times New Roman" w:hAnsi="Arial" w:cs="Arial"/>
                <w:color w:val="000000"/>
                <w:sz w:val="18"/>
                <w:szCs w:val="18"/>
              </w:rPr>
              <w:t>21.2 </w:t>
            </w:r>
          </w:p>
        </w:tc>
        <w:tc>
          <w:tcPr>
            <w:tcW w:w="0" w:type="auto"/>
            <w:shd w:val="clear" w:color="auto" w:fill="DCE2EF"/>
            <w:tcMar>
              <w:top w:w="30" w:type="dxa"/>
              <w:left w:w="0" w:type="dxa"/>
              <w:bottom w:w="30" w:type="dxa"/>
              <w:right w:w="20" w:type="dxa"/>
            </w:tcMar>
            <w:vAlign w:val="bottom"/>
            <w:hideMark/>
          </w:tcPr>
          <w:p w14:paraId="1A7163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F30B0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FA7FCD" w14:textId="77777777" w:rsidR="00000000" w:rsidRDefault="001D0688">
            <w:pPr>
              <w:jc w:val="right"/>
              <w:rPr>
                <w:rFonts w:eastAsia="Times New Roman"/>
              </w:rPr>
            </w:pPr>
            <w:r>
              <w:rPr>
                <w:rFonts w:ascii="Arial" w:eastAsia="Times New Roman" w:hAnsi="Arial" w:cs="Arial"/>
                <w:color w:val="000000"/>
                <w:sz w:val="18"/>
                <w:szCs w:val="18"/>
              </w:rPr>
              <w:t>30.9 </w:t>
            </w:r>
          </w:p>
        </w:tc>
        <w:tc>
          <w:tcPr>
            <w:tcW w:w="0" w:type="auto"/>
            <w:shd w:val="clear" w:color="auto" w:fill="DCE2EF"/>
            <w:tcMar>
              <w:top w:w="30" w:type="dxa"/>
              <w:left w:w="0" w:type="dxa"/>
              <w:bottom w:w="30" w:type="dxa"/>
              <w:right w:w="20" w:type="dxa"/>
            </w:tcMar>
            <w:vAlign w:val="bottom"/>
            <w:hideMark/>
          </w:tcPr>
          <w:p w14:paraId="2D05999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E2B78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A7CFA5" w14:textId="77777777" w:rsidR="00000000" w:rsidRDefault="001D0688">
            <w:pPr>
              <w:jc w:val="right"/>
              <w:rPr>
                <w:rFonts w:eastAsia="Times New Roman"/>
              </w:rPr>
            </w:pPr>
            <w:r>
              <w:rPr>
                <w:rFonts w:ascii="Arial" w:eastAsia="Times New Roman" w:hAnsi="Arial" w:cs="Arial"/>
                <w:color w:val="000000"/>
                <w:sz w:val="18"/>
                <w:szCs w:val="18"/>
              </w:rPr>
              <w:t>30.9 </w:t>
            </w:r>
          </w:p>
        </w:tc>
        <w:tc>
          <w:tcPr>
            <w:tcW w:w="0" w:type="auto"/>
            <w:shd w:val="clear" w:color="auto" w:fill="DCE2EF"/>
            <w:tcMar>
              <w:top w:w="30" w:type="dxa"/>
              <w:left w:w="0" w:type="dxa"/>
              <w:bottom w:w="30" w:type="dxa"/>
              <w:right w:w="20" w:type="dxa"/>
            </w:tcMar>
            <w:vAlign w:val="bottom"/>
            <w:hideMark/>
          </w:tcPr>
          <w:p w14:paraId="1ED5D4B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4E605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5D31771" w14:textId="77777777" w:rsidR="00000000" w:rsidRDefault="001D0688">
            <w:pPr>
              <w:jc w:val="right"/>
              <w:rPr>
                <w:rFonts w:eastAsia="Times New Roman"/>
              </w:rPr>
            </w:pPr>
            <w:r>
              <w:rPr>
                <w:rFonts w:ascii="Arial" w:eastAsia="Times New Roman" w:hAnsi="Arial" w:cs="Arial"/>
                <w:color w:val="000000"/>
                <w:sz w:val="18"/>
                <w:szCs w:val="18"/>
              </w:rPr>
              <w:t>9.0 </w:t>
            </w:r>
          </w:p>
        </w:tc>
        <w:tc>
          <w:tcPr>
            <w:tcW w:w="0" w:type="auto"/>
            <w:shd w:val="clear" w:color="auto" w:fill="DCE2EF"/>
            <w:tcMar>
              <w:top w:w="30" w:type="dxa"/>
              <w:left w:w="0" w:type="dxa"/>
              <w:bottom w:w="30" w:type="dxa"/>
              <w:right w:w="20" w:type="dxa"/>
            </w:tcMar>
            <w:vAlign w:val="bottom"/>
            <w:hideMark/>
          </w:tcPr>
          <w:p w14:paraId="7E370D1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FEDAD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1D5046" w14:textId="77777777" w:rsidR="00000000" w:rsidRDefault="001D0688">
            <w:pPr>
              <w:jc w:val="right"/>
              <w:rPr>
                <w:rFonts w:eastAsia="Times New Roman"/>
              </w:rPr>
            </w:pPr>
            <w:r>
              <w:rPr>
                <w:rFonts w:ascii="Arial" w:eastAsia="Times New Roman" w:hAnsi="Arial" w:cs="Arial"/>
                <w:color w:val="000000"/>
                <w:sz w:val="18"/>
                <w:szCs w:val="18"/>
              </w:rPr>
              <w:t>92.0 </w:t>
            </w:r>
          </w:p>
        </w:tc>
        <w:tc>
          <w:tcPr>
            <w:tcW w:w="0" w:type="auto"/>
            <w:shd w:val="clear" w:color="auto" w:fill="DCE2EF"/>
            <w:tcMar>
              <w:top w:w="30" w:type="dxa"/>
              <w:left w:w="0" w:type="dxa"/>
              <w:bottom w:w="30" w:type="dxa"/>
              <w:right w:w="20" w:type="dxa"/>
            </w:tcMar>
            <w:vAlign w:val="bottom"/>
            <w:hideMark/>
          </w:tcPr>
          <w:p w14:paraId="3B9D9127" w14:textId="77777777" w:rsidR="00000000" w:rsidRDefault="001D0688">
            <w:pPr>
              <w:jc w:val="right"/>
              <w:rPr>
                <w:rFonts w:eastAsia="Times New Roman"/>
              </w:rPr>
            </w:pPr>
          </w:p>
        </w:tc>
      </w:tr>
      <w:tr w:rsidR="00000000" w14:paraId="0BE1DA42" w14:textId="77777777">
        <w:trPr>
          <w:divId w:val="1877354631"/>
        </w:trPr>
        <w:tc>
          <w:tcPr>
            <w:tcW w:w="0" w:type="auto"/>
            <w:gridSpan w:val="3"/>
            <w:shd w:val="clear" w:color="auto" w:fill="FFFFFF"/>
            <w:tcMar>
              <w:top w:w="30" w:type="dxa"/>
              <w:left w:w="20" w:type="dxa"/>
              <w:bottom w:w="30" w:type="dxa"/>
              <w:right w:w="20" w:type="dxa"/>
            </w:tcMar>
            <w:vAlign w:val="bottom"/>
            <w:hideMark/>
          </w:tcPr>
          <w:p w14:paraId="0AEA8BAD" w14:textId="77777777" w:rsidR="00000000" w:rsidRDefault="001D0688">
            <w:pPr>
              <w:divId w:val="298611485"/>
              <w:rPr>
                <w:rFonts w:eastAsia="Times New Roman"/>
              </w:rPr>
            </w:pPr>
            <w:r>
              <w:rPr>
                <w:rFonts w:ascii="Arial" w:eastAsia="Times New Roman" w:hAnsi="Arial" w:cs="Arial"/>
                <w:color w:val="000000"/>
                <w:sz w:val="18"/>
                <w:szCs w:val="18"/>
              </w:rPr>
              <w:t>Finance lease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62FD1D13" w14:textId="77777777" w:rsidR="00000000" w:rsidRDefault="001D0688">
            <w:pPr>
              <w:jc w:val="right"/>
              <w:rPr>
                <w:rFonts w:eastAsia="Times New Roman"/>
              </w:rPr>
            </w:pPr>
            <w:r>
              <w:rPr>
                <w:rFonts w:ascii="Arial" w:eastAsia="Times New Roman" w:hAnsi="Arial" w:cs="Arial"/>
                <w:color w:val="000000"/>
                <w:sz w:val="18"/>
                <w:szCs w:val="18"/>
              </w:rPr>
              <w:t>3.3 </w:t>
            </w:r>
          </w:p>
        </w:tc>
        <w:tc>
          <w:tcPr>
            <w:tcW w:w="0" w:type="auto"/>
            <w:shd w:val="clear" w:color="auto" w:fill="FFFFFF"/>
            <w:tcMar>
              <w:top w:w="30" w:type="dxa"/>
              <w:left w:w="0" w:type="dxa"/>
              <w:bottom w:w="30" w:type="dxa"/>
              <w:right w:w="20" w:type="dxa"/>
            </w:tcMar>
            <w:vAlign w:val="bottom"/>
            <w:hideMark/>
          </w:tcPr>
          <w:p w14:paraId="235148B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F035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0F4A23" w14:textId="77777777" w:rsidR="00000000" w:rsidRDefault="001D0688">
            <w:pPr>
              <w:jc w:val="right"/>
              <w:rPr>
                <w:rFonts w:eastAsia="Times New Roman"/>
              </w:rPr>
            </w:pPr>
            <w:r>
              <w:rPr>
                <w:rFonts w:ascii="Arial" w:eastAsia="Times New Roman" w:hAnsi="Arial" w:cs="Arial"/>
                <w:color w:val="000000"/>
                <w:sz w:val="18"/>
                <w:szCs w:val="18"/>
              </w:rPr>
              <w:t>2.6 </w:t>
            </w:r>
          </w:p>
        </w:tc>
        <w:tc>
          <w:tcPr>
            <w:tcW w:w="0" w:type="auto"/>
            <w:shd w:val="clear" w:color="auto" w:fill="FFFFFF"/>
            <w:tcMar>
              <w:top w:w="30" w:type="dxa"/>
              <w:left w:w="0" w:type="dxa"/>
              <w:bottom w:w="30" w:type="dxa"/>
              <w:right w:w="20" w:type="dxa"/>
            </w:tcMar>
            <w:vAlign w:val="bottom"/>
            <w:hideMark/>
          </w:tcPr>
          <w:p w14:paraId="5D9C096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1200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6E9E2"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2D7838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DB8C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06389A"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AB6606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C73C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293E0" w14:textId="77777777" w:rsidR="00000000" w:rsidRDefault="001D0688">
            <w:pPr>
              <w:jc w:val="right"/>
              <w:rPr>
                <w:rFonts w:eastAsia="Times New Roman"/>
              </w:rPr>
            </w:pPr>
            <w:r>
              <w:rPr>
                <w:rFonts w:ascii="Arial" w:eastAsia="Times New Roman" w:hAnsi="Arial" w:cs="Arial"/>
                <w:color w:val="000000"/>
                <w:sz w:val="18"/>
                <w:szCs w:val="18"/>
              </w:rPr>
              <w:t>5.9 </w:t>
            </w:r>
          </w:p>
        </w:tc>
        <w:tc>
          <w:tcPr>
            <w:tcW w:w="0" w:type="auto"/>
            <w:shd w:val="clear" w:color="auto" w:fill="FFFFFF"/>
            <w:tcMar>
              <w:top w:w="30" w:type="dxa"/>
              <w:left w:w="0" w:type="dxa"/>
              <w:bottom w:w="30" w:type="dxa"/>
              <w:right w:w="20" w:type="dxa"/>
            </w:tcMar>
            <w:vAlign w:val="bottom"/>
            <w:hideMark/>
          </w:tcPr>
          <w:p w14:paraId="65BFD882" w14:textId="77777777" w:rsidR="00000000" w:rsidRDefault="001D0688">
            <w:pPr>
              <w:jc w:val="right"/>
              <w:rPr>
                <w:rFonts w:eastAsia="Times New Roman"/>
              </w:rPr>
            </w:pPr>
          </w:p>
        </w:tc>
      </w:tr>
      <w:tr w:rsidR="00000000" w14:paraId="1D58F1F8" w14:textId="77777777">
        <w:trPr>
          <w:divId w:val="1877354631"/>
        </w:trPr>
        <w:tc>
          <w:tcPr>
            <w:tcW w:w="0" w:type="auto"/>
            <w:gridSpan w:val="3"/>
            <w:shd w:val="clear" w:color="auto" w:fill="DCE2EF"/>
            <w:tcMar>
              <w:top w:w="30" w:type="dxa"/>
              <w:left w:w="20" w:type="dxa"/>
              <w:bottom w:w="30" w:type="dxa"/>
              <w:right w:w="20" w:type="dxa"/>
            </w:tcMar>
            <w:vAlign w:val="bottom"/>
            <w:hideMark/>
          </w:tcPr>
          <w:p w14:paraId="727EC015" w14:textId="77777777" w:rsidR="00000000" w:rsidRDefault="001D0688">
            <w:pPr>
              <w:divId w:val="951324549"/>
              <w:rPr>
                <w:rFonts w:eastAsia="Times New Roman"/>
              </w:rPr>
            </w:pPr>
            <w:r>
              <w:rPr>
                <w:rFonts w:ascii="Arial" w:eastAsia="Times New Roman" w:hAnsi="Arial" w:cs="Arial"/>
                <w:color w:val="000000"/>
                <w:sz w:val="18"/>
                <w:szCs w:val="18"/>
              </w:rPr>
              <w:t>Information technology service agreement</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14:paraId="039BE8FB" w14:textId="77777777" w:rsidR="00000000" w:rsidRDefault="001D0688">
            <w:pPr>
              <w:jc w:val="right"/>
              <w:rPr>
                <w:rFonts w:eastAsia="Times New Roman"/>
              </w:rPr>
            </w:pPr>
            <w:r>
              <w:rPr>
                <w:rFonts w:ascii="Arial" w:eastAsia="Times New Roman" w:hAnsi="Arial" w:cs="Arial"/>
                <w:color w:val="000000"/>
                <w:sz w:val="18"/>
                <w:szCs w:val="18"/>
              </w:rPr>
              <w:t>36.5 </w:t>
            </w:r>
          </w:p>
        </w:tc>
        <w:tc>
          <w:tcPr>
            <w:tcW w:w="0" w:type="auto"/>
            <w:shd w:val="clear" w:color="auto" w:fill="DCE2EF"/>
            <w:tcMar>
              <w:top w:w="30" w:type="dxa"/>
              <w:left w:w="0" w:type="dxa"/>
              <w:bottom w:w="30" w:type="dxa"/>
              <w:right w:w="20" w:type="dxa"/>
            </w:tcMar>
            <w:vAlign w:val="bottom"/>
            <w:hideMark/>
          </w:tcPr>
          <w:p w14:paraId="0F45A8B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65816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721B32C" w14:textId="77777777" w:rsidR="00000000" w:rsidRDefault="001D0688">
            <w:pPr>
              <w:jc w:val="right"/>
              <w:rPr>
                <w:rFonts w:eastAsia="Times New Roman"/>
              </w:rPr>
            </w:pPr>
            <w:r>
              <w:rPr>
                <w:rFonts w:ascii="Arial" w:eastAsia="Times New Roman" w:hAnsi="Arial" w:cs="Arial"/>
                <w:color w:val="000000"/>
                <w:sz w:val="18"/>
                <w:szCs w:val="18"/>
              </w:rPr>
              <w:t>31.1 </w:t>
            </w:r>
          </w:p>
        </w:tc>
        <w:tc>
          <w:tcPr>
            <w:tcW w:w="0" w:type="auto"/>
            <w:shd w:val="clear" w:color="auto" w:fill="DCE2EF"/>
            <w:tcMar>
              <w:top w:w="30" w:type="dxa"/>
              <w:left w:w="0" w:type="dxa"/>
              <w:bottom w:w="30" w:type="dxa"/>
              <w:right w:w="20" w:type="dxa"/>
            </w:tcMar>
            <w:vAlign w:val="bottom"/>
            <w:hideMark/>
          </w:tcPr>
          <w:p w14:paraId="02E34A5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A8D88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C86BD55" w14:textId="77777777" w:rsidR="00000000" w:rsidRDefault="001D0688">
            <w:pPr>
              <w:jc w:val="right"/>
              <w:rPr>
                <w:rFonts w:eastAsia="Times New Roman"/>
              </w:rPr>
            </w:pPr>
            <w:r>
              <w:rPr>
                <w:rFonts w:ascii="Arial" w:eastAsia="Times New Roman" w:hAnsi="Arial" w:cs="Arial"/>
                <w:color w:val="000000"/>
                <w:sz w:val="18"/>
                <w:szCs w:val="18"/>
              </w:rPr>
              <w:t>1.0 </w:t>
            </w:r>
          </w:p>
        </w:tc>
        <w:tc>
          <w:tcPr>
            <w:tcW w:w="0" w:type="auto"/>
            <w:shd w:val="clear" w:color="auto" w:fill="DCE2EF"/>
            <w:tcMar>
              <w:top w:w="30" w:type="dxa"/>
              <w:left w:w="0" w:type="dxa"/>
              <w:bottom w:w="30" w:type="dxa"/>
              <w:right w:w="20" w:type="dxa"/>
            </w:tcMar>
            <w:vAlign w:val="bottom"/>
            <w:hideMark/>
          </w:tcPr>
          <w:p w14:paraId="181A490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6FB77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DEB6C9"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E17135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4DADA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D0C7AC0" w14:textId="77777777" w:rsidR="00000000" w:rsidRDefault="001D0688">
            <w:pPr>
              <w:jc w:val="right"/>
              <w:rPr>
                <w:rFonts w:eastAsia="Times New Roman"/>
              </w:rPr>
            </w:pPr>
            <w:r>
              <w:rPr>
                <w:rFonts w:ascii="Arial" w:eastAsia="Times New Roman" w:hAnsi="Arial" w:cs="Arial"/>
                <w:color w:val="000000"/>
                <w:sz w:val="18"/>
                <w:szCs w:val="18"/>
              </w:rPr>
              <w:t>68.6 </w:t>
            </w:r>
          </w:p>
        </w:tc>
        <w:tc>
          <w:tcPr>
            <w:tcW w:w="0" w:type="auto"/>
            <w:shd w:val="clear" w:color="auto" w:fill="DCE2EF"/>
            <w:tcMar>
              <w:top w:w="30" w:type="dxa"/>
              <w:left w:w="0" w:type="dxa"/>
              <w:bottom w:w="30" w:type="dxa"/>
              <w:right w:w="20" w:type="dxa"/>
            </w:tcMar>
            <w:vAlign w:val="bottom"/>
            <w:hideMark/>
          </w:tcPr>
          <w:p w14:paraId="32CDD45E" w14:textId="77777777" w:rsidR="00000000" w:rsidRDefault="001D0688">
            <w:pPr>
              <w:jc w:val="right"/>
              <w:rPr>
                <w:rFonts w:eastAsia="Times New Roman"/>
              </w:rPr>
            </w:pPr>
          </w:p>
        </w:tc>
      </w:tr>
      <w:tr w:rsidR="00000000" w14:paraId="67F831D1" w14:textId="77777777">
        <w:trPr>
          <w:divId w:val="1877354631"/>
        </w:trPr>
        <w:tc>
          <w:tcPr>
            <w:tcW w:w="0" w:type="auto"/>
            <w:gridSpan w:val="3"/>
            <w:shd w:val="clear" w:color="auto" w:fill="FFFFFF"/>
            <w:tcMar>
              <w:top w:w="30" w:type="dxa"/>
              <w:left w:w="20" w:type="dxa"/>
              <w:bottom w:w="30" w:type="dxa"/>
              <w:right w:w="20" w:type="dxa"/>
            </w:tcMar>
            <w:vAlign w:val="bottom"/>
            <w:hideMark/>
          </w:tcPr>
          <w:p w14:paraId="78476612" w14:textId="77777777" w:rsidR="00000000" w:rsidRDefault="001D0688">
            <w:pPr>
              <w:divId w:val="2063751518"/>
              <w:rPr>
                <w:rFonts w:eastAsia="Times New Roman"/>
              </w:rPr>
            </w:pPr>
            <w:r>
              <w:rPr>
                <w:rFonts w:ascii="Arial" w:eastAsia="Times New Roman" w:hAnsi="Arial" w:cs="Arial"/>
                <w:color w:val="000000"/>
                <w:sz w:val="18"/>
                <w:szCs w:val="18"/>
              </w:rPr>
              <w:t>Benefit obligation</w:t>
            </w:r>
            <w:r>
              <w:rPr>
                <w:rFonts w:ascii="Arial" w:eastAsia="Times New Roman" w:hAnsi="Arial" w:cs="Arial"/>
                <w:color w:val="000000"/>
                <w:sz w:val="18"/>
                <w:szCs w:val="18"/>
              </w:rPr>
              <w:t>s</w:t>
            </w:r>
            <w:r>
              <w:rPr>
                <w:rFonts w:ascii="Arial" w:eastAsia="Times New Roman" w:hAnsi="Arial" w:cs="Arial"/>
                <w:color w:val="000000"/>
                <w:sz w:val="12"/>
                <w:szCs w:val="12"/>
              </w:rPr>
              <w:t>(6</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6623BC78" w14:textId="77777777" w:rsidR="00000000" w:rsidRDefault="001D0688">
            <w:pPr>
              <w:jc w:val="right"/>
              <w:rPr>
                <w:rFonts w:eastAsia="Times New Roman"/>
              </w:rPr>
            </w:pPr>
            <w:r>
              <w:rPr>
                <w:rFonts w:ascii="Arial" w:eastAsia="Times New Roman" w:hAnsi="Arial" w:cs="Arial"/>
                <w:color w:val="000000"/>
                <w:sz w:val="18"/>
                <w:szCs w:val="18"/>
              </w:rPr>
              <w:t>4.7 </w:t>
            </w:r>
          </w:p>
        </w:tc>
        <w:tc>
          <w:tcPr>
            <w:tcW w:w="0" w:type="auto"/>
            <w:shd w:val="clear" w:color="auto" w:fill="FFFFFF"/>
            <w:tcMar>
              <w:top w:w="30" w:type="dxa"/>
              <w:left w:w="0" w:type="dxa"/>
              <w:bottom w:w="30" w:type="dxa"/>
              <w:right w:w="20" w:type="dxa"/>
            </w:tcMar>
            <w:vAlign w:val="bottom"/>
            <w:hideMark/>
          </w:tcPr>
          <w:p w14:paraId="0402323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D540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D6789" w14:textId="77777777" w:rsidR="00000000" w:rsidRDefault="001D0688">
            <w:pPr>
              <w:jc w:val="right"/>
              <w:rPr>
                <w:rFonts w:eastAsia="Times New Roman"/>
              </w:rPr>
            </w:pPr>
            <w:r>
              <w:rPr>
                <w:rFonts w:ascii="Arial" w:eastAsia="Times New Roman" w:hAnsi="Arial" w:cs="Arial"/>
                <w:color w:val="000000"/>
                <w:sz w:val="18"/>
                <w:szCs w:val="18"/>
              </w:rPr>
              <w:t>6.3 </w:t>
            </w:r>
          </w:p>
        </w:tc>
        <w:tc>
          <w:tcPr>
            <w:tcW w:w="0" w:type="auto"/>
            <w:shd w:val="clear" w:color="auto" w:fill="FFFFFF"/>
            <w:tcMar>
              <w:top w:w="30" w:type="dxa"/>
              <w:left w:w="0" w:type="dxa"/>
              <w:bottom w:w="30" w:type="dxa"/>
              <w:right w:w="20" w:type="dxa"/>
            </w:tcMar>
            <w:vAlign w:val="bottom"/>
            <w:hideMark/>
          </w:tcPr>
          <w:p w14:paraId="3999C83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1B5F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EF7CF" w14:textId="77777777" w:rsidR="00000000" w:rsidRDefault="001D0688">
            <w:pPr>
              <w:jc w:val="right"/>
              <w:rPr>
                <w:rFonts w:eastAsia="Times New Roman"/>
              </w:rPr>
            </w:pPr>
            <w:r>
              <w:rPr>
                <w:rFonts w:ascii="Arial" w:eastAsia="Times New Roman" w:hAnsi="Arial" w:cs="Arial"/>
                <w:color w:val="000000"/>
                <w:sz w:val="18"/>
                <w:szCs w:val="18"/>
              </w:rPr>
              <w:t>5.1 </w:t>
            </w:r>
          </w:p>
        </w:tc>
        <w:tc>
          <w:tcPr>
            <w:tcW w:w="0" w:type="auto"/>
            <w:shd w:val="clear" w:color="auto" w:fill="FFFFFF"/>
            <w:tcMar>
              <w:top w:w="30" w:type="dxa"/>
              <w:left w:w="0" w:type="dxa"/>
              <w:bottom w:w="30" w:type="dxa"/>
              <w:right w:w="20" w:type="dxa"/>
            </w:tcMar>
            <w:vAlign w:val="bottom"/>
            <w:hideMark/>
          </w:tcPr>
          <w:p w14:paraId="50059EA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57B4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7785F3" w14:textId="77777777" w:rsidR="00000000" w:rsidRDefault="001D0688">
            <w:pPr>
              <w:jc w:val="right"/>
              <w:rPr>
                <w:rFonts w:eastAsia="Times New Roman"/>
              </w:rPr>
            </w:pPr>
            <w:r>
              <w:rPr>
                <w:rFonts w:ascii="Arial" w:eastAsia="Times New Roman" w:hAnsi="Arial" w:cs="Arial"/>
                <w:color w:val="000000"/>
                <w:sz w:val="18"/>
                <w:szCs w:val="18"/>
              </w:rPr>
              <w:t>12.1 </w:t>
            </w:r>
          </w:p>
        </w:tc>
        <w:tc>
          <w:tcPr>
            <w:tcW w:w="0" w:type="auto"/>
            <w:shd w:val="clear" w:color="auto" w:fill="FFFFFF"/>
            <w:tcMar>
              <w:top w:w="30" w:type="dxa"/>
              <w:left w:w="0" w:type="dxa"/>
              <w:bottom w:w="30" w:type="dxa"/>
              <w:right w:w="20" w:type="dxa"/>
            </w:tcMar>
            <w:vAlign w:val="bottom"/>
            <w:hideMark/>
          </w:tcPr>
          <w:p w14:paraId="015A7A6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556B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D94C2" w14:textId="77777777" w:rsidR="00000000" w:rsidRDefault="001D0688">
            <w:pPr>
              <w:jc w:val="right"/>
              <w:rPr>
                <w:rFonts w:eastAsia="Times New Roman"/>
              </w:rPr>
            </w:pPr>
            <w:r>
              <w:rPr>
                <w:rFonts w:ascii="Arial" w:eastAsia="Times New Roman" w:hAnsi="Arial" w:cs="Arial"/>
                <w:color w:val="000000"/>
                <w:sz w:val="18"/>
                <w:szCs w:val="18"/>
              </w:rPr>
              <w:t>28.2 </w:t>
            </w:r>
          </w:p>
        </w:tc>
        <w:tc>
          <w:tcPr>
            <w:tcW w:w="0" w:type="auto"/>
            <w:shd w:val="clear" w:color="auto" w:fill="FFFFFF"/>
            <w:tcMar>
              <w:top w:w="30" w:type="dxa"/>
              <w:left w:w="0" w:type="dxa"/>
              <w:bottom w:w="30" w:type="dxa"/>
              <w:right w:w="20" w:type="dxa"/>
            </w:tcMar>
            <w:vAlign w:val="bottom"/>
            <w:hideMark/>
          </w:tcPr>
          <w:p w14:paraId="1630C4BD" w14:textId="77777777" w:rsidR="00000000" w:rsidRDefault="001D0688">
            <w:pPr>
              <w:jc w:val="right"/>
              <w:rPr>
                <w:rFonts w:eastAsia="Times New Roman"/>
              </w:rPr>
            </w:pPr>
          </w:p>
        </w:tc>
      </w:tr>
      <w:tr w:rsidR="00000000" w14:paraId="398E7E89" w14:textId="77777777">
        <w:trPr>
          <w:divId w:val="1877354631"/>
        </w:trPr>
        <w:tc>
          <w:tcPr>
            <w:tcW w:w="0" w:type="auto"/>
            <w:gridSpan w:val="3"/>
            <w:shd w:val="clear" w:color="auto" w:fill="DCE2EF"/>
            <w:tcMar>
              <w:top w:w="30" w:type="dxa"/>
              <w:left w:w="20" w:type="dxa"/>
              <w:bottom w:w="30" w:type="dxa"/>
              <w:right w:w="20" w:type="dxa"/>
            </w:tcMar>
            <w:vAlign w:val="bottom"/>
            <w:hideMark/>
          </w:tcPr>
          <w:p w14:paraId="379C10BE" w14:textId="77777777" w:rsidR="00000000" w:rsidRDefault="001D0688">
            <w:pPr>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93B1F7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C33EFC6" w14:textId="77777777" w:rsidR="00000000" w:rsidRDefault="001D0688">
            <w:pPr>
              <w:jc w:val="right"/>
              <w:rPr>
                <w:rFonts w:eastAsia="Times New Roman"/>
              </w:rPr>
            </w:pPr>
            <w:r>
              <w:rPr>
                <w:rFonts w:ascii="Arial" w:eastAsia="Times New Roman" w:hAnsi="Arial" w:cs="Arial"/>
                <w:color w:val="000000"/>
                <w:sz w:val="18"/>
                <w:szCs w:val="18"/>
              </w:rPr>
              <w:t>238.2 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F82786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5158BC"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AC61E48"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D847EE9" w14:textId="77777777" w:rsidR="00000000" w:rsidRDefault="001D0688">
            <w:pPr>
              <w:jc w:val="right"/>
              <w:rPr>
                <w:rFonts w:eastAsia="Times New Roman"/>
              </w:rPr>
            </w:pPr>
            <w:r>
              <w:rPr>
                <w:rFonts w:ascii="Arial" w:eastAsia="Times New Roman" w:hAnsi="Arial" w:cs="Arial"/>
                <w:color w:val="000000"/>
                <w:sz w:val="18"/>
                <w:szCs w:val="18"/>
              </w:rPr>
              <w:t>744.7 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F05607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51F144"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EA1C79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F720E45" w14:textId="77777777" w:rsidR="00000000" w:rsidRDefault="001D0688">
            <w:pPr>
              <w:jc w:val="right"/>
              <w:rPr>
                <w:rFonts w:eastAsia="Times New Roman"/>
              </w:rPr>
            </w:pPr>
            <w:r>
              <w:rPr>
                <w:rFonts w:ascii="Arial" w:eastAsia="Times New Roman" w:hAnsi="Arial" w:cs="Arial"/>
                <w:color w:val="000000"/>
                <w:sz w:val="18"/>
                <w:szCs w:val="18"/>
              </w:rPr>
              <w:t>79.3 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59A4C0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627B28"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C1BA199"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B132BFF" w14:textId="77777777" w:rsidR="00000000" w:rsidRDefault="001D0688">
            <w:pPr>
              <w:jc w:val="right"/>
              <w:rPr>
                <w:rFonts w:eastAsia="Times New Roman"/>
              </w:rPr>
            </w:pPr>
            <w:r>
              <w:rPr>
                <w:rFonts w:ascii="Arial" w:eastAsia="Times New Roman" w:hAnsi="Arial" w:cs="Arial"/>
                <w:color w:val="000000"/>
                <w:sz w:val="18"/>
                <w:szCs w:val="18"/>
              </w:rPr>
              <w:t>64.4 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98B9F1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62295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CD7CFA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E473C85" w14:textId="77777777" w:rsidR="00000000" w:rsidRDefault="001D0688">
            <w:pPr>
              <w:jc w:val="right"/>
              <w:rPr>
                <w:rFonts w:eastAsia="Times New Roman"/>
              </w:rPr>
            </w:pPr>
            <w:r>
              <w:rPr>
                <w:rFonts w:ascii="Arial" w:eastAsia="Times New Roman" w:hAnsi="Arial" w:cs="Arial"/>
                <w:color w:val="000000"/>
                <w:sz w:val="18"/>
                <w:szCs w:val="18"/>
              </w:rPr>
              <w:t>1,126.6 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DE9B340" w14:textId="77777777" w:rsidR="00000000" w:rsidRDefault="001D0688">
            <w:pPr>
              <w:jc w:val="right"/>
              <w:rPr>
                <w:rFonts w:eastAsia="Times New Roman"/>
              </w:rPr>
            </w:pPr>
          </w:p>
        </w:tc>
      </w:tr>
    </w:tbl>
    <w:p w14:paraId="2A9910FB" w14:textId="77777777" w:rsidR="00000000" w:rsidRDefault="001D0688">
      <w:pPr>
        <w:ind w:hanging="180"/>
        <w:jc w:val="both"/>
        <w:divId w:val="133283375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Borrowings under our term loan and line of credit are presented at face value.</w:t>
      </w:r>
    </w:p>
    <w:p w14:paraId="4D2D4466" w14:textId="77777777" w:rsidR="00000000" w:rsidRDefault="001D0688">
      <w:pPr>
        <w:ind w:hanging="180"/>
        <w:jc w:val="both"/>
        <w:divId w:val="1736318874"/>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Our estimates of future interest payments are calculated based on our hedged borrow</w:t>
      </w:r>
      <w:r>
        <w:rPr>
          <w:rFonts w:ascii="Arial" w:eastAsia="Times New Roman" w:hAnsi="Arial" w:cs="Arial"/>
          <w:color w:val="000000"/>
          <w:sz w:val="18"/>
          <w:szCs w:val="18"/>
        </w:rPr>
        <w:t xml:space="preserve">ings under our Credit Facility, using the fixed rates under our interest rate swap agreements for the applicable notional amounts. See Note 11, “Credit Facility,” in the Financial Statements for additional disclosure related to our interest rate swaps. We </w:t>
      </w:r>
      <w:r>
        <w:rPr>
          <w:rFonts w:ascii="Arial" w:eastAsia="Times New Roman" w:hAnsi="Arial" w:cs="Arial"/>
          <w:color w:val="000000"/>
          <w:sz w:val="18"/>
          <w:szCs w:val="18"/>
        </w:rPr>
        <w:t>exclude interest payments on our remaining borrowings from this table because the cash outlay for the interest is unknown. The interest payments on the borrowings under the Credit Facility will be determined based upon the average outstanding balance of ou</w:t>
      </w:r>
      <w:r>
        <w:rPr>
          <w:rFonts w:ascii="Arial" w:eastAsia="Times New Roman" w:hAnsi="Arial" w:cs="Arial"/>
          <w:color w:val="000000"/>
          <w:sz w:val="18"/>
          <w:szCs w:val="18"/>
        </w:rPr>
        <w:t>r borrowings and the prevailing interest rate during that time.</w:t>
      </w:r>
    </w:p>
    <w:p w14:paraId="5CA5E760" w14:textId="77777777" w:rsidR="00000000" w:rsidRDefault="001D0688">
      <w:pPr>
        <w:ind w:hanging="180"/>
        <w:jc w:val="both"/>
        <w:divId w:val="1875195346"/>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2"/>
          <w:szCs w:val="2"/>
        </w:rPr>
        <w:t xml:space="preserve"> </w:t>
      </w:r>
      <w:r>
        <w:rPr>
          <w:rFonts w:ascii="Arial" w:eastAsia="Times New Roman" w:hAnsi="Arial" w:cs="Arial"/>
          <w:color w:val="000000"/>
          <w:sz w:val="18"/>
          <w:szCs w:val="18"/>
        </w:rPr>
        <w:t>Reflects our contractual obligations to make future payments under non-cancelable operating leases, finance lease agreements, and other similar commitments for various facilities, vehicles</w:t>
      </w:r>
      <w:r>
        <w:rPr>
          <w:rFonts w:ascii="Arial" w:eastAsia="Times New Roman" w:hAnsi="Arial" w:cs="Arial"/>
          <w:color w:val="000000"/>
          <w:sz w:val="18"/>
          <w:szCs w:val="18"/>
        </w:rPr>
        <w:t>, and other equipment. See Note 4, “Leases,” for additional information on our lease arrangements.</w:t>
      </w:r>
    </w:p>
    <w:p w14:paraId="63AA4469" w14:textId="77777777" w:rsidR="00000000" w:rsidRDefault="001D0688">
      <w:pPr>
        <w:ind w:hanging="180"/>
        <w:jc w:val="both"/>
        <w:divId w:val="1142506702"/>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Represents leased location parking arrangements that meet the definition of service concession arrangements under Topic 853.</w:t>
      </w:r>
    </w:p>
    <w:p w14:paraId="160F57A0" w14:textId="77777777" w:rsidR="00000000" w:rsidRDefault="001D0688">
      <w:pPr>
        <w:ind w:hanging="180"/>
        <w:jc w:val="both"/>
        <w:divId w:val="50706154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 xml:space="preserve"> </w:t>
      </w:r>
      <w:r>
        <w:rPr>
          <w:rFonts w:ascii="Arial" w:eastAsia="Times New Roman" w:hAnsi="Arial" w:cs="Arial"/>
          <w:color w:val="000000"/>
          <w:sz w:val="18"/>
          <w:szCs w:val="18"/>
        </w:rPr>
        <w:t>Reflects our contractual</w:t>
      </w:r>
      <w:r>
        <w:rPr>
          <w:rFonts w:ascii="Arial" w:eastAsia="Times New Roman" w:hAnsi="Arial" w:cs="Arial"/>
          <w:color w:val="000000"/>
          <w:sz w:val="18"/>
          <w:szCs w:val="18"/>
        </w:rPr>
        <w:t xml:space="preserve"> obligations to make future payments for outsourced services and licensing costs pursuant to our information technology agreements.</w:t>
      </w:r>
    </w:p>
    <w:p w14:paraId="65A142AE" w14:textId="77777777" w:rsidR="00000000" w:rsidRDefault="001D0688">
      <w:pPr>
        <w:ind w:hanging="180"/>
        <w:jc w:val="both"/>
        <w:divId w:val="313534846"/>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 xml:space="preserve"> </w:t>
      </w:r>
      <w:r>
        <w:rPr>
          <w:rFonts w:ascii="Arial" w:eastAsia="Times New Roman" w:hAnsi="Arial" w:cs="Arial"/>
          <w:color w:val="000000"/>
          <w:sz w:val="18"/>
          <w:szCs w:val="18"/>
        </w:rPr>
        <w:t>Reflects future expected payments relating to our defined benefit, postretirement, and deferred compensation plans. Thes</w:t>
      </w:r>
      <w:r>
        <w:rPr>
          <w:rFonts w:ascii="Arial" w:eastAsia="Times New Roman" w:hAnsi="Arial" w:cs="Arial"/>
          <w:color w:val="000000"/>
          <w:sz w:val="18"/>
          <w:szCs w:val="18"/>
        </w:rPr>
        <w:t xml:space="preserve">e amounts are based on expected future service and were calculated using the same assumptions used to measure our benefit obligation at October 31, 2020. In addition to our company sponsored plans, we participate in certain multiemployer pension and other </w:t>
      </w:r>
      <w:r>
        <w:rPr>
          <w:rFonts w:ascii="Arial" w:eastAsia="Times New Roman" w:hAnsi="Arial" w:cs="Arial"/>
          <w:color w:val="000000"/>
          <w:sz w:val="18"/>
          <w:szCs w:val="18"/>
        </w:rPr>
        <w:t>postretirement plans. The cost of these plans is equal to the annual required contributions determined in accordance with the provisions of negotiated collective bargaining arrangements. During 2020, 2019, and 2018, contributions made to these plans were $</w:t>
      </w:r>
      <w:r>
        <w:rPr>
          <w:rFonts w:ascii="Arial" w:eastAsia="Times New Roman" w:hAnsi="Arial" w:cs="Arial"/>
          <w:color w:val="000000"/>
          <w:sz w:val="18"/>
          <w:szCs w:val="18"/>
        </w:rPr>
        <w:t xml:space="preserve">335.8 million, $345.4 million, and $339.3 million, respectively; however, our future contributions to the multiemployer plans are dependent upon a number of factors, including the funded status of the plans, the ability of other participating companies to </w:t>
      </w:r>
      <w:r>
        <w:rPr>
          <w:rFonts w:ascii="Arial" w:eastAsia="Times New Roman" w:hAnsi="Arial" w:cs="Arial"/>
          <w:color w:val="000000"/>
          <w:sz w:val="18"/>
          <w:szCs w:val="18"/>
        </w:rPr>
        <w:t>meet ongoing funding obligations, and the level of our ongoing participation in these plans. As the amount of future contributions that we would be contractually obligated to make pursuant to these plans cannot be reasonably estimated, such amounts have be</w:t>
      </w:r>
      <w:r>
        <w:rPr>
          <w:rFonts w:ascii="Arial" w:eastAsia="Times New Roman" w:hAnsi="Arial" w:cs="Arial"/>
          <w:color w:val="000000"/>
          <w:sz w:val="18"/>
          <w:szCs w:val="18"/>
        </w:rPr>
        <w:t>en excluded from the above table. See Note 12, “Employee Benefit Plans,” in the Financial Statements for more information.    </w:t>
      </w:r>
    </w:p>
    <w:p w14:paraId="7687F7D5" w14:textId="77777777" w:rsidR="00000000" w:rsidRDefault="001D0688">
      <w:pPr>
        <w:ind w:firstLine="720"/>
        <w:jc w:val="both"/>
        <w:divId w:val="1499734952"/>
        <w:rPr>
          <w:rFonts w:eastAsia="Times New Roman"/>
        </w:rPr>
      </w:pPr>
      <w:r>
        <w:rPr>
          <w:rFonts w:ascii="Arial" w:eastAsia="Times New Roman" w:hAnsi="Arial" w:cs="Arial"/>
          <w:color w:val="000000"/>
          <w:sz w:val="20"/>
          <w:szCs w:val="20"/>
        </w:rPr>
        <w:t>At October 31, 2020, our total liability for unrecognized tax benefits was $10.1 million. The resolution or settlement of these t</w:t>
      </w:r>
      <w:r>
        <w:rPr>
          <w:rFonts w:ascii="Arial" w:eastAsia="Times New Roman" w:hAnsi="Arial" w:cs="Arial"/>
          <w:color w:val="000000"/>
          <w:sz w:val="20"/>
          <w:szCs w:val="20"/>
        </w:rPr>
        <w:t xml:space="preserve">ax positions with the taxing authorities is subject to significant uncertainty, and therefore we are unable to make a reliable estimate of the amount or timing of cash that may be required to settle these matters. In addition, certain of these matters may </w:t>
      </w:r>
      <w:r>
        <w:rPr>
          <w:rFonts w:ascii="Arial" w:eastAsia="Times New Roman" w:hAnsi="Arial" w:cs="Arial"/>
          <w:color w:val="000000"/>
          <w:sz w:val="20"/>
          <w:szCs w:val="20"/>
        </w:rPr>
        <w:t>not require cash settlements due to the exercise of credits and net operating loss carryforwards as well as other offsets, including the indirect benefit from other taxing jurisdictions that may be available.</w:t>
      </w:r>
    </w:p>
    <w:p w14:paraId="593B926D" w14:textId="77777777" w:rsidR="00000000" w:rsidRDefault="001D0688">
      <w:pPr>
        <w:ind w:firstLine="720"/>
        <w:jc w:val="both"/>
        <w:divId w:val="1842311442"/>
        <w:rPr>
          <w:rFonts w:eastAsia="Times New Roman"/>
        </w:rPr>
      </w:pPr>
      <w:r>
        <w:rPr>
          <w:rFonts w:ascii="Arial" w:eastAsia="Times New Roman" w:hAnsi="Arial" w:cs="Arial"/>
          <w:color w:val="000000"/>
          <w:sz w:val="20"/>
          <w:szCs w:val="20"/>
        </w:rPr>
        <w:t>Excluded from the contractual obligations table</w:t>
      </w:r>
      <w:r>
        <w:rPr>
          <w:rFonts w:ascii="Arial" w:eastAsia="Times New Roman" w:hAnsi="Arial" w:cs="Arial"/>
          <w:color w:val="000000"/>
          <w:sz w:val="20"/>
          <w:szCs w:val="20"/>
        </w:rPr>
        <w:t xml:space="preserve"> are payments we may make for exposures for which we are self-insured, including workers’ compensation, general liability, automobile liability, property damage, and other insurable risks. At October 31, 2020, our self-insurance reserves, net of recoverabl</w:t>
      </w:r>
      <w:r>
        <w:rPr>
          <w:rFonts w:ascii="Arial" w:eastAsia="Times New Roman" w:hAnsi="Arial" w:cs="Arial"/>
          <w:color w:val="000000"/>
          <w:sz w:val="20"/>
          <w:szCs w:val="20"/>
        </w:rPr>
        <w:t xml:space="preserve">es, were $434.8 million. In </w:t>
      </w:r>
    </w:p>
    <w:p w14:paraId="5D6D36BD" w14:textId="77777777" w:rsidR="00000000" w:rsidRDefault="001D0688">
      <w:pPr>
        <w:jc w:val="center"/>
        <w:divId w:val="1650282886"/>
        <w:rPr>
          <w:rFonts w:eastAsia="Times New Roman"/>
        </w:rPr>
      </w:pPr>
      <w:r>
        <w:rPr>
          <w:rFonts w:ascii="Arial" w:eastAsia="Times New Roman" w:hAnsi="Arial" w:cs="Arial"/>
          <w:color w:val="000000"/>
          <w:sz w:val="20"/>
          <w:szCs w:val="20"/>
        </w:rPr>
        <w:t>37</w:t>
      </w:r>
    </w:p>
    <w:p w14:paraId="41D9D404" w14:textId="77777777" w:rsidR="00000000" w:rsidRDefault="001D0688">
      <w:pPr>
        <w:rPr>
          <w:rFonts w:eastAsia="Times New Roman"/>
        </w:rPr>
      </w:pPr>
      <w:r>
        <w:rPr>
          <w:rFonts w:eastAsia="Times New Roman"/>
        </w:rPr>
        <w:pict w14:anchorId="336EC00B">
          <v:rect id="_x0000_i1073" style="width:0;height:1.5pt" o:hralign="center" o:hrstd="t" o:hr="t" fillcolor="#a0a0a0" stroked="f"/>
        </w:pict>
      </w:r>
    </w:p>
    <w:p w14:paraId="5CA771BF" w14:textId="77777777" w:rsidR="00000000" w:rsidRDefault="001D0688">
      <w:pPr>
        <w:divId w:val="1009871580"/>
        <w:rPr>
          <w:rFonts w:eastAsia="Times New Roman"/>
        </w:rPr>
      </w:pPr>
    </w:p>
    <w:p w14:paraId="1EC3937E" w14:textId="77777777" w:rsidR="00000000" w:rsidRDefault="001D0688">
      <w:pPr>
        <w:jc w:val="both"/>
        <w:divId w:val="1510094576"/>
        <w:rPr>
          <w:rFonts w:eastAsia="Times New Roman"/>
        </w:rPr>
      </w:pPr>
      <w:r>
        <w:rPr>
          <w:rFonts w:ascii="Arial" w:eastAsia="Times New Roman" w:hAnsi="Arial" w:cs="Arial"/>
          <w:color w:val="000000"/>
          <w:sz w:val="20"/>
          <w:szCs w:val="20"/>
        </w:rPr>
        <w:t>general, these amounts are recorded on an undiscounted basis and are classified on the Consolidated Balance Sheets as current or long-term based on the expected settlement date. As these</w:t>
      </w:r>
      <w:r>
        <w:rPr>
          <w:rFonts w:ascii="Arial" w:eastAsia="Times New Roman" w:hAnsi="Arial" w:cs="Arial"/>
          <w:color w:val="000000"/>
          <w:sz w:val="20"/>
          <w:szCs w:val="20"/>
        </w:rPr>
        <w:t xml:space="preserve"> obligations do not have scheduled maturities, we are unable to make a reliable estimate of the amount or timing of cash that may be required to settle these matters.</w:t>
      </w:r>
    </w:p>
    <w:p w14:paraId="4FFDF9DA" w14:textId="77777777" w:rsidR="00000000" w:rsidRDefault="001D0688">
      <w:pPr>
        <w:ind w:firstLine="720"/>
        <w:jc w:val="both"/>
        <w:divId w:val="816996224"/>
        <w:rPr>
          <w:rFonts w:eastAsia="Times New Roman"/>
        </w:rPr>
      </w:pPr>
      <w:r>
        <w:rPr>
          <w:rFonts w:ascii="Arial" w:eastAsia="Times New Roman" w:hAnsi="Arial" w:cs="Arial"/>
          <w:color w:val="000000"/>
          <w:sz w:val="20"/>
          <w:szCs w:val="20"/>
        </w:rPr>
        <w:t>We have no off-balance sheet arrangements other than unrecorded standby letters of credit</w:t>
      </w:r>
      <w:r>
        <w:rPr>
          <w:rFonts w:ascii="Arial" w:eastAsia="Times New Roman" w:hAnsi="Arial" w:cs="Arial"/>
          <w:color w:val="000000"/>
          <w:sz w:val="20"/>
          <w:szCs w:val="20"/>
        </w:rPr>
        <w:t xml:space="preserve"> and surety bonds. We use letters of credit and surety bonds in the ordinary course of business to ensure the performance of contractual obligations and to collateralize self-insurance obligations in the event we are unable to meet our claim payment obliga</w:t>
      </w:r>
      <w:r>
        <w:rPr>
          <w:rFonts w:ascii="Arial" w:eastAsia="Times New Roman" w:hAnsi="Arial" w:cs="Arial"/>
          <w:color w:val="000000"/>
          <w:sz w:val="20"/>
          <w:szCs w:val="20"/>
        </w:rPr>
        <w:t>tions. As we already have reserves on our books for the claims costs, these do not represent additional liabilities. The surety bonds typically remain in force for one to five years and may include optional renewal periods. As of October 31, 2020, these le</w:t>
      </w:r>
      <w:r>
        <w:rPr>
          <w:rFonts w:ascii="Arial" w:eastAsia="Times New Roman" w:hAnsi="Arial" w:cs="Arial"/>
          <w:color w:val="000000"/>
          <w:sz w:val="20"/>
          <w:szCs w:val="20"/>
        </w:rPr>
        <w:t>tters of credit and surety bonds totaled $153.1 million and $632.9 million, respectively. Neither of these arrangements has a material current effect, or is reasonably likely to have a material future effect, on our financial condition, revenues or expense</w:t>
      </w:r>
      <w:r>
        <w:rPr>
          <w:rFonts w:ascii="Arial" w:eastAsia="Times New Roman" w:hAnsi="Arial" w:cs="Arial"/>
          <w:color w:val="000000"/>
          <w:sz w:val="20"/>
          <w:szCs w:val="20"/>
        </w:rPr>
        <w:t xml:space="preserve">s, results of operations, liquidity, capital expenditures, or capital resources. </w:t>
      </w:r>
    </w:p>
    <w:p w14:paraId="5D66F90F" w14:textId="77777777" w:rsidR="00000000" w:rsidRDefault="001D0688">
      <w:pPr>
        <w:divId w:val="1610161552"/>
        <w:rPr>
          <w:rFonts w:eastAsia="Times New Roman"/>
        </w:rPr>
      </w:pPr>
    </w:p>
    <w:p w14:paraId="526D9E9F" w14:textId="77777777" w:rsidR="00000000" w:rsidRDefault="001D0688">
      <w:pPr>
        <w:divId w:val="1088505885"/>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5CC7A81F" w14:textId="77777777">
        <w:trPr>
          <w:divId w:val="411465208"/>
        </w:trPr>
        <w:tc>
          <w:tcPr>
            <w:tcW w:w="5" w:type="pct"/>
            <w:vAlign w:val="center"/>
            <w:hideMark/>
          </w:tcPr>
          <w:p w14:paraId="526B225C" w14:textId="77777777" w:rsidR="00000000" w:rsidRDefault="001D0688">
            <w:pPr>
              <w:rPr>
                <w:rFonts w:eastAsia="Times New Roman"/>
              </w:rPr>
            </w:pPr>
          </w:p>
        </w:tc>
        <w:tc>
          <w:tcPr>
            <w:tcW w:w="128" w:type="pct"/>
            <w:vAlign w:val="center"/>
            <w:hideMark/>
          </w:tcPr>
          <w:p w14:paraId="73121323" w14:textId="77777777" w:rsidR="00000000" w:rsidRDefault="001D0688">
            <w:pPr>
              <w:rPr>
                <w:rFonts w:eastAsia="Times New Roman"/>
                <w:sz w:val="20"/>
                <w:szCs w:val="20"/>
              </w:rPr>
            </w:pPr>
          </w:p>
        </w:tc>
        <w:tc>
          <w:tcPr>
            <w:tcW w:w="5" w:type="pct"/>
            <w:vAlign w:val="center"/>
            <w:hideMark/>
          </w:tcPr>
          <w:p w14:paraId="17751F40" w14:textId="77777777" w:rsidR="00000000" w:rsidRDefault="001D0688">
            <w:pPr>
              <w:rPr>
                <w:rFonts w:eastAsia="Times New Roman"/>
                <w:sz w:val="20"/>
                <w:szCs w:val="20"/>
              </w:rPr>
            </w:pPr>
          </w:p>
        </w:tc>
        <w:tc>
          <w:tcPr>
            <w:tcW w:w="50" w:type="pct"/>
            <w:vAlign w:val="center"/>
            <w:hideMark/>
          </w:tcPr>
          <w:p w14:paraId="033CA5B5" w14:textId="77777777" w:rsidR="00000000" w:rsidRDefault="001D0688">
            <w:pPr>
              <w:rPr>
                <w:rFonts w:eastAsia="Times New Roman"/>
                <w:sz w:val="20"/>
                <w:szCs w:val="20"/>
              </w:rPr>
            </w:pPr>
          </w:p>
        </w:tc>
        <w:tc>
          <w:tcPr>
            <w:tcW w:w="4806" w:type="pct"/>
            <w:vAlign w:val="center"/>
            <w:hideMark/>
          </w:tcPr>
          <w:p w14:paraId="48ADC0DC" w14:textId="77777777" w:rsidR="00000000" w:rsidRDefault="001D0688">
            <w:pPr>
              <w:rPr>
                <w:rFonts w:eastAsia="Times New Roman"/>
                <w:sz w:val="20"/>
                <w:szCs w:val="20"/>
              </w:rPr>
            </w:pPr>
          </w:p>
        </w:tc>
        <w:tc>
          <w:tcPr>
            <w:tcW w:w="5" w:type="pct"/>
            <w:vAlign w:val="center"/>
            <w:hideMark/>
          </w:tcPr>
          <w:p w14:paraId="4CCC82ED" w14:textId="77777777" w:rsidR="00000000" w:rsidRDefault="001D0688">
            <w:pPr>
              <w:rPr>
                <w:rFonts w:eastAsia="Times New Roman"/>
                <w:sz w:val="20"/>
                <w:szCs w:val="20"/>
              </w:rPr>
            </w:pPr>
          </w:p>
        </w:tc>
      </w:tr>
      <w:tr w:rsidR="00000000" w14:paraId="213060B2" w14:textId="77777777">
        <w:trPr>
          <w:divId w:val="411465208"/>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14:paraId="728987EC" w14:textId="77777777" w:rsidR="00000000" w:rsidRDefault="001D0688">
            <w:pPr>
              <w:rPr>
                <w:rFonts w:eastAsia="Times New Roman"/>
                <w:sz w:val="20"/>
                <w:szCs w:val="20"/>
              </w:rPr>
            </w:pPr>
          </w:p>
        </w:tc>
      </w:tr>
    </w:tbl>
    <w:p w14:paraId="57FA5F29" w14:textId="77777777" w:rsidR="00000000" w:rsidRDefault="001D0688">
      <w:pPr>
        <w:ind w:firstLine="720"/>
        <w:jc w:val="both"/>
        <w:divId w:val="1347711626"/>
        <w:rPr>
          <w:rFonts w:eastAsia="Times New Roman"/>
        </w:rPr>
      </w:pPr>
      <w:r>
        <w:rPr>
          <w:rFonts w:ascii="Arial" w:eastAsia="Times New Roman" w:hAnsi="Arial" w:cs="Arial"/>
          <w:color w:val="000000"/>
          <w:sz w:val="20"/>
          <w:szCs w:val="20"/>
        </w:rPr>
        <w:t>The preparation of consolidated financial statements in accordance with United States generally accepted accounting principles requires our management to make certain estimates that affect the reported amounts. We base our estimates on historical experienc</w:t>
      </w:r>
      <w:r>
        <w:rPr>
          <w:rFonts w:ascii="Arial" w:eastAsia="Times New Roman" w:hAnsi="Arial" w:cs="Arial"/>
          <w:color w:val="000000"/>
          <w:sz w:val="20"/>
          <w:szCs w:val="20"/>
        </w:rPr>
        <w:t>e, known or expected trends, independent valuations, and various other assumptions that we believe to be reasonable under the circumstances. As future events and their effects cannot be determined with precision, actual results could differ significantly f</w:t>
      </w:r>
      <w:r>
        <w:rPr>
          <w:rFonts w:ascii="Arial" w:eastAsia="Times New Roman" w:hAnsi="Arial" w:cs="Arial"/>
          <w:color w:val="000000"/>
          <w:sz w:val="20"/>
          <w:szCs w:val="20"/>
        </w:rPr>
        <w:t>rom these estimates. There have been no significant changes to our critical accounting policies and estimates for the year ended October 31, 2020. We believe the following critical accounting policies govern the more significant judgments and estimates use</w:t>
      </w:r>
      <w:r>
        <w:rPr>
          <w:rFonts w:ascii="Arial" w:eastAsia="Times New Roman" w:hAnsi="Arial" w:cs="Arial"/>
          <w:color w:val="000000"/>
          <w:sz w:val="20"/>
          <w:szCs w:val="20"/>
        </w:rPr>
        <w:t>d in the preparation of our Financial Statements.</w:t>
      </w:r>
    </w:p>
    <w:p w14:paraId="3B218136" w14:textId="77777777" w:rsidR="00000000" w:rsidRDefault="001D0688">
      <w:pPr>
        <w:jc w:val="center"/>
        <w:divId w:val="1013150347"/>
        <w:rPr>
          <w:rFonts w:eastAsia="Times New Roman"/>
        </w:rPr>
      </w:pPr>
      <w:r>
        <w:rPr>
          <w:rFonts w:ascii="Arial" w:eastAsia="Times New Roman" w:hAnsi="Arial" w:cs="Arial"/>
          <w:color w:val="000000"/>
          <w:sz w:val="20"/>
          <w:szCs w:val="20"/>
        </w:rPr>
        <w:t>38</w:t>
      </w:r>
    </w:p>
    <w:p w14:paraId="0F66BBE1" w14:textId="77777777" w:rsidR="00000000" w:rsidRDefault="001D0688">
      <w:pPr>
        <w:rPr>
          <w:rFonts w:eastAsia="Times New Roman"/>
        </w:rPr>
      </w:pPr>
      <w:r>
        <w:rPr>
          <w:rFonts w:eastAsia="Times New Roman"/>
        </w:rPr>
        <w:pict w14:anchorId="3ACA350C">
          <v:rect id="_x0000_i1074" style="width:0;height:1.5pt" o:hralign="center" o:hrstd="t" o:hr="t" fillcolor="#a0a0a0" stroked="f"/>
        </w:pict>
      </w:r>
    </w:p>
    <w:p w14:paraId="7342503F" w14:textId="77777777" w:rsidR="00000000" w:rsidRDefault="001D0688">
      <w:pPr>
        <w:divId w:val="6494859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741"/>
        <w:gridCol w:w="36"/>
        <w:gridCol w:w="36"/>
        <w:gridCol w:w="36"/>
        <w:gridCol w:w="36"/>
        <w:gridCol w:w="42"/>
        <w:gridCol w:w="2253"/>
        <w:gridCol w:w="36"/>
        <w:gridCol w:w="36"/>
        <w:gridCol w:w="36"/>
        <w:gridCol w:w="36"/>
        <w:gridCol w:w="42"/>
        <w:gridCol w:w="3845"/>
        <w:gridCol w:w="37"/>
      </w:tblGrid>
      <w:tr w:rsidR="00000000" w14:paraId="11579E16" w14:textId="77777777">
        <w:trPr>
          <w:divId w:val="1502045224"/>
        </w:trPr>
        <w:tc>
          <w:tcPr>
            <w:tcW w:w="50" w:type="pct"/>
            <w:vAlign w:val="center"/>
            <w:hideMark/>
          </w:tcPr>
          <w:p w14:paraId="520D72DA" w14:textId="77777777" w:rsidR="00000000" w:rsidRDefault="001D0688">
            <w:pPr>
              <w:rPr>
                <w:rFonts w:eastAsia="Times New Roman"/>
              </w:rPr>
            </w:pPr>
          </w:p>
        </w:tc>
        <w:tc>
          <w:tcPr>
            <w:tcW w:w="1063" w:type="pct"/>
            <w:vAlign w:val="center"/>
            <w:hideMark/>
          </w:tcPr>
          <w:p w14:paraId="68FBF9AC" w14:textId="77777777" w:rsidR="00000000" w:rsidRDefault="001D0688">
            <w:pPr>
              <w:rPr>
                <w:rFonts w:eastAsia="Times New Roman"/>
                <w:sz w:val="20"/>
                <w:szCs w:val="20"/>
              </w:rPr>
            </w:pPr>
          </w:p>
        </w:tc>
        <w:tc>
          <w:tcPr>
            <w:tcW w:w="5" w:type="pct"/>
            <w:vAlign w:val="center"/>
            <w:hideMark/>
          </w:tcPr>
          <w:p w14:paraId="25A62B94" w14:textId="77777777" w:rsidR="00000000" w:rsidRDefault="001D0688">
            <w:pPr>
              <w:rPr>
                <w:rFonts w:eastAsia="Times New Roman"/>
                <w:sz w:val="20"/>
                <w:szCs w:val="20"/>
              </w:rPr>
            </w:pPr>
          </w:p>
        </w:tc>
        <w:tc>
          <w:tcPr>
            <w:tcW w:w="5" w:type="pct"/>
            <w:vAlign w:val="center"/>
            <w:hideMark/>
          </w:tcPr>
          <w:p w14:paraId="72E29C69" w14:textId="77777777" w:rsidR="00000000" w:rsidRDefault="001D0688">
            <w:pPr>
              <w:rPr>
                <w:rFonts w:eastAsia="Times New Roman"/>
                <w:sz w:val="20"/>
                <w:szCs w:val="20"/>
              </w:rPr>
            </w:pPr>
          </w:p>
        </w:tc>
        <w:tc>
          <w:tcPr>
            <w:tcW w:w="26" w:type="pct"/>
            <w:vAlign w:val="center"/>
            <w:hideMark/>
          </w:tcPr>
          <w:p w14:paraId="7A976B91" w14:textId="77777777" w:rsidR="00000000" w:rsidRDefault="001D0688">
            <w:pPr>
              <w:rPr>
                <w:rFonts w:eastAsia="Times New Roman"/>
                <w:sz w:val="20"/>
                <w:szCs w:val="20"/>
              </w:rPr>
            </w:pPr>
          </w:p>
        </w:tc>
        <w:tc>
          <w:tcPr>
            <w:tcW w:w="5" w:type="pct"/>
            <w:vAlign w:val="center"/>
            <w:hideMark/>
          </w:tcPr>
          <w:p w14:paraId="1E068A98" w14:textId="77777777" w:rsidR="00000000" w:rsidRDefault="001D0688">
            <w:pPr>
              <w:rPr>
                <w:rFonts w:eastAsia="Times New Roman"/>
                <w:sz w:val="20"/>
                <w:szCs w:val="20"/>
              </w:rPr>
            </w:pPr>
          </w:p>
        </w:tc>
        <w:tc>
          <w:tcPr>
            <w:tcW w:w="50" w:type="pct"/>
            <w:vAlign w:val="center"/>
            <w:hideMark/>
          </w:tcPr>
          <w:p w14:paraId="7BFFB8DD" w14:textId="77777777" w:rsidR="00000000" w:rsidRDefault="001D0688">
            <w:pPr>
              <w:rPr>
                <w:rFonts w:eastAsia="Times New Roman"/>
                <w:sz w:val="20"/>
                <w:szCs w:val="20"/>
              </w:rPr>
            </w:pPr>
          </w:p>
        </w:tc>
        <w:tc>
          <w:tcPr>
            <w:tcW w:w="1370" w:type="pct"/>
            <w:vAlign w:val="center"/>
            <w:hideMark/>
          </w:tcPr>
          <w:p w14:paraId="1C63F9B6" w14:textId="77777777" w:rsidR="00000000" w:rsidRDefault="001D0688">
            <w:pPr>
              <w:rPr>
                <w:rFonts w:eastAsia="Times New Roman"/>
                <w:sz w:val="20"/>
                <w:szCs w:val="20"/>
              </w:rPr>
            </w:pPr>
          </w:p>
        </w:tc>
        <w:tc>
          <w:tcPr>
            <w:tcW w:w="5" w:type="pct"/>
            <w:vAlign w:val="center"/>
            <w:hideMark/>
          </w:tcPr>
          <w:p w14:paraId="426F85AC" w14:textId="77777777" w:rsidR="00000000" w:rsidRDefault="001D0688">
            <w:pPr>
              <w:rPr>
                <w:rFonts w:eastAsia="Times New Roman"/>
                <w:sz w:val="20"/>
                <w:szCs w:val="20"/>
              </w:rPr>
            </w:pPr>
          </w:p>
        </w:tc>
        <w:tc>
          <w:tcPr>
            <w:tcW w:w="5" w:type="pct"/>
            <w:vAlign w:val="center"/>
            <w:hideMark/>
          </w:tcPr>
          <w:p w14:paraId="4B67E70F" w14:textId="77777777" w:rsidR="00000000" w:rsidRDefault="001D0688">
            <w:pPr>
              <w:rPr>
                <w:rFonts w:eastAsia="Times New Roman"/>
                <w:sz w:val="20"/>
                <w:szCs w:val="20"/>
              </w:rPr>
            </w:pPr>
          </w:p>
        </w:tc>
        <w:tc>
          <w:tcPr>
            <w:tcW w:w="26" w:type="pct"/>
            <w:vAlign w:val="center"/>
            <w:hideMark/>
          </w:tcPr>
          <w:p w14:paraId="6C18008A" w14:textId="77777777" w:rsidR="00000000" w:rsidRDefault="001D0688">
            <w:pPr>
              <w:rPr>
                <w:rFonts w:eastAsia="Times New Roman"/>
                <w:sz w:val="20"/>
                <w:szCs w:val="20"/>
              </w:rPr>
            </w:pPr>
          </w:p>
        </w:tc>
        <w:tc>
          <w:tcPr>
            <w:tcW w:w="5" w:type="pct"/>
            <w:vAlign w:val="center"/>
            <w:hideMark/>
          </w:tcPr>
          <w:p w14:paraId="6FD9A305" w14:textId="77777777" w:rsidR="00000000" w:rsidRDefault="001D0688">
            <w:pPr>
              <w:rPr>
                <w:rFonts w:eastAsia="Times New Roman"/>
                <w:sz w:val="20"/>
                <w:szCs w:val="20"/>
              </w:rPr>
            </w:pPr>
          </w:p>
        </w:tc>
        <w:tc>
          <w:tcPr>
            <w:tcW w:w="50" w:type="pct"/>
            <w:vAlign w:val="center"/>
            <w:hideMark/>
          </w:tcPr>
          <w:p w14:paraId="0B4FDE72" w14:textId="77777777" w:rsidR="00000000" w:rsidRDefault="001D0688">
            <w:pPr>
              <w:rPr>
                <w:rFonts w:eastAsia="Times New Roman"/>
                <w:sz w:val="20"/>
                <w:szCs w:val="20"/>
              </w:rPr>
            </w:pPr>
          </w:p>
        </w:tc>
        <w:tc>
          <w:tcPr>
            <w:tcW w:w="2328" w:type="pct"/>
            <w:vAlign w:val="center"/>
            <w:hideMark/>
          </w:tcPr>
          <w:p w14:paraId="121576FC" w14:textId="77777777" w:rsidR="00000000" w:rsidRDefault="001D0688">
            <w:pPr>
              <w:rPr>
                <w:rFonts w:eastAsia="Times New Roman"/>
                <w:sz w:val="20"/>
                <w:szCs w:val="20"/>
              </w:rPr>
            </w:pPr>
          </w:p>
        </w:tc>
        <w:tc>
          <w:tcPr>
            <w:tcW w:w="5" w:type="pct"/>
            <w:vAlign w:val="center"/>
            <w:hideMark/>
          </w:tcPr>
          <w:p w14:paraId="5C826488" w14:textId="77777777" w:rsidR="00000000" w:rsidRDefault="001D0688">
            <w:pPr>
              <w:rPr>
                <w:rFonts w:eastAsia="Times New Roman"/>
                <w:sz w:val="20"/>
                <w:szCs w:val="20"/>
              </w:rPr>
            </w:pPr>
          </w:p>
        </w:tc>
      </w:tr>
      <w:tr w:rsidR="00000000" w14:paraId="3017A7C3" w14:textId="77777777">
        <w:trPr>
          <w:divId w:val="1502045224"/>
        </w:trPr>
        <w:tc>
          <w:tcPr>
            <w:tcW w:w="0" w:type="auto"/>
            <w:gridSpan w:val="3"/>
            <w:tcMar>
              <w:top w:w="30" w:type="dxa"/>
              <w:left w:w="20" w:type="dxa"/>
              <w:bottom w:w="30" w:type="dxa"/>
              <w:right w:w="20" w:type="dxa"/>
            </w:tcMar>
            <w:vAlign w:val="bottom"/>
            <w:hideMark/>
          </w:tcPr>
          <w:p w14:paraId="69585BF3" w14:textId="77777777" w:rsidR="00000000" w:rsidRDefault="001D0688">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14:paraId="7DCC6EB0"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26BF47FB" w14:textId="77777777" w:rsidR="00000000" w:rsidRDefault="001D0688">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14:paraId="13392D58"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138D558C" w14:textId="77777777" w:rsidR="00000000" w:rsidRDefault="001D0688">
            <w:pPr>
              <w:rPr>
                <w:rFonts w:eastAsia="Times New Roman"/>
              </w:rPr>
            </w:pPr>
            <w:r>
              <w:rPr>
                <w:rFonts w:ascii="Arial" w:eastAsia="Times New Roman" w:hAnsi="Arial" w:cs="Arial"/>
                <w:b/>
                <w:bCs/>
                <w:color w:val="000000"/>
                <w:sz w:val="18"/>
                <w:szCs w:val="18"/>
              </w:rPr>
              <w:t>Effect if Actual Results Differ from Assumptions</w:t>
            </w:r>
          </w:p>
        </w:tc>
      </w:tr>
      <w:tr w:rsidR="00000000" w14:paraId="52C1E9BF" w14:textId="77777777">
        <w:trPr>
          <w:divId w:val="1502045224"/>
        </w:trPr>
        <w:tc>
          <w:tcPr>
            <w:tcW w:w="0" w:type="auto"/>
            <w:gridSpan w:val="3"/>
            <w:tcBorders>
              <w:top w:val="single" w:sz="8" w:space="0" w:color="000000"/>
            </w:tcBorders>
            <w:tcMar>
              <w:top w:w="30" w:type="dxa"/>
              <w:left w:w="20" w:type="dxa"/>
              <w:bottom w:w="30" w:type="dxa"/>
              <w:right w:w="20" w:type="dxa"/>
            </w:tcMar>
            <w:hideMark/>
          </w:tcPr>
          <w:p w14:paraId="168BBDC2" w14:textId="77777777" w:rsidR="00000000" w:rsidRDefault="001D0688">
            <w:pPr>
              <w:divId w:val="589509996"/>
              <w:rPr>
                <w:rFonts w:eastAsia="Times New Roman"/>
              </w:rPr>
            </w:pPr>
            <w:r>
              <w:rPr>
                <w:rFonts w:ascii="Arial" w:eastAsia="Times New Roman" w:hAnsi="Arial" w:cs="Arial"/>
                <w:b/>
                <w:bCs/>
                <w:color w:val="000000"/>
                <w:sz w:val="18"/>
                <w:szCs w:val="18"/>
              </w:rPr>
              <w:t xml:space="preserve">Valuation of Long-Lived Assets </w:t>
            </w:r>
          </w:p>
          <w:p w14:paraId="09FB6DC2" w14:textId="77777777" w:rsidR="00000000" w:rsidRDefault="001D0688">
            <w:pPr>
              <w:divId w:val="2050569903"/>
              <w:rPr>
                <w:rFonts w:eastAsia="Times New Roman"/>
              </w:rPr>
            </w:pPr>
          </w:p>
          <w:p w14:paraId="0DAE5A63" w14:textId="77777777" w:rsidR="00000000" w:rsidRDefault="001D0688">
            <w:pPr>
              <w:divId w:val="1636252745"/>
              <w:rPr>
                <w:rFonts w:eastAsia="Times New Roman"/>
              </w:rPr>
            </w:pPr>
            <w:r>
              <w:rPr>
                <w:rFonts w:ascii="Arial" w:eastAsia="Times New Roman" w:hAnsi="Arial" w:cs="Arial"/>
                <w:color w:val="000000"/>
                <w:sz w:val="18"/>
                <w:szCs w:val="18"/>
              </w:rPr>
              <w:t>We evaluate our fixed assets and amortizable intangible assets for impairment whenever events or changes in circumstances indicate that the carrying amount of such assets may not be recoverable. These events and circumstances include, but are not limited t</w:t>
            </w:r>
            <w:r>
              <w:rPr>
                <w:rFonts w:ascii="Arial" w:eastAsia="Times New Roman" w:hAnsi="Arial" w:cs="Arial"/>
                <w:color w:val="000000"/>
                <w:sz w:val="18"/>
                <w:szCs w:val="18"/>
              </w:rPr>
              <w:t>o: higher than expected attrition for customer relationships; a current expectation that a long-lived asset will be disposed of significantly before the end of its previously estimated useful life, such as when we classify a business as held for sale; a si</w:t>
            </w:r>
            <w:r>
              <w:rPr>
                <w:rFonts w:ascii="Arial" w:eastAsia="Times New Roman" w:hAnsi="Arial" w:cs="Arial"/>
                <w:color w:val="000000"/>
                <w:sz w:val="18"/>
                <w:szCs w:val="18"/>
              </w:rPr>
              <w:t xml:space="preserve">gnificant adverse change in the extent or manner in which we use a long-lived asset; or a change in the physical condition of a long-lived asset. </w:t>
            </w:r>
          </w:p>
          <w:p w14:paraId="74CE3033" w14:textId="77777777" w:rsidR="00000000" w:rsidRDefault="001D0688">
            <w:pPr>
              <w:divId w:val="1270358685"/>
              <w:rPr>
                <w:rFonts w:eastAsia="Times New Roman"/>
              </w:rPr>
            </w:pPr>
          </w:p>
          <w:p w14:paraId="251C0320" w14:textId="77777777" w:rsidR="00000000" w:rsidRDefault="001D0688">
            <w:pPr>
              <w:divId w:val="1995376272"/>
              <w:rPr>
                <w:rFonts w:eastAsia="Times New Roman"/>
              </w:rPr>
            </w:pPr>
            <w:r>
              <w:rPr>
                <w:rFonts w:ascii="Arial" w:eastAsia="Times New Roman" w:hAnsi="Arial" w:cs="Arial"/>
                <w:color w:val="000000"/>
                <w:sz w:val="18"/>
                <w:szCs w:val="18"/>
              </w:rPr>
              <w:t xml:space="preserve">Undiscounted cash flow analyses are used to determine if impairment exists; if impairment is determined to </w:t>
            </w:r>
            <w:r>
              <w:rPr>
                <w:rFonts w:ascii="Arial" w:eastAsia="Times New Roman" w:hAnsi="Arial" w:cs="Arial"/>
                <w:color w:val="000000"/>
                <w:sz w:val="18"/>
                <w:szCs w:val="18"/>
              </w:rPr>
              <w:t>exist, the loss is calculated based on estimated fair value.</w:t>
            </w:r>
          </w:p>
          <w:p w14:paraId="3EB099FF" w14:textId="77777777" w:rsidR="00000000" w:rsidRDefault="001D0688">
            <w:pPr>
              <w:divId w:val="1064571115"/>
              <w:rPr>
                <w:rFonts w:eastAsia="Times New Roman"/>
              </w:rPr>
            </w:pPr>
          </w:p>
          <w:p w14:paraId="1810AE65" w14:textId="77777777" w:rsidR="00000000" w:rsidRDefault="001D0688">
            <w:pPr>
              <w:divId w:val="491724125"/>
              <w:rPr>
                <w:rFonts w:eastAsia="Times New Roman"/>
              </w:rPr>
            </w:pPr>
            <w:r>
              <w:rPr>
                <w:rFonts w:ascii="Arial" w:eastAsia="Times New Roman" w:hAnsi="Arial" w:cs="Arial"/>
                <w:color w:val="000000"/>
                <w:sz w:val="18"/>
                <w:szCs w:val="18"/>
              </w:rPr>
              <w:t xml:space="preserve">Goodwill is not amortized but rather tested at least annually for impairment or more often if events or changes in circumstances indicate it is more-likely-than-not that the carrying amount of </w:t>
            </w:r>
            <w:r>
              <w:rPr>
                <w:rFonts w:ascii="Arial" w:eastAsia="Times New Roman" w:hAnsi="Arial" w:cs="Arial"/>
                <w:color w:val="000000"/>
                <w:sz w:val="18"/>
                <w:szCs w:val="18"/>
              </w:rPr>
              <w:t>the asset may not be recoverable. Goodwill is tested for impairment at the reporting unit level, which represents an operating segment or a component of an operating segment. Goodwill is tested for impairment by either performing a qualitative evaluation o</w:t>
            </w:r>
            <w:r>
              <w:rPr>
                <w:rFonts w:ascii="Arial" w:eastAsia="Times New Roman" w:hAnsi="Arial" w:cs="Arial"/>
                <w:color w:val="000000"/>
                <w:sz w:val="18"/>
                <w:szCs w:val="18"/>
              </w:rPr>
              <w:t>r a quantitative test. The qualitative evaluation is an assessment of factors to determine whether it is more-likely-than-not that the fair value of a reporting unit is less than its carrying amount, including goodwill. We may elect not to perform the qual</w:t>
            </w:r>
            <w:r>
              <w:rPr>
                <w:rFonts w:ascii="Arial" w:eastAsia="Times New Roman" w:hAnsi="Arial" w:cs="Arial"/>
                <w:color w:val="000000"/>
                <w:sz w:val="18"/>
                <w:szCs w:val="18"/>
              </w:rPr>
              <w:t xml:space="preserve">itative assessment for some or all of our reporting units and instead perform a quantitative impairment test. </w:t>
            </w:r>
          </w:p>
          <w:p w14:paraId="52FF1B9A" w14:textId="77777777" w:rsidR="00000000" w:rsidRDefault="001D0688">
            <w:pPr>
              <w:divId w:val="96944449"/>
              <w:rPr>
                <w:rFonts w:eastAsia="Times New Roman"/>
              </w:rPr>
            </w:pPr>
          </w:p>
          <w:p w14:paraId="1FD2C4A7" w14:textId="77777777" w:rsidR="00000000" w:rsidRDefault="001D0688">
            <w:pPr>
              <w:divId w:val="44766038"/>
              <w:rPr>
                <w:rFonts w:eastAsia="Times New Roman"/>
              </w:rPr>
            </w:pPr>
          </w:p>
        </w:tc>
        <w:tc>
          <w:tcPr>
            <w:tcW w:w="0" w:type="auto"/>
            <w:gridSpan w:val="3"/>
            <w:tcMar>
              <w:top w:w="0" w:type="dxa"/>
              <w:left w:w="20" w:type="dxa"/>
              <w:bottom w:w="0" w:type="dxa"/>
              <w:right w:w="20" w:type="dxa"/>
            </w:tcMar>
            <w:vAlign w:val="center"/>
            <w:hideMark/>
          </w:tcPr>
          <w:p w14:paraId="73CF0F1C"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9839A35" w14:textId="77777777" w:rsidR="00000000" w:rsidRDefault="001D0688">
            <w:pPr>
              <w:divId w:val="1163549233"/>
              <w:rPr>
                <w:rFonts w:eastAsia="Times New Roman"/>
              </w:rPr>
            </w:pPr>
          </w:p>
          <w:p w14:paraId="78BFD8F7" w14:textId="77777777" w:rsidR="00000000" w:rsidRDefault="001D0688">
            <w:pPr>
              <w:divId w:val="902566571"/>
              <w:rPr>
                <w:rFonts w:eastAsia="Times New Roman"/>
              </w:rPr>
            </w:pPr>
          </w:p>
          <w:p w14:paraId="72F36347" w14:textId="77777777" w:rsidR="00000000" w:rsidRDefault="001D0688">
            <w:pPr>
              <w:divId w:val="1146122865"/>
              <w:rPr>
                <w:rFonts w:eastAsia="Times New Roman"/>
              </w:rPr>
            </w:pPr>
            <w:r>
              <w:rPr>
                <w:rFonts w:ascii="Arial" w:eastAsia="Times New Roman" w:hAnsi="Arial" w:cs="Arial"/>
                <w:color w:val="000000"/>
                <w:sz w:val="18"/>
                <w:szCs w:val="18"/>
              </w:rPr>
              <w:t xml:space="preserve">Our impairment evaluations require us to apply judgment in determining whether a triggering event has occurred, including the evaluation of whether it is more- likely-than-not that a long-lived asset will be disposed of significantly before the end of its </w:t>
            </w:r>
            <w:r>
              <w:rPr>
                <w:rFonts w:ascii="Arial" w:eastAsia="Times New Roman" w:hAnsi="Arial" w:cs="Arial"/>
                <w:color w:val="000000"/>
                <w:sz w:val="18"/>
                <w:szCs w:val="18"/>
              </w:rPr>
              <w:t xml:space="preserve">previously estimated useful life. Incorrect estimation of useful lives may result in inaccurate depreciation and amortization charges over future periods leading to future impairment. </w:t>
            </w:r>
          </w:p>
          <w:p w14:paraId="7E349C31" w14:textId="77777777" w:rsidR="00000000" w:rsidRDefault="001D0688">
            <w:pPr>
              <w:divId w:val="271740496"/>
              <w:rPr>
                <w:rFonts w:eastAsia="Times New Roman"/>
              </w:rPr>
            </w:pPr>
          </w:p>
          <w:p w14:paraId="4358F850" w14:textId="77777777" w:rsidR="00000000" w:rsidRDefault="001D0688">
            <w:pPr>
              <w:divId w:val="172571501"/>
              <w:rPr>
                <w:rFonts w:eastAsia="Times New Roman"/>
              </w:rPr>
            </w:pPr>
            <w:r>
              <w:rPr>
                <w:rFonts w:ascii="Arial" w:eastAsia="Times New Roman" w:hAnsi="Arial" w:cs="Arial"/>
                <w:color w:val="000000"/>
                <w:sz w:val="18"/>
                <w:szCs w:val="18"/>
              </w:rPr>
              <w:t>Our impairment loss calculations contain uncertainties because they r</w:t>
            </w:r>
            <w:r>
              <w:rPr>
                <w:rFonts w:ascii="Arial" w:eastAsia="Times New Roman" w:hAnsi="Arial" w:cs="Arial"/>
                <w:color w:val="000000"/>
                <w:sz w:val="18"/>
                <w:szCs w:val="18"/>
              </w:rPr>
              <w:t>equire management to make assumptions and to apply judgment to estimate future cash flows and asset fair values, including forecasting useful lives of the assets and selecting the discount rate that reflects the risk inherent in future cash flows.</w:t>
            </w:r>
          </w:p>
          <w:p w14:paraId="473B0049" w14:textId="77777777" w:rsidR="00000000" w:rsidRDefault="001D0688">
            <w:pPr>
              <w:divId w:val="1662923164"/>
              <w:rPr>
                <w:rFonts w:eastAsia="Times New Roman"/>
              </w:rPr>
            </w:pPr>
          </w:p>
          <w:p w14:paraId="3D86C796" w14:textId="77777777" w:rsidR="00000000" w:rsidRDefault="001D0688">
            <w:pPr>
              <w:divId w:val="952782048"/>
              <w:rPr>
                <w:rFonts w:eastAsia="Times New Roman"/>
              </w:rPr>
            </w:pPr>
            <w:r>
              <w:rPr>
                <w:rFonts w:ascii="Arial" w:eastAsia="Times New Roman" w:hAnsi="Arial" w:cs="Arial"/>
                <w:color w:val="000000"/>
                <w:sz w:val="18"/>
                <w:szCs w:val="18"/>
              </w:rPr>
              <w:t>We est</w:t>
            </w:r>
            <w:r>
              <w:rPr>
                <w:rFonts w:ascii="Arial" w:eastAsia="Times New Roman" w:hAnsi="Arial" w:cs="Arial"/>
                <w:color w:val="000000"/>
                <w:sz w:val="18"/>
                <w:szCs w:val="18"/>
              </w:rPr>
              <w:t>imate the fair value of each reporting unit using a combination of the income approach and the market approach.</w:t>
            </w:r>
          </w:p>
          <w:p w14:paraId="76A3A1E0" w14:textId="77777777" w:rsidR="00000000" w:rsidRDefault="001D0688">
            <w:pPr>
              <w:divId w:val="1152714653"/>
              <w:rPr>
                <w:rFonts w:eastAsia="Times New Roman"/>
              </w:rPr>
            </w:pPr>
          </w:p>
          <w:p w14:paraId="7E860D26" w14:textId="77777777" w:rsidR="00000000" w:rsidRDefault="001D0688">
            <w:pPr>
              <w:divId w:val="286130404"/>
              <w:rPr>
                <w:rFonts w:eastAsia="Times New Roman"/>
              </w:rPr>
            </w:pPr>
            <w:r>
              <w:rPr>
                <w:rFonts w:ascii="Arial" w:eastAsia="Times New Roman" w:hAnsi="Arial" w:cs="Arial"/>
                <w:color w:val="000000"/>
                <w:sz w:val="18"/>
                <w:szCs w:val="18"/>
              </w:rPr>
              <w:t>The income approach incorporates the use of a discounted cash flow method in which the estimated future cash flows and terminal value are calc</w:t>
            </w:r>
            <w:r>
              <w:rPr>
                <w:rFonts w:ascii="Arial" w:eastAsia="Times New Roman" w:hAnsi="Arial" w:cs="Arial"/>
                <w:color w:val="000000"/>
                <w:sz w:val="18"/>
                <w:szCs w:val="18"/>
              </w:rPr>
              <w:t xml:space="preserve">ulated for each reporting unit and then discounted to present value using an appropriate discount rate. </w:t>
            </w:r>
          </w:p>
          <w:p w14:paraId="77B377E4" w14:textId="77777777" w:rsidR="00000000" w:rsidRDefault="001D0688">
            <w:pPr>
              <w:divId w:val="722945879"/>
              <w:rPr>
                <w:rFonts w:eastAsia="Times New Roman"/>
              </w:rPr>
            </w:pPr>
          </w:p>
          <w:p w14:paraId="3B0B673B" w14:textId="77777777" w:rsidR="00000000" w:rsidRDefault="001D0688">
            <w:pPr>
              <w:divId w:val="2131896635"/>
              <w:rPr>
                <w:rFonts w:eastAsia="Times New Roman"/>
              </w:rPr>
            </w:pPr>
            <w:r>
              <w:rPr>
                <w:rFonts w:ascii="Arial" w:eastAsia="Times New Roman" w:hAnsi="Arial" w:cs="Arial"/>
                <w:color w:val="000000"/>
                <w:sz w:val="18"/>
                <w:szCs w:val="18"/>
              </w:rPr>
              <w:t>The valuation of our reporting units requires significant judgment in evaluation of recent indicators of market activity and estimated future cash fl</w:t>
            </w:r>
            <w:r>
              <w:rPr>
                <w:rFonts w:ascii="Arial" w:eastAsia="Times New Roman" w:hAnsi="Arial" w:cs="Arial"/>
                <w:color w:val="000000"/>
                <w:sz w:val="18"/>
                <w:szCs w:val="18"/>
              </w:rPr>
              <w:t>ows, discount rates, and other factors. Our impairment analyses contain inherent uncertainties due to uncontrollable events that could positively or negatively impact anticipated future economic and operating conditions.</w:t>
            </w:r>
          </w:p>
          <w:p w14:paraId="3F841096" w14:textId="77777777" w:rsidR="00000000" w:rsidRDefault="001D0688">
            <w:pPr>
              <w:divId w:val="1129474659"/>
              <w:rPr>
                <w:rFonts w:eastAsia="Times New Roman"/>
              </w:rPr>
            </w:pPr>
          </w:p>
          <w:p w14:paraId="487D0F47" w14:textId="77777777" w:rsidR="00000000" w:rsidRDefault="001D0688">
            <w:pPr>
              <w:divId w:val="172457187"/>
              <w:rPr>
                <w:rFonts w:eastAsia="Times New Roman"/>
              </w:rPr>
            </w:pPr>
            <w:r>
              <w:rPr>
                <w:rFonts w:ascii="Arial" w:eastAsia="Times New Roman" w:hAnsi="Arial" w:cs="Arial"/>
                <w:color w:val="000000"/>
                <w:sz w:val="18"/>
                <w:szCs w:val="18"/>
              </w:rPr>
              <w:t>In making these estimates, the we</w:t>
            </w:r>
            <w:r>
              <w:rPr>
                <w:rFonts w:ascii="Arial" w:eastAsia="Times New Roman" w:hAnsi="Arial" w:cs="Arial"/>
                <w:color w:val="000000"/>
                <w:sz w:val="18"/>
                <w:szCs w:val="18"/>
              </w:rPr>
              <w:t xml:space="preserve">ighted-average cost of capital is utilized to calculate the present value of future cash flows and terminal value. Many variables go into estimating future cash flows, including estimates of our future revenue growth and operating results. When estimating </w:t>
            </w:r>
            <w:r>
              <w:rPr>
                <w:rFonts w:ascii="Arial" w:eastAsia="Times New Roman" w:hAnsi="Arial" w:cs="Arial"/>
                <w:color w:val="000000"/>
                <w:sz w:val="18"/>
                <w:szCs w:val="18"/>
              </w:rPr>
              <w:t xml:space="preserve">our projected revenue growth and future operating results, we consider industry trends, economic data, and our competitive advantage. </w:t>
            </w:r>
          </w:p>
          <w:p w14:paraId="00BFE6E5" w14:textId="77777777" w:rsidR="00000000" w:rsidRDefault="001D0688">
            <w:pPr>
              <w:divId w:val="922494190"/>
              <w:rPr>
                <w:rFonts w:eastAsia="Times New Roman"/>
              </w:rPr>
            </w:pPr>
          </w:p>
          <w:p w14:paraId="5D099956" w14:textId="77777777" w:rsidR="00000000" w:rsidRDefault="001D0688">
            <w:pPr>
              <w:divId w:val="1679506789"/>
              <w:rPr>
                <w:rFonts w:eastAsia="Times New Roman"/>
              </w:rPr>
            </w:pPr>
            <w:r>
              <w:rPr>
                <w:rFonts w:ascii="Arial" w:eastAsia="Times New Roman" w:hAnsi="Arial" w:cs="Arial"/>
                <w:color w:val="000000"/>
                <w:sz w:val="18"/>
                <w:szCs w:val="18"/>
              </w:rPr>
              <w:t xml:space="preserve">The market approach estimates fair value of a reporting unit by using market comparables for reasonably similar public </w:t>
            </w:r>
            <w:r>
              <w:rPr>
                <w:rFonts w:ascii="Arial" w:eastAsia="Times New Roman" w:hAnsi="Arial" w:cs="Arial"/>
                <w:color w:val="000000"/>
                <w:sz w:val="18"/>
                <w:szCs w:val="18"/>
              </w:rPr>
              <w:t xml:space="preserve">companies. </w:t>
            </w:r>
          </w:p>
        </w:tc>
        <w:tc>
          <w:tcPr>
            <w:tcW w:w="0" w:type="auto"/>
            <w:gridSpan w:val="3"/>
            <w:tcMar>
              <w:top w:w="0" w:type="dxa"/>
              <w:left w:w="20" w:type="dxa"/>
              <w:bottom w:w="0" w:type="dxa"/>
              <w:right w:w="20" w:type="dxa"/>
            </w:tcMar>
            <w:vAlign w:val="center"/>
            <w:hideMark/>
          </w:tcPr>
          <w:p w14:paraId="544C5048"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EB0CFDF" w14:textId="77777777" w:rsidR="00000000" w:rsidRDefault="001D0688">
            <w:pPr>
              <w:divId w:val="1623997744"/>
              <w:rPr>
                <w:rFonts w:eastAsia="Times New Roman"/>
              </w:rPr>
            </w:pPr>
          </w:p>
          <w:p w14:paraId="30235F33" w14:textId="77777777" w:rsidR="00000000" w:rsidRDefault="001D0688">
            <w:pPr>
              <w:divId w:val="11500251"/>
              <w:rPr>
                <w:rFonts w:eastAsia="Times New Roman"/>
              </w:rPr>
            </w:pPr>
          </w:p>
          <w:p w14:paraId="5808026A" w14:textId="77777777" w:rsidR="00000000" w:rsidRDefault="001D0688">
            <w:pPr>
              <w:divId w:val="1574974549"/>
              <w:rPr>
                <w:rFonts w:eastAsia="Times New Roman"/>
              </w:rPr>
            </w:pPr>
            <w:r>
              <w:rPr>
                <w:rFonts w:ascii="Arial" w:eastAsia="Times New Roman" w:hAnsi="Arial" w:cs="Arial"/>
                <w:color w:val="000000"/>
                <w:sz w:val="18"/>
                <w:szCs w:val="18"/>
              </w:rPr>
              <w:t>During the last three years, we have not made any changes in the accounting methodology used to evaluate the impairment of long-lived assets or to estimate the useful lives of our long-lived assets.</w:t>
            </w:r>
          </w:p>
          <w:p w14:paraId="46518302" w14:textId="77777777" w:rsidR="00000000" w:rsidRDefault="001D0688">
            <w:pPr>
              <w:divId w:val="1221788280"/>
              <w:rPr>
                <w:rFonts w:eastAsia="Times New Roman"/>
              </w:rPr>
            </w:pPr>
          </w:p>
          <w:p w14:paraId="401BD026" w14:textId="77777777" w:rsidR="00000000" w:rsidRDefault="001D0688">
            <w:pPr>
              <w:divId w:val="1033264655"/>
              <w:rPr>
                <w:rFonts w:eastAsia="Times New Roman"/>
              </w:rPr>
            </w:pPr>
            <w:r>
              <w:rPr>
                <w:rFonts w:ascii="Arial" w:eastAsia="Times New Roman" w:hAnsi="Arial" w:cs="Arial"/>
                <w:color w:val="000000"/>
                <w:sz w:val="18"/>
                <w:szCs w:val="18"/>
              </w:rPr>
              <w:t>Additionally, we have not made any</w:t>
            </w:r>
            <w:r>
              <w:rPr>
                <w:rFonts w:ascii="Arial" w:eastAsia="Times New Roman" w:hAnsi="Arial" w:cs="Arial"/>
                <w:color w:val="000000"/>
                <w:sz w:val="18"/>
                <w:szCs w:val="18"/>
              </w:rPr>
              <w:t xml:space="preserve"> changes in the accounting methodology used to evaluate impairment of goodwill during the last three years.</w:t>
            </w:r>
          </w:p>
          <w:p w14:paraId="060D1547" w14:textId="77777777" w:rsidR="00000000" w:rsidRDefault="001D0688">
            <w:pPr>
              <w:divId w:val="2124374812"/>
              <w:rPr>
                <w:rFonts w:eastAsia="Times New Roman"/>
              </w:rPr>
            </w:pPr>
          </w:p>
          <w:p w14:paraId="3EF6059B" w14:textId="77777777" w:rsidR="00000000" w:rsidRDefault="001D0688">
            <w:pPr>
              <w:divId w:val="1616674071"/>
              <w:rPr>
                <w:rFonts w:eastAsia="Times New Roman"/>
              </w:rPr>
            </w:pPr>
            <w:r>
              <w:rPr>
                <w:rFonts w:ascii="Arial" w:eastAsia="Times New Roman" w:hAnsi="Arial" w:cs="Arial"/>
                <w:color w:val="000000"/>
                <w:sz w:val="18"/>
                <w:szCs w:val="18"/>
              </w:rPr>
              <w:t>During the second quarter of 2020, given the general deterioration in economic and market conditions arising from the Pandemic, we identified a tr</w:t>
            </w:r>
            <w:r>
              <w:rPr>
                <w:rFonts w:ascii="Arial" w:eastAsia="Times New Roman" w:hAnsi="Arial" w:cs="Arial"/>
                <w:color w:val="000000"/>
                <w:sz w:val="18"/>
                <w:szCs w:val="18"/>
              </w:rPr>
              <w:t>iggering event indicating possible impairment of goodwill and intangible assets. For the three goodwill reporting units tested quantitatively, we estimated the fair value using a weighting of fair values derived from an income approach and a market approac</w:t>
            </w:r>
            <w:r>
              <w:rPr>
                <w:rFonts w:ascii="Arial" w:eastAsia="Times New Roman" w:hAnsi="Arial" w:cs="Arial"/>
                <w:color w:val="000000"/>
                <w:sz w:val="18"/>
                <w:szCs w:val="18"/>
              </w:rPr>
              <w:t>h. Based on the evaluation performed, we determined that goodwill was impaired for each of the three goodwill reporting units evaluated and recognized a non-cash impairment charge totaling $163.8 million ($99.3 million related to Education, $55.5 million r</w:t>
            </w:r>
            <w:r>
              <w:rPr>
                <w:rFonts w:ascii="Arial" w:eastAsia="Times New Roman" w:hAnsi="Arial" w:cs="Arial"/>
                <w:color w:val="000000"/>
                <w:sz w:val="18"/>
                <w:szCs w:val="18"/>
              </w:rPr>
              <w:t>elated to Aviation, and $9.0 million related to our U.K. Technical Solutions business). We also recognized intangible asset impairment charges of $5.6 million related to Aviation and $3.4 million related to our U.K. Technical Solutions business. We perform</w:t>
            </w:r>
            <w:r>
              <w:rPr>
                <w:rFonts w:ascii="Arial" w:eastAsia="Times New Roman" w:hAnsi="Arial" w:cs="Arial"/>
                <w:color w:val="000000"/>
                <w:sz w:val="18"/>
                <w:szCs w:val="18"/>
              </w:rPr>
              <w:t>ed our annual goodwill impairment analysis on August 1, 2020 using a qualitative approach since there were no indicators of impairment subsequent to our quantitative analysis performed in the second quarter of 2020 as discussed above. As a result of the qu</w:t>
            </w:r>
            <w:r>
              <w:rPr>
                <w:rFonts w:ascii="Arial" w:eastAsia="Times New Roman" w:hAnsi="Arial" w:cs="Arial"/>
                <w:color w:val="000000"/>
                <w:sz w:val="18"/>
                <w:szCs w:val="18"/>
              </w:rPr>
              <w:t xml:space="preserve">alitative analysis, we concluded that there were no further impairments. </w:t>
            </w:r>
          </w:p>
          <w:p w14:paraId="7F41E9B7" w14:textId="77777777" w:rsidR="00000000" w:rsidRDefault="001D0688">
            <w:pPr>
              <w:divId w:val="2128891944"/>
              <w:rPr>
                <w:rFonts w:eastAsia="Times New Roman"/>
              </w:rPr>
            </w:pPr>
          </w:p>
          <w:p w14:paraId="1EB00C97" w14:textId="77777777" w:rsidR="00000000" w:rsidRDefault="001D0688">
            <w:pPr>
              <w:divId w:val="652220827"/>
              <w:rPr>
                <w:rFonts w:eastAsia="Times New Roman"/>
              </w:rPr>
            </w:pPr>
            <w:r>
              <w:rPr>
                <w:rFonts w:ascii="Arial" w:eastAsia="Times New Roman" w:hAnsi="Arial" w:cs="Arial"/>
                <w:color w:val="000000"/>
                <w:sz w:val="18"/>
                <w:szCs w:val="18"/>
              </w:rPr>
              <w:t>During the third quarter of 2019, in connection with the reorganization of our Healthcare business, a goodwill impairment analysis was performed on the underlying reporting unit immediately before the reorganization, and we concluded that the estimated fai</w:t>
            </w:r>
            <w:r>
              <w:rPr>
                <w:rFonts w:ascii="Arial" w:eastAsia="Times New Roman" w:hAnsi="Arial" w:cs="Arial"/>
                <w:color w:val="000000"/>
                <w:sz w:val="18"/>
                <w:szCs w:val="18"/>
              </w:rPr>
              <w:t>r value of the underlying reporting unit substantially exceeded its carrying value immediately before the reorganization and that no further evaluation of impairment was necessary. Additionally, we performed our annual goodwill impairment analysis on Augus</w:t>
            </w:r>
            <w:r>
              <w:rPr>
                <w:rFonts w:ascii="Arial" w:eastAsia="Times New Roman" w:hAnsi="Arial" w:cs="Arial"/>
                <w:color w:val="000000"/>
                <w:sz w:val="18"/>
                <w:szCs w:val="18"/>
              </w:rPr>
              <w:t>t 1, 2019, and concluded that the implied fair value of each of our reporting units was substantially in excess of its carrying value and that no further evaluation of impairment was necessary. A 10% decrease in the estimated fair value of any of our repor</w:t>
            </w:r>
            <w:r>
              <w:rPr>
                <w:rFonts w:ascii="Arial" w:eastAsia="Times New Roman" w:hAnsi="Arial" w:cs="Arial"/>
                <w:color w:val="000000"/>
                <w:sz w:val="18"/>
                <w:szCs w:val="18"/>
              </w:rPr>
              <w:t>ting units would not have resulted in a different conclusion.</w:t>
            </w:r>
          </w:p>
          <w:p w14:paraId="62DFC11D" w14:textId="77777777" w:rsidR="00000000" w:rsidRDefault="001D0688">
            <w:pPr>
              <w:divId w:val="1510755409"/>
              <w:rPr>
                <w:rFonts w:eastAsia="Times New Roman"/>
              </w:rPr>
            </w:pPr>
            <w:r>
              <w:rPr>
                <w:rFonts w:ascii="Arial" w:eastAsia="Times New Roman" w:hAnsi="Arial" w:cs="Arial"/>
                <w:color w:val="000000"/>
                <w:sz w:val="18"/>
                <w:szCs w:val="18"/>
              </w:rPr>
              <w:t> </w:t>
            </w:r>
          </w:p>
          <w:p w14:paraId="3D006195" w14:textId="77777777" w:rsidR="00000000" w:rsidRDefault="001D0688">
            <w:pPr>
              <w:divId w:val="1568758941"/>
              <w:rPr>
                <w:rFonts w:eastAsia="Times New Roman"/>
              </w:rPr>
            </w:pPr>
            <w:r>
              <w:rPr>
                <w:rFonts w:ascii="Arial" w:eastAsia="Times New Roman" w:hAnsi="Arial" w:cs="Arial"/>
                <w:color w:val="000000"/>
                <w:sz w:val="18"/>
                <w:szCs w:val="18"/>
              </w:rPr>
              <w:t>During 2018 we performed a qualitative goodwill impairment analysis for each of our reporting units on November 1, 2017, when we reorganized our reportable segments and reporting units followi</w:t>
            </w:r>
            <w:r>
              <w:rPr>
                <w:rFonts w:ascii="Arial" w:eastAsia="Times New Roman" w:hAnsi="Arial" w:cs="Arial"/>
                <w:color w:val="000000"/>
                <w:sz w:val="18"/>
                <w:szCs w:val="18"/>
              </w:rPr>
              <w:t xml:space="preserve">ng the integration of GCA into our industry group model. We concluded that goodwill related to those reporting units was not impaired and further quantitative testing was not required. </w:t>
            </w:r>
          </w:p>
          <w:p w14:paraId="52AC681F" w14:textId="77777777" w:rsidR="00000000" w:rsidRDefault="001D0688">
            <w:pPr>
              <w:divId w:val="307325954"/>
              <w:rPr>
                <w:rFonts w:eastAsia="Times New Roman"/>
              </w:rPr>
            </w:pPr>
          </w:p>
          <w:p w14:paraId="3B2342AE" w14:textId="77777777" w:rsidR="00000000" w:rsidRDefault="001D0688">
            <w:pPr>
              <w:divId w:val="768427219"/>
              <w:rPr>
                <w:rFonts w:eastAsia="Times New Roman"/>
              </w:rPr>
            </w:pPr>
            <w:r>
              <w:rPr>
                <w:rFonts w:ascii="Arial" w:eastAsia="Times New Roman" w:hAnsi="Arial" w:cs="Arial"/>
                <w:color w:val="000000"/>
                <w:sz w:val="18"/>
                <w:szCs w:val="18"/>
              </w:rPr>
              <w:t>In connection with our annual goodwill impairment analysis performed</w:t>
            </w:r>
            <w:r>
              <w:rPr>
                <w:rFonts w:ascii="Arial" w:eastAsia="Times New Roman" w:hAnsi="Arial" w:cs="Arial"/>
                <w:color w:val="000000"/>
                <w:sz w:val="18"/>
                <w:szCs w:val="18"/>
              </w:rPr>
              <w:t xml:space="preserve"> on August 1, 2018, we recorded an impairment charge of $20.3 million on goodwill and $6.2 million on customer relationships for one of our reporting units within the Technical Solutions segment. This reporting unit’s performance declined during 2018 prima</w:t>
            </w:r>
            <w:r>
              <w:rPr>
                <w:rFonts w:ascii="Arial" w:eastAsia="Times New Roman" w:hAnsi="Arial" w:cs="Arial"/>
                <w:color w:val="000000"/>
                <w:sz w:val="18"/>
                <w:szCs w:val="18"/>
              </w:rPr>
              <w:t>rily due to the adverse impact of Brexit and the resulting impact on microeconomic conditions in the U.K. retail sector, as well as the anticipated loss of a significant customer contract. In performing our annual goodwill impairment analysis, we determine</w:t>
            </w:r>
            <w:r>
              <w:rPr>
                <w:rFonts w:ascii="Arial" w:eastAsia="Times New Roman" w:hAnsi="Arial" w:cs="Arial"/>
                <w:color w:val="000000"/>
                <w:sz w:val="18"/>
                <w:szCs w:val="18"/>
              </w:rPr>
              <w:t>d there was a revised future outlook for this business, including reduced expectations of future sales, operating margins, and cash flows. In analyzing our other goodwill reporting units, we concluded that goodwill related to these other reporting units wa</w:t>
            </w:r>
            <w:r>
              <w:rPr>
                <w:rFonts w:ascii="Arial" w:eastAsia="Times New Roman" w:hAnsi="Arial" w:cs="Arial"/>
                <w:color w:val="000000"/>
                <w:sz w:val="18"/>
                <w:szCs w:val="18"/>
              </w:rPr>
              <w:t xml:space="preserve">s not impaired. </w:t>
            </w:r>
          </w:p>
        </w:tc>
      </w:tr>
    </w:tbl>
    <w:p w14:paraId="74312ABC" w14:textId="77777777" w:rsidR="00000000" w:rsidRDefault="001D0688">
      <w:pPr>
        <w:jc w:val="center"/>
        <w:divId w:val="47346048"/>
        <w:rPr>
          <w:rFonts w:eastAsia="Times New Roman"/>
        </w:rPr>
      </w:pPr>
      <w:r>
        <w:rPr>
          <w:rFonts w:ascii="Arial" w:eastAsia="Times New Roman" w:hAnsi="Arial" w:cs="Arial"/>
          <w:color w:val="000000"/>
          <w:sz w:val="20"/>
          <w:szCs w:val="20"/>
        </w:rPr>
        <w:t>39</w:t>
      </w:r>
    </w:p>
    <w:p w14:paraId="1D417326" w14:textId="77777777" w:rsidR="00000000" w:rsidRDefault="001D0688">
      <w:pPr>
        <w:rPr>
          <w:rFonts w:eastAsia="Times New Roman"/>
        </w:rPr>
      </w:pPr>
      <w:r>
        <w:rPr>
          <w:rFonts w:eastAsia="Times New Roman"/>
        </w:rPr>
        <w:pict w14:anchorId="7A61D909">
          <v:rect id="_x0000_i1075" style="width:0;height:1.5pt" o:hralign="center" o:hrstd="t" o:hr="t" fillcolor="#a0a0a0" stroked="f"/>
        </w:pict>
      </w:r>
    </w:p>
    <w:p w14:paraId="72EB2E3A" w14:textId="77777777" w:rsidR="00000000" w:rsidRDefault="001D0688">
      <w:pPr>
        <w:divId w:val="97486993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7"/>
        <w:gridCol w:w="36"/>
        <w:gridCol w:w="36"/>
        <w:gridCol w:w="36"/>
        <w:gridCol w:w="42"/>
        <w:gridCol w:w="2227"/>
        <w:gridCol w:w="36"/>
        <w:gridCol w:w="36"/>
        <w:gridCol w:w="36"/>
        <w:gridCol w:w="36"/>
        <w:gridCol w:w="42"/>
        <w:gridCol w:w="3346"/>
        <w:gridCol w:w="36"/>
      </w:tblGrid>
      <w:tr w:rsidR="00000000" w14:paraId="47EE967F" w14:textId="77777777">
        <w:trPr>
          <w:divId w:val="1733850730"/>
        </w:trPr>
        <w:tc>
          <w:tcPr>
            <w:tcW w:w="50" w:type="pct"/>
            <w:vAlign w:val="center"/>
            <w:hideMark/>
          </w:tcPr>
          <w:p w14:paraId="43595477" w14:textId="77777777" w:rsidR="00000000" w:rsidRDefault="001D0688">
            <w:pPr>
              <w:rPr>
                <w:rFonts w:eastAsia="Times New Roman"/>
              </w:rPr>
            </w:pPr>
          </w:p>
        </w:tc>
        <w:tc>
          <w:tcPr>
            <w:tcW w:w="1362" w:type="pct"/>
            <w:vAlign w:val="center"/>
            <w:hideMark/>
          </w:tcPr>
          <w:p w14:paraId="550A3A90" w14:textId="77777777" w:rsidR="00000000" w:rsidRDefault="001D0688">
            <w:pPr>
              <w:rPr>
                <w:rFonts w:eastAsia="Times New Roman"/>
                <w:sz w:val="20"/>
                <w:szCs w:val="20"/>
              </w:rPr>
            </w:pPr>
          </w:p>
        </w:tc>
        <w:tc>
          <w:tcPr>
            <w:tcW w:w="5" w:type="pct"/>
            <w:vAlign w:val="center"/>
            <w:hideMark/>
          </w:tcPr>
          <w:p w14:paraId="04757E48" w14:textId="77777777" w:rsidR="00000000" w:rsidRDefault="001D0688">
            <w:pPr>
              <w:rPr>
                <w:rFonts w:eastAsia="Times New Roman"/>
                <w:sz w:val="20"/>
                <w:szCs w:val="20"/>
              </w:rPr>
            </w:pPr>
          </w:p>
        </w:tc>
        <w:tc>
          <w:tcPr>
            <w:tcW w:w="5" w:type="pct"/>
            <w:vAlign w:val="center"/>
            <w:hideMark/>
          </w:tcPr>
          <w:p w14:paraId="2A7A4D13" w14:textId="77777777" w:rsidR="00000000" w:rsidRDefault="001D0688">
            <w:pPr>
              <w:rPr>
                <w:rFonts w:eastAsia="Times New Roman"/>
                <w:sz w:val="20"/>
                <w:szCs w:val="20"/>
              </w:rPr>
            </w:pPr>
          </w:p>
        </w:tc>
        <w:tc>
          <w:tcPr>
            <w:tcW w:w="26" w:type="pct"/>
            <w:vAlign w:val="center"/>
            <w:hideMark/>
          </w:tcPr>
          <w:p w14:paraId="30EB9F3B" w14:textId="77777777" w:rsidR="00000000" w:rsidRDefault="001D0688">
            <w:pPr>
              <w:rPr>
                <w:rFonts w:eastAsia="Times New Roman"/>
                <w:sz w:val="20"/>
                <w:szCs w:val="20"/>
              </w:rPr>
            </w:pPr>
          </w:p>
        </w:tc>
        <w:tc>
          <w:tcPr>
            <w:tcW w:w="5" w:type="pct"/>
            <w:vAlign w:val="center"/>
            <w:hideMark/>
          </w:tcPr>
          <w:p w14:paraId="5A485F4B" w14:textId="77777777" w:rsidR="00000000" w:rsidRDefault="001D0688">
            <w:pPr>
              <w:rPr>
                <w:rFonts w:eastAsia="Times New Roman"/>
                <w:sz w:val="20"/>
                <w:szCs w:val="20"/>
              </w:rPr>
            </w:pPr>
          </w:p>
        </w:tc>
        <w:tc>
          <w:tcPr>
            <w:tcW w:w="50" w:type="pct"/>
            <w:vAlign w:val="center"/>
            <w:hideMark/>
          </w:tcPr>
          <w:p w14:paraId="257C9751" w14:textId="77777777" w:rsidR="00000000" w:rsidRDefault="001D0688">
            <w:pPr>
              <w:rPr>
                <w:rFonts w:eastAsia="Times New Roman"/>
                <w:sz w:val="20"/>
                <w:szCs w:val="20"/>
              </w:rPr>
            </w:pPr>
          </w:p>
        </w:tc>
        <w:tc>
          <w:tcPr>
            <w:tcW w:w="1362" w:type="pct"/>
            <w:vAlign w:val="center"/>
            <w:hideMark/>
          </w:tcPr>
          <w:p w14:paraId="37C5B473" w14:textId="77777777" w:rsidR="00000000" w:rsidRDefault="001D0688">
            <w:pPr>
              <w:rPr>
                <w:rFonts w:eastAsia="Times New Roman"/>
                <w:sz w:val="20"/>
                <w:szCs w:val="20"/>
              </w:rPr>
            </w:pPr>
          </w:p>
        </w:tc>
        <w:tc>
          <w:tcPr>
            <w:tcW w:w="5" w:type="pct"/>
            <w:vAlign w:val="center"/>
            <w:hideMark/>
          </w:tcPr>
          <w:p w14:paraId="36A87832" w14:textId="77777777" w:rsidR="00000000" w:rsidRDefault="001D0688">
            <w:pPr>
              <w:rPr>
                <w:rFonts w:eastAsia="Times New Roman"/>
                <w:sz w:val="20"/>
                <w:szCs w:val="20"/>
              </w:rPr>
            </w:pPr>
          </w:p>
        </w:tc>
        <w:tc>
          <w:tcPr>
            <w:tcW w:w="5" w:type="pct"/>
            <w:vAlign w:val="center"/>
            <w:hideMark/>
          </w:tcPr>
          <w:p w14:paraId="7817D686" w14:textId="77777777" w:rsidR="00000000" w:rsidRDefault="001D0688">
            <w:pPr>
              <w:rPr>
                <w:rFonts w:eastAsia="Times New Roman"/>
                <w:sz w:val="20"/>
                <w:szCs w:val="20"/>
              </w:rPr>
            </w:pPr>
          </w:p>
        </w:tc>
        <w:tc>
          <w:tcPr>
            <w:tcW w:w="26" w:type="pct"/>
            <w:vAlign w:val="center"/>
            <w:hideMark/>
          </w:tcPr>
          <w:p w14:paraId="458DD402" w14:textId="77777777" w:rsidR="00000000" w:rsidRDefault="001D0688">
            <w:pPr>
              <w:rPr>
                <w:rFonts w:eastAsia="Times New Roman"/>
                <w:sz w:val="20"/>
                <w:szCs w:val="20"/>
              </w:rPr>
            </w:pPr>
          </w:p>
        </w:tc>
        <w:tc>
          <w:tcPr>
            <w:tcW w:w="5" w:type="pct"/>
            <w:vAlign w:val="center"/>
            <w:hideMark/>
          </w:tcPr>
          <w:p w14:paraId="6D0B17FB" w14:textId="77777777" w:rsidR="00000000" w:rsidRDefault="001D0688">
            <w:pPr>
              <w:rPr>
                <w:rFonts w:eastAsia="Times New Roman"/>
                <w:sz w:val="20"/>
                <w:szCs w:val="20"/>
              </w:rPr>
            </w:pPr>
          </w:p>
        </w:tc>
        <w:tc>
          <w:tcPr>
            <w:tcW w:w="50" w:type="pct"/>
            <w:vAlign w:val="center"/>
            <w:hideMark/>
          </w:tcPr>
          <w:p w14:paraId="5DA3EE6B" w14:textId="77777777" w:rsidR="00000000" w:rsidRDefault="001D0688">
            <w:pPr>
              <w:rPr>
                <w:rFonts w:eastAsia="Times New Roman"/>
                <w:sz w:val="20"/>
                <w:szCs w:val="20"/>
              </w:rPr>
            </w:pPr>
          </w:p>
        </w:tc>
        <w:tc>
          <w:tcPr>
            <w:tcW w:w="2037" w:type="pct"/>
            <w:vAlign w:val="center"/>
            <w:hideMark/>
          </w:tcPr>
          <w:p w14:paraId="74FE70FC" w14:textId="77777777" w:rsidR="00000000" w:rsidRDefault="001D0688">
            <w:pPr>
              <w:rPr>
                <w:rFonts w:eastAsia="Times New Roman"/>
                <w:sz w:val="20"/>
                <w:szCs w:val="20"/>
              </w:rPr>
            </w:pPr>
          </w:p>
        </w:tc>
        <w:tc>
          <w:tcPr>
            <w:tcW w:w="5" w:type="pct"/>
            <w:vAlign w:val="center"/>
            <w:hideMark/>
          </w:tcPr>
          <w:p w14:paraId="604165E3" w14:textId="77777777" w:rsidR="00000000" w:rsidRDefault="001D0688">
            <w:pPr>
              <w:rPr>
                <w:rFonts w:eastAsia="Times New Roman"/>
                <w:sz w:val="20"/>
                <w:szCs w:val="20"/>
              </w:rPr>
            </w:pPr>
          </w:p>
        </w:tc>
      </w:tr>
      <w:tr w:rsidR="00000000" w14:paraId="49DC75B1" w14:textId="77777777">
        <w:trPr>
          <w:divId w:val="1733850730"/>
        </w:trPr>
        <w:tc>
          <w:tcPr>
            <w:tcW w:w="0" w:type="auto"/>
            <w:gridSpan w:val="3"/>
            <w:tcMar>
              <w:top w:w="30" w:type="dxa"/>
              <w:left w:w="20" w:type="dxa"/>
              <w:bottom w:w="30" w:type="dxa"/>
              <w:right w:w="20" w:type="dxa"/>
            </w:tcMar>
            <w:vAlign w:val="bottom"/>
            <w:hideMark/>
          </w:tcPr>
          <w:p w14:paraId="27106898" w14:textId="77777777" w:rsidR="00000000" w:rsidRDefault="001D0688">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14:paraId="3B895C9F"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1FB30B97" w14:textId="77777777" w:rsidR="00000000" w:rsidRDefault="001D0688">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14:paraId="32D072CD"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01D0FF3D" w14:textId="77777777" w:rsidR="00000000" w:rsidRDefault="001D0688">
            <w:pPr>
              <w:rPr>
                <w:rFonts w:eastAsia="Times New Roman"/>
              </w:rPr>
            </w:pPr>
            <w:r>
              <w:rPr>
                <w:rFonts w:ascii="Arial" w:eastAsia="Times New Roman" w:hAnsi="Arial" w:cs="Arial"/>
                <w:b/>
                <w:bCs/>
                <w:color w:val="000000"/>
                <w:sz w:val="18"/>
                <w:szCs w:val="18"/>
              </w:rPr>
              <w:t>Effect if Actual Results Differ from Assumptions</w:t>
            </w:r>
          </w:p>
        </w:tc>
      </w:tr>
      <w:tr w:rsidR="00000000" w14:paraId="58372E40" w14:textId="77777777">
        <w:trPr>
          <w:divId w:val="1733850730"/>
        </w:trPr>
        <w:tc>
          <w:tcPr>
            <w:tcW w:w="0" w:type="auto"/>
            <w:gridSpan w:val="3"/>
            <w:tcBorders>
              <w:top w:val="single" w:sz="8" w:space="0" w:color="000000"/>
            </w:tcBorders>
            <w:tcMar>
              <w:top w:w="30" w:type="dxa"/>
              <w:left w:w="20" w:type="dxa"/>
              <w:bottom w:w="30" w:type="dxa"/>
              <w:right w:w="20" w:type="dxa"/>
            </w:tcMar>
            <w:hideMark/>
          </w:tcPr>
          <w:p w14:paraId="299BD96D" w14:textId="77777777" w:rsidR="00000000" w:rsidRDefault="001D0688">
            <w:pPr>
              <w:spacing w:after="240"/>
              <w:rPr>
                <w:rFonts w:eastAsia="Times New Roman"/>
              </w:rPr>
            </w:pPr>
            <w:r>
              <w:rPr>
                <w:rFonts w:ascii="Arial" w:eastAsia="Times New Roman" w:hAnsi="Arial" w:cs="Arial"/>
                <w:b/>
                <w:bCs/>
                <w:color w:val="000000"/>
                <w:sz w:val="18"/>
                <w:szCs w:val="18"/>
              </w:rPr>
              <w:t>Insurance Reserves</w:t>
            </w:r>
          </w:p>
        </w:tc>
        <w:tc>
          <w:tcPr>
            <w:tcW w:w="0" w:type="auto"/>
            <w:gridSpan w:val="3"/>
            <w:tcMar>
              <w:top w:w="0" w:type="dxa"/>
              <w:left w:w="20" w:type="dxa"/>
              <w:bottom w:w="0" w:type="dxa"/>
              <w:right w:w="20" w:type="dxa"/>
            </w:tcMar>
            <w:vAlign w:val="center"/>
            <w:hideMark/>
          </w:tcPr>
          <w:p w14:paraId="5AF0F812" w14:textId="77777777" w:rsidR="00000000" w:rsidRDefault="001D0688">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969C3B2"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98578DB" w14:textId="77777777" w:rsidR="00000000" w:rsidRDefault="001D068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7A2055" w14:textId="77777777" w:rsidR="00000000" w:rsidRDefault="001D0688">
            <w:pPr>
              <w:rPr>
                <w:rFonts w:eastAsia="Times New Roman"/>
                <w:sz w:val="20"/>
                <w:szCs w:val="20"/>
              </w:rPr>
            </w:pPr>
          </w:p>
        </w:tc>
      </w:tr>
      <w:tr w:rsidR="00000000" w14:paraId="52AB9355" w14:textId="77777777">
        <w:trPr>
          <w:divId w:val="1733850730"/>
        </w:trPr>
        <w:tc>
          <w:tcPr>
            <w:tcW w:w="0" w:type="auto"/>
            <w:gridSpan w:val="3"/>
            <w:tcMar>
              <w:top w:w="30" w:type="dxa"/>
              <w:left w:w="20" w:type="dxa"/>
              <w:bottom w:w="30" w:type="dxa"/>
              <w:right w:w="20" w:type="dxa"/>
            </w:tcMar>
            <w:hideMark/>
          </w:tcPr>
          <w:p w14:paraId="57F63121" w14:textId="77777777" w:rsidR="00000000" w:rsidRDefault="001D0688">
            <w:pPr>
              <w:divId w:val="1173495238"/>
              <w:rPr>
                <w:rFonts w:eastAsia="Times New Roman"/>
              </w:rPr>
            </w:pPr>
            <w:r>
              <w:rPr>
                <w:rFonts w:ascii="Arial" w:eastAsia="Times New Roman" w:hAnsi="Arial" w:cs="Arial"/>
                <w:color w:val="000000"/>
                <w:sz w:val="18"/>
                <w:szCs w:val="18"/>
              </w:rPr>
              <w:t xml:space="preserve">We use a combination of insured and self-insurance programs to cover workers’ compensation, general liability, automobile liability, property damage, and other insurable risks. </w:t>
            </w:r>
          </w:p>
          <w:p w14:paraId="1AC79DB3" w14:textId="77777777" w:rsidR="00000000" w:rsidRDefault="001D0688">
            <w:pPr>
              <w:divId w:val="928003006"/>
              <w:rPr>
                <w:rFonts w:eastAsia="Times New Roman"/>
              </w:rPr>
            </w:pPr>
          </w:p>
          <w:p w14:paraId="76F9A647" w14:textId="77777777" w:rsidR="00000000" w:rsidRDefault="001D0688">
            <w:pPr>
              <w:divId w:val="328943926"/>
              <w:rPr>
                <w:rFonts w:eastAsia="Times New Roman"/>
              </w:rPr>
            </w:pPr>
            <w:r>
              <w:rPr>
                <w:rFonts w:ascii="Arial" w:eastAsia="Times New Roman" w:hAnsi="Arial" w:cs="Arial"/>
                <w:color w:val="000000"/>
                <w:sz w:val="18"/>
                <w:szCs w:val="18"/>
              </w:rPr>
              <w:t>Insurance claim liabilities represent our estimate of retained risks without</w:t>
            </w:r>
            <w:r>
              <w:rPr>
                <w:rFonts w:ascii="Arial" w:eastAsia="Times New Roman" w:hAnsi="Arial" w:cs="Arial"/>
                <w:color w:val="000000"/>
                <w:sz w:val="18"/>
                <w:szCs w:val="18"/>
              </w:rPr>
              <w:t xml:space="preserve"> regard to insurance coverage. We retain a substantial portion of the risk related to certain workers’ compensation and medical claims. Liabilities associated with these losses include estimates of both claims filed and IBNR Claims.</w:t>
            </w:r>
          </w:p>
          <w:p w14:paraId="626CF238" w14:textId="77777777" w:rsidR="00000000" w:rsidRDefault="001D0688">
            <w:pPr>
              <w:divId w:val="861668526"/>
              <w:rPr>
                <w:rFonts w:eastAsia="Times New Roman"/>
              </w:rPr>
            </w:pPr>
          </w:p>
          <w:p w14:paraId="08953513" w14:textId="77777777" w:rsidR="00000000" w:rsidRDefault="001D0688">
            <w:pPr>
              <w:divId w:val="414976915"/>
              <w:rPr>
                <w:rFonts w:eastAsia="Times New Roman"/>
              </w:rPr>
            </w:pPr>
            <w:r>
              <w:rPr>
                <w:rFonts w:ascii="Arial" w:eastAsia="Times New Roman" w:hAnsi="Arial" w:cs="Arial"/>
                <w:color w:val="000000"/>
                <w:sz w:val="18"/>
                <w:szCs w:val="18"/>
              </w:rPr>
              <w:t>With the assistance o</w:t>
            </w:r>
            <w:r>
              <w:rPr>
                <w:rFonts w:ascii="Arial" w:eastAsia="Times New Roman" w:hAnsi="Arial" w:cs="Arial"/>
                <w:color w:val="000000"/>
                <w:sz w:val="18"/>
                <w:szCs w:val="18"/>
              </w:rPr>
              <w:t>f third-party actuaries, we periodically review our estimate of ultimate losses for IBNR Claims and adjust our required self-insurance reserves as appropriate. As part of this evaluation, we review the status of existing and new claim reserves as establish</w:t>
            </w:r>
            <w:r>
              <w:rPr>
                <w:rFonts w:ascii="Arial" w:eastAsia="Times New Roman" w:hAnsi="Arial" w:cs="Arial"/>
                <w:color w:val="000000"/>
                <w:sz w:val="18"/>
                <w:szCs w:val="18"/>
              </w:rPr>
              <w:t xml:space="preserve">ed by our third-party claims administrators. </w:t>
            </w:r>
          </w:p>
          <w:p w14:paraId="5F21CE80" w14:textId="77777777" w:rsidR="00000000" w:rsidRDefault="001D0688">
            <w:pPr>
              <w:divId w:val="571088571"/>
              <w:rPr>
                <w:rFonts w:eastAsia="Times New Roman"/>
              </w:rPr>
            </w:pPr>
          </w:p>
          <w:p w14:paraId="2EFBF1F9" w14:textId="77777777" w:rsidR="00000000" w:rsidRDefault="001D0688">
            <w:pPr>
              <w:divId w:val="2519193"/>
              <w:rPr>
                <w:rFonts w:eastAsia="Times New Roman"/>
              </w:rPr>
            </w:pPr>
            <w:r>
              <w:rPr>
                <w:rFonts w:ascii="Arial" w:eastAsia="Times New Roman" w:hAnsi="Arial" w:cs="Arial"/>
                <w:color w:val="000000"/>
                <w:sz w:val="18"/>
                <w:szCs w:val="18"/>
              </w:rPr>
              <w:t>The third-party claims administrators establish the case reserves based upon known factors related to the type and severity of the claims, demographic data, legislative matters, and case law, as appropriate. </w:t>
            </w:r>
          </w:p>
          <w:p w14:paraId="127E9F66" w14:textId="77777777" w:rsidR="00000000" w:rsidRDefault="001D0688">
            <w:pPr>
              <w:divId w:val="1108812406"/>
              <w:rPr>
                <w:rFonts w:eastAsia="Times New Roman"/>
              </w:rPr>
            </w:pPr>
          </w:p>
          <w:p w14:paraId="1EB5B98A" w14:textId="77777777" w:rsidR="00000000" w:rsidRDefault="001D0688">
            <w:pPr>
              <w:divId w:val="163399603"/>
              <w:rPr>
                <w:rFonts w:eastAsia="Times New Roman"/>
              </w:rPr>
            </w:pPr>
            <w:r>
              <w:rPr>
                <w:rFonts w:ascii="Arial" w:eastAsia="Times New Roman" w:hAnsi="Arial" w:cs="Arial"/>
                <w:color w:val="000000"/>
                <w:sz w:val="18"/>
                <w:szCs w:val="18"/>
              </w:rPr>
              <w:t>We compare actual trends to expected trends a</w:t>
            </w:r>
            <w:r>
              <w:rPr>
                <w:rFonts w:ascii="Arial" w:eastAsia="Times New Roman" w:hAnsi="Arial" w:cs="Arial"/>
                <w:color w:val="000000"/>
                <w:sz w:val="18"/>
                <w:szCs w:val="18"/>
              </w:rPr>
              <w:t xml:space="preserve">nd monitor claims development. </w:t>
            </w:r>
          </w:p>
          <w:p w14:paraId="3C9BA06D" w14:textId="77777777" w:rsidR="00000000" w:rsidRDefault="001D0688">
            <w:pPr>
              <w:divId w:val="902371171"/>
              <w:rPr>
                <w:rFonts w:eastAsia="Times New Roman"/>
              </w:rPr>
            </w:pPr>
          </w:p>
          <w:p w14:paraId="39663F67" w14:textId="77777777" w:rsidR="00000000" w:rsidRDefault="001D0688">
            <w:pPr>
              <w:divId w:val="1100219938"/>
              <w:rPr>
                <w:rFonts w:eastAsia="Times New Roman"/>
              </w:rPr>
            </w:pPr>
            <w:r>
              <w:rPr>
                <w:rFonts w:ascii="Arial" w:eastAsia="Times New Roman" w:hAnsi="Arial" w:cs="Arial"/>
                <w:color w:val="000000"/>
                <w:sz w:val="18"/>
                <w:szCs w:val="18"/>
              </w:rPr>
              <w:t>The specific case reserves estimated by the third-party administrators </w:t>
            </w:r>
            <w:r>
              <w:rPr>
                <w:rFonts w:ascii="Arial" w:eastAsia="Times New Roman" w:hAnsi="Arial" w:cs="Arial"/>
                <w:color w:val="000000"/>
                <w:sz w:val="18"/>
                <w:szCs w:val="18"/>
              </w:rPr>
              <w:t>are provided to an actuary who assists us in projecting an actuarial estimate of the overall ultimate losses for our self-insured or high deductible programs. The projection includes the case reserves plus an actuarial estimate of reserves required for add</w:t>
            </w:r>
            <w:r>
              <w:rPr>
                <w:rFonts w:ascii="Arial" w:eastAsia="Times New Roman" w:hAnsi="Arial" w:cs="Arial"/>
                <w:color w:val="000000"/>
                <w:sz w:val="18"/>
                <w:szCs w:val="18"/>
              </w:rPr>
              <w:t xml:space="preserve">itional developments, including IBNR Claims. </w:t>
            </w:r>
          </w:p>
          <w:p w14:paraId="229B290A" w14:textId="77777777" w:rsidR="00000000" w:rsidRDefault="001D0688">
            <w:pPr>
              <w:divId w:val="1082875106"/>
              <w:rPr>
                <w:rFonts w:eastAsia="Times New Roman"/>
              </w:rPr>
            </w:pPr>
          </w:p>
          <w:p w14:paraId="35821736" w14:textId="77777777" w:rsidR="00000000" w:rsidRDefault="001D0688">
            <w:pPr>
              <w:divId w:val="2032106200"/>
              <w:rPr>
                <w:rFonts w:eastAsia="Times New Roman"/>
              </w:rPr>
            </w:pPr>
            <w:r>
              <w:rPr>
                <w:rFonts w:ascii="Arial" w:eastAsia="Times New Roman" w:hAnsi="Arial" w:cs="Arial"/>
                <w:color w:val="000000"/>
                <w:sz w:val="18"/>
                <w:szCs w:val="18"/>
              </w:rPr>
              <w:t>We utilize the results of actuarial studies to estimate our insurance rates and insurance reserves for future periods and to adjust reserves, if appropriate, for prior years.</w:t>
            </w:r>
          </w:p>
          <w:p w14:paraId="5AC13D65" w14:textId="77777777" w:rsidR="00000000" w:rsidRDefault="001D0688">
            <w:pPr>
              <w:divId w:val="1795634620"/>
              <w:rPr>
                <w:rFonts w:eastAsia="Times New Roman"/>
              </w:rPr>
            </w:pPr>
          </w:p>
        </w:tc>
        <w:tc>
          <w:tcPr>
            <w:tcW w:w="0" w:type="auto"/>
            <w:gridSpan w:val="3"/>
            <w:tcMar>
              <w:top w:w="0" w:type="dxa"/>
              <w:left w:w="20" w:type="dxa"/>
              <w:bottom w:w="0" w:type="dxa"/>
              <w:right w:w="20" w:type="dxa"/>
            </w:tcMar>
            <w:vAlign w:val="center"/>
            <w:hideMark/>
          </w:tcPr>
          <w:p w14:paraId="425D302C" w14:textId="77777777" w:rsidR="00000000" w:rsidRDefault="001D0688">
            <w:pPr>
              <w:rPr>
                <w:rFonts w:eastAsia="Times New Roman"/>
              </w:rPr>
            </w:pPr>
          </w:p>
        </w:tc>
        <w:tc>
          <w:tcPr>
            <w:tcW w:w="0" w:type="auto"/>
            <w:gridSpan w:val="3"/>
            <w:tcMar>
              <w:top w:w="30" w:type="dxa"/>
              <w:left w:w="20" w:type="dxa"/>
              <w:bottom w:w="30" w:type="dxa"/>
              <w:right w:w="20" w:type="dxa"/>
            </w:tcMar>
            <w:hideMark/>
          </w:tcPr>
          <w:p w14:paraId="0C0DD1B8" w14:textId="77777777" w:rsidR="00000000" w:rsidRDefault="001D0688">
            <w:pPr>
              <w:rPr>
                <w:rFonts w:eastAsia="Times New Roman"/>
              </w:rPr>
            </w:pPr>
            <w:r>
              <w:rPr>
                <w:rFonts w:ascii="Arial" w:eastAsia="Times New Roman" w:hAnsi="Arial" w:cs="Arial"/>
                <w:color w:val="000000"/>
                <w:sz w:val="18"/>
                <w:szCs w:val="18"/>
              </w:rPr>
              <w:t>Our self-insurance liabili</w:t>
            </w:r>
            <w:r>
              <w:rPr>
                <w:rFonts w:ascii="Arial" w:eastAsia="Times New Roman" w:hAnsi="Arial" w:cs="Arial"/>
                <w:color w:val="000000"/>
                <w:sz w:val="18"/>
                <w:szCs w:val="18"/>
              </w:rPr>
              <w:t xml:space="preserve">ties contain uncertainties due to assumptions required and judgment used. </w:t>
            </w:r>
            <w:r>
              <w:rPr>
                <w:rFonts w:ascii="Arial" w:eastAsia="Times New Roman" w:hAnsi="Arial" w:cs="Arial"/>
                <w:color w:val="000000"/>
                <w:sz w:val="18"/>
                <w:szCs w:val="18"/>
              </w:rPr>
              <w:br/>
            </w:r>
            <w:r>
              <w:rPr>
                <w:rFonts w:ascii="Arial" w:eastAsia="Times New Roman" w:hAnsi="Arial" w:cs="Arial"/>
                <w:color w:val="000000"/>
                <w:sz w:val="18"/>
                <w:szCs w:val="18"/>
              </w:rPr>
              <w:br/>
              <w:t xml:space="preserve">Costs to settle our obligations, including legal and healthcare costs, could fluctuate and cause estimates of our self-insurance liabilities to change. </w:t>
            </w:r>
            <w:r>
              <w:rPr>
                <w:rFonts w:ascii="Arial" w:eastAsia="Times New Roman" w:hAnsi="Arial" w:cs="Arial"/>
                <w:color w:val="000000"/>
                <w:sz w:val="18"/>
                <w:szCs w:val="18"/>
              </w:rPr>
              <w:br/>
            </w:r>
            <w:r>
              <w:rPr>
                <w:rFonts w:ascii="Arial" w:eastAsia="Times New Roman" w:hAnsi="Arial" w:cs="Arial"/>
                <w:color w:val="000000"/>
                <w:sz w:val="18"/>
                <w:szCs w:val="18"/>
              </w:rPr>
              <w:br/>
              <w:t xml:space="preserve">Incident rates, including </w:t>
            </w:r>
            <w:r>
              <w:rPr>
                <w:rFonts w:ascii="Arial" w:eastAsia="Times New Roman" w:hAnsi="Arial" w:cs="Arial"/>
                <w:color w:val="000000"/>
                <w:sz w:val="18"/>
                <w:szCs w:val="18"/>
              </w:rPr>
              <w:t>frequency and severity, could fluctuate and cause the estimates in our self-insurance liabilities to change.</w:t>
            </w:r>
            <w:r>
              <w:rPr>
                <w:rFonts w:ascii="Arial" w:eastAsia="Times New Roman" w:hAnsi="Arial" w:cs="Arial"/>
                <w:color w:val="000000"/>
                <w:sz w:val="18"/>
                <w:szCs w:val="18"/>
              </w:rPr>
              <w:br/>
            </w:r>
            <w:r>
              <w:rPr>
                <w:rFonts w:ascii="Arial" w:eastAsia="Times New Roman" w:hAnsi="Arial" w:cs="Arial"/>
                <w:color w:val="000000"/>
                <w:sz w:val="18"/>
                <w:szCs w:val="18"/>
              </w:rPr>
              <w:br/>
              <w:t>These estimates are subject to: changes in the regulatory environment; fluctuations in projected exposures, including payroll, revenues, and the n</w:t>
            </w:r>
            <w:r>
              <w:rPr>
                <w:rFonts w:ascii="Arial" w:eastAsia="Times New Roman" w:hAnsi="Arial" w:cs="Arial"/>
                <w:color w:val="000000"/>
                <w:sz w:val="18"/>
                <w:szCs w:val="18"/>
              </w:rPr>
              <w:t>umber of vehicle units; and the frequency, lag, and severity of claims.</w:t>
            </w:r>
            <w:r>
              <w:rPr>
                <w:rFonts w:ascii="Arial" w:eastAsia="Times New Roman" w:hAnsi="Arial" w:cs="Arial"/>
                <w:color w:val="000000"/>
                <w:sz w:val="18"/>
                <w:szCs w:val="18"/>
              </w:rPr>
              <w:br/>
              <w:t xml:space="preserve">The full extent of certain claims, especially workers’ compensation and general liability claims, may not be fully determined for several years. </w:t>
            </w:r>
            <w:r>
              <w:rPr>
                <w:rFonts w:ascii="Arial" w:eastAsia="Times New Roman" w:hAnsi="Arial" w:cs="Arial"/>
                <w:color w:val="000000"/>
                <w:sz w:val="18"/>
                <w:szCs w:val="18"/>
              </w:rPr>
              <w:br/>
            </w:r>
            <w:r>
              <w:rPr>
                <w:rFonts w:ascii="Arial" w:eastAsia="Times New Roman" w:hAnsi="Arial" w:cs="Arial"/>
                <w:color w:val="000000"/>
                <w:sz w:val="18"/>
                <w:szCs w:val="18"/>
              </w:rPr>
              <w:br/>
              <w:t xml:space="preserve">In addition, if the reserves related </w:t>
            </w:r>
            <w:r>
              <w:rPr>
                <w:rFonts w:ascii="Arial" w:eastAsia="Times New Roman" w:hAnsi="Arial" w:cs="Arial"/>
                <w:color w:val="000000"/>
                <w:sz w:val="18"/>
                <w:szCs w:val="18"/>
              </w:rPr>
              <w:t>to self-insurance or high deductible programs from acquired businesses are not adequate to cover damages resulting from future accidents or other incidents, we may be exposed to substantial losses arising from future claim developments.</w:t>
            </w:r>
          </w:p>
        </w:tc>
        <w:tc>
          <w:tcPr>
            <w:tcW w:w="0" w:type="auto"/>
            <w:gridSpan w:val="3"/>
            <w:tcMar>
              <w:top w:w="0" w:type="dxa"/>
              <w:left w:w="20" w:type="dxa"/>
              <w:bottom w:w="0" w:type="dxa"/>
              <w:right w:w="20" w:type="dxa"/>
            </w:tcMar>
            <w:vAlign w:val="center"/>
            <w:hideMark/>
          </w:tcPr>
          <w:p w14:paraId="09332922" w14:textId="77777777" w:rsidR="00000000" w:rsidRDefault="001D0688">
            <w:pPr>
              <w:rPr>
                <w:rFonts w:eastAsia="Times New Roman"/>
              </w:rPr>
            </w:pPr>
          </w:p>
        </w:tc>
        <w:tc>
          <w:tcPr>
            <w:tcW w:w="0" w:type="auto"/>
            <w:gridSpan w:val="3"/>
            <w:tcMar>
              <w:top w:w="30" w:type="dxa"/>
              <w:left w:w="20" w:type="dxa"/>
              <w:bottom w:w="30" w:type="dxa"/>
              <w:right w:w="20" w:type="dxa"/>
            </w:tcMar>
            <w:hideMark/>
          </w:tcPr>
          <w:p w14:paraId="0ABDB40E" w14:textId="77777777" w:rsidR="00000000" w:rsidRDefault="001D0688">
            <w:pPr>
              <w:divId w:val="52581730"/>
              <w:rPr>
                <w:rFonts w:eastAsia="Times New Roman"/>
              </w:rPr>
            </w:pPr>
            <w:r>
              <w:rPr>
                <w:rFonts w:ascii="Arial" w:eastAsia="Times New Roman" w:hAnsi="Arial" w:cs="Arial"/>
                <w:color w:val="000000"/>
                <w:sz w:val="18"/>
                <w:szCs w:val="18"/>
              </w:rPr>
              <w:t>We have not ma</w:t>
            </w:r>
            <w:r>
              <w:rPr>
                <w:rFonts w:ascii="Arial" w:eastAsia="Times New Roman" w:hAnsi="Arial" w:cs="Arial"/>
                <w:color w:val="000000"/>
                <w:sz w:val="18"/>
                <w:szCs w:val="18"/>
              </w:rPr>
              <w:t>de any changes in the accounting methodology used to establish our self-insurance liabilities during the past three years.</w:t>
            </w:r>
          </w:p>
          <w:p w14:paraId="2AB12121" w14:textId="77777777" w:rsidR="00000000" w:rsidRDefault="001D0688">
            <w:pPr>
              <w:divId w:val="1100831481"/>
              <w:rPr>
                <w:rFonts w:eastAsia="Times New Roman"/>
              </w:rPr>
            </w:pPr>
          </w:p>
          <w:p w14:paraId="6850B0A0" w14:textId="77777777" w:rsidR="00000000" w:rsidRDefault="001D0688">
            <w:pPr>
              <w:divId w:val="432215305"/>
              <w:rPr>
                <w:rFonts w:eastAsia="Times New Roman"/>
              </w:rPr>
            </w:pPr>
            <w:r>
              <w:rPr>
                <w:rFonts w:ascii="Arial" w:eastAsia="Times New Roman" w:hAnsi="Arial" w:cs="Arial"/>
                <w:color w:val="000000"/>
                <w:sz w:val="18"/>
                <w:szCs w:val="18"/>
              </w:rPr>
              <w:t>After analyzing recent loss development patterns, comparing the loss development patterns against benchmarks, and applying actuaria</w:t>
            </w:r>
            <w:r>
              <w:rPr>
                <w:rFonts w:ascii="Arial" w:eastAsia="Times New Roman" w:hAnsi="Arial" w:cs="Arial"/>
                <w:color w:val="000000"/>
                <w:sz w:val="18"/>
                <w:szCs w:val="18"/>
              </w:rPr>
              <w:t>l projection methods to estimate the ultimate losses, we decreased our total reserves for known claims as well as our estimate of the loss amounts associated with IBNR Claims by $36.6 million, $30.2 million of which relates to prior years, during 2020. Dur</w:t>
            </w:r>
            <w:r>
              <w:rPr>
                <w:rFonts w:ascii="Arial" w:eastAsia="Times New Roman" w:hAnsi="Arial" w:cs="Arial"/>
                <w:color w:val="000000"/>
                <w:sz w:val="18"/>
                <w:szCs w:val="18"/>
              </w:rPr>
              <w:t>ing 2019 and 2018, we decreased such reserves by $3.4 million and increased such reserves by $10.2 million, respectively.</w:t>
            </w:r>
          </w:p>
          <w:p w14:paraId="7A94C875" w14:textId="77777777" w:rsidR="00000000" w:rsidRDefault="001D0688">
            <w:pPr>
              <w:divId w:val="184755275"/>
              <w:rPr>
                <w:rFonts w:eastAsia="Times New Roman"/>
              </w:rPr>
            </w:pPr>
          </w:p>
          <w:p w14:paraId="38DB24A5" w14:textId="77777777" w:rsidR="00000000" w:rsidRDefault="001D0688">
            <w:pPr>
              <w:divId w:val="1879852596"/>
              <w:rPr>
                <w:rFonts w:eastAsia="Times New Roman"/>
              </w:rPr>
            </w:pPr>
            <w:r>
              <w:rPr>
                <w:rFonts w:ascii="Arial" w:eastAsia="Times New Roman" w:hAnsi="Arial" w:cs="Arial"/>
                <w:color w:val="000000"/>
                <w:sz w:val="18"/>
                <w:szCs w:val="18"/>
              </w:rPr>
              <w:t>It is possible that actual results could differ from recorded self-insurance liabilities. A 10% change in our projected ultimate los</w:t>
            </w:r>
            <w:r>
              <w:rPr>
                <w:rFonts w:ascii="Arial" w:eastAsia="Times New Roman" w:hAnsi="Arial" w:cs="Arial"/>
                <w:color w:val="000000"/>
                <w:sz w:val="18"/>
                <w:szCs w:val="18"/>
              </w:rPr>
              <w:t>ses would have affected net income by approximately $32.4 million for 2020.</w:t>
            </w:r>
          </w:p>
          <w:p w14:paraId="4A199666" w14:textId="77777777" w:rsidR="00000000" w:rsidRDefault="001D0688">
            <w:pPr>
              <w:divId w:val="1361324096"/>
              <w:rPr>
                <w:rFonts w:eastAsia="Times New Roman"/>
              </w:rPr>
            </w:pPr>
          </w:p>
        </w:tc>
      </w:tr>
    </w:tbl>
    <w:p w14:paraId="1B3FFA46" w14:textId="77777777" w:rsidR="00000000" w:rsidRDefault="001D0688">
      <w:pPr>
        <w:divId w:val="1695031713"/>
        <w:rPr>
          <w:rFonts w:eastAsia="Times New Roman"/>
        </w:rPr>
      </w:pPr>
    </w:p>
    <w:p w14:paraId="00711378" w14:textId="77777777" w:rsidR="00000000" w:rsidRDefault="001D0688">
      <w:pPr>
        <w:jc w:val="center"/>
        <w:divId w:val="877283960"/>
        <w:rPr>
          <w:rFonts w:eastAsia="Times New Roman"/>
        </w:rPr>
      </w:pPr>
      <w:r>
        <w:rPr>
          <w:rFonts w:ascii="Arial" w:eastAsia="Times New Roman" w:hAnsi="Arial" w:cs="Arial"/>
          <w:color w:val="000000"/>
          <w:sz w:val="20"/>
          <w:szCs w:val="20"/>
        </w:rPr>
        <w:t>40</w:t>
      </w:r>
    </w:p>
    <w:p w14:paraId="0D049360" w14:textId="77777777" w:rsidR="00000000" w:rsidRDefault="001D0688">
      <w:pPr>
        <w:rPr>
          <w:rFonts w:eastAsia="Times New Roman"/>
        </w:rPr>
      </w:pPr>
      <w:r>
        <w:rPr>
          <w:rFonts w:eastAsia="Times New Roman"/>
        </w:rPr>
        <w:pict w14:anchorId="16D019A5">
          <v:rect id="_x0000_i1076" style="width:0;height:1.5pt" o:hralign="center" o:hrstd="t" o:hr="t" fillcolor="#a0a0a0" stroked="f"/>
        </w:pict>
      </w:r>
    </w:p>
    <w:p w14:paraId="039686DF" w14:textId="77777777" w:rsidR="00000000" w:rsidRDefault="001D0688">
      <w:pPr>
        <w:divId w:val="1237473912"/>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6"/>
        <w:gridCol w:w="36"/>
        <w:gridCol w:w="36"/>
        <w:gridCol w:w="36"/>
        <w:gridCol w:w="56"/>
        <w:gridCol w:w="2213"/>
        <w:gridCol w:w="37"/>
        <w:gridCol w:w="36"/>
        <w:gridCol w:w="36"/>
        <w:gridCol w:w="36"/>
        <w:gridCol w:w="42"/>
        <w:gridCol w:w="3346"/>
        <w:gridCol w:w="36"/>
      </w:tblGrid>
      <w:tr w:rsidR="00000000" w14:paraId="5D97CD6B" w14:textId="77777777">
        <w:trPr>
          <w:divId w:val="1195581283"/>
        </w:trPr>
        <w:tc>
          <w:tcPr>
            <w:tcW w:w="50" w:type="pct"/>
            <w:vAlign w:val="center"/>
            <w:hideMark/>
          </w:tcPr>
          <w:p w14:paraId="40C0D272" w14:textId="77777777" w:rsidR="00000000" w:rsidRDefault="001D0688">
            <w:pPr>
              <w:rPr>
                <w:rFonts w:eastAsia="Times New Roman"/>
              </w:rPr>
            </w:pPr>
          </w:p>
        </w:tc>
        <w:tc>
          <w:tcPr>
            <w:tcW w:w="1362" w:type="pct"/>
            <w:vAlign w:val="center"/>
            <w:hideMark/>
          </w:tcPr>
          <w:p w14:paraId="40562ECD" w14:textId="77777777" w:rsidR="00000000" w:rsidRDefault="001D0688">
            <w:pPr>
              <w:rPr>
                <w:rFonts w:eastAsia="Times New Roman"/>
                <w:sz w:val="20"/>
                <w:szCs w:val="20"/>
              </w:rPr>
            </w:pPr>
          </w:p>
        </w:tc>
        <w:tc>
          <w:tcPr>
            <w:tcW w:w="5" w:type="pct"/>
            <w:vAlign w:val="center"/>
            <w:hideMark/>
          </w:tcPr>
          <w:p w14:paraId="454E464A" w14:textId="77777777" w:rsidR="00000000" w:rsidRDefault="001D0688">
            <w:pPr>
              <w:rPr>
                <w:rFonts w:eastAsia="Times New Roman"/>
                <w:sz w:val="20"/>
                <w:szCs w:val="20"/>
              </w:rPr>
            </w:pPr>
          </w:p>
        </w:tc>
        <w:tc>
          <w:tcPr>
            <w:tcW w:w="5" w:type="pct"/>
            <w:vAlign w:val="center"/>
            <w:hideMark/>
          </w:tcPr>
          <w:p w14:paraId="66EB5A39" w14:textId="77777777" w:rsidR="00000000" w:rsidRDefault="001D0688">
            <w:pPr>
              <w:rPr>
                <w:rFonts w:eastAsia="Times New Roman"/>
                <w:sz w:val="20"/>
                <w:szCs w:val="20"/>
              </w:rPr>
            </w:pPr>
          </w:p>
        </w:tc>
        <w:tc>
          <w:tcPr>
            <w:tcW w:w="26" w:type="pct"/>
            <w:vAlign w:val="center"/>
            <w:hideMark/>
          </w:tcPr>
          <w:p w14:paraId="6DF138A3" w14:textId="77777777" w:rsidR="00000000" w:rsidRDefault="001D0688">
            <w:pPr>
              <w:rPr>
                <w:rFonts w:eastAsia="Times New Roman"/>
                <w:sz w:val="20"/>
                <w:szCs w:val="20"/>
              </w:rPr>
            </w:pPr>
          </w:p>
        </w:tc>
        <w:tc>
          <w:tcPr>
            <w:tcW w:w="5" w:type="pct"/>
            <w:vAlign w:val="center"/>
            <w:hideMark/>
          </w:tcPr>
          <w:p w14:paraId="5A16AFB0" w14:textId="77777777" w:rsidR="00000000" w:rsidRDefault="001D0688">
            <w:pPr>
              <w:rPr>
                <w:rFonts w:eastAsia="Times New Roman"/>
                <w:sz w:val="20"/>
                <w:szCs w:val="20"/>
              </w:rPr>
            </w:pPr>
          </w:p>
        </w:tc>
        <w:tc>
          <w:tcPr>
            <w:tcW w:w="50" w:type="pct"/>
            <w:vAlign w:val="center"/>
            <w:hideMark/>
          </w:tcPr>
          <w:p w14:paraId="335ED120" w14:textId="77777777" w:rsidR="00000000" w:rsidRDefault="001D0688">
            <w:pPr>
              <w:rPr>
                <w:rFonts w:eastAsia="Times New Roman"/>
                <w:sz w:val="20"/>
                <w:szCs w:val="20"/>
              </w:rPr>
            </w:pPr>
          </w:p>
        </w:tc>
        <w:tc>
          <w:tcPr>
            <w:tcW w:w="1362" w:type="pct"/>
            <w:vAlign w:val="center"/>
            <w:hideMark/>
          </w:tcPr>
          <w:p w14:paraId="57897876" w14:textId="77777777" w:rsidR="00000000" w:rsidRDefault="001D0688">
            <w:pPr>
              <w:rPr>
                <w:rFonts w:eastAsia="Times New Roman"/>
                <w:sz w:val="20"/>
                <w:szCs w:val="20"/>
              </w:rPr>
            </w:pPr>
          </w:p>
        </w:tc>
        <w:tc>
          <w:tcPr>
            <w:tcW w:w="5" w:type="pct"/>
            <w:vAlign w:val="center"/>
            <w:hideMark/>
          </w:tcPr>
          <w:p w14:paraId="4FDF3DC7" w14:textId="77777777" w:rsidR="00000000" w:rsidRDefault="001D0688">
            <w:pPr>
              <w:rPr>
                <w:rFonts w:eastAsia="Times New Roman"/>
                <w:sz w:val="20"/>
                <w:szCs w:val="20"/>
              </w:rPr>
            </w:pPr>
          </w:p>
        </w:tc>
        <w:tc>
          <w:tcPr>
            <w:tcW w:w="5" w:type="pct"/>
            <w:vAlign w:val="center"/>
            <w:hideMark/>
          </w:tcPr>
          <w:p w14:paraId="4251DF3F" w14:textId="77777777" w:rsidR="00000000" w:rsidRDefault="001D0688">
            <w:pPr>
              <w:rPr>
                <w:rFonts w:eastAsia="Times New Roman"/>
                <w:sz w:val="20"/>
                <w:szCs w:val="20"/>
              </w:rPr>
            </w:pPr>
          </w:p>
        </w:tc>
        <w:tc>
          <w:tcPr>
            <w:tcW w:w="26" w:type="pct"/>
            <w:vAlign w:val="center"/>
            <w:hideMark/>
          </w:tcPr>
          <w:p w14:paraId="59EE5990" w14:textId="77777777" w:rsidR="00000000" w:rsidRDefault="001D0688">
            <w:pPr>
              <w:rPr>
                <w:rFonts w:eastAsia="Times New Roman"/>
                <w:sz w:val="20"/>
                <w:szCs w:val="20"/>
              </w:rPr>
            </w:pPr>
          </w:p>
        </w:tc>
        <w:tc>
          <w:tcPr>
            <w:tcW w:w="5" w:type="pct"/>
            <w:vAlign w:val="center"/>
            <w:hideMark/>
          </w:tcPr>
          <w:p w14:paraId="27EED5CF" w14:textId="77777777" w:rsidR="00000000" w:rsidRDefault="001D0688">
            <w:pPr>
              <w:rPr>
                <w:rFonts w:eastAsia="Times New Roman"/>
                <w:sz w:val="20"/>
                <w:szCs w:val="20"/>
              </w:rPr>
            </w:pPr>
          </w:p>
        </w:tc>
        <w:tc>
          <w:tcPr>
            <w:tcW w:w="50" w:type="pct"/>
            <w:vAlign w:val="center"/>
            <w:hideMark/>
          </w:tcPr>
          <w:p w14:paraId="108D40A4" w14:textId="77777777" w:rsidR="00000000" w:rsidRDefault="001D0688">
            <w:pPr>
              <w:rPr>
                <w:rFonts w:eastAsia="Times New Roman"/>
                <w:sz w:val="20"/>
                <w:szCs w:val="20"/>
              </w:rPr>
            </w:pPr>
          </w:p>
        </w:tc>
        <w:tc>
          <w:tcPr>
            <w:tcW w:w="2037" w:type="pct"/>
            <w:vAlign w:val="center"/>
            <w:hideMark/>
          </w:tcPr>
          <w:p w14:paraId="15F59046" w14:textId="77777777" w:rsidR="00000000" w:rsidRDefault="001D0688">
            <w:pPr>
              <w:rPr>
                <w:rFonts w:eastAsia="Times New Roman"/>
                <w:sz w:val="20"/>
                <w:szCs w:val="20"/>
              </w:rPr>
            </w:pPr>
          </w:p>
        </w:tc>
        <w:tc>
          <w:tcPr>
            <w:tcW w:w="5" w:type="pct"/>
            <w:vAlign w:val="center"/>
            <w:hideMark/>
          </w:tcPr>
          <w:p w14:paraId="08AC85DB" w14:textId="77777777" w:rsidR="00000000" w:rsidRDefault="001D0688">
            <w:pPr>
              <w:rPr>
                <w:rFonts w:eastAsia="Times New Roman"/>
                <w:sz w:val="20"/>
                <w:szCs w:val="20"/>
              </w:rPr>
            </w:pPr>
          </w:p>
        </w:tc>
      </w:tr>
      <w:tr w:rsidR="00000000" w14:paraId="41E8ED5D" w14:textId="77777777">
        <w:trPr>
          <w:divId w:val="1195581283"/>
        </w:trPr>
        <w:tc>
          <w:tcPr>
            <w:tcW w:w="0" w:type="auto"/>
            <w:gridSpan w:val="3"/>
            <w:tcMar>
              <w:top w:w="30" w:type="dxa"/>
              <w:left w:w="20" w:type="dxa"/>
              <w:bottom w:w="30" w:type="dxa"/>
              <w:right w:w="20" w:type="dxa"/>
            </w:tcMar>
            <w:vAlign w:val="bottom"/>
            <w:hideMark/>
          </w:tcPr>
          <w:p w14:paraId="23B057D1" w14:textId="77777777" w:rsidR="00000000" w:rsidRDefault="001D0688">
            <w:pPr>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14:paraId="3F25AD84"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237E6A76" w14:textId="77777777" w:rsidR="00000000" w:rsidRDefault="001D0688">
            <w:pPr>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14:paraId="43C6EB9C"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4149A919" w14:textId="77777777" w:rsidR="00000000" w:rsidRDefault="001D0688">
            <w:pPr>
              <w:rPr>
                <w:rFonts w:eastAsia="Times New Roman"/>
              </w:rPr>
            </w:pPr>
            <w:r>
              <w:rPr>
                <w:rFonts w:ascii="Arial" w:eastAsia="Times New Roman" w:hAnsi="Arial" w:cs="Arial"/>
                <w:b/>
                <w:bCs/>
                <w:color w:val="000000"/>
                <w:sz w:val="18"/>
                <w:szCs w:val="18"/>
              </w:rPr>
              <w:t>Effect if Actual Results Differ from Assumptions</w:t>
            </w:r>
          </w:p>
        </w:tc>
      </w:tr>
      <w:tr w:rsidR="00000000" w14:paraId="12DC1C0D" w14:textId="77777777">
        <w:trPr>
          <w:divId w:val="1195581283"/>
        </w:trPr>
        <w:tc>
          <w:tcPr>
            <w:tcW w:w="0" w:type="auto"/>
            <w:gridSpan w:val="3"/>
            <w:tcBorders>
              <w:top w:val="single" w:sz="8" w:space="0" w:color="000000"/>
            </w:tcBorders>
            <w:tcMar>
              <w:top w:w="30" w:type="dxa"/>
              <w:left w:w="20" w:type="dxa"/>
              <w:bottom w:w="30" w:type="dxa"/>
              <w:right w:w="20" w:type="dxa"/>
            </w:tcMar>
            <w:hideMark/>
          </w:tcPr>
          <w:p w14:paraId="1FE6D4FD" w14:textId="77777777" w:rsidR="00000000" w:rsidRDefault="001D0688">
            <w:pPr>
              <w:spacing w:after="240"/>
              <w:rPr>
                <w:rFonts w:eastAsia="Times New Roman"/>
              </w:rPr>
            </w:pPr>
            <w:r>
              <w:rPr>
                <w:rFonts w:ascii="Arial" w:eastAsia="Times New Roman" w:hAnsi="Arial" w:cs="Arial"/>
                <w:b/>
                <w:bCs/>
                <w:color w:val="000000"/>
                <w:sz w:val="18"/>
                <w:szCs w:val="18"/>
              </w:rPr>
              <w:t xml:space="preserve">Contingencies and Litigation </w:t>
            </w:r>
          </w:p>
        </w:tc>
        <w:tc>
          <w:tcPr>
            <w:tcW w:w="0" w:type="auto"/>
            <w:gridSpan w:val="3"/>
            <w:tcMar>
              <w:top w:w="0" w:type="dxa"/>
              <w:left w:w="20" w:type="dxa"/>
              <w:bottom w:w="0" w:type="dxa"/>
              <w:right w:w="20" w:type="dxa"/>
            </w:tcMar>
            <w:vAlign w:val="center"/>
            <w:hideMark/>
          </w:tcPr>
          <w:p w14:paraId="7585BD55" w14:textId="77777777" w:rsidR="00000000" w:rsidRDefault="001D0688">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6BD546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85BA3E5" w14:textId="77777777" w:rsidR="00000000" w:rsidRDefault="001D068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AB7608" w14:textId="77777777" w:rsidR="00000000" w:rsidRDefault="001D0688">
            <w:pPr>
              <w:rPr>
                <w:rFonts w:eastAsia="Times New Roman"/>
                <w:sz w:val="20"/>
                <w:szCs w:val="20"/>
              </w:rPr>
            </w:pPr>
          </w:p>
        </w:tc>
      </w:tr>
      <w:tr w:rsidR="00000000" w14:paraId="7ECF28FF" w14:textId="77777777">
        <w:trPr>
          <w:divId w:val="1195581283"/>
        </w:trPr>
        <w:tc>
          <w:tcPr>
            <w:tcW w:w="0" w:type="auto"/>
            <w:gridSpan w:val="3"/>
            <w:tcBorders>
              <w:bottom w:val="single" w:sz="8" w:space="0" w:color="000000"/>
            </w:tcBorders>
            <w:tcMar>
              <w:top w:w="30" w:type="dxa"/>
              <w:left w:w="20" w:type="dxa"/>
              <w:bottom w:w="30" w:type="dxa"/>
              <w:right w:w="20" w:type="dxa"/>
            </w:tcMar>
            <w:hideMark/>
          </w:tcPr>
          <w:p w14:paraId="212CDE0A" w14:textId="77777777" w:rsidR="00000000" w:rsidRDefault="001D0688">
            <w:pPr>
              <w:divId w:val="926764618"/>
              <w:rPr>
                <w:rFonts w:eastAsia="Times New Roman"/>
              </w:rPr>
            </w:pPr>
            <w:r>
              <w:rPr>
                <w:rFonts w:ascii="Arial" w:eastAsia="Times New Roman" w:hAnsi="Arial" w:cs="Arial"/>
                <w:color w:val="000000"/>
                <w:sz w:val="18"/>
                <w:szCs w:val="18"/>
              </w:rPr>
              <w:t>We are a party to a number of lawsuits, claims, and proceedings incident to the operation of our business, including those pertaining to labor and employment, contracts, personal injury, and other matters, some of which allege substantial monetary damages.</w:t>
            </w:r>
            <w:r>
              <w:rPr>
                <w:rFonts w:ascii="Arial" w:eastAsia="Times New Roman" w:hAnsi="Arial" w:cs="Arial"/>
                <w:color w:val="000000"/>
                <w:sz w:val="18"/>
                <w:szCs w:val="18"/>
              </w:rPr>
              <w:t xml:space="preserve"> Some of these actions may be brought as class actions on behalf of a class or purported class of employees.</w:t>
            </w:r>
          </w:p>
          <w:p w14:paraId="514EEBC4" w14:textId="77777777" w:rsidR="00000000" w:rsidRDefault="001D0688">
            <w:pPr>
              <w:divId w:val="413552622"/>
              <w:rPr>
                <w:rFonts w:eastAsia="Times New Roman"/>
              </w:rPr>
            </w:pPr>
          </w:p>
          <w:p w14:paraId="5BB798A4" w14:textId="77777777" w:rsidR="00000000" w:rsidRDefault="001D0688">
            <w:pPr>
              <w:divId w:val="1969238692"/>
              <w:rPr>
                <w:rFonts w:eastAsia="Times New Roman"/>
              </w:rPr>
            </w:pPr>
            <w:r>
              <w:rPr>
                <w:rFonts w:ascii="Arial" w:eastAsia="Times New Roman" w:hAnsi="Arial" w:cs="Arial"/>
                <w:color w:val="000000"/>
                <w:sz w:val="18"/>
                <w:szCs w:val="18"/>
              </w:rPr>
              <w:t xml:space="preserve">We accrue for loss contingencies when losses become probable and are reasonably estimable. If the reasonable estimate of the loss is a range and </w:t>
            </w:r>
            <w:r>
              <w:rPr>
                <w:rFonts w:ascii="Arial" w:eastAsia="Times New Roman" w:hAnsi="Arial" w:cs="Arial"/>
                <w:color w:val="000000"/>
                <w:sz w:val="18"/>
                <w:szCs w:val="18"/>
              </w:rPr>
              <w:t xml:space="preserve">no amount within the range is a better estimate, the minimum amount of the range is recorded as a liability. </w:t>
            </w:r>
          </w:p>
          <w:p w14:paraId="2D67AEA3" w14:textId="77777777" w:rsidR="00000000" w:rsidRDefault="001D0688">
            <w:pPr>
              <w:divId w:val="1574076395"/>
              <w:rPr>
                <w:rFonts w:eastAsia="Times New Roman"/>
              </w:rPr>
            </w:pPr>
          </w:p>
          <w:p w14:paraId="7DA35BA2" w14:textId="77777777" w:rsidR="00000000" w:rsidRDefault="001D0688">
            <w:pPr>
              <w:divId w:val="250117632"/>
              <w:rPr>
                <w:rFonts w:eastAsia="Times New Roman"/>
              </w:rPr>
            </w:pPr>
            <w:r>
              <w:rPr>
                <w:rFonts w:ascii="Arial" w:eastAsia="Times New Roman" w:hAnsi="Arial" w:cs="Arial"/>
                <w:color w:val="000000"/>
                <w:sz w:val="18"/>
                <w:szCs w:val="18"/>
              </w:rPr>
              <w:t xml:space="preserve">We do not accrue for contingent losses that, in our judgment, are considered to be reasonably possible but not probable. </w:t>
            </w:r>
          </w:p>
        </w:tc>
        <w:tc>
          <w:tcPr>
            <w:tcW w:w="0" w:type="auto"/>
            <w:gridSpan w:val="3"/>
            <w:tcBorders>
              <w:bottom w:val="single" w:sz="8" w:space="0" w:color="000000"/>
            </w:tcBorders>
            <w:tcMar>
              <w:top w:w="0" w:type="dxa"/>
              <w:left w:w="20" w:type="dxa"/>
              <w:bottom w:w="0" w:type="dxa"/>
              <w:right w:w="20" w:type="dxa"/>
            </w:tcMar>
            <w:vAlign w:val="center"/>
            <w:hideMark/>
          </w:tcPr>
          <w:p w14:paraId="7EFF4D6F" w14:textId="77777777" w:rsidR="00000000" w:rsidRDefault="001D0688">
            <w:pPr>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14:paraId="234A97A2" w14:textId="77777777" w:rsidR="00000000" w:rsidRDefault="001D0688">
            <w:pPr>
              <w:rPr>
                <w:rFonts w:eastAsia="Times New Roman"/>
              </w:rPr>
            </w:pPr>
            <w:r>
              <w:rPr>
                <w:rFonts w:ascii="Arial" w:eastAsia="Times New Roman" w:hAnsi="Arial" w:cs="Arial"/>
                <w:color w:val="000000"/>
                <w:sz w:val="18"/>
                <w:szCs w:val="18"/>
              </w:rPr>
              <w:t xml:space="preserve">Litigation outcomes are difficult to predict and are often resolved over long periods of time. </w:t>
            </w:r>
            <w:r>
              <w:rPr>
                <w:rFonts w:ascii="Arial" w:eastAsia="Times New Roman" w:hAnsi="Arial" w:cs="Arial"/>
                <w:color w:val="000000"/>
                <w:sz w:val="18"/>
                <w:szCs w:val="18"/>
              </w:rPr>
              <w:br/>
            </w:r>
            <w:r>
              <w:rPr>
                <w:rFonts w:ascii="Arial" w:eastAsia="Times New Roman" w:hAnsi="Arial" w:cs="Arial"/>
                <w:color w:val="000000"/>
                <w:sz w:val="18"/>
                <w:szCs w:val="18"/>
              </w:rPr>
              <w:br/>
              <w:t>Estimating probable and reasonably possible losses requires the analysis of multiple possible outcomes that often depend on judgments about potential actions b</w:t>
            </w:r>
            <w:r>
              <w:rPr>
                <w:rFonts w:ascii="Arial" w:eastAsia="Times New Roman" w:hAnsi="Arial" w:cs="Arial"/>
                <w:color w:val="000000"/>
                <w:sz w:val="18"/>
                <w:szCs w:val="18"/>
              </w:rPr>
              <w:t>y third parties, such as future changes in facts and circumstances, differing interpretations of the law, assessments of the amount of damages, and other factors beyond our control. There is the potential for a material adverse effect on our Financial Stat</w:t>
            </w:r>
            <w:r>
              <w:rPr>
                <w:rFonts w:ascii="Arial" w:eastAsia="Times New Roman" w:hAnsi="Arial" w:cs="Arial"/>
                <w:color w:val="000000"/>
                <w:sz w:val="18"/>
                <w:szCs w:val="18"/>
              </w:rPr>
              <w:t>ements if one or more matters are resolved in a particular period in an amount materially in excess of what we anticipated.</w:t>
            </w:r>
            <w:r>
              <w:rPr>
                <w:rFonts w:ascii="Arial" w:eastAsia="Times New Roman" w:hAnsi="Arial" w:cs="Arial"/>
                <w:color w:val="000000"/>
                <w:sz w:val="18"/>
                <w:szCs w:val="18"/>
              </w:rPr>
              <w:br/>
            </w:r>
            <w:r>
              <w:rPr>
                <w:rFonts w:ascii="Arial" w:eastAsia="Times New Roman" w:hAnsi="Arial" w:cs="Arial"/>
                <w:color w:val="000000"/>
                <w:sz w:val="18"/>
                <w:szCs w:val="18"/>
              </w:rPr>
              <w:br/>
              <w:t>In addition, in some cases, although a loss is probable or reasonably possible, we cannot reasonably estimate the maximum potential</w:t>
            </w:r>
            <w:r>
              <w:rPr>
                <w:rFonts w:ascii="Arial" w:eastAsia="Times New Roman" w:hAnsi="Arial" w:cs="Arial"/>
                <w:color w:val="000000"/>
                <w:sz w:val="18"/>
                <w:szCs w:val="18"/>
              </w:rPr>
              <w:t xml:space="preserve"> losses for probable matters or the range of losses for reasonably possible matters. Therefore, our accrual for probable losses and our estimated range of loss for reasonably possible losses do not represent our maximum possible exposure.</w:t>
            </w:r>
          </w:p>
        </w:tc>
        <w:tc>
          <w:tcPr>
            <w:tcW w:w="0" w:type="auto"/>
            <w:gridSpan w:val="3"/>
            <w:tcBorders>
              <w:bottom w:val="single" w:sz="8" w:space="0" w:color="000000"/>
            </w:tcBorders>
            <w:tcMar>
              <w:top w:w="0" w:type="dxa"/>
              <w:left w:w="20" w:type="dxa"/>
              <w:bottom w:w="0" w:type="dxa"/>
              <w:right w:w="20" w:type="dxa"/>
            </w:tcMar>
            <w:vAlign w:val="center"/>
            <w:hideMark/>
          </w:tcPr>
          <w:p w14:paraId="7FA7E283" w14:textId="77777777" w:rsidR="00000000" w:rsidRDefault="001D0688">
            <w:pPr>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14:paraId="66A9B26D" w14:textId="77777777" w:rsidR="00000000" w:rsidRDefault="001D0688">
            <w:pPr>
              <w:divId w:val="1679501950"/>
              <w:rPr>
                <w:rFonts w:eastAsia="Times New Roman"/>
              </w:rPr>
            </w:pPr>
            <w:r>
              <w:rPr>
                <w:rFonts w:ascii="Arial" w:eastAsia="Times New Roman" w:hAnsi="Arial" w:cs="Arial"/>
                <w:color w:val="000000"/>
                <w:sz w:val="18"/>
                <w:szCs w:val="18"/>
              </w:rPr>
              <w:t xml:space="preserve">We have not </w:t>
            </w:r>
            <w:r>
              <w:rPr>
                <w:rFonts w:ascii="Arial" w:eastAsia="Times New Roman" w:hAnsi="Arial" w:cs="Arial"/>
                <w:color w:val="000000"/>
                <w:sz w:val="18"/>
                <w:szCs w:val="18"/>
              </w:rPr>
              <w:t>made any changes in the accounting methodology used to establish our loss contingencies during the past three years.</w:t>
            </w:r>
          </w:p>
          <w:p w14:paraId="172EDCBD" w14:textId="77777777" w:rsidR="00000000" w:rsidRDefault="001D0688">
            <w:pPr>
              <w:divId w:val="1128936471"/>
              <w:rPr>
                <w:rFonts w:eastAsia="Times New Roman"/>
              </w:rPr>
            </w:pPr>
          </w:p>
          <w:p w14:paraId="7BD6E9AA" w14:textId="77777777" w:rsidR="00000000" w:rsidRDefault="001D0688">
            <w:pPr>
              <w:divId w:val="1892032764"/>
              <w:rPr>
                <w:rFonts w:eastAsia="Times New Roman"/>
              </w:rPr>
            </w:pPr>
            <w:r>
              <w:rPr>
                <w:rFonts w:ascii="Arial" w:eastAsia="Times New Roman" w:hAnsi="Arial" w:cs="Arial"/>
                <w:color w:val="000000"/>
                <w:sz w:val="18"/>
                <w:szCs w:val="18"/>
              </w:rPr>
              <w:t>Our management currently estimates the range of loss for all reasonably possible losses for which a reasonable estimate of the loss can b</w:t>
            </w:r>
            <w:r>
              <w:rPr>
                <w:rFonts w:ascii="Arial" w:eastAsia="Times New Roman" w:hAnsi="Arial" w:cs="Arial"/>
                <w:color w:val="000000"/>
                <w:sz w:val="18"/>
                <w:szCs w:val="18"/>
              </w:rPr>
              <w:t>e made is between zero and $4 million. Factors underlying this estimated range of loss may change from time to time, and actual results may vary significantly from this estimate.</w:t>
            </w:r>
          </w:p>
        </w:tc>
      </w:tr>
    </w:tbl>
    <w:p w14:paraId="6C64C3C8" w14:textId="77777777" w:rsidR="00000000" w:rsidRDefault="001D0688">
      <w:pPr>
        <w:divId w:val="919363533"/>
        <w:rPr>
          <w:rFonts w:eastAsia="Times New Roman"/>
        </w:rPr>
      </w:pPr>
    </w:p>
    <w:p w14:paraId="70B7C750" w14:textId="77777777" w:rsidR="00000000" w:rsidRDefault="001D0688">
      <w:pPr>
        <w:jc w:val="center"/>
        <w:divId w:val="1387603553"/>
        <w:rPr>
          <w:rFonts w:eastAsia="Times New Roman"/>
        </w:rPr>
      </w:pPr>
      <w:r>
        <w:rPr>
          <w:rFonts w:ascii="Arial" w:eastAsia="Times New Roman" w:hAnsi="Arial" w:cs="Arial"/>
          <w:color w:val="000000"/>
          <w:sz w:val="20"/>
          <w:szCs w:val="20"/>
        </w:rPr>
        <w:t>41</w:t>
      </w:r>
    </w:p>
    <w:p w14:paraId="55664B69" w14:textId="77777777" w:rsidR="00000000" w:rsidRDefault="001D0688">
      <w:pPr>
        <w:rPr>
          <w:rFonts w:eastAsia="Times New Roman"/>
        </w:rPr>
      </w:pPr>
      <w:r>
        <w:rPr>
          <w:rFonts w:eastAsia="Times New Roman"/>
        </w:rPr>
        <w:pict w14:anchorId="48748DA8">
          <v:rect id="_x0000_i1077" style="width:0;height:1.5pt" o:hralign="center" o:hrstd="t" o:hr="t" fillcolor="#a0a0a0" stroked="f"/>
        </w:pict>
      </w:r>
    </w:p>
    <w:p w14:paraId="5067E504" w14:textId="77777777" w:rsidR="00000000" w:rsidRDefault="001D0688">
      <w:pPr>
        <w:divId w:val="1402870731"/>
        <w:rPr>
          <w:rFonts w:eastAsia="Times New Roman"/>
        </w:rPr>
      </w:pPr>
    </w:p>
    <w:p w14:paraId="3CC9BD8B" w14:textId="77777777" w:rsidR="00000000" w:rsidRDefault="001D0688">
      <w:pPr>
        <w:divId w:val="1997221999"/>
        <w:rPr>
          <w:rFonts w:eastAsia="Times New Roman"/>
        </w:rPr>
      </w:pPr>
      <w:r>
        <w:rPr>
          <w:rFonts w:ascii="Arial" w:eastAsia="Times New Roman" w:hAnsi="Arial" w:cs="Arial"/>
          <w:b/>
          <w:bCs/>
          <w:color w:val="0046AD"/>
          <w:sz w:val="20"/>
          <w:szCs w:val="20"/>
        </w:rPr>
        <w:t>Recent Accounting Pronouncements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4"/>
        <w:gridCol w:w="927"/>
        <w:gridCol w:w="36"/>
        <w:gridCol w:w="36"/>
        <w:gridCol w:w="36"/>
        <w:gridCol w:w="36"/>
        <w:gridCol w:w="63"/>
        <w:gridCol w:w="1349"/>
        <w:gridCol w:w="37"/>
        <w:gridCol w:w="36"/>
        <w:gridCol w:w="36"/>
        <w:gridCol w:w="36"/>
        <w:gridCol w:w="38"/>
        <w:gridCol w:w="3777"/>
        <w:gridCol w:w="36"/>
        <w:gridCol w:w="36"/>
        <w:gridCol w:w="36"/>
        <w:gridCol w:w="36"/>
        <w:gridCol w:w="60"/>
        <w:gridCol w:w="1526"/>
        <w:gridCol w:w="39"/>
      </w:tblGrid>
      <w:tr w:rsidR="00000000" w14:paraId="0CCA0D75" w14:textId="77777777">
        <w:trPr>
          <w:jc w:val="center"/>
        </w:trPr>
        <w:tc>
          <w:tcPr>
            <w:tcW w:w="50" w:type="pct"/>
            <w:vAlign w:val="center"/>
            <w:hideMark/>
          </w:tcPr>
          <w:p w14:paraId="22795756" w14:textId="77777777" w:rsidR="00000000" w:rsidRDefault="001D0688">
            <w:pPr>
              <w:rPr>
                <w:rFonts w:eastAsia="Times New Roman"/>
              </w:rPr>
            </w:pPr>
          </w:p>
        </w:tc>
        <w:tc>
          <w:tcPr>
            <w:tcW w:w="493" w:type="pct"/>
            <w:vAlign w:val="center"/>
            <w:hideMark/>
          </w:tcPr>
          <w:p w14:paraId="24184FEB" w14:textId="77777777" w:rsidR="00000000" w:rsidRDefault="001D0688">
            <w:pPr>
              <w:rPr>
                <w:rFonts w:eastAsia="Times New Roman"/>
                <w:sz w:val="20"/>
                <w:szCs w:val="20"/>
              </w:rPr>
            </w:pPr>
          </w:p>
        </w:tc>
        <w:tc>
          <w:tcPr>
            <w:tcW w:w="5" w:type="pct"/>
            <w:vAlign w:val="center"/>
            <w:hideMark/>
          </w:tcPr>
          <w:p w14:paraId="53BE9D65" w14:textId="77777777" w:rsidR="00000000" w:rsidRDefault="001D0688">
            <w:pPr>
              <w:rPr>
                <w:rFonts w:eastAsia="Times New Roman"/>
                <w:sz w:val="20"/>
                <w:szCs w:val="20"/>
              </w:rPr>
            </w:pPr>
          </w:p>
        </w:tc>
        <w:tc>
          <w:tcPr>
            <w:tcW w:w="5" w:type="pct"/>
            <w:vAlign w:val="center"/>
            <w:hideMark/>
          </w:tcPr>
          <w:p w14:paraId="52A92047" w14:textId="77777777" w:rsidR="00000000" w:rsidRDefault="001D0688">
            <w:pPr>
              <w:rPr>
                <w:rFonts w:eastAsia="Times New Roman"/>
                <w:sz w:val="20"/>
                <w:szCs w:val="20"/>
              </w:rPr>
            </w:pPr>
          </w:p>
        </w:tc>
        <w:tc>
          <w:tcPr>
            <w:tcW w:w="26" w:type="pct"/>
            <w:vAlign w:val="center"/>
            <w:hideMark/>
          </w:tcPr>
          <w:p w14:paraId="3D4835E9" w14:textId="77777777" w:rsidR="00000000" w:rsidRDefault="001D0688">
            <w:pPr>
              <w:rPr>
                <w:rFonts w:eastAsia="Times New Roman"/>
                <w:sz w:val="20"/>
                <w:szCs w:val="20"/>
              </w:rPr>
            </w:pPr>
          </w:p>
        </w:tc>
        <w:tc>
          <w:tcPr>
            <w:tcW w:w="5" w:type="pct"/>
            <w:vAlign w:val="center"/>
            <w:hideMark/>
          </w:tcPr>
          <w:p w14:paraId="1648F7A0" w14:textId="77777777" w:rsidR="00000000" w:rsidRDefault="001D0688">
            <w:pPr>
              <w:rPr>
                <w:rFonts w:eastAsia="Times New Roman"/>
                <w:sz w:val="20"/>
                <w:szCs w:val="20"/>
              </w:rPr>
            </w:pPr>
          </w:p>
        </w:tc>
        <w:tc>
          <w:tcPr>
            <w:tcW w:w="50" w:type="pct"/>
            <w:vAlign w:val="center"/>
            <w:hideMark/>
          </w:tcPr>
          <w:p w14:paraId="08506FA6" w14:textId="77777777" w:rsidR="00000000" w:rsidRDefault="001D0688">
            <w:pPr>
              <w:rPr>
                <w:rFonts w:eastAsia="Times New Roman"/>
                <w:sz w:val="20"/>
                <w:szCs w:val="20"/>
              </w:rPr>
            </w:pPr>
          </w:p>
        </w:tc>
        <w:tc>
          <w:tcPr>
            <w:tcW w:w="887" w:type="pct"/>
            <w:vAlign w:val="center"/>
            <w:hideMark/>
          </w:tcPr>
          <w:p w14:paraId="10D7E177" w14:textId="77777777" w:rsidR="00000000" w:rsidRDefault="001D0688">
            <w:pPr>
              <w:rPr>
                <w:rFonts w:eastAsia="Times New Roman"/>
                <w:sz w:val="20"/>
                <w:szCs w:val="20"/>
              </w:rPr>
            </w:pPr>
          </w:p>
        </w:tc>
        <w:tc>
          <w:tcPr>
            <w:tcW w:w="5" w:type="pct"/>
            <w:vAlign w:val="center"/>
            <w:hideMark/>
          </w:tcPr>
          <w:p w14:paraId="44F14183" w14:textId="77777777" w:rsidR="00000000" w:rsidRDefault="001D0688">
            <w:pPr>
              <w:rPr>
                <w:rFonts w:eastAsia="Times New Roman"/>
                <w:sz w:val="20"/>
                <w:szCs w:val="20"/>
              </w:rPr>
            </w:pPr>
          </w:p>
        </w:tc>
        <w:tc>
          <w:tcPr>
            <w:tcW w:w="5" w:type="pct"/>
            <w:vAlign w:val="center"/>
            <w:hideMark/>
          </w:tcPr>
          <w:p w14:paraId="766B09AA" w14:textId="77777777" w:rsidR="00000000" w:rsidRDefault="001D0688">
            <w:pPr>
              <w:rPr>
                <w:rFonts w:eastAsia="Times New Roman"/>
                <w:sz w:val="20"/>
                <w:szCs w:val="20"/>
              </w:rPr>
            </w:pPr>
          </w:p>
        </w:tc>
        <w:tc>
          <w:tcPr>
            <w:tcW w:w="19" w:type="pct"/>
            <w:vAlign w:val="center"/>
            <w:hideMark/>
          </w:tcPr>
          <w:p w14:paraId="035EBF1D" w14:textId="77777777" w:rsidR="00000000" w:rsidRDefault="001D0688">
            <w:pPr>
              <w:rPr>
                <w:rFonts w:eastAsia="Times New Roman"/>
                <w:sz w:val="20"/>
                <w:szCs w:val="20"/>
              </w:rPr>
            </w:pPr>
          </w:p>
        </w:tc>
        <w:tc>
          <w:tcPr>
            <w:tcW w:w="5" w:type="pct"/>
            <w:vAlign w:val="center"/>
            <w:hideMark/>
          </w:tcPr>
          <w:p w14:paraId="64D674DA" w14:textId="77777777" w:rsidR="00000000" w:rsidRDefault="001D0688">
            <w:pPr>
              <w:rPr>
                <w:rFonts w:eastAsia="Times New Roman"/>
                <w:sz w:val="20"/>
                <w:szCs w:val="20"/>
              </w:rPr>
            </w:pPr>
          </w:p>
        </w:tc>
        <w:tc>
          <w:tcPr>
            <w:tcW w:w="50" w:type="pct"/>
            <w:vAlign w:val="center"/>
            <w:hideMark/>
          </w:tcPr>
          <w:p w14:paraId="124DCDAD" w14:textId="77777777" w:rsidR="00000000" w:rsidRDefault="001D0688">
            <w:pPr>
              <w:rPr>
                <w:rFonts w:eastAsia="Times New Roman"/>
                <w:sz w:val="20"/>
                <w:szCs w:val="20"/>
              </w:rPr>
            </w:pPr>
          </w:p>
        </w:tc>
        <w:tc>
          <w:tcPr>
            <w:tcW w:w="2306" w:type="pct"/>
            <w:vAlign w:val="center"/>
            <w:hideMark/>
          </w:tcPr>
          <w:p w14:paraId="4DD830B3" w14:textId="77777777" w:rsidR="00000000" w:rsidRDefault="001D0688">
            <w:pPr>
              <w:rPr>
                <w:rFonts w:eastAsia="Times New Roman"/>
                <w:sz w:val="20"/>
                <w:szCs w:val="20"/>
              </w:rPr>
            </w:pPr>
          </w:p>
        </w:tc>
        <w:tc>
          <w:tcPr>
            <w:tcW w:w="5" w:type="pct"/>
            <w:vAlign w:val="center"/>
            <w:hideMark/>
          </w:tcPr>
          <w:p w14:paraId="79D12E79" w14:textId="77777777" w:rsidR="00000000" w:rsidRDefault="001D0688">
            <w:pPr>
              <w:rPr>
                <w:rFonts w:eastAsia="Times New Roman"/>
                <w:sz w:val="20"/>
                <w:szCs w:val="20"/>
              </w:rPr>
            </w:pPr>
          </w:p>
        </w:tc>
        <w:tc>
          <w:tcPr>
            <w:tcW w:w="5" w:type="pct"/>
            <w:vAlign w:val="center"/>
            <w:hideMark/>
          </w:tcPr>
          <w:p w14:paraId="68F0C3ED" w14:textId="77777777" w:rsidR="00000000" w:rsidRDefault="001D0688">
            <w:pPr>
              <w:rPr>
                <w:rFonts w:eastAsia="Times New Roman"/>
                <w:sz w:val="20"/>
                <w:szCs w:val="20"/>
              </w:rPr>
            </w:pPr>
          </w:p>
        </w:tc>
        <w:tc>
          <w:tcPr>
            <w:tcW w:w="26" w:type="pct"/>
            <w:vAlign w:val="center"/>
            <w:hideMark/>
          </w:tcPr>
          <w:p w14:paraId="7799518E" w14:textId="77777777" w:rsidR="00000000" w:rsidRDefault="001D0688">
            <w:pPr>
              <w:rPr>
                <w:rFonts w:eastAsia="Times New Roman"/>
                <w:sz w:val="20"/>
                <w:szCs w:val="20"/>
              </w:rPr>
            </w:pPr>
          </w:p>
        </w:tc>
        <w:tc>
          <w:tcPr>
            <w:tcW w:w="5" w:type="pct"/>
            <w:vAlign w:val="center"/>
            <w:hideMark/>
          </w:tcPr>
          <w:p w14:paraId="4FDABB75" w14:textId="77777777" w:rsidR="00000000" w:rsidRDefault="001D0688">
            <w:pPr>
              <w:rPr>
                <w:rFonts w:eastAsia="Times New Roman"/>
                <w:sz w:val="20"/>
                <w:szCs w:val="20"/>
              </w:rPr>
            </w:pPr>
          </w:p>
        </w:tc>
        <w:tc>
          <w:tcPr>
            <w:tcW w:w="50" w:type="pct"/>
            <w:vAlign w:val="center"/>
            <w:hideMark/>
          </w:tcPr>
          <w:p w14:paraId="15564F8C" w14:textId="77777777" w:rsidR="00000000" w:rsidRDefault="001D0688">
            <w:pPr>
              <w:rPr>
                <w:rFonts w:eastAsia="Times New Roman"/>
                <w:sz w:val="20"/>
                <w:szCs w:val="20"/>
              </w:rPr>
            </w:pPr>
          </w:p>
        </w:tc>
        <w:tc>
          <w:tcPr>
            <w:tcW w:w="990" w:type="pct"/>
            <w:vAlign w:val="center"/>
            <w:hideMark/>
          </w:tcPr>
          <w:p w14:paraId="2B3671BF" w14:textId="77777777" w:rsidR="00000000" w:rsidRDefault="001D0688">
            <w:pPr>
              <w:rPr>
                <w:rFonts w:eastAsia="Times New Roman"/>
                <w:sz w:val="20"/>
                <w:szCs w:val="20"/>
              </w:rPr>
            </w:pPr>
          </w:p>
        </w:tc>
        <w:tc>
          <w:tcPr>
            <w:tcW w:w="5" w:type="pct"/>
            <w:vAlign w:val="center"/>
            <w:hideMark/>
          </w:tcPr>
          <w:p w14:paraId="62B67597" w14:textId="77777777" w:rsidR="00000000" w:rsidRDefault="001D0688">
            <w:pPr>
              <w:rPr>
                <w:rFonts w:eastAsia="Times New Roman"/>
                <w:sz w:val="20"/>
                <w:szCs w:val="20"/>
              </w:rPr>
            </w:pPr>
          </w:p>
        </w:tc>
      </w:tr>
      <w:tr w:rsidR="00000000" w14:paraId="70996758" w14:textId="77777777">
        <w:trPr>
          <w:jc w:val="center"/>
        </w:trPr>
        <w:tc>
          <w:tcPr>
            <w:tcW w:w="0" w:type="auto"/>
            <w:gridSpan w:val="3"/>
            <w:tcMar>
              <w:top w:w="30" w:type="dxa"/>
              <w:left w:w="20" w:type="dxa"/>
              <w:bottom w:w="30" w:type="dxa"/>
              <w:right w:w="20" w:type="dxa"/>
            </w:tcMar>
            <w:vAlign w:val="bottom"/>
            <w:hideMark/>
          </w:tcPr>
          <w:p w14:paraId="3E72EEB0" w14:textId="77777777" w:rsidR="00000000" w:rsidRDefault="001D0688">
            <w:pPr>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14:paraId="5A3B9DB8"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C1E7622" w14:textId="77777777" w:rsidR="00000000" w:rsidRDefault="001D0688">
            <w:pPr>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14:paraId="77A6CB78"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54D8A19F" w14:textId="77777777" w:rsidR="00000000" w:rsidRDefault="001D0688">
            <w:pPr>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14:paraId="15BD2150"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3B3B7A8" w14:textId="77777777" w:rsidR="00000000" w:rsidRDefault="001D0688">
            <w:pPr>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14:paraId="3B3AD53D" w14:textId="77777777">
        <w:trPr>
          <w:jc w:val="center"/>
        </w:trPr>
        <w:tc>
          <w:tcPr>
            <w:tcW w:w="0" w:type="auto"/>
            <w:gridSpan w:val="3"/>
            <w:tcBorders>
              <w:top w:val="single" w:sz="8" w:space="0" w:color="000000"/>
            </w:tcBorders>
            <w:tcMar>
              <w:top w:w="30" w:type="dxa"/>
              <w:left w:w="20" w:type="dxa"/>
              <w:bottom w:w="30" w:type="dxa"/>
              <w:right w:w="20" w:type="dxa"/>
            </w:tcMar>
            <w:hideMark/>
          </w:tcPr>
          <w:p w14:paraId="481E8777" w14:textId="77777777" w:rsidR="00000000" w:rsidRDefault="001D0688">
            <w:pPr>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14:paraId="563FBAA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5E9152D" w14:textId="77777777" w:rsidR="00000000" w:rsidRDefault="001D0688">
            <w:pPr>
              <w:jc w:val="center"/>
              <w:rPr>
                <w:rFonts w:eastAsia="Times New Roman"/>
              </w:rPr>
            </w:pPr>
            <w:r>
              <w:rPr>
                <w:rFonts w:ascii="Arial" w:eastAsia="Times New Roman" w:hAnsi="Arial" w:cs="Arial"/>
                <w:color w:val="000000"/>
                <w:sz w:val="18"/>
                <w:szCs w:val="18"/>
              </w:rPr>
              <w:t>Reference Rate Reform (Topic 848): Facilitation of the Effects of Reference Rate Reform on Financial Reporting</w:t>
            </w:r>
          </w:p>
        </w:tc>
        <w:tc>
          <w:tcPr>
            <w:tcW w:w="0" w:type="auto"/>
            <w:gridSpan w:val="3"/>
            <w:tcMar>
              <w:top w:w="0" w:type="dxa"/>
              <w:left w:w="20" w:type="dxa"/>
              <w:bottom w:w="0" w:type="dxa"/>
              <w:right w:w="20" w:type="dxa"/>
            </w:tcMar>
            <w:vAlign w:val="center"/>
            <w:hideMark/>
          </w:tcPr>
          <w:p w14:paraId="39DE3E2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E026F94" w14:textId="77777777" w:rsidR="00000000" w:rsidRDefault="001D0688">
            <w:pPr>
              <w:rPr>
                <w:rFonts w:eastAsia="Times New Roman"/>
              </w:rPr>
            </w:pPr>
            <w:r>
              <w:rPr>
                <w:rFonts w:ascii="Arial" w:eastAsia="Times New Roman" w:hAnsi="Arial" w:cs="Arial"/>
                <w:color w:val="000000"/>
                <w:sz w:val="18"/>
                <w:szCs w:val="18"/>
              </w:rPr>
              <w:t>This ASU, issued in March 2020, provides optional expedients to assist with the discontinuance of the London Interbank Offered Rate (“LIBOR”</w:t>
            </w:r>
            <w:r>
              <w:rPr>
                <w:rFonts w:ascii="Arial" w:eastAsia="Times New Roman" w:hAnsi="Arial" w:cs="Arial"/>
                <w:color w:val="000000"/>
                <w:sz w:val="18"/>
                <w:szCs w:val="18"/>
              </w:rPr>
              <w:t xml:space="preserve">). The expedients allow companies to ease the potential accounting burden when modifying contracts and hedging relationships that use LIBOR as a reference rate, if certain criteria are met.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w:t>
            </w:r>
            <w:r>
              <w:rPr>
                <w:rFonts w:ascii="Arial" w:eastAsia="Times New Roman" w:hAnsi="Arial" w:cs="Arial"/>
                <w:color w:val="000000"/>
                <w:sz w:val="18"/>
                <w:szCs w:val="18"/>
              </w:rPr>
              <w:t>ance on our financial statements.</w:t>
            </w:r>
          </w:p>
        </w:tc>
        <w:tc>
          <w:tcPr>
            <w:tcW w:w="0" w:type="auto"/>
            <w:gridSpan w:val="3"/>
            <w:tcMar>
              <w:top w:w="0" w:type="dxa"/>
              <w:left w:w="20" w:type="dxa"/>
              <w:bottom w:w="0" w:type="dxa"/>
              <w:right w:w="20" w:type="dxa"/>
            </w:tcMar>
            <w:vAlign w:val="center"/>
            <w:hideMark/>
          </w:tcPr>
          <w:p w14:paraId="5E7F3058"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06E86EB" w14:textId="77777777" w:rsidR="00000000" w:rsidRDefault="001D0688">
            <w:pPr>
              <w:jc w:val="center"/>
              <w:rPr>
                <w:rFonts w:eastAsia="Times New Roman"/>
              </w:rPr>
            </w:pPr>
            <w:r>
              <w:rPr>
                <w:rFonts w:ascii="Arial" w:eastAsia="Times New Roman" w:hAnsi="Arial" w:cs="Arial"/>
                <w:color w:val="000000"/>
                <w:sz w:val="18"/>
                <w:szCs w:val="18"/>
              </w:rPr>
              <w:t>This update can be adopted prospectively no later than December 1, 2022, with early adoption permitted.</w:t>
            </w:r>
          </w:p>
        </w:tc>
      </w:tr>
      <w:tr w:rsidR="00000000" w14:paraId="3DC87DF3" w14:textId="77777777">
        <w:trPr>
          <w:jc w:val="center"/>
        </w:trPr>
        <w:tc>
          <w:tcPr>
            <w:tcW w:w="0" w:type="auto"/>
            <w:gridSpan w:val="3"/>
            <w:tcBorders>
              <w:top w:val="single" w:sz="8" w:space="0" w:color="000000"/>
            </w:tcBorders>
            <w:tcMar>
              <w:top w:w="30" w:type="dxa"/>
              <w:left w:w="20" w:type="dxa"/>
              <w:bottom w:w="30" w:type="dxa"/>
              <w:right w:w="20" w:type="dxa"/>
            </w:tcMar>
            <w:hideMark/>
          </w:tcPr>
          <w:p w14:paraId="5B136644" w14:textId="77777777" w:rsidR="00000000" w:rsidRDefault="001D0688">
            <w:pPr>
              <w:jc w:val="center"/>
              <w:rPr>
                <w:rFonts w:eastAsia="Times New Roman"/>
              </w:rPr>
            </w:pPr>
            <w:r>
              <w:rPr>
                <w:rFonts w:ascii="Arial" w:eastAsia="Times New Roman" w:hAnsi="Arial" w:cs="Arial"/>
                <w:color w:val="000000"/>
                <w:sz w:val="18"/>
                <w:szCs w:val="18"/>
              </w:rPr>
              <w:t>2020-03</w:t>
            </w:r>
          </w:p>
        </w:tc>
        <w:tc>
          <w:tcPr>
            <w:tcW w:w="0" w:type="auto"/>
            <w:gridSpan w:val="3"/>
            <w:tcMar>
              <w:top w:w="0" w:type="dxa"/>
              <w:left w:w="20" w:type="dxa"/>
              <w:bottom w:w="0" w:type="dxa"/>
              <w:right w:w="20" w:type="dxa"/>
            </w:tcMar>
            <w:vAlign w:val="center"/>
            <w:hideMark/>
          </w:tcPr>
          <w:p w14:paraId="12472821"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EDB4344" w14:textId="77777777" w:rsidR="00000000" w:rsidRDefault="001D0688">
            <w:pPr>
              <w:jc w:val="center"/>
              <w:rPr>
                <w:rFonts w:eastAsia="Times New Roman"/>
              </w:rPr>
            </w:pPr>
            <w:r>
              <w:rPr>
                <w:rFonts w:ascii="Arial" w:eastAsia="Times New Roman" w:hAnsi="Arial" w:cs="Arial"/>
                <w:color w:val="000000"/>
                <w:sz w:val="18"/>
                <w:szCs w:val="18"/>
              </w:rPr>
              <w:t xml:space="preserve">Codification Improvements to Financial Instruments </w:t>
            </w:r>
          </w:p>
        </w:tc>
        <w:tc>
          <w:tcPr>
            <w:tcW w:w="0" w:type="auto"/>
            <w:gridSpan w:val="3"/>
            <w:tcMar>
              <w:top w:w="0" w:type="dxa"/>
              <w:left w:w="20" w:type="dxa"/>
              <w:bottom w:w="0" w:type="dxa"/>
              <w:right w:w="20" w:type="dxa"/>
            </w:tcMar>
            <w:vAlign w:val="center"/>
            <w:hideMark/>
          </w:tcPr>
          <w:p w14:paraId="4CB07A4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94F787E" w14:textId="77777777" w:rsidR="00000000" w:rsidRDefault="001D0688">
            <w:pPr>
              <w:rPr>
                <w:rFonts w:eastAsia="Times New Roman"/>
              </w:rPr>
            </w:pPr>
            <w:r>
              <w:rPr>
                <w:rFonts w:ascii="Arial" w:eastAsia="Times New Roman" w:hAnsi="Arial" w:cs="Arial"/>
                <w:color w:val="000000"/>
                <w:sz w:val="18"/>
                <w:szCs w:val="18"/>
              </w:rPr>
              <w:t>This ASU, issued in March 2020, makes narrow-scope improvements to various financial instruments topics, including the new credit losses standard.</w:t>
            </w:r>
          </w:p>
        </w:tc>
        <w:tc>
          <w:tcPr>
            <w:tcW w:w="0" w:type="auto"/>
            <w:gridSpan w:val="3"/>
            <w:tcMar>
              <w:top w:w="0" w:type="dxa"/>
              <w:left w:w="20" w:type="dxa"/>
              <w:bottom w:w="0" w:type="dxa"/>
              <w:right w:w="20" w:type="dxa"/>
            </w:tcMar>
            <w:vAlign w:val="center"/>
            <w:hideMark/>
          </w:tcPr>
          <w:p w14:paraId="68CE41ED"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BC41E3A" w14:textId="77777777" w:rsidR="00000000" w:rsidRDefault="001D0688">
            <w:pPr>
              <w:jc w:val="center"/>
              <w:rPr>
                <w:rFonts w:eastAsia="Times New Roman"/>
              </w:rPr>
            </w:pPr>
            <w:r>
              <w:rPr>
                <w:rFonts w:ascii="Arial" w:eastAsia="Times New Roman" w:hAnsi="Arial" w:cs="Arial"/>
                <w:color w:val="000000"/>
                <w:sz w:val="18"/>
                <w:szCs w:val="18"/>
              </w:rPr>
              <w:t>Certain amendments contained within this update were effective upon issuance and had no material impact on our financial statements. The amendments related to ASU 2019-04 and ASU 2016-13 will be adopted in conjunction with ASU 2016-13, as described below.</w:t>
            </w:r>
          </w:p>
        </w:tc>
      </w:tr>
      <w:tr w:rsidR="00000000" w14:paraId="6F838FC7" w14:textId="77777777">
        <w:trPr>
          <w:jc w:val="center"/>
        </w:trPr>
        <w:tc>
          <w:tcPr>
            <w:tcW w:w="0" w:type="auto"/>
            <w:gridSpan w:val="3"/>
            <w:tcBorders>
              <w:top w:val="single" w:sz="8" w:space="0" w:color="000000"/>
            </w:tcBorders>
            <w:tcMar>
              <w:top w:w="30" w:type="dxa"/>
              <w:left w:w="20" w:type="dxa"/>
              <w:bottom w:w="30" w:type="dxa"/>
              <w:right w:w="20" w:type="dxa"/>
            </w:tcMar>
            <w:hideMark/>
          </w:tcPr>
          <w:p w14:paraId="4F9495D0" w14:textId="77777777" w:rsidR="00000000" w:rsidRDefault="001D0688">
            <w:pPr>
              <w:jc w:val="center"/>
              <w:rPr>
                <w:rFonts w:eastAsia="Times New Roman"/>
              </w:rPr>
            </w:pPr>
            <w:r>
              <w:rPr>
                <w:rFonts w:ascii="Arial" w:eastAsia="Times New Roman" w:hAnsi="Arial" w:cs="Arial"/>
                <w:color w:val="000000"/>
                <w:sz w:val="18"/>
                <w:szCs w:val="18"/>
              </w:rPr>
              <w:t>2020-01</w:t>
            </w:r>
          </w:p>
        </w:tc>
        <w:tc>
          <w:tcPr>
            <w:tcW w:w="0" w:type="auto"/>
            <w:gridSpan w:val="3"/>
            <w:tcMar>
              <w:top w:w="0" w:type="dxa"/>
              <w:left w:w="20" w:type="dxa"/>
              <w:bottom w:w="0" w:type="dxa"/>
              <w:right w:w="20" w:type="dxa"/>
            </w:tcMar>
            <w:vAlign w:val="center"/>
            <w:hideMark/>
          </w:tcPr>
          <w:p w14:paraId="124431C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D36FB6E" w14:textId="77777777" w:rsidR="00000000" w:rsidRDefault="001D0688">
            <w:pPr>
              <w:jc w:val="center"/>
              <w:rPr>
                <w:rFonts w:eastAsia="Times New Roman"/>
              </w:rPr>
            </w:pPr>
            <w:r>
              <w:rPr>
                <w:rFonts w:ascii="Arial" w:eastAsia="Times New Roman" w:hAnsi="Arial" w:cs="Arial"/>
                <w:color w:val="000000"/>
                <w:sz w:val="18"/>
                <w:szCs w:val="18"/>
              </w:rPr>
              <w:t>Investments—Equity Securities (Topic 321), Investments—Equity Method and Joint Ventures (Topic 323), and Derivatives and Hedging (Topic 815): Clarifying the Interactions between Topic 321, Topic 323, and Topic 815</w:t>
            </w:r>
          </w:p>
        </w:tc>
        <w:tc>
          <w:tcPr>
            <w:tcW w:w="0" w:type="auto"/>
            <w:gridSpan w:val="3"/>
            <w:tcMar>
              <w:top w:w="0" w:type="dxa"/>
              <w:left w:w="20" w:type="dxa"/>
              <w:bottom w:w="0" w:type="dxa"/>
              <w:right w:w="20" w:type="dxa"/>
            </w:tcMar>
            <w:vAlign w:val="center"/>
            <w:hideMark/>
          </w:tcPr>
          <w:p w14:paraId="21589E21"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FB7126E" w14:textId="77777777" w:rsidR="00000000" w:rsidRDefault="001D0688">
            <w:pPr>
              <w:rPr>
                <w:rFonts w:eastAsia="Times New Roman"/>
              </w:rPr>
            </w:pPr>
            <w:r>
              <w:rPr>
                <w:rFonts w:ascii="Arial" w:eastAsia="Times New Roman" w:hAnsi="Arial" w:cs="Arial"/>
                <w:color w:val="000000"/>
                <w:sz w:val="18"/>
                <w:szCs w:val="18"/>
              </w:rPr>
              <w:t>This ASU, issued in J</w:t>
            </w:r>
            <w:r>
              <w:rPr>
                <w:rFonts w:ascii="Arial" w:eastAsia="Times New Roman" w:hAnsi="Arial" w:cs="Arial"/>
                <w:color w:val="000000"/>
                <w:sz w:val="18"/>
                <w:szCs w:val="18"/>
              </w:rPr>
              <w:t>anuary 2020, clarifies the interaction between Topic 321, Topic 323, and Topic 815. The new guidance, among other things, states that a company should consider observable transactions that require it to either apply or discontinue the equity method of acco</w:t>
            </w:r>
            <w:r>
              <w:rPr>
                <w:rFonts w:ascii="Arial" w:eastAsia="Times New Roman" w:hAnsi="Arial" w:cs="Arial"/>
                <w:color w:val="000000"/>
                <w:sz w:val="18"/>
                <w:szCs w:val="18"/>
              </w:rPr>
              <w:t>unting for the purposes of applying the fair value measurement alternative immediately before applying or upon discontinuing the equity method.</w:t>
            </w:r>
            <w:r>
              <w:rPr>
                <w:rFonts w:ascii="Arial" w:eastAsia="Times New Roman" w:hAnsi="Arial" w:cs="Arial"/>
                <w:color w:val="000000"/>
                <w:sz w:val="18"/>
                <w:szCs w:val="18"/>
              </w:rPr>
              <w:br/>
            </w:r>
            <w:r>
              <w:rPr>
                <w:rFonts w:ascii="Arial" w:eastAsia="Times New Roman" w:hAnsi="Arial" w:cs="Arial"/>
                <w:color w:val="000000"/>
                <w:sz w:val="18"/>
                <w:szCs w:val="18"/>
              </w:rPr>
              <w:br/>
              <w:t>While we are currently evaluating the impact of implementing this guidance on our financial statements, we do n</w:t>
            </w:r>
            <w:r>
              <w:rPr>
                <w:rFonts w:ascii="Arial" w:eastAsia="Times New Roman" w:hAnsi="Arial" w:cs="Arial"/>
                <w:color w:val="000000"/>
                <w:sz w:val="18"/>
                <w:szCs w:val="18"/>
              </w:rPr>
              <w:t>ot expect adoption to have a material impact.</w:t>
            </w:r>
          </w:p>
        </w:tc>
        <w:tc>
          <w:tcPr>
            <w:tcW w:w="0" w:type="auto"/>
            <w:gridSpan w:val="3"/>
            <w:tcMar>
              <w:top w:w="0" w:type="dxa"/>
              <w:left w:w="20" w:type="dxa"/>
              <w:bottom w:w="0" w:type="dxa"/>
              <w:right w:w="20" w:type="dxa"/>
            </w:tcMar>
            <w:vAlign w:val="center"/>
            <w:hideMark/>
          </w:tcPr>
          <w:p w14:paraId="0D4AF9E1"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060E024" w14:textId="77777777" w:rsidR="00000000" w:rsidRDefault="001D0688">
            <w:pPr>
              <w:jc w:val="center"/>
              <w:rPr>
                <w:rFonts w:eastAsia="Times New Roman"/>
              </w:rPr>
            </w:pPr>
            <w:r>
              <w:rPr>
                <w:rFonts w:ascii="Arial" w:eastAsia="Times New Roman" w:hAnsi="Arial" w:cs="Arial"/>
                <w:color w:val="000000"/>
                <w:sz w:val="18"/>
                <w:szCs w:val="18"/>
              </w:rPr>
              <w:t xml:space="preserve">November 1, 2021 </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prospectively.</w:t>
            </w:r>
          </w:p>
        </w:tc>
      </w:tr>
      <w:tr w:rsidR="00000000" w14:paraId="194DAB0F" w14:textId="77777777">
        <w:trPr>
          <w:jc w:val="center"/>
        </w:trPr>
        <w:tc>
          <w:tcPr>
            <w:tcW w:w="0" w:type="auto"/>
            <w:gridSpan w:val="3"/>
            <w:tcBorders>
              <w:top w:val="single" w:sz="8" w:space="0" w:color="000000"/>
            </w:tcBorders>
            <w:tcMar>
              <w:top w:w="30" w:type="dxa"/>
              <w:left w:w="20" w:type="dxa"/>
              <w:bottom w:w="30" w:type="dxa"/>
              <w:right w:w="20" w:type="dxa"/>
            </w:tcMar>
            <w:hideMark/>
          </w:tcPr>
          <w:p w14:paraId="252FC92B" w14:textId="77777777" w:rsidR="00000000" w:rsidRDefault="001D0688">
            <w:pPr>
              <w:jc w:val="center"/>
              <w:rPr>
                <w:rFonts w:eastAsia="Times New Roman"/>
              </w:rPr>
            </w:pPr>
            <w:r>
              <w:rPr>
                <w:rFonts w:ascii="Arial" w:eastAsia="Times New Roman" w:hAnsi="Arial" w:cs="Arial"/>
                <w:color w:val="000000"/>
                <w:sz w:val="18"/>
                <w:szCs w:val="18"/>
              </w:rPr>
              <w:t>2019-12</w:t>
            </w:r>
          </w:p>
        </w:tc>
        <w:tc>
          <w:tcPr>
            <w:tcW w:w="0" w:type="auto"/>
            <w:gridSpan w:val="3"/>
            <w:tcMar>
              <w:top w:w="0" w:type="dxa"/>
              <w:left w:w="20" w:type="dxa"/>
              <w:bottom w:w="0" w:type="dxa"/>
              <w:right w:w="20" w:type="dxa"/>
            </w:tcMar>
            <w:vAlign w:val="center"/>
            <w:hideMark/>
          </w:tcPr>
          <w:p w14:paraId="3545447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3D60A53B" w14:textId="77777777" w:rsidR="00000000" w:rsidRDefault="001D0688">
            <w:pPr>
              <w:jc w:val="center"/>
              <w:rPr>
                <w:rFonts w:eastAsia="Times New Roman"/>
              </w:rPr>
            </w:pPr>
            <w:r>
              <w:rPr>
                <w:rFonts w:ascii="Arial" w:eastAsia="Times New Roman" w:hAnsi="Arial" w:cs="Arial"/>
                <w:color w:val="000000"/>
                <w:sz w:val="18"/>
                <w:szCs w:val="18"/>
              </w:rPr>
              <w:t>Income Taxes (Topic 740): Simplifying the Accounting for Income Taxes</w:t>
            </w:r>
          </w:p>
        </w:tc>
        <w:tc>
          <w:tcPr>
            <w:tcW w:w="0" w:type="auto"/>
            <w:gridSpan w:val="3"/>
            <w:tcMar>
              <w:top w:w="0" w:type="dxa"/>
              <w:left w:w="20" w:type="dxa"/>
              <w:bottom w:w="0" w:type="dxa"/>
              <w:right w:w="20" w:type="dxa"/>
            </w:tcMar>
            <w:vAlign w:val="center"/>
            <w:hideMark/>
          </w:tcPr>
          <w:p w14:paraId="3FAFA90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0F3DD76" w14:textId="77777777" w:rsidR="00000000" w:rsidRDefault="001D0688">
            <w:pPr>
              <w:rPr>
                <w:rFonts w:eastAsia="Times New Roman"/>
              </w:rPr>
            </w:pPr>
            <w:r>
              <w:rPr>
                <w:rFonts w:ascii="Arial" w:eastAsia="Times New Roman" w:hAnsi="Arial" w:cs="Arial"/>
                <w:color w:val="000000"/>
                <w:sz w:val="18"/>
                <w:szCs w:val="18"/>
              </w:rPr>
              <w:t>This ASU, issued in December 2019, removes certain exceptions related to the approach for intraperiod tax allocation, the methodology for calculating income taxes in an interim peri</w:t>
            </w:r>
            <w:r>
              <w:rPr>
                <w:rFonts w:ascii="Arial" w:eastAsia="Times New Roman" w:hAnsi="Arial" w:cs="Arial"/>
                <w:color w:val="000000"/>
                <w:sz w:val="18"/>
                <w:szCs w:val="18"/>
              </w:rPr>
              <w:t xml:space="preserve">od, and the recognition of deferred tax liabilities for outside basis differences. This ASU also amends other aspects of the guidance to help simplify and promote consistent application of Topic 740.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w:t>
            </w:r>
            <w:r>
              <w:rPr>
                <w:rFonts w:ascii="Arial" w:eastAsia="Times New Roman" w:hAnsi="Arial" w:cs="Arial"/>
                <w:color w:val="000000"/>
                <w:sz w:val="18"/>
                <w:szCs w:val="18"/>
              </w:rPr>
              <w:t xml:space="preserve"> this guidance on our financial statements.</w:t>
            </w:r>
          </w:p>
        </w:tc>
        <w:tc>
          <w:tcPr>
            <w:tcW w:w="0" w:type="auto"/>
            <w:gridSpan w:val="3"/>
            <w:tcMar>
              <w:top w:w="0" w:type="dxa"/>
              <w:left w:w="20" w:type="dxa"/>
              <w:bottom w:w="0" w:type="dxa"/>
              <w:right w:w="20" w:type="dxa"/>
            </w:tcMar>
            <w:vAlign w:val="center"/>
            <w:hideMark/>
          </w:tcPr>
          <w:p w14:paraId="3683DDFF"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BE84937" w14:textId="77777777" w:rsidR="00000000" w:rsidRDefault="001D0688">
            <w:pPr>
              <w:jc w:val="center"/>
              <w:rPr>
                <w:rFonts w:eastAsia="Times New Roman"/>
              </w:rPr>
            </w:pPr>
            <w:r>
              <w:rPr>
                <w:rFonts w:ascii="Arial" w:eastAsia="Times New Roman" w:hAnsi="Arial" w:cs="Arial"/>
                <w:color w:val="000000"/>
                <w:sz w:val="18"/>
                <w:szCs w:val="18"/>
              </w:rPr>
              <w:t>November 1, 2021</w:t>
            </w:r>
            <w:r>
              <w:rPr>
                <w:rFonts w:ascii="Arial" w:eastAsia="Times New Roman" w:hAnsi="Arial" w:cs="Arial"/>
                <w:color w:val="000000"/>
                <w:sz w:val="18"/>
                <w:szCs w:val="18"/>
              </w:rPr>
              <w:br/>
            </w:r>
            <w:r>
              <w:rPr>
                <w:rFonts w:ascii="Arial" w:eastAsia="Times New Roman" w:hAnsi="Arial" w:cs="Arial"/>
                <w:color w:val="000000"/>
                <w:sz w:val="18"/>
                <w:szCs w:val="18"/>
              </w:rPr>
              <w:br/>
              <w:t>The amendments have differing adoption methods including retrospectively, prospectively, and/or on a modified retrospective basis.</w:t>
            </w:r>
          </w:p>
        </w:tc>
      </w:tr>
      <w:tr w:rsidR="00000000" w14:paraId="3122B652"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53A81D77" w14:textId="77777777" w:rsidR="00000000" w:rsidRDefault="001D0688">
            <w:pPr>
              <w:jc w:val="center"/>
              <w:rPr>
                <w:rFonts w:eastAsia="Times New Roman"/>
              </w:rPr>
            </w:pPr>
            <w:r>
              <w:rPr>
                <w:rFonts w:ascii="Arial" w:eastAsia="Times New Roman" w:hAnsi="Arial" w:cs="Arial"/>
                <w:color w:val="000000"/>
                <w:sz w:val="18"/>
                <w:szCs w:val="18"/>
              </w:rPr>
              <w:t>2019-04</w:t>
            </w:r>
          </w:p>
        </w:tc>
        <w:tc>
          <w:tcPr>
            <w:tcW w:w="0" w:type="auto"/>
            <w:gridSpan w:val="3"/>
            <w:tcMar>
              <w:top w:w="0" w:type="dxa"/>
              <w:left w:w="20" w:type="dxa"/>
              <w:bottom w:w="0" w:type="dxa"/>
              <w:right w:w="20" w:type="dxa"/>
            </w:tcMar>
            <w:vAlign w:val="center"/>
            <w:hideMark/>
          </w:tcPr>
          <w:p w14:paraId="737F2EDA" w14:textId="77777777" w:rsidR="00000000" w:rsidRDefault="001D068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1354C1E" w14:textId="77777777" w:rsidR="00000000" w:rsidRDefault="001D0688">
            <w:pPr>
              <w:jc w:val="center"/>
              <w:rPr>
                <w:rFonts w:eastAsia="Times New Roman"/>
              </w:rPr>
            </w:pPr>
            <w:r>
              <w:rPr>
                <w:rFonts w:ascii="Arial" w:eastAsia="Times New Roman" w:hAnsi="Arial" w:cs="Arial"/>
                <w:color w:val="000000"/>
                <w:sz w:val="18"/>
                <w:szCs w:val="18"/>
              </w:rPr>
              <w:t xml:space="preserve">Codification Improvements to Topic 326: Financial </w:t>
            </w:r>
            <w:r>
              <w:rPr>
                <w:rFonts w:ascii="Arial" w:eastAsia="Times New Roman" w:hAnsi="Arial" w:cs="Arial"/>
                <w:color w:val="000000"/>
                <w:sz w:val="18"/>
                <w:szCs w:val="18"/>
              </w:rPr>
              <w:br/>
              <w:t>Instruments—Credit Losses; Topic 815: Derivatives and Hedging; and Topic 825: Financial Instruments</w:t>
            </w:r>
          </w:p>
        </w:tc>
        <w:tc>
          <w:tcPr>
            <w:tcW w:w="0" w:type="auto"/>
            <w:gridSpan w:val="3"/>
            <w:tcMar>
              <w:top w:w="0" w:type="dxa"/>
              <w:left w:w="20" w:type="dxa"/>
              <w:bottom w:w="0" w:type="dxa"/>
              <w:right w:w="20" w:type="dxa"/>
            </w:tcMar>
            <w:vAlign w:val="center"/>
            <w:hideMark/>
          </w:tcPr>
          <w:p w14:paraId="24B5FC88" w14:textId="77777777" w:rsidR="00000000" w:rsidRDefault="001D068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4A5BAF4" w14:textId="77777777" w:rsidR="00000000" w:rsidRDefault="001D0688">
            <w:pPr>
              <w:rPr>
                <w:rFonts w:eastAsia="Times New Roman"/>
              </w:rPr>
            </w:pPr>
            <w:r>
              <w:rPr>
                <w:rFonts w:ascii="Arial" w:eastAsia="Times New Roman" w:hAnsi="Arial" w:cs="Arial"/>
                <w:color w:val="000000"/>
                <w:sz w:val="18"/>
                <w:szCs w:val="18"/>
              </w:rPr>
              <w:t>This ASU, issued in April 2019, provides narrow-scope amendments designed to assist in the applicati</w:t>
            </w:r>
            <w:r>
              <w:rPr>
                <w:rFonts w:ascii="Arial" w:eastAsia="Times New Roman" w:hAnsi="Arial" w:cs="Arial"/>
                <w:color w:val="000000"/>
                <w:sz w:val="18"/>
                <w:szCs w:val="18"/>
              </w:rPr>
              <w:t>on of the following updates and the related accounting standards:</w:t>
            </w:r>
            <w:r>
              <w:rPr>
                <w:rFonts w:ascii="Arial" w:eastAsia="Times New Roman" w:hAnsi="Arial" w:cs="Arial"/>
                <w:color w:val="000000"/>
                <w:sz w:val="18"/>
                <w:szCs w:val="18"/>
              </w:rPr>
              <w:br/>
            </w:r>
            <w:r>
              <w:rPr>
                <w:rFonts w:ascii="Arial" w:eastAsia="Times New Roman" w:hAnsi="Arial" w:cs="Arial"/>
                <w:color w:val="000000"/>
                <w:sz w:val="18"/>
                <w:szCs w:val="18"/>
              </w:rPr>
              <w:br/>
              <w:t xml:space="preserve">(1) ASU 2016-13, Financial Instruments—Credit Losses (Topic 326): Measurement of Credit Losses on Financial Instruments; </w:t>
            </w:r>
            <w:r>
              <w:rPr>
                <w:rFonts w:ascii="Arial" w:eastAsia="Times New Roman" w:hAnsi="Arial" w:cs="Arial"/>
                <w:color w:val="000000"/>
                <w:sz w:val="18"/>
                <w:szCs w:val="18"/>
              </w:rPr>
              <w:br/>
            </w:r>
            <w:r>
              <w:rPr>
                <w:rFonts w:ascii="Arial" w:eastAsia="Times New Roman" w:hAnsi="Arial" w:cs="Arial"/>
                <w:color w:val="000000"/>
                <w:sz w:val="18"/>
                <w:szCs w:val="18"/>
              </w:rPr>
              <w:br/>
              <w:t>(2) ASU 2017-12, Derivatives and Hedging (Topic 815): Targeted Imp</w:t>
            </w:r>
            <w:r>
              <w:rPr>
                <w:rFonts w:ascii="Arial" w:eastAsia="Times New Roman" w:hAnsi="Arial" w:cs="Arial"/>
                <w:color w:val="000000"/>
                <w:sz w:val="18"/>
                <w:szCs w:val="18"/>
              </w:rPr>
              <w:t xml:space="preserve">rovements to Accounting for Hedging Activities; and </w:t>
            </w:r>
            <w:r>
              <w:rPr>
                <w:rFonts w:ascii="Arial" w:eastAsia="Times New Roman" w:hAnsi="Arial" w:cs="Arial"/>
                <w:color w:val="000000"/>
                <w:sz w:val="18"/>
                <w:szCs w:val="18"/>
              </w:rPr>
              <w:br/>
            </w:r>
            <w:r>
              <w:rPr>
                <w:rFonts w:ascii="Arial" w:eastAsia="Times New Roman" w:hAnsi="Arial" w:cs="Arial"/>
                <w:color w:val="000000"/>
                <w:sz w:val="18"/>
                <w:szCs w:val="18"/>
              </w:rPr>
              <w:br/>
              <w:t>(3) ASU 2016-01, Financial Instruments—Overall (Subtopic 825-10): Recognition and Measurement of Financial Assets and Financial Liabilities.</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the g</w:t>
            </w:r>
            <w:r>
              <w:rPr>
                <w:rFonts w:ascii="Arial" w:eastAsia="Times New Roman" w:hAnsi="Arial" w:cs="Arial"/>
                <w:color w:val="000000"/>
                <w:sz w:val="18"/>
                <w:szCs w:val="18"/>
              </w:rPr>
              <w:t>uidance related to (1) and (3) on our financial statements. We do not expect the adoptions to have a material impact.</w:t>
            </w:r>
          </w:p>
        </w:tc>
        <w:tc>
          <w:tcPr>
            <w:tcW w:w="0" w:type="auto"/>
            <w:gridSpan w:val="3"/>
            <w:tcMar>
              <w:top w:w="0" w:type="dxa"/>
              <w:left w:w="20" w:type="dxa"/>
              <w:bottom w:w="0" w:type="dxa"/>
              <w:right w:w="20" w:type="dxa"/>
            </w:tcMar>
            <w:vAlign w:val="center"/>
            <w:hideMark/>
          </w:tcPr>
          <w:p w14:paraId="150222C5" w14:textId="77777777" w:rsidR="00000000" w:rsidRDefault="001D0688">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DFCAA6C" w14:textId="77777777" w:rsidR="00000000" w:rsidRDefault="001D0688">
            <w:pPr>
              <w:jc w:val="center"/>
              <w:rPr>
                <w:rFonts w:eastAsia="Times New Roman"/>
              </w:rPr>
            </w:pPr>
            <w:r>
              <w:rPr>
                <w:rFonts w:ascii="Arial" w:eastAsia="Times New Roman" w:hAnsi="Arial" w:cs="Arial"/>
                <w:color w:val="000000"/>
                <w:sz w:val="18"/>
                <w:szCs w:val="18"/>
              </w:rPr>
              <w:t>(1) The amendments related to ASU 2016-13 will be adopted in conjunction with that ASU, as further described below.</w:t>
            </w:r>
            <w:r>
              <w:rPr>
                <w:rFonts w:ascii="Arial" w:eastAsia="Times New Roman" w:hAnsi="Arial" w:cs="Arial"/>
                <w:color w:val="000000"/>
                <w:sz w:val="18"/>
                <w:szCs w:val="18"/>
              </w:rPr>
              <w:br/>
            </w:r>
            <w:r>
              <w:rPr>
                <w:rFonts w:ascii="Arial" w:eastAsia="Times New Roman" w:hAnsi="Arial" w:cs="Arial"/>
                <w:color w:val="000000"/>
                <w:sz w:val="18"/>
                <w:szCs w:val="18"/>
              </w:rPr>
              <w:br/>
              <w:t>(2) We adopted t</w:t>
            </w:r>
            <w:r>
              <w:rPr>
                <w:rFonts w:ascii="Arial" w:eastAsia="Times New Roman" w:hAnsi="Arial" w:cs="Arial"/>
                <w:color w:val="000000"/>
                <w:sz w:val="18"/>
                <w:szCs w:val="18"/>
              </w:rPr>
              <w:t>his guidance effective November 1, 2019, on a prospective basis with no significant impact on our consolidated financial statements.</w:t>
            </w:r>
            <w:r>
              <w:rPr>
                <w:rFonts w:ascii="Arial" w:eastAsia="Times New Roman" w:hAnsi="Arial" w:cs="Arial"/>
                <w:color w:val="000000"/>
                <w:sz w:val="18"/>
                <w:szCs w:val="18"/>
              </w:rPr>
              <w:br/>
            </w:r>
            <w:r>
              <w:rPr>
                <w:rFonts w:ascii="Arial" w:eastAsia="Times New Roman" w:hAnsi="Arial" w:cs="Arial"/>
                <w:color w:val="000000"/>
                <w:sz w:val="18"/>
                <w:szCs w:val="18"/>
              </w:rPr>
              <w:br/>
              <w:t>(3) Since we already adopted ASU 2016-01, the related amendments will be effective for us on November 1, 2020, and will be</w:t>
            </w:r>
            <w:r>
              <w:rPr>
                <w:rFonts w:ascii="Arial" w:eastAsia="Times New Roman" w:hAnsi="Arial" w:cs="Arial"/>
                <w:color w:val="000000"/>
                <w:sz w:val="18"/>
                <w:szCs w:val="18"/>
              </w:rPr>
              <w:t xml:space="preserve"> applied using a modified retrospective adoption approach with a cumulative-effect adjustment to retained earnings.</w:t>
            </w:r>
          </w:p>
        </w:tc>
      </w:tr>
    </w:tbl>
    <w:p w14:paraId="1BB92D66" w14:textId="77777777" w:rsidR="00000000" w:rsidRDefault="001D0688">
      <w:pPr>
        <w:jc w:val="center"/>
        <w:divId w:val="306327899"/>
        <w:rPr>
          <w:rFonts w:eastAsia="Times New Roman"/>
        </w:rPr>
      </w:pPr>
      <w:r>
        <w:rPr>
          <w:rFonts w:ascii="Arial" w:eastAsia="Times New Roman" w:hAnsi="Arial" w:cs="Arial"/>
          <w:color w:val="000000"/>
          <w:sz w:val="20"/>
          <w:szCs w:val="20"/>
        </w:rPr>
        <w:t>42</w:t>
      </w:r>
    </w:p>
    <w:p w14:paraId="2A0F7214" w14:textId="77777777" w:rsidR="00000000" w:rsidRDefault="001D0688">
      <w:pPr>
        <w:rPr>
          <w:rFonts w:eastAsia="Times New Roman"/>
        </w:rPr>
      </w:pPr>
      <w:r>
        <w:rPr>
          <w:rFonts w:eastAsia="Times New Roman"/>
        </w:rPr>
        <w:pict w14:anchorId="3A6B4125">
          <v:rect id="_x0000_i1078" style="width:0;height:1.5pt" o:hralign="center" o:hrstd="t" o:hr="t" fillcolor="#a0a0a0" stroked="f"/>
        </w:pict>
      </w:r>
    </w:p>
    <w:p w14:paraId="2D9842CE" w14:textId="77777777" w:rsidR="00000000" w:rsidRDefault="001D0688">
      <w:pPr>
        <w:divId w:val="160704449"/>
        <w:rPr>
          <w:rFonts w:eastAsia="Times New Roman"/>
        </w:rPr>
      </w:pPr>
    </w:p>
    <w:p w14:paraId="4547B4FF" w14:textId="77777777" w:rsidR="00000000" w:rsidRDefault="001D0688">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0"/>
        <w:gridCol w:w="932"/>
        <w:gridCol w:w="36"/>
        <w:gridCol w:w="36"/>
        <w:gridCol w:w="36"/>
        <w:gridCol w:w="36"/>
        <w:gridCol w:w="68"/>
        <w:gridCol w:w="1524"/>
        <w:gridCol w:w="38"/>
        <w:gridCol w:w="36"/>
        <w:gridCol w:w="36"/>
        <w:gridCol w:w="36"/>
        <w:gridCol w:w="40"/>
        <w:gridCol w:w="3779"/>
        <w:gridCol w:w="38"/>
        <w:gridCol w:w="36"/>
        <w:gridCol w:w="36"/>
        <w:gridCol w:w="36"/>
        <w:gridCol w:w="69"/>
        <w:gridCol w:w="1331"/>
        <w:gridCol w:w="37"/>
      </w:tblGrid>
      <w:tr w:rsidR="00000000" w14:paraId="65A40591" w14:textId="77777777">
        <w:trPr>
          <w:jc w:val="center"/>
        </w:trPr>
        <w:tc>
          <w:tcPr>
            <w:tcW w:w="50" w:type="pct"/>
            <w:vAlign w:val="center"/>
            <w:hideMark/>
          </w:tcPr>
          <w:p w14:paraId="6AF78482" w14:textId="77777777" w:rsidR="00000000" w:rsidRDefault="001D0688">
            <w:pPr>
              <w:jc w:val="center"/>
              <w:rPr>
                <w:rFonts w:eastAsia="Times New Roman"/>
              </w:rPr>
            </w:pPr>
          </w:p>
        </w:tc>
        <w:tc>
          <w:tcPr>
            <w:tcW w:w="522" w:type="pct"/>
            <w:vAlign w:val="center"/>
            <w:hideMark/>
          </w:tcPr>
          <w:p w14:paraId="34A36251" w14:textId="77777777" w:rsidR="00000000" w:rsidRDefault="001D0688">
            <w:pPr>
              <w:rPr>
                <w:rFonts w:eastAsia="Times New Roman"/>
                <w:sz w:val="20"/>
                <w:szCs w:val="20"/>
              </w:rPr>
            </w:pPr>
          </w:p>
        </w:tc>
        <w:tc>
          <w:tcPr>
            <w:tcW w:w="5" w:type="pct"/>
            <w:vAlign w:val="center"/>
            <w:hideMark/>
          </w:tcPr>
          <w:p w14:paraId="7AFF9743" w14:textId="77777777" w:rsidR="00000000" w:rsidRDefault="001D0688">
            <w:pPr>
              <w:rPr>
                <w:rFonts w:eastAsia="Times New Roman"/>
                <w:sz w:val="20"/>
                <w:szCs w:val="20"/>
              </w:rPr>
            </w:pPr>
          </w:p>
        </w:tc>
        <w:tc>
          <w:tcPr>
            <w:tcW w:w="5" w:type="pct"/>
            <w:vAlign w:val="center"/>
            <w:hideMark/>
          </w:tcPr>
          <w:p w14:paraId="3A5ADD60" w14:textId="77777777" w:rsidR="00000000" w:rsidRDefault="001D0688">
            <w:pPr>
              <w:rPr>
                <w:rFonts w:eastAsia="Times New Roman"/>
                <w:sz w:val="20"/>
                <w:szCs w:val="20"/>
              </w:rPr>
            </w:pPr>
          </w:p>
        </w:tc>
        <w:tc>
          <w:tcPr>
            <w:tcW w:w="26" w:type="pct"/>
            <w:vAlign w:val="center"/>
            <w:hideMark/>
          </w:tcPr>
          <w:p w14:paraId="4AEB856A" w14:textId="77777777" w:rsidR="00000000" w:rsidRDefault="001D0688">
            <w:pPr>
              <w:rPr>
                <w:rFonts w:eastAsia="Times New Roman"/>
                <w:sz w:val="20"/>
                <w:szCs w:val="20"/>
              </w:rPr>
            </w:pPr>
          </w:p>
        </w:tc>
        <w:tc>
          <w:tcPr>
            <w:tcW w:w="5" w:type="pct"/>
            <w:vAlign w:val="center"/>
            <w:hideMark/>
          </w:tcPr>
          <w:p w14:paraId="486A0FAB" w14:textId="77777777" w:rsidR="00000000" w:rsidRDefault="001D0688">
            <w:pPr>
              <w:rPr>
                <w:rFonts w:eastAsia="Times New Roman"/>
                <w:sz w:val="20"/>
                <w:szCs w:val="20"/>
              </w:rPr>
            </w:pPr>
          </w:p>
        </w:tc>
        <w:tc>
          <w:tcPr>
            <w:tcW w:w="50" w:type="pct"/>
            <w:vAlign w:val="center"/>
            <w:hideMark/>
          </w:tcPr>
          <w:p w14:paraId="27E7FCFF" w14:textId="77777777" w:rsidR="00000000" w:rsidRDefault="001D0688">
            <w:pPr>
              <w:rPr>
                <w:rFonts w:eastAsia="Times New Roman"/>
                <w:sz w:val="20"/>
                <w:szCs w:val="20"/>
              </w:rPr>
            </w:pPr>
          </w:p>
        </w:tc>
        <w:tc>
          <w:tcPr>
            <w:tcW w:w="975" w:type="pct"/>
            <w:vAlign w:val="center"/>
            <w:hideMark/>
          </w:tcPr>
          <w:p w14:paraId="09E18F5E" w14:textId="77777777" w:rsidR="00000000" w:rsidRDefault="001D0688">
            <w:pPr>
              <w:rPr>
                <w:rFonts w:eastAsia="Times New Roman"/>
                <w:sz w:val="20"/>
                <w:szCs w:val="20"/>
              </w:rPr>
            </w:pPr>
          </w:p>
        </w:tc>
        <w:tc>
          <w:tcPr>
            <w:tcW w:w="5" w:type="pct"/>
            <w:vAlign w:val="center"/>
            <w:hideMark/>
          </w:tcPr>
          <w:p w14:paraId="2D45BCA0" w14:textId="77777777" w:rsidR="00000000" w:rsidRDefault="001D0688">
            <w:pPr>
              <w:rPr>
                <w:rFonts w:eastAsia="Times New Roman"/>
                <w:sz w:val="20"/>
                <w:szCs w:val="20"/>
              </w:rPr>
            </w:pPr>
          </w:p>
        </w:tc>
        <w:tc>
          <w:tcPr>
            <w:tcW w:w="5" w:type="pct"/>
            <w:vAlign w:val="center"/>
            <w:hideMark/>
          </w:tcPr>
          <w:p w14:paraId="676217CB" w14:textId="77777777" w:rsidR="00000000" w:rsidRDefault="001D0688">
            <w:pPr>
              <w:rPr>
                <w:rFonts w:eastAsia="Times New Roman"/>
                <w:sz w:val="20"/>
                <w:szCs w:val="20"/>
              </w:rPr>
            </w:pPr>
          </w:p>
        </w:tc>
        <w:tc>
          <w:tcPr>
            <w:tcW w:w="26" w:type="pct"/>
            <w:vAlign w:val="center"/>
            <w:hideMark/>
          </w:tcPr>
          <w:p w14:paraId="3937C680" w14:textId="77777777" w:rsidR="00000000" w:rsidRDefault="001D0688">
            <w:pPr>
              <w:rPr>
                <w:rFonts w:eastAsia="Times New Roman"/>
                <w:sz w:val="20"/>
                <w:szCs w:val="20"/>
              </w:rPr>
            </w:pPr>
          </w:p>
        </w:tc>
        <w:tc>
          <w:tcPr>
            <w:tcW w:w="5" w:type="pct"/>
            <w:vAlign w:val="center"/>
            <w:hideMark/>
          </w:tcPr>
          <w:p w14:paraId="2BC6EABA" w14:textId="77777777" w:rsidR="00000000" w:rsidRDefault="001D0688">
            <w:pPr>
              <w:rPr>
                <w:rFonts w:eastAsia="Times New Roman"/>
                <w:sz w:val="20"/>
                <w:szCs w:val="20"/>
              </w:rPr>
            </w:pPr>
          </w:p>
        </w:tc>
        <w:tc>
          <w:tcPr>
            <w:tcW w:w="50" w:type="pct"/>
            <w:vAlign w:val="center"/>
            <w:hideMark/>
          </w:tcPr>
          <w:p w14:paraId="0927AD54" w14:textId="77777777" w:rsidR="00000000" w:rsidRDefault="001D0688">
            <w:pPr>
              <w:rPr>
                <w:rFonts w:eastAsia="Times New Roman"/>
                <w:sz w:val="20"/>
                <w:szCs w:val="20"/>
              </w:rPr>
            </w:pPr>
          </w:p>
        </w:tc>
        <w:tc>
          <w:tcPr>
            <w:tcW w:w="2313" w:type="pct"/>
            <w:vAlign w:val="center"/>
            <w:hideMark/>
          </w:tcPr>
          <w:p w14:paraId="52311521" w14:textId="77777777" w:rsidR="00000000" w:rsidRDefault="001D0688">
            <w:pPr>
              <w:rPr>
                <w:rFonts w:eastAsia="Times New Roman"/>
                <w:sz w:val="20"/>
                <w:szCs w:val="20"/>
              </w:rPr>
            </w:pPr>
          </w:p>
        </w:tc>
        <w:tc>
          <w:tcPr>
            <w:tcW w:w="5" w:type="pct"/>
            <w:vAlign w:val="center"/>
            <w:hideMark/>
          </w:tcPr>
          <w:p w14:paraId="400473DF" w14:textId="77777777" w:rsidR="00000000" w:rsidRDefault="001D0688">
            <w:pPr>
              <w:rPr>
                <w:rFonts w:eastAsia="Times New Roman"/>
                <w:sz w:val="20"/>
                <w:szCs w:val="20"/>
              </w:rPr>
            </w:pPr>
          </w:p>
        </w:tc>
        <w:tc>
          <w:tcPr>
            <w:tcW w:w="5" w:type="pct"/>
            <w:vAlign w:val="center"/>
            <w:hideMark/>
          </w:tcPr>
          <w:p w14:paraId="05DE0689" w14:textId="77777777" w:rsidR="00000000" w:rsidRDefault="001D0688">
            <w:pPr>
              <w:rPr>
                <w:rFonts w:eastAsia="Times New Roman"/>
                <w:sz w:val="20"/>
                <w:szCs w:val="20"/>
              </w:rPr>
            </w:pPr>
          </w:p>
        </w:tc>
        <w:tc>
          <w:tcPr>
            <w:tcW w:w="26" w:type="pct"/>
            <w:vAlign w:val="center"/>
            <w:hideMark/>
          </w:tcPr>
          <w:p w14:paraId="31AD650D" w14:textId="77777777" w:rsidR="00000000" w:rsidRDefault="001D0688">
            <w:pPr>
              <w:rPr>
                <w:rFonts w:eastAsia="Times New Roman"/>
                <w:sz w:val="20"/>
                <w:szCs w:val="20"/>
              </w:rPr>
            </w:pPr>
          </w:p>
        </w:tc>
        <w:tc>
          <w:tcPr>
            <w:tcW w:w="5" w:type="pct"/>
            <w:vAlign w:val="center"/>
            <w:hideMark/>
          </w:tcPr>
          <w:p w14:paraId="640A6ECD" w14:textId="77777777" w:rsidR="00000000" w:rsidRDefault="001D0688">
            <w:pPr>
              <w:rPr>
                <w:rFonts w:eastAsia="Times New Roman"/>
                <w:sz w:val="20"/>
                <w:szCs w:val="20"/>
              </w:rPr>
            </w:pPr>
          </w:p>
        </w:tc>
        <w:tc>
          <w:tcPr>
            <w:tcW w:w="50" w:type="pct"/>
            <w:vAlign w:val="center"/>
            <w:hideMark/>
          </w:tcPr>
          <w:p w14:paraId="7F498875" w14:textId="77777777" w:rsidR="00000000" w:rsidRDefault="001D0688">
            <w:pPr>
              <w:rPr>
                <w:rFonts w:eastAsia="Times New Roman"/>
                <w:sz w:val="20"/>
                <w:szCs w:val="20"/>
              </w:rPr>
            </w:pPr>
          </w:p>
        </w:tc>
        <w:tc>
          <w:tcPr>
            <w:tcW w:w="858" w:type="pct"/>
            <w:vAlign w:val="center"/>
            <w:hideMark/>
          </w:tcPr>
          <w:p w14:paraId="4304F67A" w14:textId="77777777" w:rsidR="00000000" w:rsidRDefault="001D0688">
            <w:pPr>
              <w:rPr>
                <w:rFonts w:eastAsia="Times New Roman"/>
                <w:sz w:val="20"/>
                <w:szCs w:val="20"/>
              </w:rPr>
            </w:pPr>
          </w:p>
        </w:tc>
        <w:tc>
          <w:tcPr>
            <w:tcW w:w="5" w:type="pct"/>
            <w:vAlign w:val="center"/>
            <w:hideMark/>
          </w:tcPr>
          <w:p w14:paraId="30707778" w14:textId="77777777" w:rsidR="00000000" w:rsidRDefault="001D0688">
            <w:pPr>
              <w:rPr>
                <w:rFonts w:eastAsia="Times New Roman"/>
                <w:sz w:val="20"/>
                <w:szCs w:val="20"/>
              </w:rPr>
            </w:pPr>
          </w:p>
        </w:tc>
      </w:tr>
      <w:tr w:rsidR="00000000" w14:paraId="230F998D" w14:textId="77777777">
        <w:trPr>
          <w:jc w:val="center"/>
        </w:trPr>
        <w:tc>
          <w:tcPr>
            <w:tcW w:w="0" w:type="auto"/>
            <w:gridSpan w:val="3"/>
            <w:tcMar>
              <w:top w:w="30" w:type="dxa"/>
              <w:left w:w="20" w:type="dxa"/>
              <w:bottom w:w="30" w:type="dxa"/>
              <w:right w:w="20" w:type="dxa"/>
            </w:tcMar>
            <w:vAlign w:val="bottom"/>
            <w:hideMark/>
          </w:tcPr>
          <w:p w14:paraId="607676BF" w14:textId="77777777" w:rsidR="00000000" w:rsidRDefault="001D0688">
            <w:pPr>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14:paraId="3BB66CE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07BD85E" w14:textId="77777777" w:rsidR="00000000" w:rsidRDefault="001D0688">
            <w:pPr>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14:paraId="0A2865D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AD6CA55" w14:textId="77777777" w:rsidR="00000000" w:rsidRDefault="001D0688">
            <w:pPr>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14:paraId="2D1CFCB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C16D5A9" w14:textId="77777777" w:rsidR="00000000" w:rsidRDefault="001D0688">
            <w:pPr>
              <w:jc w:val="center"/>
              <w:rPr>
                <w:rFonts w:eastAsia="Times New Roman"/>
              </w:rPr>
            </w:pPr>
            <w:r>
              <w:rPr>
                <w:rFonts w:ascii="Arial" w:eastAsia="Times New Roman" w:hAnsi="Arial" w:cs="Arial"/>
                <w:b/>
                <w:bCs/>
                <w:color w:val="000000"/>
                <w:sz w:val="18"/>
                <w:szCs w:val="18"/>
              </w:rPr>
              <w:t>Effective Date/Method of Adoption</w:t>
            </w:r>
          </w:p>
        </w:tc>
      </w:tr>
      <w:tr w:rsidR="00000000" w14:paraId="1EC3CD86" w14:textId="77777777">
        <w:trPr>
          <w:jc w:val="center"/>
        </w:trPr>
        <w:tc>
          <w:tcPr>
            <w:tcW w:w="0" w:type="auto"/>
            <w:gridSpan w:val="3"/>
            <w:tcBorders>
              <w:top w:val="single" w:sz="8" w:space="0" w:color="000000"/>
            </w:tcBorders>
            <w:tcMar>
              <w:top w:w="30" w:type="dxa"/>
              <w:left w:w="20" w:type="dxa"/>
              <w:bottom w:w="30" w:type="dxa"/>
              <w:right w:w="20" w:type="dxa"/>
            </w:tcMar>
            <w:hideMark/>
          </w:tcPr>
          <w:p w14:paraId="288271F1" w14:textId="77777777" w:rsidR="00000000" w:rsidRDefault="001D0688">
            <w:pPr>
              <w:jc w:val="center"/>
              <w:rPr>
                <w:rFonts w:eastAsia="Times New Roman"/>
              </w:rPr>
            </w:pPr>
            <w:r>
              <w:rPr>
                <w:rFonts w:ascii="Arial" w:eastAsia="Times New Roman" w:hAnsi="Arial" w:cs="Arial"/>
                <w:color w:val="000000"/>
                <w:sz w:val="18"/>
                <w:szCs w:val="18"/>
              </w:rPr>
              <w:t>2018-18</w:t>
            </w:r>
          </w:p>
        </w:tc>
        <w:tc>
          <w:tcPr>
            <w:tcW w:w="0" w:type="auto"/>
            <w:gridSpan w:val="3"/>
            <w:tcMar>
              <w:top w:w="0" w:type="dxa"/>
              <w:left w:w="20" w:type="dxa"/>
              <w:bottom w:w="0" w:type="dxa"/>
              <w:right w:w="20" w:type="dxa"/>
            </w:tcMar>
            <w:vAlign w:val="center"/>
            <w:hideMark/>
          </w:tcPr>
          <w:p w14:paraId="2F59FB7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A113164" w14:textId="77777777" w:rsidR="00000000" w:rsidRDefault="001D0688">
            <w:pPr>
              <w:jc w:val="center"/>
              <w:rPr>
                <w:rFonts w:eastAsia="Times New Roman"/>
              </w:rPr>
            </w:pPr>
            <w:r>
              <w:rPr>
                <w:rFonts w:ascii="Arial" w:eastAsia="Times New Roman" w:hAnsi="Arial" w:cs="Arial"/>
                <w:color w:val="000000"/>
                <w:sz w:val="18"/>
                <w:szCs w:val="18"/>
              </w:rPr>
              <w:t>Collaborative Arrangements (Topic 808): Clarifying the Interaction between Topic 808 and Topic 606</w:t>
            </w:r>
          </w:p>
        </w:tc>
        <w:tc>
          <w:tcPr>
            <w:tcW w:w="0" w:type="auto"/>
            <w:gridSpan w:val="3"/>
            <w:tcMar>
              <w:top w:w="0" w:type="dxa"/>
              <w:left w:w="20" w:type="dxa"/>
              <w:bottom w:w="0" w:type="dxa"/>
              <w:right w:w="20" w:type="dxa"/>
            </w:tcMar>
            <w:vAlign w:val="center"/>
            <w:hideMark/>
          </w:tcPr>
          <w:p w14:paraId="70A09A66"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C50296C" w14:textId="77777777" w:rsidR="00000000" w:rsidRDefault="001D0688">
            <w:pPr>
              <w:rPr>
                <w:rFonts w:eastAsia="Times New Roman"/>
              </w:rPr>
            </w:pPr>
            <w:r>
              <w:rPr>
                <w:rFonts w:ascii="Arial" w:eastAsia="Times New Roman" w:hAnsi="Arial" w:cs="Arial"/>
                <w:color w:val="000000"/>
                <w:sz w:val="18"/>
                <w:szCs w:val="18"/>
              </w:rPr>
              <w:t>This ASU, issued in November 2018, provides guidance on whether certain transactions between collaborative arrangement participants should be accounted for as revenue under Topic 606. It specifically addresses when the participant is a customer in the cont</w:t>
            </w:r>
            <w:r>
              <w:rPr>
                <w:rFonts w:ascii="Arial" w:eastAsia="Times New Roman" w:hAnsi="Arial" w:cs="Arial"/>
                <w:color w:val="000000"/>
                <w:sz w:val="18"/>
                <w:szCs w:val="18"/>
              </w:rPr>
              <w:t>ext of a unit of account, adds unit of account guidance in Topic 808 to align with guidance in Topic 606, and precludes presenting the collaborative arrangement transaction together with revenue recognized under Topic 606 if the collaborative arrangement p</w:t>
            </w:r>
            <w:r>
              <w:rPr>
                <w:rFonts w:ascii="Arial" w:eastAsia="Times New Roman" w:hAnsi="Arial" w:cs="Arial"/>
                <w:color w:val="000000"/>
                <w:sz w:val="18"/>
                <w:szCs w:val="18"/>
              </w:rPr>
              <w:t xml:space="preserve">articipant is not a customer. </w:t>
            </w:r>
            <w:r>
              <w:rPr>
                <w:rFonts w:ascii="Arial" w:eastAsia="Times New Roman" w:hAnsi="Arial" w:cs="Arial"/>
                <w:color w:val="000000"/>
                <w:sz w:val="18"/>
                <w:szCs w:val="18"/>
              </w:rPr>
              <w:br/>
            </w:r>
            <w:r>
              <w:rPr>
                <w:rFonts w:ascii="Arial" w:eastAsia="Times New Roman" w:hAnsi="Arial" w:cs="Arial"/>
                <w:color w:val="000000"/>
                <w:sz w:val="18"/>
                <w:szCs w:val="18"/>
              </w:rPr>
              <w:br/>
              <w:t>We do not expect adoption to have a material impact.</w:t>
            </w:r>
          </w:p>
        </w:tc>
        <w:tc>
          <w:tcPr>
            <w:tcW w:w="0" w:type="auto"/>
            <w:gridSpan w:val="3"/>
            <w:tcMar>
              <w:top w:w="0" w:type="dxa"/>
              <w:left w:w="20" w:type="dxa"/>
              <w:bottom w:w="0" w:type="dxa"/>
              <w:right w:w="20" w:type="dxa"/>
            </w:tcMar>
            <w:vAlign w:val="center"/>
            <w:hideMark/>
          </w:tcPr>
          <w:p w14:paraId="0A520382"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75D3B97" w14:textId="77777777" w:rsidR="00000000" w:rsidRDefault="001D0688">
            <w:pPr>
              <w:jc w:val="center"/>
              <w:rPr>
                <w:rFonts w:eastAsia="Times New Roman"/>
              </w:rPr>
            </w:pPr>
            <w:r>
              <w:rPr>
                <w:rFonts w:ascii="Arial" w:eastAsia="Times New Roman" w:hAnsi="Arial" w:cs="Arial"/>
                <w:color w:val="000000"/>
                <w:sz w:val="18"/>
                <w:szCs w:val="18"/>
              </w:rPr>
              <w:t xml:space="preserve">November 1, 2020 </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retrospectively.</w:t>
            </w:r>
          </w:p>
        </w:tc>
      </w:tr>
      <w:tr w:rsidR="00000000" w14:paraId="18E24942" w14:textId="77777777">
        <w:trPr>
          <w:jc w:val="center"/>
        </w:trPr>
        <w:tc>
          <w:tcPr>
            <w:tcW w:w="0" w:type="auto"/>
            <w:gridSpan w:val="3"/>
            <w:tcBorders>
              <w:top w:val="single" w:sz="8" w:space="0" w:color="000000"/>
            </w:tcBorders>
            <w:tcMar>
              <w:top w:w="30" w:type="dxa"/>
              <w:left w:w="20" w:type="dxa"/>
              <w:bottom w:w="30" w:type="dxa"/>
              <w:right w:w="20" w:type="dxa"/>
            </w:tcMar>
            <w:hideMark/>
          </w:tcPr>
          <w:p w14:paraId="58B053F6" w14:textId="77777777" w:rsidR="00000000" w:rsidRDefault="001D0688">
            <w:pPr>
              <w:jc w:val="center"/>
              <w:rPr>
                <w:rFonts w:eastAsia="Times New Roman"/>
              </w:rPr>
            </w:pPr>
            <w:r>
              <w:rPr>
                <w:rFonts w:ascii="Arial" w:eastAsia="Times New Roman" w:hAnsi="Arial" w:cs="Arial"/>
                <w:color w:val="000000"/>
                <w:sz w:val="18"/>
                <w:szCs w:val="18"/>
              </w:rPr>
              <w:t>2018-17</w:t>
            </w:r>
          </w:p>
        </w:tc>
        <w:tc>
          <w:tcPr>
            <w:tcW w:w="0" w:type="auto"/>
            <w:gridSpan w:val="3"/>
            <w:tcMar>
              <w:top w:w="0" w:type="dxa"/>
              <w:left w:w="20" w:type="dxa"/>
              <w:bottom w:w="0" w:type="dxa"/>
              <w:right w:w="20" w:type="dxa"/>
            </w:tcMar>
            <w:vAlign w:val="center"/>
            <w:hideMark/>
          </w:tcPr>
          <w:p w14:paraId="7F91ECBD"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C340FD7" w14:textId="77777777" w:rsidR="00000000" w:rsidRDefault="001D0688">
            <w:pPr>
              <w:jc w:val="center"/>
              <w:rPr>
                <w:rFonts w:eastAsia="Times New Roman"/>
              </w:rPr>
            </w:pPr>
            <w:r>
              <w:rPr>
                <w:rFonts w:ascii="Arial" w:eastAsia="Times New Roman" w:hAnsi="Arial" w:cs="Arial"/>
                <w:color w:val="000000"/>
                <w:sz w:val="18"/>
                <w:szCs w:val="18"/>
              </w:rPr>
              <w:t>Consolidation (Topic 810): Targeted Improvements to Related Party Guidance for Variabl</w:t>
            </w:r>
            <w:r>
              <w:rPr>
                <w:rFonts w:ascii="Arial" w:eastAsia="Times New Roman" w:hAnsi="Arial" w:cs="Arial"/>
                <w:color w:val="000000"/>
                <w:sz w:val="18"/>
                <w:szCs w:val="18"/>
              </w:rPr>
              <w:t>e Interest Entities</w:t>
            </w:r>
          </w:p>
        </w:tc>
        <w:tc>
          <w:tcPr>
            <w:tcW w:w="0" w:type="auto"/>
            <w:gridSpan w:val="3"/>
            <w:tcMar>
              <w:top w:w="0" w:type="dxa"/>
              <w:left w:w="20" w:type="dxa"/>
              <w:bottom w:w="0" w:type="dxa"/>
              <w:right w:w="20" w:type="dxa"/>
            </w:tcMar>
            <w:vAlign w:val="center"/>
            <w:hideMark/>
          </w:tcPr>
          <w:p w14:paraId="14506447"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B23C1F8" w14:textId="77777777" w:rsidR="00000000" w:rsidRDefault="001D0688">
            <w:pPr>
              <w:rPr>
                <w:rFonts w:eastAsia="Times New Roman"/>
              </w:rPr>
            </w:pPr>
            <w:r>
              <w:rPr>
                <w:rFonts w:ascii="Arial" w:eastAsia="Times New Roman" w:hAnsi="Arial" w:cs="Arial"/>
                <w:color w:val="000000"/>
                <w:sz w:val="18"/>
                <w:szCs w:val="18"/>
              </w:rPr>
              <w:t>This ASU, issued in October 2018, provides that indirect interests held through related parties in common control arrangements should be considered on a proportional basis for determining whether fees paid to decision makers and se</w:t>
            </w:r>
            <w:r>
              <w:rPr>
                <w:rFonts w:ascii="Arial" w:eastAsia="Times New Roman" w:hAnsi="Arial" w:cs="Arial"/>
                <w:color w:val="000000"/>
                <w:sz w:val="18"/>
                <w:szCs w:val="18"/>
              </w:rPr>
              <w:t xml:space="preserve">rvice providers are variable interest. </w:t>
            </w:r>
            <w:r>
              <w:rPr>
                <w:rFonts w:ascii="Arial" w:eastAsia="Times New Roman" w:hAnsi="Arial" w:cs="Arial"/>
                <w:color w:val="000000"/>
                <w:sz w:val="18"/>
                <w:szCs w:val="18"/>
              </w:rPr>
              <w:br/>
            </w:r>
            <w:r>
              <w:rPr>
                <w:rFonts w:ascii="Arial" w:eastAsia="Times New Roman" w:hAnsi="Arial" w:cs="Arial"/>
                <w:color w:val="000000"/>
                <w:sz w:val="18"/>
                <w:szCs w:val="18"/>
              </w:rPr>
              <w:br/>
              <w:t>We do not expect adoption to have a material impact.</w:t>
            </w:r>
          </w:p>
        </w:tc>
        <w:tc>
          <w:tcPr>
            <w:tcW w:w="0" w:type="auto"/>
            <w:gridSpan w:val="3"/>
            <w:tcMar>
              <w:top w:w="0" w:type="dxa"/>
              <w:left w:w="20" w:type="dxa"/>
              <w:bottom w:w="0" w:type="dxa"/>
              <w:right w:w="20" w:type="dxa"/>
            </w:tcMar>
            <w:vAlign w:val="center"/>
            <w:hideMark/>
          </w:tcPr>
          <w:p w14:paraId="55D5408D"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11A4BFE" w14:textId="77777777" w:rsidR="00000000" w:rsidRDefault="001D0688">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retrospectively.</w:t>
            </w:r>
          </w:p>
        </w:tc>
      </w:tr>
      <w:tr w:rsidR="00000000" w14:paraId="76FF98D2" w14:textId="77777777">
        <w:trPr>
          <w:jc w:val="center"/>
        </w:trPr>
        <w:tc>
          <w:tcPr>
            <w:tcW w:w="0" w:type="auto"/>
            <w:gridSpan w:val="3"/>
            <w:tcBorders>
              <w:top w:val="single" w:sz="8" w:space="0" w:color="000000"/>
            </w:tcBorders>
            <w:tcMar>
              <w:top w:w="30" w:type="dxa"/>
              <w:left w:w="20" w:type="dxa"/>
              <w:bottom w:w="30" w:type="dxa"/>
              <w:right w:w="20" w:type="dxa"/>
            </w:tcMar>
            <w:hideMark/>
          </w:tcPr>
          <w:p w14:paraId="3C2137BA" w14:textId="77777777" w:rsidR="00000000" w:rsidRDefault="001D0688">
            <w:pPr>
              <w:jc w:val="center"/>
              <w:rPr>
                <w:rFonts w:eastAsia="Times New Roman"/>
              </w:rPr>
            </w:pPr>
            <w:r>
              <w:rPr>
                <w:rFonts w:ascii="Arial" w:eastAsia="Times New Roman" w:hAnsi="Arial" w:cs="Arial"/>
                <w:color w:val="000000"/>
                <w:sz w:val="18"/>
                <w:szCs w:val="18"/>
              </w:rPr>
              <w:t>2018-15</w:t>
            </w:r>
          </w:p>
        </w:tc>
        <w:tc>
          <w:tcPr>
            <w:tcW w:w="0" w:type="auto"/>
            <w:gridSpan w:val="3"/>
            <w:tcMar>
              <w:top w:w="0" w:type="dxa"/>
              <w:left w:w="20" w:type="dxa"/>
              <w:bottom w:w="0" w:type="dxa"/>
              <w:right w:w="20" w:type="dxa"/>
            </w:tcMar>
            <w:vAlign w:val="center"/>
            <w:hideMark/>
          </w:tcPr>
          <w:p w14:paraId="6163B0BC"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8801827" w14:textId="77777777" w:rsidR="00000000" w:rsidRDefault="001D0688">
            <w:pPr>
              <w:jc w:val="center"/>
              <w:rPr>
                <w:rFonts w:eastAsia="Times New Roman"/>
              </w:rPr>
            </w:pPr>
            <w:r>
              <w:rPr>
                <w:rFonts w:ascii="Arial" w:eastAsia="Times New Roman" w:hAnsi="Arial" w:cs="Arial"/>
                <w:color w:val="000000"/>
                <w:sz w:val="18"/>
                <w:szCs w:val="18"/>
              </w:rPr>
              <w:t>Intangibles—Goodwill and Other—</w:t>
            </w:r>
            <w:r>
              <w:rPr>
                <w:rFonts w:ascii="Arial" w:eastAsia="Times New Roman" w:hAnsi="Arial" w:cs="Arial"/>
                <w:color w:val="000000"/>
                <w:sz w:val="18"/>
                <w:szCs w:val="18"/>
              </w:rPr>
              <w:t>Internal-Use Software (Subtopic 350-40): Customer’s Accounting for Implementation Costs Incurred in a Cloud Computing Arrangement That Is a Service Contract</w:t>
            </w:r>
          </w:p>
        </w:tc>
        <w:tc>
          <w:tcPr>
            <w:tcW w:w="0" w:type="auto"/>
            <w:gridSpan w:val="3"/>
            <w:tcMar>
              <w:top w:w="0" w:type="dxa"/>
              <w:left w:w="20" w:type="dxa"/>
              <w:bottom w:w="0" w:type="dxa"/>
              <w:right w:w="20" w:type="dxa"/>
            </w:tcMar>
            <w:vAlign w:val="center"/>
            <w:hideMark/>
          </w:tcPr>
          <w:p w14:paraId="752B73A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F016FB8" w14:textId="77777777" w:rsidR="00000000" w:rsidRDefault="001D0688">
            <w:pPr>
              <w:rPr>
                <w:rFonts w:eastAsia="Times New Roman"/>
              </w:rPr>
            </w:pPr>
            <w:r>
              <w:rPr>
                <w:rFonts w:ascii="Arial" w:eastAsia="Times New Roman" w:hAnsi="Arial" w:cs="Arial"/>
                <w:color w:val="000000"/>
                <w:sz w:val="18"/>
                <w:szCs w:val="18"/>
              </w:rPr>
              <w:t>This ASU, issued in August 2018, aligns the requirements for capitalizing implementation costs</w:t>
            </w:r>
            <w:r>
              <w:rPr>
                <w:rFonts w:ascii="Arial" w:eastAsia="Times New Roman" w:hAnsi="Arial" w:cs="Arial"/>
                <w:color w:val="000000"/>
                <w:sz w:val="18"/>
                <w:szCs w:val="18"/>
              </w:rPr>
              <w:t xml:space="preserve"> incurred in a hosting arrangement that is a service contract with the requirements for capitalizing implementation costs incurred to develop or obtain internal-use software.</w:t>
            </w:r>
            <w:r>
              <w:rPr>
                <w:rFonts w:ascii="Arial" w:eastAsia="Times New Roman" w:hAnsi="Arial" w:cs="Arial"/>
                <w:color w:val="000000"/>
                <w:sz w:val="18"/>
                <w:szCs w:val="18"/>
              </w:rPr>
              <w:br/>
            </w:r>
            <w:r>
              <w:rPr>
                <w:rFonts w:ascii="Arial" w:eastAsia="Times New Roman" w:hAnsi="Arial" w:cs="Arial"/>
                <w:color w:val="000000"/>
                <w:sz w:val="18"/>
                <w:szCs w:val="18"/>
              </w:rPr>
              <w:br/>
              <w:t>We do not expect adoption to have a material impact.</w:t>
            </w:r>
          </w:p>
        </w:tc>
        <w:tc>
          <w:tcPr>
            <w:tcW w:w="0" w:type="auto"/>
            <w:gridSpan w:val="3"/>
            <w:tcMar>
              <w:top w:w="0" w:type="dxa"/>
              <w:left w:w="20" w:type="dxa"/>
              <w:bottom w:w="0" w:type="dxa"/>
              <w:right w:w="20" w:type="dxa"/>
            </w:tcMar>
            <w:vAlign w:val="center"/>
            <w:hideMark/>
          </w:tcPr>
          <w:p w14:paraId="15279E6B"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BF527AB" w14:textId="77777777" w:rsidR="00000000" w:rsidRDefault="001D0688">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prospectively to all implementation costs incurred after the date of adoption.</w:t>
            </w:r>
          </w:p>
        </w:tc>
      </w:tr>
      <w:tr w:rsidR="00000000" w14:paraId="30BDA7E3" w14:textId="77777777">
        <w:trPr>
          <w:jc w:val="center"/>
        </w:trPr>
        <w:tc>
          <w:tcPr>
            <w:tcW w:w="0" w:type="auto"/>
            <w:gridSpan w:val="3"/>
            <w:tcBorders>
              <w:top w:val="single" w:sz="8" w:space="0" w:color="000000"/>
            </w:tcBorders>
            <w:tcMar>
              <w:top w:w="30" w:type="dxa"/>
              <w:left w:w="20" w:type="dxa"/>
              <w:bottom w:w="30" w:type="dxa"/>
              <w:right w:w="20" w:type="dxa"/>
            </w:tcMar>
            <w:hideMark/>
          </w:tcPr>
          <w:p w14:paraId="469697FD" w14:textId="77777777" w:rsidR="00000000" w:rsidRDefault="001D0688">
            <w:pPr>
              <w:jc w:val="center"/>
              <w:rPr>
                <w:rFonts w:eastAsia="Times New Roman"/>
              </w:rPr>
            </w:pPr>
            <w:r>
              <w:rPr>
                <w:rFonts w:ascii="Arial" w:eastAsia="Times New Roman" w:hAnsi="Arial" w:cs="Arial"/>
                <w:color w:val="000000"/>
                <w:sz w:val="18"/>
                <w:szCs w:val="18"/>
              </w:rPr>
              <w:t>2018-14</w:t>
            </w:r>
          </w:p>
        </w:tc>
        <w:tc>
          <w:tcPr>
            <w:tcW w:w="0" w:type="auto"/>
            <w:gridSpan w:val="3"/>
            <w:tcMar>
              <w:top w:w="0" w:type="dxa"/>
              <w:left w:w="20" w:type="dxa"/>
              <w:bottom w:w="0" w:type="dxa"/>
              <w:right w:w="20" w:type="dxa"/>
            </w:tcMar>
            <w:vAlign w:val="center"/>
            <w:hideMark/>
          </w:tcPr>
          <w:p w14:paraId="1A51ADBD"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A82E38E" w14:textId="77777777" w:rsidR="00000000" w:rsidRDefault="001D0688">
            <w:pPr>
              <w:jc w:val="center"/>
              <w:rPr>
                <w:rFonts w:eastAsia="Times New Roman"/>
              </w:rPr>
            </w:pPr>
            <w:r>
              <w:rPr>
                <w:rFonts w:ascii="Arial" w:eastAsia="Times New Roman" w:hAnsi="Arial" w:cs="Arial"/>
                <w:color w:val="000000"/>
                <w:sz w:val="18"/>
                <w:szCs w:val="18"/>
              </w:rPr>
              <w:t>Compensation—Retirement Benefits—Defined Benefit Plans—General (Subtopic 715-20): Disclosure Framework—Changes to t</w:t>
            </w:r>
            <w:r>
              <w:rPr>
                <w:rFonts w:ascii="Arial" w:eastAsia="Times New Roman" w:hAnsi="Arial" w:cs="Arial"/>
                <w:color w:val="000000"/>
                <w:sz w:val="18"/>
                <w:szCs w:val="18"/>
              </w:rPr>
              <w:t>he Disclosure Requirements for Defined Benefit Plans</w:t>
            </w:r>
          </w:p>
        </w:tc>
        <w:tc>
          <w:tcPr>
            <w:tcW w:w="0" w:type="auto"/>
            <w:gridSpan w:val="3"/>
            <w:tcMar>
              <w:top w:w="0" w:type="dxa"/>
              <w:left w:w="20" w:type="dxa"/>
              <w:bottom w:w="0" w:type="dxa"/>
              <w:right w:w="20" w:type="dxa"/>
            </w:tcMar>
            <w:vAlign w:val="center"/>
            <w:hideMark/>
          </w:tcPr>
          <w:p w14:paraId="1A60ABC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9A9FDE8" w14:textId="77777777" w:rsidR="00000000" w:rsidRDefault="001D0688">
            <w:pPr>
              <w:rPr>
                <w:rFonts w:eastAsia="Times New Roman"/>
              </w:rPr>
            </w:pPr>
            <w:r>
              <w:rPr>
                <w:rFonts w:ascii="Arial" w:eastAsia="Times New Roman" w:hAnsi="Arial" w:cs="Arial"/>
                <w:color w:val="000000"/>
                <w:sz w:val="18"/>
                <w:szCs w:val="18"/>
              </w:rPr>
              <w:t>This ASU, issued in August 2018, modifies the disclosure requirements on company-sponsored defined benefit plans.</w:t>
            </w:r>
            <w:r>
              <w:rPr>
                <w:rFonts w:ascii="Arial" w:eastAsia="Times New Roman" w:hAnsi="Arial" w:cs="Arial"/>
                <w:color w:val="000000"/>
                <w:sz w:val="18"/>
                <w:szCs w:val="18"/>
              </w:rPr>
              <w:br/>
            </w:r>
            <w:r>
              <w:rPr>
                <w:rFonts w:ascii="Arial" w:eastAsia="Times New Roman" w:hAnsi="Arial" w:cs="Arial"/>
                <w:color w:val="000000"/>
                <w:sz w:val="18"/>
                <w:szCs w:val="18"/>
              </w:rPr>
              <w:br/>
              <w:t>We do not expect adoption to have a material impact.</w:t>
            </w:r>
          </w:p>
        </w:tc>
        <w:tc>
          <w:tcPr>
            <w:tcW w:w="0" w:type="auto"/>
            <w:gridSpan w:val="3"/>
            <w:tcMar>
              <w:top w:w="0" w:type="dxa"/>
              <w:left w:w="20" w:type="dxa"/>
              <w:bottom w:w="0" w:type="dxa"/>
              <w:right w:w="20" w:type="dxa"/>
            </w:tcMar>
            <w:vAlign w:val="center"/>
            <w:hideMark/>
          </w:tcPr>
          <w:p w14:paraId="597E6B3F"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1E5320B" w14:textId="77777777" w:rsidR="00000000" w:rsidRDefault="001D0688">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up</w:t>
            </w:r>
            <w:r>
              <w:rPr>
                <w:rFonts w:ascii="Arial" w:eastAsia="Times New Roman" w:hAnsi="Arial" w:cs="Arial"/>
                <w:color w:val="000000"/>
                <w:sz w:val="18"/>
                <w:szCs w:val="18"/>
              </w:rPr>
              <w:t>date will be applied retrospectively.</w:t>
            </w:r>
          </w:p>
        </w:tc>
      </w:tr>
      <w:tr w:rsidR="00000000" w14:paraId="60FC102C" w14:textId="77777777">
        <w:trPr>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6DE8BC6" w14:textId="77777777" w:rsidR="00000000" w:rsidRDefault="001D0688">
            <w:pPr>
              <w:jc w:val="center"/>
              <w:rPr>
                <w:rFonts w:eastAsia="Times New Roman"/>
              </w:rPr>
            </w:pPr>
            <w:r>
              <w:rPr>
                <w:rFonts w:ascii="Arial" w:eastAsia="Times New Roman" w:hAnsi="Arial" w:cs="Arial"/>
                <w:color w:val="000000"/>
                <w:sz w:val="18"/>
                <w:szCs w:val="18"/>
              </w:rPr>
              <w:t>2018-13</w:t>
            </w:r>
          </w:p>
        </w:tc>
        <w:tc>
          <w:tcPr>
            <w:tcW w:w="0" w:type="auto"/>
            <w:gridSpan w:val="3"/>
            <w:tcMar>
              <w:top w:w="0" w:type="dxa"/>
              <w:left w:w="20" w:type="dxa"/>
              <w:bottom w:w="0" w:type="dxa"/>
              <w:right w:w="20" w:type="dxa"/>
            </w:tcMar>
            <w:vAlign w:val="center"/>
            <w:hideMark/>
          </w:tcPr>
          <w:p w14:paraId="52A522BD" w14:textId="77777777" w:rsidR="00000000" w:rsidRDefault="001D068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24329796" w14:textId="77777777" w:rsidR="00000000" w:rsidRDefault="001D0688">
            <w:pPr>
              <w:jc w:val="center"/>
              <w:rPr>
                <w:rFonts w:eastAsia="Times New Roman"/>
              </w:rPr>
            </w:pPr>
            <w:r>
              <w:rPr>
                <w:rFonts w:ascii="Arial" w:eastAsia="Times New Roman" w:hAnsi="Arial" w:cs="Arial"/>
                <w:color w:val="000000"/>
                <w:sz w:val="18"/>
                <w:szCs w:val="18"/>
              </w:rPr>
              <w:t>Fair Value Measurement (Topic 820): Disclosure Framework—Changes to the Disclosure Requirements for Fair Value Measurement</w:t>
            </w:r>
          </w:p>
        </w:tc>
        <w:tc>
          <w:tcPr>
            <w:tcW w:w="0" w:type="auto"/>
            <w:gridSpan w:val="3"/>
            <w:tcMar>
              <w:top w:w="0" w:type="dxa"/>
              <w:left w:w="20" w:type="dxa"/>
              <w:bottom w:w="0" w:type="dxa"/>
              <w:right w:w="20" w:type="dxa"/>
            </w:tcMar>
            <w:vAlign w:val="center"/>
            <w:hideMark/>
          </w:tcPr>
          <w:p w14:paraId="43EE10B0" w14:textId="77777777" w:rsidR="00000000" w:rsidRDefault="001D068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1F02F673" w14:textId="77777777" w:rsidR="00000000" w:rsidRDefault="001D0688">
            <w:pPr>
              <w:rPr>
                <w:rFonts w:eastAsia="Times New Roman"/>
              </w:rPr>
            </w:pPr>
            <w:r>
              <w:rPr>
                <w:rFonts w:ascii="Arial" w:eastAsia="Times New Roman" w:hAnsi="Arial" w:cs="Arial"/>
                <w:color w:val="000000"/>
                <w:sz w:val="18"/>
                <w:szCs w:val="18"/>
              </w:rPr>
              <w:t>This ASU, issued in August 2018, modifies the disclosure requirements on fair value measurements by removing certain disclosure requirements related to the fair value hierarchy, modifying existing disclosure requirements related to measurement uncertainty,</w:t>
            </w:r>
            <w:r>
              <w:rPr>
                <w:rFonts w:ascii="Arial" w:eastAsia="Times New Roman" w:hAnsi="Arial" w:cs="Arial"/>
                <w:color w:val="000000"/>
                <w:sz w:val="18"/>
                <w:szCs w:val="18"/>
              </w:rPr>
              <w:t xml:space="preserve"> and adding new disclosure requirements.</w:t>
            </w:r>
            <w:r>
              <w:rPr>
                <w:rFonts w:ascii="Arial" w:eastAsia="Times New Roman" w:hAnsi="Arial" w:cs="Arial"/>
                <w:color w:val="000000"/>
                <w:sz w:val="18"/>
                <w:szCs w:val="18"/>
              </w:rPr>
              <w:br/>
            </w:r>
            <w:r>
              <w:rPr>
                <w:rFonts w:ascii="Arial" w:eastAsia="Times New Roman" w:hAnsi="Arial" w:cs="Arial"/>
                <w:color w:val="000000"/>
                <w:sz w:val="18"/>
                <w:szCs w:val="18"/>
              </w:rPr>
              <w:br/>
              <w:t>We do not expect adoption to have a material impact.</w:t>
            </w:r>
          </w:p>
        </w:tc>
        <w:tc>
          <w:tcPr>
            <w:tcW w:w="0" w:type="auto"/>
            <w:gridSpan w:val="3"/>
            <w:tcMar>
              <w:top w:w="0" w:type="dxa"/>
              <w:left w:w="20" w:type="dxa"/>
              <w:bottom w:w="0" w:type="dxa"/>
              <w:right w:w="20" w:type="dxa"/>
            </w:tcMar>
            <w:vAlign w:val="center"/>
            <w:hideMark/>
          </w:tcPr>
          <w:p w14:paraId="4FB54A55" w14:textId="77777777" w:rsidR="00000000" w:rsidRDefault="001D0688">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8F16D53" w14:textId="77777777" w:rsidR="00000000" w:rsidRDefault="001D0688">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The amendments related to disclosure requirements within this update will be applied prospectively and the other amendments will be applie</w:t>
            </w:r>
            <w:r>
              <w:rPr>
                <w:rFonts w:ascii="Arial" w:eastAsia="Times New Roman" w:hAnsi="Arial" w:cs="Arial"/>
                <w:color w:val="000000"/>
                <w:sz w:val="18"/>
                <w:szCs w:val="18"/>
              </w:rPr>
              <w:t>d retrospectively.</w:t>
            </w:r>
          </w:p>
        </w:tc>
      </w:tr>
    </w:tbl>
    <w:p w14:paraId="41054E1D" w14:textId="77777777" w:rsidR="00000000" w:rsidRDefault="001D0688">
      <w:pPr>
        <w:jc w:val="center"/>
        <w:rPr>
          <w:rFonts w:eastAsia="Times New Roman"/>
        </w:rPr>
      </w:pPr>
    </w:p>
    <w:p w14:paraId="0392781E" w14:textId="77777777" w:rsidR="00000000" w:rsidRDefault="001D0688">
      <w:pPr>
        <w:jc w:val="center"/>
        <w:divId w:val="368576359"/>
        <w:rPr>
          <w:rFonts w:eastAsia="Times New Roman"/>
        </w:rPr>
      </w:pPr>
    </w:p>
    <w:p w14:paraId="2516D89D" w14:textId="77777777" w:rsidR="00000000" w:rsidRDefault="001D0688">
      <w:pPr>
        <w:jc w:val="center"/>
        <w:divId w:val="2093231017"/>
        <w:rPr>
          <w:rFonts w:eastAsia="Times New Roman"/>
        </w:rPr>
      </w:pPr>
      <w:r>
        <w:rPr>
          <w:rFonts w:ascii="Arial" w:eastAsia="Times New Roman" w:hAnsi="Arial" w:cs="Arial"/>
          <w:color w:val="000000"/>
          <w:sz w:val="20"/>
          <w:szCs w:val="20"/>
        </w:rPr>
        <w:t>43</w:t>
      </w:r>
    </w:p>
    <w:p w14:paraId="7880BDF9" w14:textId="77777777" w:rsidR="00000000" w:rsidRDefault="001D0688">
      <w:pPr>
        <w:rPr>
          <w:rFonts w:eastAsia="Times New Roman"/>
        </w:rPr>
      </w:pPr>
      <w:r>
        <w:rPr>
          <w:rFonts w:eastAsia="Times New Roman"/>
        </w:rPr>
        <w:pict w14:anchorId="3FAEFD7C">
          <v:rect id="_x0000_i1079" style="width:0;height:1.5pt" o:hralign="center" o:hrstd="t" o:hr="t" fillcolor="#a0a0a0" stroked="f"/>
        </w:pict>
      </w:r>
    </w:p>
    <w:p w14:paraId="7E04E979" w14:textId="77777777" w:rsidR="00000000" w:rsidRDefault="001D0688">
      <w:pPr>
        <w:divId w:val="9687358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0"/>
        <w:gridCol w:w="932"/>
        <w:gridCol w:w="36"/>
        <w:gridCol w:w="36"/>
        <w:gridCol w:w="36"/>
        <w:gridCol w:w="36"/>
        <w:gridCol w:w="57"/>
        <w:gridCol w:w="1525"/>
        <w:gridCol w:w="36"/>
        <w:gridCol w:w="36"/>
        <w:gridCol w:w="36"/>
        <w:gridCol w:w="36"/>
        <w:gridCol w:w="38"/>
        <w:gridCol w:w="3769"/>
        <w:gridCol w:w="36"/>
        <w:gridCol w:w="36"/>
        <w:gridCol w:w="36"/>
        <w:gridCol w:w="36"/>
        <w:gridCol w:w="60"/>
        <w:gridCol w:w="1367"/>
        <w:gridCol w:w="36"/>
      </w:tblGrid>
      <w:tr w:rsidR="00000000" w14:paraId="4A19C3D1" w14:textId="77777777">
        <w:trPr>
          <w:divId w:val="1004821322"/>
          <w:jc w:val="center"/>
        </w:trPr>
        <w:tc>
          <w:tcPr>
            <w:tcW w:w="50" w:type="pct"/>
            <w:vAlign w:val="center"/>
            <w:hideMark/>
          </w:tcPr>
          <w:p w14:paraId="1D7DB614" w14:textId="77777777" w:rsidR="00000000" w:rsidRDefault="001D0688">
            <w:pPr>
              <w:rPr>
                <w:rFonts w:eastAsia="Times New Roman"/>
              </w:rPr>
            </w:pPr>
          </w:p>
        </w:tc>
        <w:tc>
          <w:tcPr>
            <w:tcW w:w="522" w:type="pct"/>
            <w:vAlign w:val="center"/>
            <w:hideMark/>
          </w:tcPr>
          <w:p w14:paraId="7ABEDF20" w14:textId="77777777" w:rsidR="00000000" w:rsidRDefault="001D0688">
            <w:pPr>
              <w:rPr>
                <w:rFonts w:eastAsia="Times New Roman"/>
                <w:sz w:val="20"/>
                <w:szCs w:val="20"/>
              </w:rPr>
            </w:pPr>
          </w:p>
        </w:tc>
        <w:tc>
          <w:tcPr>
            <w:tcW w:w="5" w:type="pct"/>
            <w:vAlign w:val="center"/>
            <w:hideMark/>
          </w:tcPr>
          <w:p w14:paraId="0782C1DE" w14:textId="77777777" w:rsidR="00000000" w:rsidRDefault="001D0688">
            <w:pPr>
              <w:rPr>
                <w:rFonts w:eastAsia="Times New Roman"/>
                <w:sz w:val="20"/>
                <w:szCs w:val="20"/>
              </w:rPr>
            </w:pPr>
          </w:p>
        </w:tc>
        <w:tc>
          <w:tcPr>
            <w:tcW w:w="5" w:type="pct"/>
            <w:vAlign w:val="center"/>
            <w:hideMark/>
          </w:tcPr>
          <w:p w14:paraId="3E542336" w14:textId="77777777" w:rsidR="00000000" w:rsidRDefault="001D0688">
            <w:pPr>
              <w:rPr>
                <w:rFonts w:eastAsia="Times New Roman"/>
                <w:sz w:val="20"/>
                <w:szCs w:val="20"/>
              </w:rPr>
            </w:pPr>
          </w:p>
        </w:tc>
        <w:tc>
          <w:tcPr>
            <w:tcW w:w="19" w:type="pct"/>
            <w:vAlign w:val="center"/>
            <w:hideMark/>
          </w:tcPr>
          <w:p w14:paraId="3CD7A5FC" w14:textId="77777777" w:rsidR="00000000" w:rsidRDefault="001D0688">
            <w:pPr>
              <w:rPr>
                <w:rFonts w:eastAsia="Times New Roman"/>
                <w:sz w:val="20"/>
                <w:szCs w:val="20"/>
              </w:rPr>
            </w:pPr>
          </w:p>
        </w:tc>
        <w:tc>
          <w:tcPr>
            <w:tcW w:w="5" w:type="pct"/>
            <w:vAlign w:val="center"/>
            <w:hideMark/>
          </w:tcPr>
          <w:p w14:paraId="38078672" w14:textId="77777777" w:rsidR="00000000" w:rsidRDefault="001D0688">
            <w:pPr>
              <w:rPr>
                <w:rFonts w:eastAsia="Times New Roman"/>
                <w:sz w:val="20"/>
                <w:szCs w:val="20"/>
              </w:rPr>
            </w:pPr>
          </w:p>
        </w:tc>
        <w:tc>
          <w:tcPr>
            <w:tcW w:w="50" w:type="pct"/>
            <w:vAlign w:val="center"/>
            <w:hideMark/>
          </w:tcPr>
          <w:p w14:paraId="13BD8B59" w14:textId="77777777" w:rsidR="00000000" w:rsidRDefault="001D0688">
            <w:pPr>
              <w:rPr>
                <w:rFonts w:eastAsia="Times New Roman"/>
                <w:sz w:val="20"/>
                <w:szCs w:val="20"/>
              </w:rPr>
            </w:pPr>
          </w:p>
        </w:tc>
        <w:tc>
          <w:tcPr>
            <w:tcW w:w="975" w:type="pct"/>
            <w:vAlign w:val="center"/>
            <w:hideMark/>
          </w:tcPr>
          <w:p w14:paraId="69979731" w14:textId="77777777" w:rsidR="00000000" w:rsidRDefault="001D0688">
            <w:pPr>
              <w:rPr>
                <w:rFonts w:eastAsia="Times New Roman"/>
                <w:sz w:val="20"/>
                <w:szCs w:val="20"/>
              </w:rPr>
            </w:pPr>
          </w:p>
        </w:tc>
        <w:tc>
          <w:tcPr>
            <w:tcW w:w="5" w:type="pct"/>
            <w:vAlign w:val="center"/>
            <w:hideMark/>
          </w:tcPr>
          <w:p w14:paraId="7790260A" w14:textId="77777777" w:rsidR="00000000" w:rsidRDefault="001D0688">
            <w:pPr>
              <w:rPr>
                <w:rFonts w:eastAsia="Times New Roman"/>
                <w:sz w:val="20"/>
                <w:szCs w:val="20"/>
              </w:rPr>
            </w:pPr>
          </w:p>
        </w:tc>
        <w:tc>
          <w:tcPr>
            <w:tcW w:w="5" w:type="pct"/>
            <w:vAlign w:val="center"/>
            <w:hideMark/>
          </w:tcPr>
          <w:p w14:paraId="70103568" w14:textId="77777777" w:rsidR="00000000" w:rsidRDefault="001D0688">
            <w:pPr>
              <w:rPr>
                <w:rFonts w:eastAsia="Times New Roman"/>
                <w:sz w:val="20"/>
                <w:szCs w:val="20"/>
              </w:rPr>
            </w:pPr>
          </w:p>
        </w:tc>
        <w:tc>
          <w:tcPr>
            <w:tcW w:w="19" w:type="pct"/>
            <w:vAlign w:val="center"/>
            <w:hideMark/>
          </w:tcPr>
          <w:p w14:paraId="38DDC6A6" w14:textId="77777777" w:rsidR="00000000" w:rsidRDefault="001D0688">
            <w:pPr>
              <w:rPr>
                <w:rFonts w:eastAsia="Times New Roman"/>
                <w:sz w:val="20"/>
                <w:szCs w:val="20"/>
              </w:rPr>
            </w:pPr>
          </w:p>
        </w:tc>
        <w:tc>
          <w:tcPr>
            <w:tcW w:w="5" w:type="pct"/>
            <w:vAlign w:val="center"/>
            <w:hideMark/>
          </w:tcPr>
          <w:p w14:paraId="2F1AAF7D" w14:textId="77777777" w:rsidR="00000000" w:rsidRDefault="001D0688">
            <w:pPr>
              <w:rPr>
                <w:rFonts w:eastAsia="Times New Roman"/>
                <w:sz w:val="20"/>
                <w:szCs w:val="20"/>
              </w:rPr>
            </w:pPr>
          </w:p>
        </w:tc>
        <w:tc>
          <w:tcPr>
            <w:tcW w:w="50" w:type="pct"/>
            <w:vAlign w:val="center"/>
            <w:hideMark/>
          </w:tcPr>
          <w:p w14:paraId="2DCB1871" w14:textId="77777777" w:rsidR="00000000" w:rsidRDefault="001D0688">
            <w:pPr>
              <w:rPr>
                <w:rFonts w:eastAsia="Times New Roman"/>
                <w:sz w:val="20"/>
                <w:szCs w:val="20"/>
              </w:rPr>
            </w:pPr>
          </w:p>
        </w:tc>
        <w:tc>
          <w:tcPr>
            <w:tcW w:w="2313" w:type="pct"/>
            <w:vAlign w:val="center"/>
            <w:hideMark/>
          </w:tcPr>
          <w:p w14:paraId="63756C35" w14:textId="77777777" w:rsidR="00000000" w:rsidRDefault="001D0688">
            <w:pPr>
              <w:rPr>
                <w:rFonts w:eastAsia="Times New Roman"/>
                <w:sz w:val="20"/>
                <w:szCs w:val="20"/>
              </w:rPr>
            </w:pPr>
          </w:p>
        </w:tc>
        <w:tc>
          <w:tcPr>
            <w:tcW w:w="5" w:type="pct"/>
            <w:vAlign w:val="center"/>
            <w:hideMark/>
          </w:tcPr>
          <w:p w14:paraId="2AC52032" w14:textId="77777777" w:rsidR="00000000" w:rsidRDefault="001D0688">
            <w:pPr>
              <w:rPr>
                <w:rFonts w:eastAsia="Times New Roman"/>
                <w:sz w:val="20"/>
                <w:szCs w:val="20"/>
              </w:rPr>
            </w:pPr>
          </w:p>
        </w:tc>
        <w:tc>
          <w:tcPr>
            <w:tcW w:w="5" w:type="pct"/>
            <w:vAlign w:val="center"/>
            <w:hideMark/>
          </w:tcPr>
          <w:p w14:paraId="6770EA10" w14:textId="77777777" w:rsidR="00000000" w:rsidRDefault="001D0688">
            <w:pPr>
              <w:rPr>
                <w:rFonts w:eastAsia="Times New Roman"/>
                <w:sz w:val="20"/>
                <w:szCs w:val="20"/>
              </w:rPr>
            </w:pPr>
          </w:p>
        </w:tc>
        <w:tc>
          <w:tcPr>
            <w:tcW w:w="19" w:type="pct"/>
            <w:vAlign w:val="center"/>
            <w:hideMark/>
          </w:tcPr>
          <w:p w14:paraId="71D06816" w14:textId="77777777" w:rsidR="00000000" w:rsidRDefault="001D0688">
            <w:pPr>
              <w:rPr>
                <w:rFonts w:eastAsia="Times New Roman"/>
                <w:sz w:val="20"/>
                <w:szCs w:val="20"/>
              </w:rPr>
            </w:pPr>
          </w:p>
        </w:tc>
        <w:tc>
          <w:tcPr>
            <w:tcW w:w="5" w:type="pct"/>
            <w:vAlign w:val="center"/>
            <w:hideMark/>
          </w:tcPr>
          <w:p w14:paraId="633612FE" w14:textId="77777777" w:rsidR="00000000" w:rsidRDefault="001D0688">
            <w:pPr>
              <w:rPr>
                <w:rFonts w:eastAsia="Times New Roman"/>
                <w:sz w:val="20"/>
                <w:szCs w:val="20"/>
              </w:rPr>
            </w:pPr>
          </w:p>
        </w:tc>
        <w:tc>
          <w:tcPr>
            <w:tcW w:w="50" w:type="pct"/>
            <w:vAlign w:val="center"/>
            <w:hideMark/>
          </w:tcPr>
          <w:p w14:paraId="2C8395FB" w14:textId="77777777" w:rsidR="00000000" w:rsidRDefault="001D0688">
            <w:pPr>
              <w:rPr>
                <w:rFonts w:eastAsia="Times New Roman"/>
                <w:sz w:val="20"/>
                <w:szCs w:val="20"/>
              </w:rPr>
            </w:pPr>
          </w:p>
        </w:tc>
        <w:tc>
          <w:tcPr>
            <w:tcW w:w="880" w:type="pct"/>
            <w:vAlign w:val="center"/>
            <w:hideMark/>
          </w:tcPr>
          <w:p w14:paraId="4F1D93C0" w14:textId="77777777" w:rsidR="00000000" w:rsidRDefault="001D0688">
            <w:pPr>
              <w:rPr>
                <w:rFonts w:eastAsia="Times New Roman"/>
                <w:sz w:val="20"/>
                <w:szCs w:val="20"/>
              </w:rPr>
            </w:pPr>
          </w:p>
        </w:tc>
        <w:tc>
          <w:tcPr>
            <w:tcW w:w="5" w:type="pct"/>
            <w:vAlign w:val="center"/>
            <w:hideMark/>
          </w:tcPr>
          <w:p w14:paraId="3CBA1739" w14:textId="77777777" w:rsidR="00000000" w:rsidRDefault="001D0688">
            <w:pPr>
              <w:rPr>
                <w:rFonts w:eastAsia="Times New Roman"/>
                <w:sz w:val="20"/>
                <w:szCs w:val="20"/>
              </w:rPr>
            </w:pPr>
          </w:p>
        </w:tc>
      </w:tr>
      <w:tr w:rsidR="00000000" w14:paraId="3A3585F3" w14:textId="77777777">
        <w:trPr>
          <w:divId w:val="1004821322"/>
          <w:jc w:val="center"/>
        </w:trPr>
        <w:tc>
          <w:tcPr>
            <w:tcW w:w="0" w:type="auto"/>
            <w:gridSpan w:val="3"/>
            <w:tcMar>
              <w:top w:w="30" w:type="dxa"/>
              <w:left w:w="20" w:type="dxa"/>
              <w:bottom w:w="30" w:type="dxa"/>
              <w:right w:w="20" w:type="dxa"/>
            </w:tcMar>
            <w:vAlign w:val="bottom"/>
            <w:hideMark/>
          </w:tcPr>
          <w:p w14:paraId="597A0829" w14:textId="77777777" w:rsidR="00000000" w:rsidRDefault="001D0688">
            <w:pPr>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14:paraId="3997E190"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2B534E5" w14:textId="77777777" w:rsidR="00000000" w:rsidRDefault="001D0688">
            <w:pPr>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14:paraId="4CBAF807"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BC9FF48" w14:textId="77777777" w:rsidR="00000000" w:rsidRDefault="001D0688">
            <w:pPr>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14:paraId="4F5345B9"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8A69882" w14:textId="77777777" w:rsidR="00000000" w:rsidRDefault="001D0688">
            <w:pPr>
              <w:jc w:val="center"/>
              <w:rPr>
                <w:rFonts w:eastAsia="Times New Roman"/>
              </w:rPr>
            </w:pPr>
            <w:r>
              <w:rPr>
                <w:rFonts w:ascii="Arial" w:eastAsia="Times New Roman" w:hAnsi="Arial" w:cs="Arial"/>
                <w:b/>
                <w:bCs/>
                <w:color w:val="000000"/>
                <w:sz w:val="18"/>
                <w:szCs w:val="18"/>
              </w:rPr>
              <w:t>Effective Date/Method of Adoption</w:t>
            </w:r>
          </w:p>
        </w:tc>
      </w:tr>
      <w:tr w:rsidR="00000000" w14:paraId="3674F737" w14:textId="77777777">
        <w:trPr>
          <w:divId w:val="1004821322"/>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32608322" w14:textId="77777777" w:rsidR="00000000" w:rsidRDefault="001D0688">
            <w:pPr>
              <w:jc w:val="center"/>
              <w:rPr>
                <w:rFonts w:eastAsia="Times New Roman"/>
              </w:rPr>
            </w:pPr>
            <w:r>
              <w:rPr>
                <w:rFonts w:ascii="Arial" w:eastAsia="Times New Roman" w:hAnsi="Arial" w:cs="Arial"/>
                <w:color w:val="000000"/>
                <w:sz w:val="18"/>
                <w:szCs w:val="18"/>
              </w:rPr>
              <w:t>2016-13</w:t>
            </w:r>
            <w:r>
              <w:rPr>
                <w:rFonts w:ascii="Arial" w:eastAsia="Times New Roman" w:hAnsi="Arial" w:cs="Arial"/>
                <w:color w:val="000000"/>
                <w:sz w:val="18"/>
                <w:szCs w:val="18"/>
              </w:rPr>
              <w:br/>
              <w:t>2018-19</w:t>
            </w:r>
            <w:r>
              <w:rPr>
                <w:rFonts w:ascii="Arial" w:eastAsia="Times New Roman" w:hAnsi="Arial" w:cs="Arial"/>
                <w:color w:val="000000"/>
                <w:sz w:val="18"/>
                <w:szCs w:val="18"/>
              </w:rPr>
              <w:br/>
              <w:t>2019-11</w:t>
            </w:r>
            <w:r>
              <w:rPr>
                <w:rFonts w:ascii="Arial" w:eastAsia="Times New Roman" w:hAnsi="Arial" w:cs="Arial"/>
                <w:color w:val="000000"/>
                <w:sz w:val="18"/>
                <w:szCs w:val="18"/>
              </w:rPr>
              <w:br/>
              <w:t>2019-05</w:t>
            </w:r>
          </w:p>
        </w:tc>
        <w:tc>
          <w:tcPr>
            <w:tcW w:w="0" w:type="auto"/>
            <w:gridSpan w:val="3"/>
            <w:tcBorders>
              <w:bottom w:val="single" w:sz="8" w:space="0" w:color="000000"/>
            </w:tcBorders>
            <w:tcMar>
              <w:top w:w="0" w:type="dxa"/>
              <w:left w:w="20" w:type="dxa"/>
              <w:bottom w:w="0" w:type="dxa"/>
              <w:right w:w="20" w:type="dxa"/>
            </w:tcMar>
            <w:vAlign w:val="center"/>
            <w:hideMark/>
          </w:tcPr>
          <w:p w14:paraId="3B93909C" w14:textId="77777777" w:rsidR="00000000" w:rsidRDefault="001D068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271F81AC" w14:textId="77777777" w:rsidR="00000000" w:rsidRDefault="001D0688">
            <w:pPr>
              <w:jc w:val="center"/>
              <w:rPr>
                <w:rFonts w:eastAsia="Times New Roman"/>
              </w:rPr>
            </w:pPr>
            <w:r>
              <w:rPr>
                <w:rFonts w:ascii="Arial" w:eastAsia="Times New Roman" w:hAnsi="Arial" w:cs="Arial"/>
                <w:color w:val="000000"/>
                <w:sz w:val="18"/>
                <w:szCs w:val="18"/>
              </w:rPr>
              <w:t>Financial Instruments—</w:t>
            </w:r>
            <w:r>
              <w:rPr>
                <w:rFonts w:ascii="Arial" w:eastAsia="Times New Roman" w:hAnsi="Arial" w:cs="Arial"/>
                <w:color w:val="000000"/>
                <w:sz w:val="18"/>
                <w:szCs w:val="18"/>
              </w:rPr>
              <w:t>Credit Losses (Topic 326): Measurement of Credit Losses on Financial Instruments</w:t>
            </w:r>
          </w:p>
        </w:tc>
        <w:tc>
          <w:tcPr>
            <w:tcW w:w="0" w:type="auto"/>
            <w:gridSpan w:val="3"/>
            <w:tcBorders>
              <w:bottom w:val="single" w:sz="8" w:space="0" w:color="000000"/>
            </w:tcBorders>
            <w:tcMar>
              <w:top w:w="0" w:type="dxa"/>
              <w:left w:w="20" w:type="dxa"/>
              <w:bottom w:w="0" w:type="dxa"/>
              <w:right w:w="20" w:type="dxa"/>
            </w:tcMar>
            <w:vAlign w:val="center"/>
            <w:hideMark/>
          </w:tcPr>
          <w:p w14:paraId="7EBE6485" w14:textId="77777777" w:rsidR="00000000" w:rsidRDefault="001D068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92335A1" w14:textId="77777777" w:rsidR="00000000" w:rsidRDefault="001D0688">
            <w:pPr>
              <w:rPr>
                <w:rFonts w:eastAsia="Times New Roman"/>
              </w:rPr>
            </w:pPr>
            <w:r>
              <w:rPr>
                <w:rFonts w:ascii="Arial" w:eastAsia="Times New Roman" w:hAnsi="Arial" w:cs="Arial"/>
                <w:color w:val="000000"/>
                <w:sz w:val="18"/>
                <w:szCs w:val="18"/>
              </w:rPr>
              <w:t>ASU 2016-13, issued in June 2016, replaces the existing guidance surrounding measurement and recognition of credit losses on financial assets measured at amortized cost, including trade receivables and investments in certain debt securities, by requiring r</w:t>
            </w:r>
            <w:r>
              <w:rPr>
                <w:rFonts w:ascii="Arial" w:eastAsia="Times New Roman" w:hAnsi="Arial" w:cs="Arial"/>
                <w:color w:val="000000"/>
                <w:sz w:val="18"/>
                <w:szCs w:val="18"/>
              </w:rPr>
              <w:t xml:space="preserve">ecognition of an allowance for credit losses expected to be incurred over an asset’s life based on relevant information about past events, current conditions, and supportable forecasts impacting its ultimate collectibility. This “expected loss” model will </w:t>
            </w:r>
            <w:r>
              <w:rPr>
                <w:rFonts w:ascii="Arial" w:eastAsia="Times New Roman" w:hAnsi="Arial" w:cs="Arial"/>
                <w:color w:val="000000"/>
                <w:sz w:val="18"/>
                <w:szCs w:val="18"/>
              </w:rPr>
              <w:t xml:space="preserve">result in earlier recognition of credit losses than the current “as incurred” model, under which losses are recognized only upon occurrence of an event that gives rise to the incurrence of a probable loss. </w:t>
            </w:r>
            <w:r>
              <w:rPr>
                <w:rFonts w:ascii="Arial" w:eastAsia="Times New Roman" w:hAnsi="Arial" w:cs="Arial"/>
                <w:color w:val="000000"/>
                <w:sz w:val="18"/>
                <w:szCs w:val="18"/>
              </w:rPr>
              <w:br/>
            </w:r>
            <w:r>
              <w:rPr>
                <w:rFonts w:ascii="Arial" w:eastAsia="Times New Roman" w:hAnsi="Arial" w:cs="Arial"/>
                <w:color w:val="000000"/>
                <w:sz w:val="18"/>
                <w:szCs w:val="18"/>
              </w:rPr>
              <w:br/>
              <w:t>ASU 2018-19 was issued in November 2018 and clar</w:t>
            </w:r>
            <w:r>
              <w:rPr>
                <w:rFonts w:ascii="Arial" w:eastAsia="Times New Roman" w:hAnsi="Arial" w:cs="Arial"/>
                <w:color w:val="000000"/>
                <w:sz w:val="18"/>
                <w:szCs w:val="18"/>
              </w:rPr>
              <w:t>ifies that receivables arising from operating leases are should be accounted for in accordance with Topic 842, Leases.</w:t>
            </w:r>
            <w:r>
              <w:rPr>
                <w:rFonts w:ascii="Arial" w:eastAsia="Times New Roman" w:hAnsi="Arial" w:cs="Arial"/>
                <w:color w:val="000000"/>
                <w:sz w:val="18"/>
                <w:szCs w:val="18"/>
              </w:rPr>
              <w:br/>
            </w:r>
            <w:r>
              <w:rPr>
                <w:rFonts w:ascii="Arial" w:eastAsia="Times New Roman" w:hAnsi="Arial" w:cs="Arial"/>
                <w:color w:val="000000"/>
                <w:sz w:val="18"/>
                <w:szCs w:val="18"/>
              </w:rPr>
              <w:br/>
              <w:t>ASU 2019-11 was issued in November 2019 to clarify, improve, and amend certain aspects of ASU 2016-13, such as disclosures related to ac</w:t>
            </w:r>
            <w:r>
              <w:rPr>
                <w:rFonts w:ascii="Arial" w:eastAsia="Times New Roman" w:hAnsi="Arial" w:cs="Arial"/>
                <w:color w:val="000000"/>
                <w:sz w:val="18"/>
                <w:szCs w:val="18"/>
              </w:rPr>
              <w:t>crued interest receivables and the estimation of credit losses associated with financial assets secured by collateral.</w:t>
            </w:r>
            <w:r>
              <w:rPr>
                <w:rFonts w:ascii="Arial" w:eastAsia="Times New Roman" w:hAnsi="Arial" w:cs="Arial"/>
                <w:color w:val="000000"/>
                <w:sz w:val="18"/>
                <w:szCs w:val="18"/>
              </w:rPr>
              <w:br/>
            </w:r>
            <w:r>
              <w:rPr>
                <w:rFonts w:ascii="Arial" w:eastAsia="Times New Roman" w:hAnsi="Arial" w:cs="Arial"/>
                <w:color w:val="000000"/>
                <w:sz w:val="18"/>
                <w:szCs w:val="18"/>
              </w:rPr>
              <w:br/>
              <w:t>ASU 2019-05 was issued in May 2019 to provide targeted transition relief allowing entities to make an irrevocable one-time election upon</w:t>
            </w:r>
            <w:r>
              <w:rPr>
                <w:rFonts w:ascii="Arial" w:eastAsia="Times New Roman" w:hAnsi="Arial" w:cs="Arial"/>
                <w:color w:val="000000"/>
                <w:sz w:val="18"/>
                <w:szCs w:val="18"/>
              </w:rPr>
              <w:t xml:space="preserve"> adoption of the new credit losses standard to measure financial assets previously measured at amortized cost (except held-to-maturity securities) using the fair value option.</w:t>
            </w:r>
            <w:r>
              <w:rPr>
                <w:rFonts w:ascii="Arial" w:eastAsia="Times New Roman" w:hAnsi="Arial" w:cs="Arial"/>
                <w:color w:val="000000"/>
                <w:sz w:val="18"/>
                <w:szCs w:val="18"/>
              </w:rPr>
              <w:br/>
            </w:r>
            <w:r>
              <w:rPr>
                <w:rFonts w:ascii="Arial" w:eastAsia="Times New Roman" w:hAnsi="Arial" w:cs="Arial"/>
                <w:color w:val="000000"/>
                <w:sz w:val="18"/>
                <w:szCs w:val="18"/>
              </w:rPr>
              <w:br/>
              <w:t>We do not expect adoption to have a material impact.</w:t>
            </w:r>
          </w:p>
        </w:tc>
        <w:tc>
          <w:tcPr>
            <w:tcW w:w="0" w:type="auto"/>
            <w:gridSpan w:val="3"/>
            <w:tcBorders>
              <w:bottom w:val="single" w:sz="8" w:space="0" w:color="000000"/>
            </w:tcBorders>
            <w:tcMar>
              <w:top w:w="0" w:type="dxa"/>
              <w:left w:w="20" w:type="dxa"/>
              <w:bottom w:w="0" w:type="dxa"/>
              <w:right w:w="20" w:type="dxa"/>
            </w:tcMar>
            <w:vAlign w:val="center"/>
            <w:hideMark/>
          </w:tcPr>
          <w:p w14:paraId="06CD5050" w14:textId="77777777" w:rsidR="00000000" w:rsidRDefault="001D0688">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D8EB2FB" w14:textId="77777777" w:rsidR="00000000" w:rsidRDefault="001D0688">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w:t>
            </w:r>
            <w:r>
              <w:rPr>
                <w:rFonts w:ascii="Arial" w:eastAsia="Times New Roman" w:hAnsi="Arial" w:cs="Arial"/>
                <w:color w:val="000000"/>
                <w:sz w:val="18"/>
                <w:szCs w:val="18"/>
              </w:rPr>
              <w:t>s guidance will be applied using a modified retrospective adoption approach with a cumulative-effect adjustment to retained earnings as of the beginning of the year of adoption, except for certain provisions that are required to be applied prospectively.</w:t>
            </w:r>
          </w:p>
        </w:tc>
      </w:tr>
    </w:tbl>
    <w:p w14:paraId="403CBD04" w14:textId="77777777" w:rsidR="00000000" w:rsidRDefault="001D0688">
      <w:pPr>
        <w:jc w:val="center"/>
        <w:divId w:val="1016923372"/>
        <w:rPr>
          <w:rFonts w:eastAsia="Times New Roman"/>
        </w:rPr>
      </w:pPr>
    </w:p>
    <w:p w14:paraId="752C1998" w14:textId="77777777" w:rsidR="00000000" w:rsidRDefault="001D0688">
      <w:pPr>
        <w:jc w:val="both"/>
        <w:divId w:val="1607079038"/>
        <w:rPr>
          <w:rFonts w:eastAsia="Times New Roman"/>
        </w:rPr>
      </w:pPr>
      <w:r>
        <w:rPr>
          <w:rFonts w:ascii="Arial" w:eastAsia="Times New Roman" w:hAnsi="Arial" w:cs="Arial"/>
          <w:b/>
          <w:bCs/>
          <w:color w:val="0046AD"/>
          <w:sz w:val="20"/>
          <w:szCs w:val="20"/>
        </w:rPr>
        <w:t>ITEM 7A. QUANTITATIVE AND QUALITATIVE DISCLOSURES ABOUT MARKET RISK.</w:t>
      </w:r>
    </w:p>
    <w:p w14:paraId="37DEBF93" w14:textId="77777777" w:rsidR="00000000" w:rsidRDefault="001D0688">
      <w:pPr>
        <w:ind w:firstLine="720"/>
        <w:jc w:val="both"/>
        <w:divId w:val="873342963"/>
        <w:rPr>
          <w:rFonts w:eastAsia="Times New Roman"/>
        </w:rPr>
      </w:pPr>
      <w:r>
        <w:rPr>
          <w:rFonts w:ascii="Arial" w:eastAsia="Times New Roman" w:hAnsi="Arial" w:cs="Arial"/>
          <w:color w:val="000000"/>
          <w:sz w:val="20"/>
          <w:szCs w:val="20"/>
        </w:rPr>
        <w:t>We have market risk exposure related to interest rates and foreign currency exchange rates. Market risk is measured as the potential negative impact on earnings, cash flows, or fair values resulting from a hypothetical change in interest rates or foreign c</w:t>
      </w:r>
      <w:r>
        <w:rPr>
          <w:rFonts w:ascii="Arial" w:eastAsia="Times New Roman" w:hAnsi="Arial" w:cs="Arial"/>
          <w:color w:val="000000"/>
          <w:sz w:val="20"/>
          <w:szCs w:val="20"/>
        </w:rPr>
        <w:t>urrency exchange rates.</w:t>
      </w:r>
    </w:p>
    <w:p w14:paraId="77683ED8" w14:textId="77777777" w:rsidR="00000000" w:rsidRDefault="001D0688">
      <w:pPr>
        <w:jc w:val="both"/>
        <w:divId w:val="685404064"/>
        <w:rPr>
          <w:rFonts w:eastAsia="Times New Roman"/>
        </w:rPr>
      </w:pPr>
      <w:r>
        <w:rPr>
          <w:rFonts w:ascii="Arial" w:eastAsia="Times New Roman" w:hAnsi="Arial" w:cs="Arial"/>
          <w:b/>
          <w:bCs/>
          <w:color w:val="0046AD"/>
          <w:sz w:val="20"/>
          <w:szCs w:val="20"/>
        </w:rPr>
        <w:t>Interest Rate Risk</w:t>
      </w:r>
    </w:p>
    <w:p w14:paraId="753FD981" w14:textId="77777777" w:rsidR="00000000" w:rsidRDefault="001D0688">
      <w:pPr>
        <w:ind w:firstLine="720"/>
        <w:jc w:val="both"/>
        <w:divId w:val="1774205943"/>
        <w:rPr>
          <w:rFonts w:eastAsia="Times New Roman"/>
        </w:rPr>
      </w:pPr>
      <w:r>
        <w:rPr>
          <w:rFonts w:ascii="Arial" w:eastAsia="Times New Roman" w:hAnsi="Arial" w:cs="Arial"/>
          <w:color w:val="000000"/>
          <w:sz w:val="20"/>
          <w:szCs w:val="20"/>
        </w:rPr>
        <w:t>We are primarily exposed to interest rate risk through our variable rate borrowings under our Credit Facility. At October 31, 2020, we had total outstanding borrowings of $725.3 million. To limit exposure to upwar</w:t>
      </w:r>
      <w:r>
        <w:rPr>
          <w:rFonts w:ascii="Arial" w:eastAsia="Times New Roman" w:hAnsi="Arial" w:cs="Arial"/>
          <w:color w:val="000000"/>
          <w:sz w:val="20"/>
          <w:szCs w:val="20"/>
        </w:rPr>
        <w:t>d movements in interest rates, we entered into interest rate swap agreements to fix the interest rates on a substantial portion of our outstanding borrowings. At October 31, 2020, we had interest rate swaps with an underlying notional amount of $440.0 mill</w:t>
      </w:r>
      <w:r>
        <w:rPr>
          <w:rFonts w:ascii="Arial" w:eastAsia="Times New Roman" w:hAnsi="Arial" w:cs="Arial"/>
          <w:color w:val="000000"/>
          <w:sz w:val="20"/>
          <w:szCs w:val="20"/>
        </w:rPr>
        <w:t>ion and fixed interest rates of 2.83%, 2.84%, and 2.86%. On May 28, 2020, we amended our Credit Facility to further enhance our financial flexibility as a precautionary measure in response to uncertainty arising from the Pandemic. The Amendment changed the</w:t>
      </w:r>
      <w:r>
        <w:rPr>
          <w:rFonts w:ascii="Arial" w:eastAsia="Times New Roman" w:hAnsi="Arial" w:cs="Arial"/>
          <w:color w:val="000000"/>
          <w:sz w:val="20"/>
          <w:szCs w:val="20"/>
        </w:rPr>
        <w:t xml:space="preserve"> interest rate, interest margins, and commitment fees applicable to loans and commitments under the Credit Facility. The new interest rate includes an interest rate floor of 0.75% to the Eurocurrency rate on the revolving loans. Based on our average borrow</w:t>
      </w:r>
      <w:r>
        <w:rPr>
          <w:rFonts w:ascii="Arial" w:eastAsia="Times New Roman" w:hAnsi="Arial" w:cs="Arial"/>
          <w:color w:val="000000"/>
          <w:sz w:val="20"/>
          <w:szCs w:val="20"/>
        </w:rPr>
        <w:t xml:space="preserve">ings, interest rates, interest rate floor, and interest rate swaps in effect at October 31, 2020, a 100 basis point increase in LIBOR would decrease our future earnings and cash flows by $2.5 million. For 2019, our market risk exposure related to interest </w:t>
      </w:r>
      <w:r>
        <w:rPr>
          <w:rFonts w:ascii="Arial" w:eastAsia="Times New Roman" w:hAnsi="Arial" w:cs="Arial"/>
          <w:color w:val="000000"/>
          <w:sz w:val="20"/>
          <w:szCs w:val="20"/>
        </w:rPr>
        <w:t>rate fluctuations was $4.3 million. As actual interest rate movements over time are uncertain, our interest rate swaps pose potential interest rate risks if interest rates decrease. As of October 31, 2020, the fair value of our interest rate swap agreement</w:t>
      </w:r>
      <w:r>
        <w:rPr>
          <w:rFonts w:ascii="Arial" w:eastAsia="Times New Roman" w:hAnsi="Arial" w:cs="Arial"/>
          <w:color w:val="000000"/>
          <w:sz w:val="20"/>
          <w:szCs w:val="20"/>
        </w:rPr>
        <w:t>s was a liability of $15.5 million.</w:t>
      </w:r>
    </w:p>
    <w:p w14:paraId="2D881F94" w14:textId="77777777" w:rsidR="00000000" w:rsidRDefault="001D0688">
      <w:pPr>
        <w:jc w:val="both"/>
        <w:divId w:val="54548995"/>
        <w:rPr>
          <w:rFonts w:eastAsia="Times New Roman"/>
        </w:rPr>
      </w:pPr>
      <w:r>
        <w:rPr>
          <w:rFonts w:ascii="Arial" w:eastAsia="Times New Roman" w:hAnsi="Arial" w:cs="Arial"/>
          <w:b/>
          <w:bCs/>
          <w:color w:val="0046AD"/>
          <w:sz w:val="20"/>
          <w:szCs w:val="20"/>
        </w:rPr>
        <w:t>Foreign Currency Exchange Rate Risk</w:t>
      </w:r>
    </w:p>
    <w:p w14:paraId="5A303207" w14:textId="77777777" w:rsidR="00000000" w:rsidRDefault="001D0688">
      <w:pPr>
        <w:ind w:firstLine="720"/>
        <w:jc w:val="both"/>
        <w:divId w:val="927692761"/>
        <w:rPr>
          <w:rFonts w:eastAsia="Times New Roman"/>
        </w:rPr>
      </w:pPr>
      <w:r>
        <w:rPr>
          <w:rFonts w:ascii="Arial" w:eastAsia="Times New Roman" w:hAnsi="Arial" w:cs="Arial"/>
          <w:color w:val="000000"/>
          <w:sz w:val="20"/>
          <w:szCs w:val="20"/>
        </w:rPr>
        <w:t>We are primarily exposed to the impact of foreign exchange rate risk through our U.K. operations where the functional currency is the GBP. As we intend to remain permanently invested in these foreign operations, we do not utilize hedging instruments to mit</w:t>
      </w:r>
      <w:r>
        <w:rPr>
          <w:rFonts w:ascii="Arial" w:eastAsia="Times New Roman" w:hAnsi="Arial" w:cs="Arial"/>
          <w:color w:val="000000"/>
          <w:sz w:val="20"/>
          <w:szCs w:val="20"/>
        </w:rPr>
        <w:t>igate foreign currency exchange risks. If we change our intent with respect to such international investment, we would expect to implement strategies designed to manage those risks in an effort to mitigate the effect of foreign currency fluctuations on our</w:t>
      </w:r>
      <w:r>
        <w:rPr>
          <w:rFonts w:ascii="Arial" w:eastAsia="Times New Roman" w:hAnsi="Arial" w:cs="Arial"/>
          <w:color w:val="000000"/>
          <w:sz w:val="20"/>
          <w:szCs w:val="20"/>
        </w:rPr>
        <w:t xml:space="preserve"> earnings and cash flows.</w:t>
      </w:r>
    </w:p>
    <w:p w14:paraId="05FC1867" w14:textId="77777777" w:rsidR="00000000" w:rsidRDefault="001D0688">
      <w:pPr>
        <w:jc w:val="center"/>
        <w:divId w:val="2047675828"/>
        <w:rPr>
          <w:rFonts w:eastAsia="Times New Roman"/>
        </w:rPr>
      </w:pPr>
      <w:r>
        <w:rPr>
          <w:rFonts w:ascii="Arial" w:eastAsia="Times New Roman" w:hAnsi="Arial" w:cs="Arial"/>
          <w:color w:val="000000"/>
          <w:sz w:val="20"/>
          <w:szCs w:val="20"/>
        </w:rPr>
        <w:t>44</w:t>
      </w:r>
    </w:p>
    <w:p w14:paraId="3340E370" w14:textId="77777777" w:rsidR="00000000" w:rsidRDefault="001D0688">
      <w:pPr>
        <w:rPr>
          <w:rFonts w:eastAsia="Times New Roman"/>
        </w:rPr>
      </w:pPr>
      <w:r>
        <w:rPr>
          <w:rFonts w:eastAsia="Times New Roman"/>
        </w:rPr>
        <w:pict w14:anchorId="373F5E1B">
          <v:rect id="_x0000_i1080" style="width:0;height:1.5pt" o:hralign="center" o:hrstd="t" o:hr="t" fillcolor="#a0a0a0" stroked="f"/>
        </w:pict>
      </w:r>
    </w:p>
    <w:p w14:paraId="5B62061E" w14:textId="77777777" w:rsidR="00000000" w:rsidRDefault="001D0688">
      <w:pPr>
        <w:divId w:val="669991664"/>
        <w:rPr>
          <w:rFonts w:eastAsia="Times New Roman"/>
        </w:rPr>
      </w:pPr>
    </w:p>
    <w:p w14:paraId="5A91A335" w14:textId="77777777" w:rsidR="00000000" w:rsidRDefault="001D0688">
      <w:pPr>
        <w:divId w:val="1208371483"/>
        <w:rPr>
          <w:rFonts w:eastAsia="Times New Roman"/>
        </w:rPr>
      </w:pPr>
      <w:r>
        <w:rPr>
          <w:rFonts w:ascii="Arial" w:eastAsia="Times New Roman" w:hAnsi="Arial" w:cs="Arial"/>
          <w:b/>
          <w:bCs/>
          <w:color w:val="0046AD"/>
          <w:sz w:val="20"/>
          <w:szCs w:val="20"/>
        </w:rPr>
        <w:t>ITEM 8. FINANCIAL STATEMENTS AND SUPPLEMENTARY DATA.</w:t>
      </w:r>
    </w:p>
    <w:p w14:paraId="202F2131" w14:textId="77777777" w:rsidR="00000000" w:rsidRDefault="001D0688">
      <w:pPr>
        <w:jc w:val="center"/>
        <w:divId w:val="1101797090"/>
        <w:rPr>
          <w:rFonts w:eastAsia="Times New Roman"/>
        </w:rPr>
      </w:pPr>
      <w:r>
        <w:rPr>
          <w:rFonts w:ascii="Arial" w:eastAsia="Times New Roman" w:hAnsi="Arial" w:cs="Arial"/>
          <w:b/>
          <w:bCs/>
          <w:color w:val="000000"/>
          <w:sz w:val="20"/>
          <w:szCs w:val="20"/>
          <w:shd w:val="clear" w:color="auto" w:fill="FFFFFF"/>
        </w:rPr>
        <w:t>Report of Independent Registered Public Accounting Firm</w:t>
      </w:r>
    </w:p>
    <w:p w14:paraId="4B190EB8" w14:textId="77777777" w:rsidR="00000000" w:rsidRDefault="001D0688">
      <w:pPr>
        <w:divId w:val="1876430147"/>
        <w:rPr>
          <w:rFonts w:eastAsia="Times New Roman"/>
        </w:rPr>
      </w:pPr>
    </w:p>
    <w:p w14:paraId="1B569258" w14:textId="77777777" w:rsidR="00000000" w:rsidRDefault="001D0688">
      <w:pPr>
        <w:divId w:val="1607543446"/>
        <w:rPr>
          <w:rFonts w:eastAsia="Times New Roman"/>
        </w:rPr>
      </w:pPr>
      <w:r>
        <w:rPr>
          <w:rFonts w:ascii="Arial" w:eastAsia="Times New Roman" w:hAnsi="Arial" w:cs="Arial"/>
          <w:color w:val="000000"/>
          <w:sz w:val="20"/>
          <w:szCs w:val="20"/>
        </w:rPr>
        <w:t>To the Stockholders and Board of Directors</w:t>
      </w:r>
    </w:p>
    <w:p w14:paraId="63390A37" w14:textId="77777777" w:rsidR="00000000" w:rsidRDefault="001D0688">
      <w:pPr>
        <w:divId w:val="1139030814"/>
        <w:rPr>
          <w:rFonts w:eastAsia="Times New Roman"/>
        </w:rPr>
      </w:pPr>
      <w:r>
        <w:rPr>
          <w:rFonts w:ascii="Arial" w:eastAsia="Times New Roman" w:hAnsi="Arial" w:cs="Arial"/>
          <w:color w:val="000000"/>
          <w:sz w:val="20"/>
          <w:szCs w:val="20"/>
        </w:rPr>
        <w:t>ABM Industries Incorporated:</w:t>
      </w:r>
    </w:p>
    <w:p w14:paraId="1E49CE6D" w14:textId="77777777" w:rsidR="00000000" w:rsidRDefault="001D0688">
      <w:pPr>
        <w:divId w:val="140390301"/>
        <w:rPr>
          <w:rFonts w:eastAsia="Times New Roman"/>
        </w:rPr>
      </w:pPr>
    </w:p>
    <w:p w14:paraId="1080FB66" w14:textId="77777777" w:rsidR="00000000" w:rsidRDefault="001D0688">
      <w:pPr>
        <w:divId w:val="747578881"/>
        <w:rPr>
          <w:rFonts w:eastAsia="Times New Roman"/>
        </w:rPr>
      </w:pPr>
      <w:r>
        <w:rPr>
          <w:rFonts w:ascii="Arial" w:eastAsia="Times New Roman" w:hAnsi="Arial" w:cs="Arial"/>
          <w:i/>
          <w:iCs/>
          <w:color w:val="000000"/>
          <w:sz w:val="20"/>
          <w:szCs w:val="20"/>
        </w:rPr>
        <w:t>Opinion on the Consolidated Financial Statements</w:t>
      </w:r>
    </w:p>
    <w:p w14:paraId="3F393CB0" w14:textId="77777777" w:rsidR="00000000" w:rsidRDefault="001D0688">
      <w:pPr>
        <w:divId w:val="82146418"/>
        <w:rPr>
          <w:rFonts w:eastAsia="Times New Roman"/>
        </w:rPr>
      </w:pPr>
      <w:r>
        <w:rPr>
          <w:rFonts w:ascii="Arial" w:eastAsia="Times New Roman" w:hAnsi="Arial" w:cs="Arial"/>
          <w:color w:val="000000"/>
          <w:sz w:val="20"/>
          <w:szCs w:val="20"/>
        </w:rPr>
        <w:t>We have audited the accompanying consolidated balance sheets of ABM Industries Incorporated and subsidiaries (the Company) as of October 31, 2020 and 2019, the related consolid</w:t>
      </w:r>
      <w:r>
        <w:rPr>
          <w:rFonts w:ascii="Arial" w:eastAsia="Times New Roman" w:hAnsi="Arial" w:cs="Arial"/>
          <w:color w:val="000000"/>
          <w:sz w:val="20"/>
          <w:szCs w:val="20"/>
        </w:rPr>
        <w:t>ated statements of comprehensive (loss) income, stockholders’ equity, and cash flows for each of the years in the three</w:t>
      </w:r>
      <w:r>
        <w:rPr>
          <w:rFonts w:ascii="Arial" w:eastAsia="Times New Roman" w:hAnsi="Arial" w:cs="Arial"/>
          <w:color w:val="000000"/>
          <w:sz w:val="20"/>
          <w:szCs w:val="20"/>
        </w:rPr>
        <w:noBreakHyphen/>
        <w:t xml:space="preserve">year period ended October 31, 2020, and the related notes and financial statement Schedule II (collectively, the consolidated financial </w:t>
      </w:r>
      <w:r>
        <w:rPr>
          <w:rFonts w:ascii="Arial" w:eastAsia="Times New Roman" w:hAnsi="Arial" w:cs="Arial"/>
          <w:color w:val="000000"/>
          <w:sz w:val="20"/>
          <w:szCs w:val="20"/>
        </w:rPr>
        <w:t>statements). In our opinion, the consolidated financial statements present fairly, in all material respects, the financial position of the Company as of October 31, 2020 and 2019, and the results of its operations and its cash flows for each of the years i</w:t>
      </w:r>
      <w:r>
        <w:rPr>
          <w:rFonts w:ascii="Arial" w:eastAsia="Times New Roman" w:hAnsi="Arial" w:cs="Arial"/>
          <w:color w:val="000000"/>
          <w:sz w:val="20"/>
          <w:szCs w:val="20"/>
        </w:rPr>
        <w:t>n the three</w:t>
      </w:r>
      <w:r>
        <w:rPr>
          <w:rFonts w:ascii="Arial" w:eastAsia="Times New Roman" w:hAnsi="Arial" w:cs="Arial"/>
          <w:color w:val="000000"/>
          <w:sz w:val="20"/>
          <w:szCs w:val="20"/>
        </w:rPr>
        <w:noBreakHyphen/>
        <w:t>year period ended October 31, 2020, in conformity with U.S. generally accepted accounting principles.</w:t>
      </w:r>
    </w:p>
    <w:p w14:paraId="11DA1477" w14:textId="77777777" w:rsidR="00000000" w:rsidRDefault="001D0688">
      <w:pPr>
        <w:divId w:val="1616060221"/>
        <w:rPr>
          <w:rFonts w:eastAsia="Times New Roman"/>
        </w:rPr>
      </w:pPr>
      <w:r>
        <w:rPr>
          <w:rFonts w:ascii="Arial" w:eastAsia="Times New Roman" w:hAnsi="Arial" w:cs="Arial"/>
          <w:color w:val="000000"/>
          <w:sz w:val="20"/>
          <w:szCs w:val="20"/>
        </w:rPr>
        <w:t>We also have audited, in accordance with the standards of the Public Company Accounting Oversight Board (United States) (PCAOB), the Company’s</w:t>
      </w:r>
      <w:r>
        <w:rPr>
          <w:rFonts w:ascii="Arial" w:eastAsia="Times New Roman" w:hAnsi="Arial" w:cs="Arial"/>
          <w:color w:val="000000"/>
          <w:sz w:val="20"/>
          <w:szCs w:val="20"/>
        </w:rPr>
        <w:t xml:space="preserve"> internal control over financial reporting as of October 31, 2020, based on criteria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Treadway Commission, and our report dated December</w:t>
      </w:r>
      <w:r>
        <w:rPr>
          <w:rFonts w:ascii="Arial" w:eastAsia="Times New Roman" w:hAnsi="Arial" w:cs="Arial"/>
          <w:color w:val="000000"/>
          <w:sz w:val="20"/>
          <w:szCs w:val="20"/>
        </w:rPr>
        <w:t> 17, 2020 expressed</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an unqualified opinion on the effectiveness of the Company’s internal control over financial reporting.</w:t>
      </w:r>
    </w:p>
    <w:p w14:paraId="764FDB9D" w14:textId="77777777" w:rsidR="00000000" w:rsidRDefault="001D0688">
      <w:pPr>
        <w:divId w:val="1798601521"/>
        <w:rPr>
          <w:rFonts w:eastAsia="Times New Roman"/>
        </w:rPr>
      </w:pPr>
      <w:r>
        <w:rPr>
          <w:rFonts w:ascii="Arial" w:eastAsia="Times New Roman" w:hAnsi="Arial" w:cs="Arial"/>
          <w:i/>
          <w:iCs/>
          <w:color w:val="000000"/>
          <w:sz w:val="20"/>
          <w:szCs w:val="20"/>
        </w:rPr>
        <w:t>Basis for Opinion</w:t>
      </w:r>
    </w:p>
    <w:p w14:paraId="70A913B0" w14:textId="77777777" w:rsidR="00000000" w:rsidRDefault="001D0688">
      <w:pPr>
        <w:divId w:val="992299356"/>
        <w:rPr>
          <w:rFonts w:eastAsia="Times New Roman"/>
        </w:rPr>
      </w:pPr>
      <w:r>
        <w:rPr>
          <w:rFonts w:ascii="Arial" w:eastAsia="Times New Roman" w:hAnsi="Arial" w:cs="Arial"/>
          <w:color w:val="000000"/>
          <w:sz w:val="20"/>
          <w:szCs w:val="20"/>
        </w:rPr>
        <w:t xml:space="preserve">These consolidated financial statements are the responsibility of the Company’s management. Our responsibility is </w:t>
      </w:r>
      <w:r>
        <w:rPr>
          <w:rFonts w:ascii="Arial" w:eastAsia="Times New Roman" w:hAnsi="Arial" w:cs="Arial"/>
          <w:color w:val="000000"/>
          <w:sz w:val="20"/>
          <w:szCs w:val="20"/>
        </w:rPr>
        <w:t>to express an opinion on these consolidated financial statements based on our audits. We are a public accounting firm registered with the PCAOB and are required to be independent with respect to the Company in accordance with the U.S. federal securities la</w:t>
      </w:r>
      <w:r>
        <w:rPr>
          <w:rFonts w:ascii="Arial" w:eastAsia="Times New Roman" w:hAnsi="Arial" w:cs="Arial"/>
          <w:color w:val="000000"/>
          <w:sz w:val="20"/>
          <w:szCs w:val="20"/>
        </w:rPr>
        <w:t>ws and the applicable rules and regulations of the Securities and Exchange Commission and the PCAOB.</w:t>
      </w:r>
    </w:p>
    <w:p w14:paraId="2165384E" w14:textId="77777777" w:rsidR="00000000" w:rsidRDefault="001D0688">
      <w:pPr>
        <w:divId w:val="2065446864"/>
        <w:rPr>
          <w:rFonts w:eastAsia="Times New Roman"/>
        </w:rPr>
      </w:pPr>
      <w:r>
        <w:rPr>
          <w:rFonts w:ascii="Arial" w:eastAsia="Times New Roman" w:hAnsi="Arial" w:cs="Arial"/>
          <w:color w:val="000000"/>
          <w:sz w:val="20"/>
          <w:szCs w:val="20"/>
        </w:rPr>
        <w:t>We conducted our audits in accordance with the standards of the PCAOB. Those standards require that we plan and perform the audit to obtain reasonable assu</w:t>
      </w:r>
      <w:r>
        <w:rPr>
          <w:rFonts w:ascii="Arial" w:eastAsia="Times New Roman" w:hAnsi="Arial" w:cs="Arial"/>
          <w:color w:val="000000"/>
          <w:sz w:val="20"/>
          <w:szCs w:val="20"/>
        </w:rPr>
        <w:t>rance about whether the consolidated financial statements are free of material misstatement, whether due to error or fraud. Our audits included performing procedures to assess the risks of material misstatement of the consolidated financial statements, whe</w:t>
      </w:r>
      <w:r>
        <w:rPr>
          <w:rFonts w:ascii="Arial" w:eastAsia="Times New Roman" w:hAnsi="Arial" w:cs="Arial"/>
          <w:color w:val="000000"/>
          <w:sz w:val="20"/>
          <w:szCs w:val="20"/>
        </w:rPr>
        <w:t>ther due to error or fraud, and performing procedures that respond to those risks. Such procedures included examining, on a test basis, evidence regarding the amounts and disclosures in the consolidated financial statements. Our audits also included evalua</w:t>
      </w:r>
      <w:r>
        <w:rPr>
          <w:rFonts w:ascii="Arial" w:eastAsia="Times New Roman" w:hAnsi="Arial" w:cs="Arial"/>
          <w:color w:val="000000"/>
          <w:sz w:val="20"/>
          <w:szCs w:val="20"/>
        </w:rPr>
        <w:t>ting the accounting principles used and significant estimates made by management, as well as evaluating the overall presentation of the consolidated financial statements. We believe that our audits provide a reasonable basis for our opinion.</w:t>
      </w:r>
    </w:p>
    <w:p w14:paraId="432DDB6E" w14:textId="77777777" w:rsidR="00000000" w:rsidRDefault="001D0688">
      <w:pPr>
        <w:divId w:val="1221751839"/>
        <w:rPr>
          <w:rFonts w:eastAsia="Times New Roman"/>
        </w:rPr>
      </w:pPr>
      <w:r>
        <w:rPr>
          <w:rFonts w:ascii="Arial" w:eastAsia="Times New Roman" w:hAnsi="Arial" w:cs="Arial"/>
          <w:i/>
          <w:iCs/>
          <w:color w:val="000000"/>
          <w:sz w:val="20"/>
          <w:szCs w:val="20"/>
        </w:rPr>
        <w:t>Critical Audit</w:t>
      </w:r>
      <w:r>
        <w:rPr>
          <w:rFonts w:ascii="Arial" w:eastAsia="Times New Roman" w:hAnsi="Arial" w:cs="Arial"/>
          <w:i/>
          <w:iCs/>
          <w:color w:val="000000"/>
          <w:sz w:val="20"/>
          <w:szCs w:val="20"/>
        </w:rPr>
        <w:t xml:space="preserve"> Matters</w:t>
      </w:r>
    </w:p>
    <w:p w14:paraId="5147F5A8" w14:textId="77777777" w:rsidR="00000000" w:rsidRDefault="001D0688">
      <w:pPr>
        <w:divId w:val="1906139591"/>
        <w:rPr>
          <w:rFonts w:eastAsia="Times New Roman"/>
        </w:rPr>
      </w:pPr>
      <w:r>
        <w:rPr>
          <w:rFonts w:ascii="Arial" w:eastAsia="Times New Roman" w:hAnsi="Arial" w:cs="Arial"/>
          <w:color w:val="000000"/>
          <w:sz w:val="20"/>
          <w:szCs w:val="20"/>
        </w:rPr>
        <w:t xml:space="preserve">The critical audit matters communicated below are matters arising from the current period audit of the consolidated financial statements that were communicated or required to be communicated to the audit committee and that: (1) relate to accounts </w:t>
      </w:r>
      <w:r>
        <w:rPr>
          <w:rFonts w:ascii="Arial" w:eastAsia="Times New Roman" w:hAnsi="Arial" w:cs="Arial"/>
          <w:color w:val="000000"/>
          <w:sz w:val="20"/>
          <w:szCs w:val="20"/>
        </w:rPr>
        <w:t>or disclosures that are material to the consolidated financial statements and (2) involved our especially challenging, subjective, or complex judgments. The communication of critical audit matters does not alter in any way our opinion on the consolidated f</w:t>
      </w:r>
      <w:r>
        <w:rPr>
          <w:rFonts w:ascii="Arial" w:eastAsia="Times New Roman" w:hAnsi="Arial" w:cs="Arial"/>
          <w:color w:val="000000"/>
          <w:sz w:val="20"/>
          <w:szCs w:val="20"/>
        </w:rPr>
        <w:t>inancial statements, taken as a whole, and we are not, by communicating the critical audit matters below, providing separate opinions on the critical audit matters or on the accounts or disclosures to which they relate.</w:t>
      </w:r>
    </w:p>
    <w:p w14:paraId="50A8210C" w14:textId="77777777" w:rsidR="00000000" w:rsidRDefault="001D0688">
      <w:pPr>
        <w:divId w:val="593589651"/>
        <w:rPr>
          <w:rFonts w:eastAsia="Times New Roman"/>
        </w:rPr>
      </w:pPr>
    </w:p>
    <w:p w14:paraId="5D089C3B" w14:textId="77777777" w:rsidR="00000000" w:rsidRDefault="001D0688">
      <w:pPr>
        <w:jc w:val="center"/>
        <w:divId w:val="839273526"/>
        <w:rPr>
          <w:rFonts w:eastAsia="Times New Roman"/>
        </w:rPr>
      </w:pPr>
      <w:r>
        <w:rPr>
          <w:rFonts w:ascii="Arial" w:eastAsia="Times New Roman" w:hAnsi="Arial" w:cs="Arial"/>
          <w:color w:val="000000"/>
          <w:sz w:val="20"/>
          <w:szCs w:val="20"/>
        </w:rPr>
        <w:t>45</w:t>
      </w:r>
    </w:p>
    <w:p w14:paraId="2E5E593A" w14:textId="77777777" w:rsidR="00000000" w:rsidRDefault="001D0688">
      <w:pPr>
        <w:rPr>
          <w:rFonts w:eastAsia="Times New Roman"/>
        </w:rPr>
      </w:pPr>
      <w:r>
        <w:rPr>
          <w:rFonts w:eastAsia="Times New Roman"/>
        </w:rPr>
        <w:pict w14:anchorId="150A0668">
          <v:rect id="_x0000_i1081" style="width:0;height:1.5pt" o:hralign="center" o:hrstd="t" o:hr="t" fillcolor="#a0a0a0" stroked="f"/>
        </w:pict>
      </w:r>
    </w:p>
    <w:p w14:paraId="7491DF15" w14:textId="77777777" w:rsidR="00000000" w:rsidRDefault="001D0688">
      <w:pPr>
        <w:divId w:val="1041243632"/>
        <w:rPr>
          <w:rFonts w:eastAsia="Times New Roman"/>
        </w:rPr>
      </w:pPr>
    </w:p>
    <w:p w14:paraId="1B2820BE" w14:textId="77777777" w:rsidR="00000000" w:rsidRDefault="001D0688">
      <w:pPr>
        <w:divId w:val="1202743939"/>
        <w:rPr>
          <w:rFonts w:eastAsia="Times New Roman"/>
        </w:rPr>
      </w:pPr>
      <w:r>
        <w:rPr>
          <w:rFonts w:ascii="Arial" w:eastAsia="Times New Roman" w:hAnsi="Arial" w:cs="Arial"/>
          <w:i/>
          <w:iCs/>
          <w:color w:val="000000"/>
          <w:sz w:val="20"/>
          <w:szCs w:val="20"/>
        </w:rPr>
        <w:t xml:space="preserve">Evaluation of self-insurance liabilities </w:t>
      </w:r>
    </w:p>
    <w:p w14:paraId="6D7CD317" w14:textId="77777777" w:rsidR="00000000" w:rsidRDefault="001D0688">
      <w:pPr>
        <w:divId w:val="1258366666"/>
        <w:rPr>
          <w:rFonts w:eastAsia="Times New Roman"/>
        </w:rPr>
      </w:pPr>
      <w:r>
        <w:rPr>
          <w:rFonts w:ascii="Arial" w:eastAsia="Times New Roman" w:hAnsi="Arial" w:cs="Arial"/>
          <w:color w:val="000000"/>
          <w:sz w:val="20"/>
          <w:szCs w:val="20"/>
        </w:rPr>
        <w:t>As discussed in Notes 2 and 10 to the consolidated financial statements, the Company uses a combination of insured and self-insurance programs to cover workers’ compensation, general liability, automobile l</w:t>
      </w:r>
      <w:r>
        <w:rPr>
          <w:rFonts w:ascii="Arial" w:eastAsia="Times New Roman" w:hAnsi="Arial" w:cs="Arial"/>
          <w:color w:val="000000"/>
          <w:sz w:val="20"/>
          <w:szCs w:val="20"/>
        </w:rPr>
        <w:t>iability, property damage, and other insurable risks. The balance of casualty program insurance reserves, net of recoverables, as of October 31, 2020 amount</w:t>
      </w:r>
      <w:r>
        <w:rPr>
          <w:rFonts w:ascii="Arial" w:eastAsia="Times New Roman" w:hAnsi="Arial" w:cs="Arial"/>
          <w:color w:val="000000"/>
          <w:sz w:val="20"/>
          <w:szCs w:val="20"/>
          <w:shd w:val="clear" w:color="auto" w:fill="FFFFFF"/>
        </w:rPr>
        <w:t>ed to $434.8 million. The C</w:t>
      </w:r>
      <w:r>
        <w:rPr>
          <w:rFonts w:ascii="Arial" w:eastAsia="Times New Roman" w:hAnsi="Arial" w:cs="Arial"/>
          <w:color w:val="000000"/>
          <w:sz w:val="20"/>
          <w:szCs w:val="20"/>
        </w:rPr>
        <w:t>ompany engages actuaries to estimate its self-insurance liabilities at le</w:t>
      </w:r>
      <w:r>
        <w:rPr>
          <w:rFonts w:ascii="Arial" w:eastAsia="Times New Roman" w:hAnsi="Arial" w:cs="Arial"/>
          <w:color w:val="000000"/>
          <w:sz w:val="20"/>
          <w:szCs w:val="20"/>
        </w:rPr>
        <w:t xml:space="preserve">ast annually. </w:t>
      </w:r>
    </w:p>
    <w:p w14:paraId="68BB10CA" w14:textId="77777777" w:rsidR="00000000" w:rsidRDefault="001D0688">
      <w:pPr>
        <w:divId w:val="609240236"/>
        <w:rPr>
          <w:rFonts w:eastAsia="Times New Roman"/>
        </w:rPr>
      </w:pPr>
      <w:r>
        <w:rPr>
          <w:rFonts w:ascii="Arial" w:eastAsia="Times New Roman" w:hAnsi="Arial" w:cs="Arial"/>
          <w:color w:val="000000"/>
          <w:sz w:val="20"/>
          <w:szCs w:val="20"/>
        </w:rPr>
        <w:t>We identified the evaluation of the self-insurance liabilities as a critical audit matter because it involves a high degree of judgment and actuarial expertise to: (1) assess the actuarial models used and (2) estimate incurred but not report</w:t>
      </w:r>
      <w:r>
        <w:rPr>
          <w:rFonts w:ascii="Arial" w:eastAsia="Times New Roman" w:hAnsi="Arial" w:cs="Arial"/>
          <w:color w:val="000000"/>
          <w:sz w:val="20"/>
          <w:szCs w:val="20"/>
        </w:rPr>
        <w:t>ed claims based on application of loss development factors to historical claims experience.</w:t>
      </w:r>
    </w:p>
    <w:p w14:paraId="6B8003E6" w14:textId="77777777" w:rsidR="00000000" w:rsidRDefault="001D0688">
      <w:pPr>
        <w:divId w:val="320624215"/>
        <w:rPr>
          <w:rFonts w:eastAsia="Times New Roman"/>
        </w:rPr>
      </w:pPr>
      <w:r>
        <w:rPr>
          <w:rFonts w:ascii="Arial" w:eastAsia="Times New Roman" w:hAnsi="Arial" w:cs="Arial"/>
          <w:color w:val="000000"/>
          <w:sz w:val="20"/>
          <w:szCs w:val="20"/>
        </w:rPr>
        <w:t>The following are the primary procedures we performed to address this critical audit matter. We evaluated the design and tested the operating effectiveness of certa</w:t>
      </w:r>
      <w:r>
        <w:rPr>
          <w:rFonts w:ascii="Arial" w:eastAsia="Times New Roman" w:hAnsi="Arial" w:cs="Arial"/>
          <w:color w:val="000000"/>
          <w:sz w:val="20"/>
          <w:szCs w:val="20"/>
        </w:rPr>
        <w:t>in internal controls over the Company’s self-insurance reserve process, including controls related to (1) evaluate claims information sent to the actuary, (2) estimate incurred but not reported claims based on the application of loss development factors to</w:t>
      </w:r>
      <w:r>
        <w:rPr>
          <w:rFonts w:ascii="Arial" w:eastAsia="Times New Roman" w:hAnsi="Arial" w:cs="Arial"/>
          <w:color w:val="000000"/>
          <w:sz w:val="20"/>
          <w:szCs w:val="20"/>
        </w:rPr>
        <w:t xml:space="preserve"> historical claims experience, and (3) evaluate the actuarial report and the external actuarial expert’s qualifications, competency, and objectivity. We evaluated the Company’s historical ability to estimate self-insurance liabilities by comparing the prio</w:t>
      </w:r>
      <w:r>
        <w:rPr>
          <w:rFonts w:ascii="Arial" w:eastAsia="Times New Roman" w:hAnsi="Arial" w:cs="Arial"/>
          <w:color w:val="000000"/>
          <w:sz w:val="20"/>
          <w:szCs w:val="20"/>
        </w:rPr>
        <w:t>r year recorded amounts to the subsequent claim development. We tested a sample of the claims data utilized by the Company’s actuaries by comparing to underlying claims details; and involved an actuarial professional with specialized skills and knowledge w</w:t>
      </w:r>
      <w:r>
        <w:rPr>
          <w:rFonts w:ascii="Arial" w:eastAsia="Times New Roman" w:hAnsi="Arial" w:cs="Arial"/>
          <w:color w:val="000000"/>
          <w:sz w:val="20"/>
          <w:szCs w:val="20"/>
        </w:rPr>
        <w:t>ho assisted in the:</w:t>
      </w:r>
    </w:p>
    <w:p w14:paraId="29228BB0" w14:textId="77777777" w:rsidR="00000000" w:rsidRDefault="001D0688">
      <w:pPr>
        <w:ind w:hanging="360"/>
        <w:divId w:val="1684741120"/>
        <w:rPr>
          <w:rFonts w:eastAsia="Times New Roman"/>
        </w:rPr>
      </w:pPr>
      <w:r>
        <w:rPr>
          <w:rFonts w:ascii="Arial" w:eastAsia="Times New Roman" w:hAnsi="Arial" w:cs="Arial"/>
          <w:color w:val="000000"/>
          <w:sz w:val="20"/>
          <w:szCs w:val="20"/>
        </w:rPr>
        <w:t>•Assessment of the actuarial models used by the Company for consistency with generally accepted actuarial standards, and</w:t>
      </w:r>
    </w:p>
    <w:p w14:paraId="2D559F9A" w14:textId="77777777" w:rsidR="00000000" w:rsidRDefault="001D0688">
      <w:pPr>
        <w:ind w:hanging="360"/>
        <w:divId w:val="83211236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Development of an independent actuarial estimate of self-insurance liabilities based on the Company’s underlying historical paid and incurred loss data.</w:t>
      </w:r>
    </w:p>
    <w:p w14:paraId="48D8A76B" w14:textId="77777777" w:rsidR="00000000" w:rsidRDefault="001D0688">
      <w:pPr>
        <w:divId w:val="553784555"/>
        <w:rPr>
          <w:rFonts w:eastAsia="Times New Roman"/>
        </w:rPr>
      </w:pPr>
      <w:r>
        <w:rPr>
          <w:rFonts w:ascii="Arial" w:eastAsia="Times New Roman" w:hAnsi="Arial" w:cs="Arial"/>
          <w:i/>
          <w:iCs/>
          <w:color w:val="000000"/>
          <w:sz w:val="20"/>
          <w:szCs w:val="20"/>
          <w:shd w:val="clear" w:color="auto" w:fill="FFFFFF"/>
        </w:rPr>
        <w:t>Evaluation of the goodwill impairment charge for the Aviation and Education reporting units</w:t>
      </w:r>
    </w:p>
    <w:p w14:paraId="3A9B90DC" w14:textId="77777777" w:rsidR="00000000" w:rsidRDefault="001D0688">
      <w:pPr>
        <w:divId w:val="475608951"/>
        <w:rPr>
          <w:rFonts w:eastAsia="Times New Roman"/>
        </w:rPr>
      </w:pPr>
      <w:r>
        <w:rPr>
          <w:rFonts w:ascii="Arial" w:eastAsia="Times New Roman" w:hAnsi="Arial" w:cs="Arial"/>
          <w:color w:val="000000"/>
          <w:sz w:val="20"/>
          <w:szCs w:val="20"/>
          <w:shd w:val="clear" w:color="auto" w:fill="FFFFFF"/>
        </w:rPr>
        <w:t>As discusse</w:t>
      </w:r>
      <w:r>
        <w:rPr>
          <w:rFonts w:ascii="Arial" w:eastAsia="Times New Roman" w:hAnsi="Arial" w:cs="Arial"/>
          <w:color w:val="000000"/>
          <w:sz w:val="20"/>
          <w:szCs w:val="20"/>
          <w:shd w:val="clear" w:color="auto" w:fill="FFFFFF"/>
        </w:rPr>
        <w:t>d in Notes 2 and 9 to the consolidated financial statements, the Company performs goodwill impairment testing on an annual basis and whenever events or changes in circumstances indicate that the fair value of a reporting unit has declined below its carryin</w:t>
      </w:r>
      <w:r>
        <w:rPr>
          <w:rFonts w:ascii="Arial" w:eastAsia="Times New Roman" w:hAnsi="Arial" w:cs="Arial"/>
          <w:color w:val="000000"/>
          <w:sz w:val="20"/>
          <w:szCs w:val="20"/>
          <w:shd w:val="clear" w:color="auto" w:fill="FFFFFF"/>
        </w:rPr>
        <w:t>g value. The Company estimates the fair value of a reporting unit using a weighting of fair values derived from an income approach and a market approach. The goodwill balance as of October 31, 2020 was $1,671.4 million, of which $69.5 million related to th</w:t>
      </w:r>
      <w:r>
        <w:rPr>
          <w:rFonts w:ascii="Arial" w:eastAsia="Times New Roman" w:hAnsi="Arial" w:cs="Arial"/>
          <w:color w:val="000000"/>
          <w:sz w:val="20"/>
          <w:szCs w:val="20"/>
          <w:shd w:val="clear" w:color="auto" w:fill="FFFFFF"/>
        </w:rPr>
        <w:t>e Aviation reporting unit and $459.3 million related to the Education reporting unit. The Company determined that the carrying value of the Aviation and Education reporting units exceeded the fair value of each of those reporting units, resulting in an imp</w:t>
      </w:r>
      <w:r>
        <w:rPr>
          <w:rFonts w:ascii="Arial" w:eastAsia="Times New Roman" w:hAnsi="Arial" w:cs="Arial"/>
          <w:color w:val="000000"/>
          <w:sz w:val="20"/>
          <w:szCs w:val="20"/>
          <w:shd w:val="clear" w:color="auto" w:fill="FFFFFF"/>
        </w:rPr>
        <w:t xml:space="preserve">airment </w:t>
      </w:r>
      <w:r>
        <w:rPr>
          <w:rFonts w:ascii="Arial" w:eastAsia="Times New Roman" w:hAnsi="Arial" w:cs="Arial"/>
          <w:color w:val="000000"/>
          <w:sz w:val="20"/>
          <w:szCs w:val="20"/>
        </w:rPr>
        <w:t>charge of $154.8 million.</w:t>
      </w:r>
    </w:p>
    <w:p w14:paraId="7D110B5B" w14:textId="77777777" w:rsidR="00000000" w:rsidRDefault="001D0688">
      <w:pPr>
        <w:divId w:val="1947536101"/>
        <w:rPr>
          <w:rFonts w:eastAsia="Times New Roman"/>
        </w:rPr>
      </w:pPr>
      <w:r>
        <w:rPr>
          <w:rFonts w:ascii="Arial" w:eastAsia="Times New Roman" w:hAnsi="Arial" w:cs="Arial"/>
          <w:color w:val="000000"/>
          <w:sz w:val="20"/>
          <w:szCs w:val="20"/>
          <w:shd w:val="clear" w:color="auto" w:fill="FFFFFF"/>
        </w:rPr>
        <w:t xml:space="preserve">We identified the evaluation of the goodwill impairment charge for the Aviation and Education reporting units as a critical audit matter. A high degree of subjective auditor judgment was required to evaluate the reporting </w:t>
      </w:r>
      <w:r>
        <w:rPr>
          <w:rFonts w:ascii="Arial" w:eastAsia="Times New Roman" w:hAnsi="Arial" w:cs="Arial"/>
          <w:color w:val="000000"/>
          <w:sz w:val="20"/>
          <w:szCs w:val="20"/>
          <w:shd w:val="clear" w:color="auto" w:fill="FFFFFF"/>
        </w:rPr>
        <w:t>units’ forecasted revenue growth rates, operating margins, and discount rate assumptions used in the income approach. Changes to these assumptions could have a substantial impact on the estimated fair value of the Aviation and Education reporting units.</w:t>
      </w:r>
    </w:p>
    <w:p w14:paraId="11ED8E2F" w14:textId="77777777" w:rsidR="00000000" w:rsidRDefault="001D0688">
      <w:pPr>
        <w:divId w:val="1807896511"/>
        <w:rPr>
          <w:rFonts w:eastAsia="Times New Roman"/>
        </w:rPr>
      </w:pPr>
      <w:r>
        <w:rPr>
          <w:rFonts w:ascii="Arial" w:eastAsia="Times New Roman" w:hAnsi="Arial" w:cs="Arial"/>
          <w:color w:val="000000"/>
          <w:sz w:val="20"/>
          <w:szCs w:val="20"/>
          <w:shd w:val="clear" w:color="auto" w:fill="FFFFFF"/>
        </w:rPr>
        <w:t>Th</w:t>
      </w:r>
      <w:r>
        <w:rPr>
          <w:rFonts w:ascii="Arial" w:eastAsia="Times New Roman" w:hAnsi="Arial" w:cs="Arial"/>
          <w:color w:val="000000"/>
          <w:sz w:val="20"/>
          <w:szCs w:val="20"/>
          <w:shd w:val="clear" w:color="auto" w:fill="FFFFFF"/>
        </w:rPr>
        <w:t xml:space="preserve">e following are the primary procedures we performed to address this critical audit matter. We evaluated the design and tested the operating effectiveness of an internal control over the Company’s goodwill impairment process including the evaluation of the </w:t>
      </w:r>
      <w:r>
        <w:rPr>
          <w:rFonts w:ascii="Arial" w:eastAsia="Times New Roman" w:hAnsi="Arial" w:cs="Arial"/>
          <w:color w:val="000000"/>
          <w:sz w:val="20"/>
          <w:szCs w:val="20"/>
          <w:shd w:val="clear" w:color="auto" w:fill="FFFFFF"/>
        </w:rPr>
        <w:t>forecasted revenue growth rates, operating margins, and discount rate assumptions used to estimate the fair value of the reporting units. We performed sensitivity analyses over the forecasted revenue growth rates, operating margins, and discount rate assum</w:t>
      </w:r>
      <w:r>
        <w:rPr>
          <w:rFonts w:ascii="Arial" w:eastAsia="Times New Roman" w:hAnsi="Arial" w:cs="Arial"/>
          <w:color w:val="000000"/>
          <w:sz w:val="20"/>
          <w:szCs w:val="20"/>
          <w:shd w:val="clear" w:color="auto" w:fill="FFFFFF"/>
        </w:rPr>
        <w:t>ptions to assess the impact of the changes in those assumptions on the impairment charge. We evaluated the Company’s forecasted revenue growth rates and operating margins for the Aviation and Education reporting units by comparing them to underlying busine</w:t>
      </w:r>
      <w:r>
        <w:rPr>
          <w:rFonts w:ascii="Arial" w:eastAsia="Times New Roman" w:hAnsi="Arial" w:cs="Arial"/>
          <w:color w:val="000000"/>
          <w:sz w:val="20"/>
          <w:szCs w:val="20"/>
          <w:shd w:val="clear" w:color="auto" w:fill="FFFFFF"/>
        </w:rPr>
        <w:t>ss strategies and growth plans and to relevant industry information, including trends and analytics. We also involved valuation professionals with specialized skills and knowledge, who assisted in:</w:t>
      </w:r>
    </w:p>
    <w:p w14:paraId="617458BF" w14:textId="77777777" w:rsidR="00000000" w:rsidRDefault="001D0688">
      <w:pPr>
        <w:ind w:hanging="360"/>
        <w:divId w:val="1948809076"/>
        <w:rPr>
          <w:rFonts w:eastAsia="Times New Roman"/>
        </w:rPr>
      </w:pPr>
      <w:r>
        <w:rPr>
          <w:rFonts w:ascii="Arial" w:eastAsia="Times New Roman" w:hAnsi="Arial" w:cs="Arial"/>
          <w:color w:val="000000"/>
          <w:sz w:val="20"/>
          <w:szCs w:val="20"/>
        </w:rPr>
        <w:t>•Evaluating the Company’s discount rate, by comparing it a</w:t>
      </w:r>
      <w:r>
        <w:rPr>
          <w:rFonts w:ascii="Arial" w:eastAsia="Times New Roman" w:hAnsi="Arial" w:cs="Arial"/>
          <w:color w:val="000000"/>
          <w:sz w:val="20"/>
          <w:szCs w:val="20"/>
        </w:rPr>
        <w:t>gainst a discount rate range that was independently developed using publicly available market data for comparable entities</w:t>
      </w:r>
    </w:p>
    <w:p w14:paraId="477D6FA7" w14:textId="77777777" w:rsidR="00000000" w:rsidRDefault="001D0688">
      <w:pPr>
        <w:jc w:val="center"/>
        <w:divId w:val="1133985099"/>
        <w:rPr>
          <w:rFonts w:eastAsia="Times New Roman"/>
        </w:rPr>
      </w:pPr>
      <w:r>
        <w:rPr>
          <w:rFonts w:ascii="Arial" w:eastAsia="Times New Roman" w:hAnsi="Arial" w:cs="Arial"/>
          <w:color w:val="000000"/>
          <w:sz w:val="20"/>
          <w:szCs w:val="20"/>
        </w:rPr>
        <w:t>46</w:t>
      </w:r>
    </w:p>
    <w:p w14:paraId="32313276" w14:textId="77777777" w:rsidR="00000000" w:rsidRDefault="001D0688">
      <w:pPr>
        <w:rPr>
          <w:rFonts w:eastAsia="Times New Roman"/>
        </w:rPr>
      </w:pPr>
      <w:r>
        <w:rPr>
          <w:rFonts w:eastAsia="Times New Roman"/>
        </w:rPr>
        <w:pict w14:anchorId="3CA47A08">
          <v:rect id="_x0000_i1082" style="width:0;height:1.5pt" o:hralign="center" o:hrstd="t" o:hr="t" fillcolor="#a0a0a0" stroked="f"/>
        </w:pict>
      </w:r>
    </w:p>
    <w:p w14:paraId="246995B6" w14:textId="77777777" w:rsidR="00000000" w:rsidRDefault="001D0688">
      <w:pPr>
        <w:divId w:val="1707218132"/>
        <w:rPr>
          <w:rFonts w:eastAsia="Times New Roman"/>
        </w:rPr>
      </w:pPr>
    </w:p>
    <w:p w14:paraId="01A12D7B" w14:textId="77777777" w:rsidR="00000000" w:rsidRDefault="001D0688">
      <w:pPr>
        <w:ind w:hanging="360"/>
        <w:divId w:val="93328963"/>
        <w:rPr>
          <w:rFonts w:eastAsia="Times New Roman"/>
        </w:rPr>
      </w:pPr>
      <w:r>
        <w:rPr>
          <w:rFonts w:ascii="Arial" w:eastAsia="Times New Roman" w:hAnsi="Arial" w:cs="Arial"/>
          <w:color w:val="000000"/>
          <w:sz w:val="20"/>
          <w:szCs w:val="20"/>
        </w:rPr>
        <w:t>•Developing an estimate of the Aviation and Education reporting units’ fair values using the</w:t>
      </w:r>
      <w:r>
        <w:rPr>
          <w:rFonts w:ascii="Arial" w:eastAsia="Times New Roman" w:hAnsi="Arial" w:cs="Arial"/>
          <w:color w:val="000000"/>
          <w:sz w:val="20"/>
          <w:szCs w:val="20"/>
        </w:rPr>
        <w:t xml:space="preserve"> reporting units’ cash flow forecast and an independently developed discount rate, and comparing the results to the Company’s fair value estimates.</w:t>
      </w:r>
    </w:p>
    <w:p w14:paraId="1F5A6A4E" w14:textId="77777777" w:rsidR="00000000" w:rsidRDefault="001D0688">
      <w:pPr>
        <w:divId w:val="415202674"/>
        <w:rPr>
          <w:rFonts w:eastAsia="Times New Roman"/>
        </w:rPr>
      </w:pPr>
    </w:p>
    <w:p w14:paraId="6AACE2AA" w14:textId="77777777" w:rsidR="00000000" w:rsidRDefault="001D0688">
      <w:pPr>
        <w:divId w:val="880819593"/>
        <w:rPr>
          <w:rFonts w:eastAsia="Times New Roman"/>
        </w:rPr>
      </w:pPr>
      <w:r>
        <w:rPr>
          <w:rFonts w:ascii="Arial" w:eastAsia="Times New Roman" w:hAnsi="Arial" w:cs="Arial"/>
          <w:color w:val="000000"/>
          <w:sz w:val="20"/>
          <w:szCs w:val="20"/>
        </w:rPr>
        <w:t>/s/ KPMG LLP</w:t>
      </w:r>
    </w:p>
    <w:p w14:paraId="05807F2C" w14:textId="77777777" w:rsidR="00000000" w:rsidRDefault="001D0688">
      <w:pPr>
        <w:divId w:val="1452474700"/>
        <w:rPr>
          <w:rFonts w:eastAsia="Times New Roman"/>
        </w:rPr>
      </w:pPr>
      <w:r>
        <w:rPr>
          <w:rFonts w:ascii="Arial" w:eastAsia="Times New Roman" w:hAnsi="Arial" w:cs="Arial"/>
          <w:color w:val="000000"/>
          <w:sz w:val="20"/>
          <w:szCs w:val="20"/>
        </w:rPr>
        <w:t>We have served as the Company’s auditor since 1980.</w:t>
      </w:r>
    </w:p>
    <w:p w14:paraId="2D9B69E4" w14:textId="77777777" w:rsidR="00000000" w:rsidRDefault="001D0688">
      <w:pPr>
        <w:divId w:val="1277179933"/>
        <w:rPr>
          <w:rFonts w:eastAsia="Times New Roman"/>
        </w:rPr>
      </w:pPr>
      <w:r>
        <w:rPr>
          <w:rFonts w:ascii="Arial" w:eastAsia="Times New Roman" w:hAnsi="Arial" w:cs="Arial"/>
          <w:color w:val="000000"/>
          <w:sz w:val="20"/>
          <w:szCs w:val="20"/>
        </w:rPr>
        <w:t>New York, New York</w:t>
      </w:r>
    </w:p>
    <w:p w14:paraId="3E3A1E6E" w14:textId="77777777" w:rsidR="00000000" w:rsidRDefault="001D0688">
      <w:pPr>
        <w:divId w:val="1504278904"/>
        <w:rPr>
          <w:rFonts w:eastAsia="Times New Roman"/>
        </w:rPr>
      </w:pPr>
      <w:r>
        <w:rPr>
          <w:rFonts w:ascii="Arial" w:eastAsia="Times New Roman" w:hAnsi="Arial" w:cs="Arial"/>
          <w:color w:val="000000"/>
          <w:sz w:val="20"/>
          <w:szCs w:val="20"/>
        </w:rPr>
        <w:t>December </w:t>
      </w:r>
      <w:r>
        <w:rPr>
          <w:rFonts w:ascii="Arial" w:eastAsia="Times New Roman" w:hAnsi="Arial" w:cs="Arial"/>
          <w:color w:val="000000"/>
          <w:sz w:val="20"/>
          <w:szCs w:val="20"/>
        </w:rPr>
        <w:t xml:space="preserve">17, 2020 </w:t>
      </w:r>
    </w:p>
    <w:p w14:paraId="56AE2A31" w14:textId="77777777" w:rsidR="00000000" w:rsidRDefault="001D0688">
      <w:pPr>
        <w:divId w:val="788160551"/>
        <w:rPr>
          <w:rFonts w:eastAsia="Times New Roman"/>
        </w:rPr>
      </w:pPr>
    </w:p>
    <w:p w14:paraId="72957789" w14:textId="77777777" w:rsidR="00000000" w:rsidRDefault="001D0688">
      <w:pPr>
        <w:jc w:val="center"/>
        <w:divId w:val="1488207725"/>
        <w:rPr>
          <w:rFonts w:eastAsia="Times New Roman"/>
        </w:rPr>
      </w:pPr>
      <w:r>
        <w:rPr>
          <w:rFonts w:ascii="Arial" w:eastAsia="Times New Roman" w:hAnsi="Arial" w:cs="Arial"/>
          <w:color w:val="000000"/>
          <w:sz w:val="20"/>
          <w:szCs w:val="20"/>
        </w:rPr>
        <w:t>47</w:t>
      </w:r>
    </w:p>
    <w:p w14:paraId="6B17A586" w14:textId="77777777" w:rsidR="00000000" w:rsidRDefault="001D0688">
      <w:pPr>
        <w:rPr>
          <w:rFonts w:eastAsia="Times New Roman"/>
        </w:rPr>
      </w:pPr>
      <w:r>
        <w:rPr>
          <w:rFonts w:eastAsia="Times New Roman"/>
        </w:rPr>
        <w:pict w14:anchorId="0CEA4BDE">
          <v:rect id="_x0000_i1083" style="width:0;height:1.5pt" o:hralign="center" o:hrstd="t" o:hr="t" fillcolor="#a0a0a0" stroked="f"/>
        </w:pict>
      </w:r>
    </w:p>
    <w:p w14:paraId="0535EF1C" w14:textId="77777777" w:rsidR="00000000" w:rsidRDefault="001D0688">
      <w:pPr>
        <w:divId w:val="1701391960"/>
        <w:rPr>
          <w:rFonts w:eastAsia="Times New Roman"/>
        </w:rPr>
      </w:pPr>
    </w:p>
    <w:p w14:paraId="0122A82B" w14:textId="77777777" w:rsidR="00000000" w:rsidRDefault="001D0688">
      <w:pPr>
        <w:jc w:val="center"/>
        <w:divId w:val="126046910"/>
        <w:rPr>
          <w:rFonts w:eastAsia="Times New Roman"/>
        </w:rPr>
      </w:pPr>
      <w:r>
        <w:rPr>
          <w:rFonts w:ascii="Arial" w:eastAsia="Times New Roman" w:hAnsi="Arial" w:cs="Arial"/>
          <w:b/>
          <w:bCs/>
          <w:color w:val="000000"/>
          <w:sz w:val="20"/>
          <w:szCs w:val="20"/>
          <w:shd w:val="clear" w:color="auto" w:fill="FFFFFF"/>
        </w:rPr>
        <w:t>Report of Independent Registered Public Accounting Firm</w:t>
      </w:r>
    </w:p>
    <w:p w14:paraId="299A266E" w14:textId="77777777" w:rsidR="00000000" w:rsidRDefault="001D0688">
      <w:pPr>
        <w:divId w:val="1815486828"/>
        <w:rPr>
          <w:rFonts w:eastAsia="Times New Roman"/>
        </w:rPr>
      </w:pPr>
    </w:p>
    <w:p w14:paraId="19C11545" w14:textId="77777777" w:rsidR="00000000" w:rsidRDefault="001D0688">
      <w:pPr>
        <w:divId w:val="1004431211"/>
        <w:rPr>
          <w:rFonts w:eastAsia="Times New Roman"/>
        </w:rPr>
      </w:pPr>
      <w:r>
        <w:rPr>
          <w:rFonts w:ascii="Arial" w:eastAsia="Times New Roman" w:hAnsi="Arial" w:cs="Arial"/>
          <w:color w:val="000000"/>
          <w:sz w:val="20"/>
          <w:szCs w:val="20"/>
        </w:rPr>
        <w:t>To the Stockholders and Board of Directors</w:t>
      </w:r>
    </w:p>
    <w:p w14:paraId="1F59A5BD" w14:textId="77777777" w:rsidR="00000000" w:rsidRDefault="001D0688">
      <w:pPr>
        <w:divId w:val="305087239"/>
        <w:rPr>
          <w:rFonts w:eastAsia="Times New Roman"/>
        </w:rPr>
      </w:pPr>
      <w:r>
        <w:rPr>
          <w:rFonts w:ascii="Arial" w:eastAsia="Times New Roman" w:hAnsi="Arial" w:cs="Arial"/>
          <w:color w:val="000000"/>
          <w:sz w:val="20"/>
          <w:szCs w:val="20"/>
        </w:rPr>
        <w:t>ABM Industries Incorporated:</w:t>
      </w:r>
    </w:p>
    <w:p w14:paraId="4D37FF31" w14:textId="77777777" w:rsidR="00000000" w:rsidRDefault="001D0688">
      <w:pPr>
        <w:divId w:val="1999191383"/>
        <w:rPr>
          <w:rFonts w:eastAsia="Times New Roman"/>
        </w:rPr>
      </w:pPr>
    </w:p>
    <w:p w14:paraId="7845CD7B" w14:textId="77777777" w:rsidR="00000000" w:rsidRDefault="001D0688">
      <w:pPr>
        <w:divId w:val="1428190252"/>
        <w:rPr>
          <w:rFonts w:eastAsia="Times New Roman"/>
        </w:rPr>
      </w:pPr>
      <w:r>
        <w:rPr>
          <w:rFonts w:ascii="Arial" w:eastAsia="Times New Roman" w:hAnsi="Arial" w:cs="Arial"/>
          <w:i/>
          <w:iCs/>
          <w:color w:val="000000"/>
          <w:sz w:val="20"/>
          <w:szCs w:val="20"/>
        </w:rPr>
        <w:t xml:space="preserve">Opinion on Internal Control Over Financial Reporting </w:t>
      </w:r>
    </w:p>
    <w:p w14:paraId="28E8E591" w14:textId="77777777" w:rsidR="00000000" w:rsidRDefault="001D0688">
      <w:pPr>
        <w:divId w:val="1465269315"/>
        <w:rPr>
          <w:rFonts w:eastAsia="Times New Roman"/>
        </w:rPr>
      </w:pPr>
      <w:r>
        <w:rPr>
          <w:rFonts w:ascii="Arial" w:eastAsia="Times New Roman" w:hAnsi="Arial" w:cs="Arial"/>
          <w:color w:val="000000"/>
          <w:sz w:val="20"/>
          <w:szCs w:val="20"/>
        </w:rPr>
        <w:t xml:space="preserve">We have audited </w:t>
      </w:r>
      <w:r>
        <w:rPr>
          <w:rFonts w:ascii="Arial" w:eastAsia="Times New Roman" w:hAnsi="Arial" w:cs="Arial"/>
          <w:color w:val="000000"/>
          <w:sz w:val="20"/>
          <w:szCs w:val="20"/>
        </w:rPr>
        <w:t xml:space="preserve">ABM Industries Incorporated and subsidiaries’ (the Company) internal control over financial reporting as of October 31, 2020, based on criteria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w:t>
      </w:r>
      <w:r>
        <w:rPr>
          <w:rFonts w:ascii="Arial" w:eastAsia="Times New Roman" w:hAnsi="Arial" w:cs="Arial"/>
          <w:color w:val="000000"/>
          <w:sz w:val="20"/>
          <w:szCs w:val="20"/>
        </w:rPr>
        <w:t xml:space="preserve">s of the Treadway Commission. In our opinion, the Company maintained, in all material respects, effective internal control over financial reporting as of October 31, 2020, based on criteria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w:t>
      </w:r>
      <w:r>
        <w:rPr>
          <w:rFonts w:ascii="Arial" w:eastAsia="Times New Roman" w:hAnsi="Arial" w:cs="Arial"/>
          <w:color w:val="000000"/>
          <w:sz w:val="20"/>
          <w:szCs w:val="20"/>
        </w:rPr>
        <w:t xml:space="preserve">ed by the Committee of Sponsoring Organizations of the Treadway Commission. </w:t>
      </w:r>
    </w:p>
    <w:p w14:paraId="09BBA526" w14:textId="77777777" w:rsidR="00000000" w:rsidRDefault="001D0688">
      <w:pPr>
        <w:divId w:val="4750224"/>
        <w:rPr>
          <w:rFonts w:eastAsia="Times New Roman"/>
        </w:rPr>
      </w:pPr>
      <w:r>
        <w:rPr>
          <w:rFonts w:ascii="Arial" w:eastAsia="Times New Roman" w:hAnsi="Arial" w:cs="Arial"/>
          <w:color w:val="000000"/>
          <w:sz w:val="20"/>
          <w:szCs w:val="20"/>
        </w:rPr>
        <w:t xml:space="preserve">We also have audited, in accordance with the standards of the Public Company Accounting Oversight Board (United States) (PCAOB), the consolidated balance sheets of the Company as </w:t>
      </w:r>
      <w:r>
        <w:rPr>
          <w:rFonts w:ascii="Arial" w:eastAsia="Times New Roman" w:hAnsi="Arial" w:cs="Arial"/>
          <w:color w:val="000000"/>
          <w:sz w:val="20"/>
          <w:szCs w:val="20"/>
        </w:rPr>
        <w:t>of October 31, 2020 and 2019, the related consolidated statements of comprehensive (loss) income, stockholders’ equity, and cash flows for each of the years in the three</w:t>
      </w:r>
      <w:r>
        <w:rPr>
          <w:rFonts w:ascii="Arial" w:eastAsia="Times New Roman" w:hAnsi="Arial" w:cs="Arial"/>
          <w:color w:val="000000"/>
          <w:sz w:val="20"/>
          <w:szCs w:val="20"/>
        </w:rPr>
        <w:noBreakHyphen/>
        <w:t>year period ended October 31, 2020, and the related notes and financial statement Sche</w:t>
      </w:r>
      <w:r>
        <w:rPr>
          <w:rFonts w:ascii="Arial" w:eastAsia="Times New Roman" w:hAnsi="Arial" w:cs="Arial"/>
          <w:color w:val="000000"/>
          <w:sz w:val="20"/>
          <w:szCs w:val="20"/>
        </w:rPr>
        <w:t>dule II (collectively, the consolidated financial statements), and our report dated December 17, 2020 expressed an unqualified opinion on those consolidated financial statements.</w:t>
      </w:r>
    </w:p>
    <w:p w14:paraId="7EBB627E" w14:textId="77777777" w:rsidR="00000000" w:rsidRDefault="001D0688">
      <w:pPr>
        <w:divId w:val="1897084582"/>
        <w:rPr>
          <w:rFonts w:eastAsia="Times New Roman"/>
        </w:rPr>
      </w:pPr>
      <w:r>
        <w:rPr>
          <w:rFonts w:ascii="Arial" w:eastAsia="Times New Roman" w:hAnsi="Arial" w:cs="Arial"/>
          <w:i/>
          <w:iCs/>
          <w:color w:val="000000"/>
          <w:sz w:val="20"/>
          <w:szCs w:val="20"/>
        </w:rPr>
        <w:t xml:space="preserve">Basis for Opinion </w:t>
      </w:r>
    </w:p>
    <w:p w14:paraId="75BE64BF" w14:textId="77777777" w:rsidR="00000000" w:rsidRDefault="001D0688">
      <w:pPr>
        <w:divId w:val="335767572"/>
        <w:rPr>
          <w:rFonts w:eastAsia="Times New Roman"/>
        </w:rPr>
      </w:pPr>
      <w:r>
        <w:rPr>
          <w:rFonts w:ascii="Arial" w:eastAsia="Times New Roman" w:hAnsi="Arial" w:cs="Arial"/>
          <w:color w:val="000000"/>
          <w:sz w:val="20"/>
          <w:szCs w:val="20"/>
        </w:rPr>
        <w:t>The Company’</w:t>
      </w:r>
      <w:r>
        <w:rPr>
          <w:rFonts w:ascii="Arial" w:eastAsia="Times New Roman" w:hAnsi="Arial" w:cs="Arial"/>
          <w:color w:val="000000"/>
          <w:sz w:val="20"/>
          <w:szCs w:val="20"/>
        </w:rPr>
        <w:t>s management is responsible for maintaining effective internal control over financial reporting and for its assessment of the effectiveness of internal control over financial reporting, included in the accompanying Management’s Report on Internal Control O</w:t>
      </w:r>
      <w:r>
        <w:rPr>
          <w:rFonts w:ascii="Arial" w:eastAsia="Times New Roman" w:hAnsi="Arial" w:cs="Arial"/>
          <w:color w:val="000000"/>
          <w:sz w:val="20"/>
          <w:szCs w:val="20"/>
        </w:rPr>
        <w:t>ver Financial Reporting. Our responsibility is to express an opinion on the Company’s internal control over financial reporting based on our audit. We are a public accounting firm registered with the PCAOB and are required to be independent with respect to</w:t>
      </w:r>
      <w:r>
        <w:rPr>
          <w:rFonts w:ascii="Arial" w:eastAsia="Times New Roman" w:hAnsi="Arial" w:cs="Arial"/>
          <w:color w:val="000000"/>
          <w:sz w:val="20"/>
          <w:szCs w:val="20"/>
        </w:rPr>
        <w:t xml:space="preserve"> the Company in accordance with the U.S. federal securities laws and the applicable rules and regulations of the Securities and Exchange Commission and the PCAOB.</w:t>
      </w:r>
    </w:p>
    <w:p w14:paraId="242BDFA9" w14:textId="77777777" w:rsidR="00000000" w:rsidRDefault="001D0688">
      <w:pPr>
        <w:divId w:val="1995261161"/>
        <w:rPr>
          <w:rFonts w:eastAsia="Times New Roman"/>
        </w:rPr>
      </w:pPr>
      <w:r>
        <w:rPr>
          <w:rFonts w:ascii="Arial" w:eastAsia="Times New Roman" w:hAnsi="Arial" w:cs="Arial"/>
          <w:color w:val="000000"/>
          <w:sz w:val="20"/>
          <w:szCs w:val="20"/>
        </w:rPr>
        <w:t>We conducted our audit in accordance with the standards of the PCAOB. Those standards require</w:t>
      </w:r>
      <w:r>
        <w:rPr>
          <w:rFonts w:ascii="Arial" w:eastAsia="Times New Roman" w:hAnsi="Arial" w:cs="Arial"/>
          <w:color w:val="000000"/>
          <w:sz w:val="20"/>
          <w:szCs w:val="20"/>
        </w:rPr>
        <w:t xml:space="preserve"> that we plan and perform the audit to obtain reasonable assurance about whether effective internal control over financial reporting was maintained in all material respects. Our audit of internal control over financial reporting included obtaining an under</w:t>
      </w:r>
      <w:r>
        <w:rPr>
          <w:rFonts w:ascii="Arial" w:eastAsia="Times New Roman" w:hAnsi="Arial" w:cs="Arial"/>
          <w:color w:val="000000"/>
          <w:sz w:val="20"/>
          <w:szCs w:val="20"/>
        </w:rPr>
        <w:t xml:space="preserve">standing of internal control over financial reporting, assessing the risk that a material weakness exists, and testing and evaluating the design and operating effectiveness of internal control based on the assessed risk. Our audit also included performing </w:t>
      </w:r>
      <w:r>
        <w:rPr>
          <w:rFonts w:ascii="Arial" w:eastAsia="Times New Roman" w:hAnsi="Arial" w:cs="Arial"/>
          <w:color w:val="000000"/>
          <w:sz w:val="20"/>
          <w:szCs w:val="20"/>
        </w:rPr>
        <w:t>such other procedures as we considered necessary in the circumstances. We believe that our audit provides a reasonable basis for our opinion.</w:t>
      </w:r>
    </w:p>
    <w:p w14:paraId="42301C01" w14:textId="77777777" w:rsidR="00000000" w:rsidRDefault="001D0688">
      <w:pPr>
        <w:divId w:val="1310868787"/>
        <w:rPr>
          <w:rFonts w:eastAsia="Times New Roman"/>
        </w:rPr>
      </w:pPr>
      <w:r>
        <w:rPr>
          <w:rFonts w:ascii="Arial" w:eastAsia="Times New Roman" w:hAnsi="Arial" w:cs="Arial"/>
          <w:i/>
          <w:iCs/>
          <w:color w:val="000000"/>
          <w:sz w:val="20"/>
          <w:szCs w:val="20"/>
        </w:rPr>
        <w:t xml:space="preserve">Definition and Limitations of Internal Control Over Financial Reporting </w:t>
      </w:r>
    </w:p>
    <w:p w14:paraId="4AAF2263" w14:textId="77777777" w:rsidR="00000000" w:rsidRDefault="001D0688">
      <w:pPr>
        <w:divId w:val="1683311388"/>
        <w:rPr>
          <w:rFonts w:eastAsia="Times New Roman"/>
        </w:rPr>
      </w:pPr>
      <w:r>
        <w:rPr>
          <w:rFonts w:ascii="Arial" w:eastAsia="Times New Roman" w:hAnsi="Arial" w:cs="Arial"/>
          <w:color w:val="000000"/>
          <w:sz w:val="20"/>
          <w:szCs w:val="20"/>
        </w:rPr>
        <w:t>A company’s internal control over financi</w:t>
      </w:r>
      <w:r>
        <w:rPr>
          <w:rFonts w:ascii="Arial" w:eastAsia="Times New Roman" w:hAnsi="Arial" w:cs="Arial"/>
          <w:color w:val="000000"/>
          <w:sz w:val="20"/>
          <w:szCs w:val="20"/>
        </w:rPr>
        <w:t>al reporting is a process designed to provide reasonable assurance regarding the reliability of financial reporting and the preparation of financial statements for external purposes in accordance with generally accepted accounting principles. A company’s i</w:t>
      </w:r>
      <w:r>
        <w:rPr>
          <w:rFonts w:ascii="Arial" w:eastAsia="Times New Roman" w:hAnsi="Arial" w:cs="Arial"/>
          <w:color w:val="000000"/>
          <w:sz w:val="20"/>
          <w:szCs w:val="20"/>
        </w:rPr>
        <w:t>nternal control over financial reporting includes those policies and procedures that (1) pertain to the maintenance of records that, in reasonable detail, accurately and fairly reflect the transactions and dispositions of the assets of the company; (2) pro</w:t>
      </w:r>
      <w:r>
        <w:rPr>
          <w:rFonts w:ascii="Arial" w:eastAsia="Times New Roman" w:hAnsi="Arial" w:cs="Arial"/>
          <w:color w:val="000000"/>
          <w:sz w:val="20"/>
          <w:szCs w:val="20"/>
        </w:rPr>
        <w:t>vide reasonable assurance that transactions are recorded as necessary to permit preparation of financial statements in accordance with generally accepted accounting principles, and that receipts and expenditures of the company are being made only in accord</w:t>
      </w:r>
      <w:r>
        <w:rPr>
          <w:rFonts w:ascii="Arial" w:eastAsia="Times New Roman" w:hAnsi="Arial" w:cs="Arial"/>
          <w:color w:val="000000"/>
          <w:sz w:val="20"/>
          <w:szCs w:val="20"/>
        </w:rPr>
        <w:t>ance with authorizations of management and directors of the company; and (3) provide reasonable assurance regarding prevention or timely detection of unauthorized acquisition, use, or disposition of the company’s assets that could have a material effect on</w:t>
      </w:r>
      <w:r>
        <w:rPr>
          <w:rFonts w:ascii="Arial" w:eastAsia="Times New Roman" w:hAnsi="Arial" w:cs="Arial"/>
          <w:color w:val="000000"/>
          <w:sz w:val="20"/>
          <w:szCs w:val="20"/>
        </w:rPr>
        <w:t xml:space="preserve"> the financial statements.</w:t>
      </w:r>
    </w:p>
    <w:p w14:paraId="3BC70981" w14:textId="77777777" w:rsidR="00000000" w:rsidRDefault="001D0688">
      <w:pPr>
        <w:divId w:val="2096171241"/>
        <w:rPr>
          <w:rFonts w:eastAsia="Times New Roman"/>
        </w:rPr>
      </w:pPr>
      <w:r>
        <w:rPr>
          <w:rFonts w:ascii="Arial" w:eastAsia="Times New Roman" w:hAnsi="Arial" w:cs="Arial"/>
          <w:color w:val="000000"/>
          <w:sz w:val="20"/>
          <w:szCs w:val="20"/>
        </w:rPr>
        <w:t xml:space="preserve">Because of its inherent limitations, internal control over financial reporting may not prevent or detect misstatements. Also, projections of any evaluation of effectiveness to future periods are subject to the risk that controls </w:t>
      </w:r>
      <w:r>
        <w:rPr>
          <w:rFonts w:ascii="Arial" w:eastAsia="Times New Roman" w:hAnsi="Arial" w:cs="Arial"/>
          <w:color w:val="000000"/>
          <w:sz w:val="20"/>
          <w:szCs w:val="20"/>
        </w:rPr>
        <w:t xml:space="preserve">may </w:t>
      </w:r>
    </w:p>
    <w:p w14:paraId="5DC47606" w14:textId="77777777" w:rsidR="00000000" w:rsidRDefault="001D0688">
      <w:pPr>
        <w:jc w:val="center"/>
        <w:divId w:val="1282609090"/>
        <w:rPr>
          <w:rFonts w:eastAsia="Times New Roman"/>
        </w:rPr>
      </w:pPr>
      <w:r>
        <w:rPr>
          <w:rFonts w:ascii="Arial" w:eastAsia="Times New Roman" w:hAnsi="Arial" w:cs="Arial"/>
          <w:color w:val="000000"/>
          <w:sz w:val="20"/>
          <w:szCs w:val="20"/>
        </w:rPr>
        <w:t>48</w:t>
      </w:r>
    </w:p>
    <w:p w14:paraId="54F0AE0D" w14:textId="77777777" w:rsidR="00000000" w:rsidRDefault="001D0688">
      <w:pPr>
        <w:rPr>
          <w:rFonts w:eastAsia="Times New Roman"/>
        </w:rPr>
      </w:pPr>
      <w:r>
        <w:rPr>
          <w:rFonts w:eastAsia="Times New Roman"/>
        </w:rPr>
        <w:pict w14:anchorId="136D37A7">
          <v:rect id="_x0000_i1084" style="width:0;height:1.5pt" o:hralign="center" o:hrstd="t" o:hr="t" fillcolor="#a0a0a0" stroked="f"/>
        </w:pict>
      </w:r>
    </w:p>
    <w:p w14:paraId="30521BD0" w14:textId="77777777" w:rsidR="00000000" w:rsidRDefault="001D0688">
      <w:pPr>
        <w:divId w:val="95442693"/>
        <w:rPr>
          <w:rFonts w:eastAsia="Times New Roman"/>
        </w:rPr>
      </w:pPr>
    </w:p>
    <w:p w14:paraId="5901D466" w14:textId="77777777" w:rsidR="00000000" w:rsidRDefault="001D0688">
      <w:pPr>
        <w:divId w:val="1879078324"/>
        <w:rPr>
          <w:rFonts w:eastAsia="Times New Roman"/>
        </w:rPr>
      </w:pPr>
      <w:r>
        <w:rPr>
          <w:rFonts w:ascii="Arial" w:eastAsia="Times New Roman" w:hAnsi="Arial" w:cs="Arial"/>
          <w:color w:val="000000"/>
          <w:sz w:val="20"/>
          <w:szCs w:val="20"/>
        </w:rPr>
        <w:t>become inadequate because of changes in conditions, or that the degree of compliance with the policies or procedures may deteriorate.</w:t>
      </w:r>
    </w:p>
    <w:p w14:paraId="363E4517" w14:textId="77777777" w:rsidR="00000000" w:rsidRDefault="001D0688">
      <w:pPr>
        <w:divId w:val="852189620"/>
        <w:rPr>
          <w:rFonts w:eastAsia="Times New Roman"/>
        </w:rPr>
      </w:pPr>
    </w:p>
    <w:p w14:paraId="0DED5CC0" w14:textId="77777777" w:rsidR="00000000" w:rsidRDefault="001D0688">
      <w:pPr>
        <w:divId w:val="1549103227"/>
        <w:rPr>
          <w:rFonts w:eastAsia="Times New Roman"/>
        </w:rPr>
      </w:pPr>
      <w:r>
        <w:rPr>
          <w:rFonts w:ascii="Arial" w:eastAsia="Times New Roman" w:hAnsi="Arial" w:cs="Arial"/>
          <w:color w:val="000000"/>
          <w:sz w:val="20"/>
          <w:szCs w:val="20"/>
        </w:rPr>
        <w:t>/s/ KPMG LLP</w:t>
      </w:r>
    </w:p>
    <w:p w14:paraId="660BD99C" w14:textId="77777777" w:rsidR="00000000" w:rsidRDefault="001D0688">
      <w:pPr>
        <w:divId w:val="1392382487"/>
        <w:rPr>
          <w:rFonts w:eastAsia="Times New Roman"/>
        </w:rPr>
      </w:pPr>
      <w:r>
        <w:rPr>
          <w:rFonts w:ascii="Arial" w:eastAsia="Times New Roman" w:hAnsi="Arial" w:cs="Arial"/>
          <w:color w:val="000000"/>
          <w:sz w:val="20"/>
          <w:szCs w:val="20"/>
        </w:rPr>
        <w:t>New York, New York</w:t>
      </w:r>
    </w:p>
    <w:p w14:paraId="6FA827C9" w14:textId="77777777" w:rsidR="00000000" w:rsidRDefault="001D0688">
      <w:pPr>
        <w:divId w:val="333457466"/>
        <w:rPr>
          <w:rFonts w:eastAsia="Times New Roman"/>
        </w:rPr>
      </w:pPr>
      <w:r>
        <w:rPr>
          <w:rFonts w:ascii="Arial" w:eastAsia="Times New Roman" w:hAnsi="Arial" w:cs="Arial"/>
          <w:color w:val="000000"/>
          <w:sz w:val="20"/>
          <w:szCs w:val="20"/>
        </w:rPr>
        <w:t>December 17, 2020</w:t>
      </w:r>
    </w:p>
    <w:p w14:paraId="210B3C5D" w14:textId="77777777" w:rsidR="00000000" w:rsidRDefault="001D0688">
      <w:pPr>
        <w:jc w:val="center"/>
        <w:divId w:val="1155029165"/>
        <w:rPr>
          <w:rFonts w:eastAsia="Times New Roman"/>
        </w:rPr>
      </w:pPr>
      <w:r>
        <w:rPr>
          <w:rFonts w:ascii="Arial" w:eastAsia="Times New Roman" w:hAnsi="Arial" w:cs="Arial"/>
          <w:color w:val="000000"/>
          <w:sz w:val="20"/>
          <w:szCs w:val="20"/>
        </w:rPr>
        <w:t>49</w:t>
      </w:r>
    </w:p>
    <w:p w14:paraId="47177674" w14:textId="77777777" w:rsidR="00000000" w:rsidRDefault="001D0688">
      <w:pPr>
        <w:rPr>
          <w:rFonts w:eastAsia="Times New Roman"/>
        </w:rPr>
      </w:pPr>
      <w:r>
        <w:rPr>
          <w:rFonts w:eastAsia="Times New Roman"/>
        </w:rPr>
        <w:pict w14:anchorId="5FFCB764">
          <v:rect id="_x0000_i1085" style="width:0;height:1.5pt" o:hralign="center" o:hrstd="t" o:hr="t" fillcolor="#a0a0a0" stroked="f"/>
        </w:pict>
      </w:r>
    </w:p>
    <w:p w14:paraId="6A282298" w14:textId="77777777" w:rsidR="00000000" w:rsidRDefault="001D0688">
      <w:pPr>
        <w:divId w:val="1306622790"/>
        <w:rPr>
          <w:rFonts w:eastAsia="Times New Roman"/>
        </w:rPr>
      </w:pPr>
    </w:p>
    <w:p w14:paraId="20C414FC" w14:textId="77777777" w:rsidR="00000000" w:rsidRDefault="001D0688">
      <w:pPr>
        <w:jc w:val="center"/>
        <w:divId w:val="1168210067"/>
        <w:rPr>
          <w:rFonts w:eastAsia="Times New Roman"/>
        </w:rPr>
      </w:pPr>
      <w:r>
        <w:rPr>
          <w:rFonts w:ascii="Arial" w:eastAsia="Times New Roman" w:hAnsi="Arial" w:cs="Arial"/>
          <w:b/>
          <w:bCs/>
          <w:color w:val="0046AD"/>
          <w:sz w:val="20"/>
          <w:szCs w:val="20"/>
        </w:rPr>
        <w:t>ABM INDUSTRIES INCORPORATED AND SUBSIDIARIES</w:t>
      </w:r>
    </w:p>
    <w:p w14:paraId="1D65D360" w14:textId="77777777" w:rsidR="00000000" w:rsidRDefault="001D0688">
      <w:pPr>
        <w:jc w:val="center"/>
        <w:divId w:val="1392197670"/>
        <w:rPr>
          <w:rFonts w:eastAsia="Times New Roman"/>
        </w:rPr>
      </w:pPr>
      <w:r>
        <w:rPr>
          <w:rFonts w:ascii="Arial" w:eastAsia="Times New Roman" w:hAnsi="Arial" w:cs="Arial"/>
          <w:b/>
          <w:bCs/>
          <w:color w:val="0046AD"/>
          <w:sz w:val="20"/>
          <w:szCs w:val="20"/>
        </w:rPr>
        <w:t>CONSOLIDATED BALANCE SHEETS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22"/>
        <w:gridCol w:w="39"/>
        <w:gridCol w:w="132"/>
        <w:gridCol w:w="1038"/>
        <w:gridCol w:w="36"/>
        <w:gridCol w:w="36"/>
        <w:gridCol w:w="36"/>
        <w:gridCol w:w="36"/>
        <w:gridCol w:w="132"/>
        <w:gridCol w:w="998"/>
        <w:gridCol w:w="36"/>
      </w:tblGrid>
      <w:tr w:rsidR="00000000" w14:paraId="5E0DDEF1" w14:textId="77777777">
        <w:trPr>
          <w:divId w:val="1660621786"/>
          <w:jc w:val="center"/>
        </w:trPr>
        <w:tc>
          <w:tcPr>
            <w:tcW w:w="50" w:type="pct"/>
            <w:vAlign w:val="center"/>
            <w:hideMark/>
          </w:tcPr>
          <w:p w14:paraId="666ADCD2" w14:textId="77777777" w:rsidR="00000000" w:rsidRDefault="001D0688">
            <w:pPr>
              <w:jc w:val="center"/>
              <w:rPr>
                <w:rFonts w:eastAsia="Times New Roman"/>
              </w:rPr>
            </w:pPr>
          </w:p>
        </w:tc>
        <w:tc>
          <w:tcPr>
            <w:tcW w:w="3486" w:type="pct"/>
            <w:vAlign w:val="center"/>
            <w:hideMark/>
          </w:tcPr>
          <w:p w14:paraId="2CA6410D" w14:textId="77777777" w:rsidR="00000000" w:rsidRDefault="001D0688">
            <w:pPr>
              <w:rPr>
                <w:rFonts w:eastAsia="Times New Roman"/>
                <w:sz w:val="20"/>
                <w:szCs w:val="20"/>
              </w:rPr>
            </w:pPr>
          </w:p>
        </w:tc>
        <w:tc>
          <w:tcPr>
            <w:tcW w:w="5" w:type="pct"/>
            <w:vAlign w:val="center"/>
            <w:hideMark/>
          </w:tcPr>
          <w:p w14:paraId="011A649F" w14:textId="77777777" w:rsidR="00000000" w:rsidRDefault="001D0688">
            <w:pPr>
              <w:rPr>
                <w:rFonts w:eastAsia="Times New Roman"/>
                <w:sz w:val="20"/>
                <w:szCs w:val="20"/>
              </w:rPr>
            </w:pPr>
          </w:p>
        </w:tc>
        <w:tc>
          <w:tcPr>
            <w:tcW w:w="50" w:type="pct"/>
            <w:vAlign w:val="center"/>
            <w:hideMark/>
          </w:tcPr>
          <w:p w14:paraId="6C92D384" w14:textId="77777777" w:rsidR="00000000" w:rsidRDefault="001D0688">
            <w:pPr>
              <w:rPr>
                <w:rFonts w:eastAsia="Times New Roman"/>
                <w:sz w:val="20"/>
                <w:szCs w:val="20"/>
              </w:rPr>
            </w:pPr>
          </w:p>
        </w:tc>
        <w:tc>
          <w:tcPr>
            <w:tcW w:w="656" w:type="pct"/>
            <w:vAlign w:val="center"/>
            <w:hideMark/>
          </w:tcPr>
          <w:p w14:paraId="57C97227" w14:textId="77777777" w:rsidR="00000000" w:rsidRDefault="001D0688">
            <w:pPr>
              <w:rPr>
                <w:rFonts w:eastAsia="Times New Roman"/>
                <w:sz w:val="20"/>
                <w:szCs w:val="20"/>
              </w:rPr>
            </w:pPr>
          </w:p>
        </w:tc>
        <w:tc>
          <w:tcPr>
            <w:tcW w:w="5" w:type="pct"/>
            <w:vAlign w:val="center"/>
            <w:hideMark/>
          </w:tcPr>
          <w:p w14:paraId="662D29A4" w14:textId="77777777" w:rsidR="00000000" w:rsidRDefault="001D0688">
            <w:pPr>
              <w:rPr>
                <w:rFonts w:eastAsia="Times New Roman"/>
                <w:sz w:val="20"/>
                <w:szCs w:val="20"/>
              </w:rPr>
            </w:pPr>
          </w:p>
        </w:tc>
        <w:tc>
          <w:tcPr>
            <w:tcW w:w="5" w:type="pct"/>
            <w:vAlign w:val="center"/>
            <w:hideMark/>
          </w:tcPr>
          <w:p w14:paraId="6DA372DC" w14:textId="77777777" w:rsidR="00000000" w:rsidRDefault="001D0688">
            <w:pPr>
              <w:rPr>
                <w:rFonts w:eastAsia="Times New Roman"/>
                <w:sz w:val="20"/>
                <w:szCs w:val="20"/>
              </w:rPr>
            </w:pPr>
          </w:p>
        </w:tc>
        <w:tc>
          <w:tcPr>
            <w:tcW w:w="26" w:type="pct"/>
            <w:vAlign w:val="center"/>
            <w:hideMark/>
          </w:tcPr>
          <w:p w14:paraId="327A4C8C" w14:textId="77777777" w:rsidR="00000000" w:rsidRDefault="001D0688">
            <w:pPr>
              <w:rPr>
                <w:rFonts w:eastAsia="Times New Roman"/>
                <w:sz w:val="20"/>
                <w:szCs w:val="20"/>
              </w:rPr>
            </w:pPr>
          </w:p>
        </w:tc>
        <w:tc>
          <w:tcPr>
            <w:tcW w:w="5" w:type="pct"/>
            <w:vAlign w:val="center"/>
            <w:hideMark/>
          </w:tcPr>
          <w:p w14:paraId="18D75C9F" w14:textId="77777777" w:rsidR="00000000" w:rsidRDefault="001D0688">
            <w:pPr>
              <w:rPr>
                <w:rFonts w:eastAsia="Times New Roman"/>
                <w:sz w:val="20"/>
                <w:szCs w:val="20"/>
              </w:rPr>
            </w:pPr>
          </w:p>
        </w:tc>
        <w:tc>
          <w:tcPr>
            <w:tcW w:w="50" w:type="pct"/>
            <w:vAlign w:val="center"/>
            <w:hideMark/>
          </w:tcPr>
          <w:p w14:paraId="1908F75C" w14:textId="77777777" w:rsidR="00000000" w:rsidRDefault="001D0688">
            <w:pPr>
              <w:rPr>
                <w:rFonts w:eastAsia="Times New Roman"/>
                <w:sz w:val="20"/>
                <w:szCs w:val="20"/>
              </w:rPr>
            </w:pPr>
          </w:p>
        </w:tc>
        <w:tc>
          <w:tcPr>
            <w:tcW w:w="656" w:type="pct"/>
            <w:vAlign w:val="center"/>
            <w:hideMark/>
          </w:tcPr>
          <w:p w14:paraId="080655B9" w14:textId="77777777" w:rsidR="00000000" w:rsidRDefault="001D0688">
            <w:pPr>
              <w:rPr>
                <w:rFonts w:eastAsia="Times New Roman"/>
                <w:sz w:val="20"/>
                <w:szCs w:val="20"/>
              </w:rPr>
            </w:pPr>
          </w:p>
        </w:tc>
        <w:tc>
          <w:tcPr>
            <w:tcW w:w="5" w:type="pct"/>
            <w:vAlign w:val="center"/>
            <w:hideMark/>
          </w:tcPr>
          <w:p w14:paraId="761350C0" w14:textId="77777777" w:rsidR="00000000" w:rsidRDefault="001D0688">
            <w:pPr>
              <w:rPr>
                <w:rFonts w:eastAsia="Times New Roman"/>
                <w:sz w:val="20"/>
                <w:szCs w:val="20"/>
              </w:rPr>
            </w:pPr>
          </w:p>
        </w:tc>
      </w:tr>
      <w:tr w:rsidR="00000000" w14:paraId="3DC10B97" w14:textId="77777777">
        <w:trPr>
          <w:divId w:val="1660621786"/>
          <w:jc w:val="center"/>
        </w:trPr>
        <w:tc>
          <w:tcPr>
            <w:tcW w:w="0" w:type="auto"/>
            <w:gridSpan w:val="3"/>
            <w:tcMar>
              <w:top w:w="0" w:type="dxa"/>
              <w:left w:w="20" w:type="dxa"/>
              <w:bottom w:w="0" w:type="dxa"/>
              <w:right w:w="20" w:type="dxa"/>
            </w:tcMar>
            <w:vAlign w:val="center"/>
            <w:hideMark/>
          </w:tcPr>
          <w:p w14:paraId="552EB3DE"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7BB73033" w14:textId="77777777" w:rsidR="00000000" w:rsidRDefault="001D0688">
            <w:pPr>
              <w:jc w:val="center"/>
              <w:rPr>
                <w:rFonts w:eastAsia="Times New Roman"/>
              </w:rPr>
            </w:pPr>
            <w:r>
              <w:rPr>
                <w:rFonts w:ascii="Arial" w:eastAsia="Times New Roman" w:hAnsi="Arial" w:cs="Arial"/>
                <w:b/>
                <w:bCs/>
                <w:color w:val="000000"/>
                <w:sz w:val="20"/>
                <w:szCs w:val="20"/>
              </w:rPr>
              <w:t>October 31,</w:t>
            </w:r>
          </w:p>
        </w:tc>
      </w:tr>
      <w:tr w:rsidR="00000000" w14:paraId="6C574EC7" w14:textId="77777777">
        <w:trPr>
          <w:divId w:val="1660621786"/>
          <w:jc w:val="center"/>
        </w:trPr>
        <w:tc>
          <w:tcPr>
            <w:tcW w:w="0" w:type="auto"/>
            <w:gridSpan w:val="3"/>
            <w:tcMar>
              <w:top w:w="30" w:type="dxa"/>
              <w:left w:w="20" w:type="dxa"/>
              <w:bottom w:w="30" w:type="dxa"/>
              <w:right w:w="20" w:type="dxa"/>
            </w:tcMar>
            <w:vAlign w:val="bottom"/>
            <w:hideMark/>
          </w:tcPr>
          <w:p w14:paraId="31E66B76" w14:textId="77777777" w:rsidR="00000000" w:rsidRDefault="001D0688">
            <w:pPr>
              <w:rPr>
                <w:rFonts w:eastAsia="Times New Roman"/>
              </w:rPr>
            </w:pPr>
            <w:r>
              <w:rPr>
                <w:rFonts w:eastAsia="Times New Roman"/>
                <w:i/>
                <w:iCs/>
                <w:color w:val="000000"/>
                <w:sz w:val="16"/>
                <w:szCs w:val="16"/>
                <w:u w:val="single"/>
              </w:rPr>
              <w:t>(in millions, except share and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6FB54BE8"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192DEC6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D325A1"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55952882"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6C761875" w14:textId="77777777" w:rsidR="00000000" w:rsidRDefault="001D0688">
            <w:pPr>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9953D90"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6776E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54A7C73" w14:textId="77777777" w:rsidR="00000000" w:rsidRDefault="001D0688">
            <w:pPr>
              <w:rPr>
                <w:rFonts w:eastAsia="Times New Roman"/>
                <w:sz w:val="20"/>
                <w:szCs w:val="20"/>
              </w:rPr>
            </w:pPr>
          </w:p>
        </w:tc>
      </w:tr>
      <w:tr w:rsidR="00000000" w14:paraId="194027AC"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563FF02C" w14:textId="77777777" w:rsidR="00000000" w:rsidRDefault="001D0688">
            <w:pPr>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6DEDA5DE"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1265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8B8A3" w14:textId="77777777" w:rsidR="00000000" w:rsidRDefault="001D0688">
            <w:pPr>
              <w:rPr>
                <w:rFonts w:eastAsia="Times New Roman"/>
                <w:sz w:val="20"/>
                <w:szCs w:val="20"/>
              </w:rPr>
            </w:pPr>
          </w:p>
        </w:tc>
      </w:tr>
      <w:tr w:rsidR="00000000" w14:paraId="371AEC17"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4D3EBEE3" w14:textId="77777777" w:rsidR="00000000" w:rsidRDefault="001D0688">
            <w:pPr>
              <w:rPr>
                <w:rFonts w:eastAsia="Times New Roman"/>
              </w:rPr>
            </w:pPr>
            <w:r>
              <w:rPr>
                <w:rFonts w:ascii="Arial" w:eastAsia="Times New Roman" w:hAnsi="Arial" w:cs="Arial"/>
                <w:color w:val="000000"/>
                <w:sz w:val="20"/>
                <w:szCs w:val="20"/>
              </w:rPr>
              <w:t>Cash and cash equivalents</w:t>
            </w:r>
          </w:p>
        </w:tc>
        <w:tc>
          <w:tcPr>
            <w:tcW w:w="0" w:type="auto"/>
            <w:shd w:val="clear" w:color="auto" w:fill="DCE2EF"/>
            <w:tcMar>
              <w:top w:w="30" w:type="dxa"/>
              <w:left w:w="20" w:type="dxa"/>
              <w:bottom w:w="30" w:type="dxa"/>
              <w:right w:w="0" w:type="dxa"/>
            </w:tcMar>
            <w:vAlign w:val="bottom"/>
            <w:hideMark/>
          </w:tcPr>
          <w:p w14:paraId="7B2DD64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882CE32" w14:textId="77777777" w:rsidR="00000000" w:rsidRDefault="001D0688">
            <w:pPr>
              <w:jc w:val="right"/>
              <w:rPr>
                <w:rFonts w:eastAsia="Times New Roman"/>
              </w:rPr>
            </w:pPr>
            <w:r>
              <w:rPr>
                <w:rFonts w:ascii="Arial" w:eastAsia="Times New Roman" w:hAnsi="Arial" w:cs="Arial"/>
                <w:color w:val="000000"/>
                <w:sz w:val="20"/>
                <w:szCs w:val="20"/>
              </w:rPr>
              <w:t>394.2 </w:t>
            </w:r>
          </w:p>
        </w:tc>
        <w:tc>
          <w:tcPr>
            <w:tcW w:w="0" w:type="auto"/>
            <w:shd w:val="clear" w:color="auto" w:fill="DCE2EF"/>
            <w:tcMar>
              <w:top w:w="30" w:type="dxa"/>
              <w:left w:w="0" w:type="dxa"/>
              <w:bottom w:w="30" w:type="dxa"/>
              <w:right w:w="20" w:type="dxa"/>
            </w:tcMar>
            <w:vAlign w:val="bottom"/>
            <w:hideMark/>
          </w:tcPr>
          <w:p w14:paraId="3D2D0AA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FDEB15"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F302C4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361F09EA" w14:textId="77777777" w:rsidR="00000000" w:rsidRDefault="001D0688">
            <w:pPr>
              <w:jc w:val="right"/>
              <w:rPr>
                <w:rFonts w:eastAsia="Times New Roman"/>
              </w:rPr>
            </w:pPr>
            <w:r>
              <w:rPr>
                <w:rFonts w:ascii="Arial" w:eastAsia="Times New Roman" w:hAnsi="Arial" w:cs="Arial"/>
                <w:color w:val="000000"/>
                <w:sz w:val="20"/>
                <w:szCs w:val="20"/>
              </w:rPr>
              <w:t>58.5 </w:t>
            </w:r>
          </w:p>
        </w:tc>
        <w:tc>
          <w:tcPr>
            <w:tcW w:w="0" w:type="auto"/>
            <w:shd w:val="clear" w:color="auto" w:fill="DCE2EF"/>
            <w:tcMar>
              <w:top w:w="30" w:type="dxa"/>
              <w:left w:w="0" w:type="dxa"/>
              <w:bottom w:w="30" w:type="dxa"/>
              <w:right w:w="20" w:type="dxa"/>
            </w:tcMar>
            <w:vAlign w:val="bottom"/>
            <w:hideMark/>
          </w:tcPr>
          <w:p w14:paraId="5FCC2E59" w14:textId="77777777" w:rsidR="00000000" w:rsidRDefault="001D0688">
            <w:pPr>
              <w:jc w:val="right"/>
              <w:rPr>
                <w:rFonts w:eastAsia="Times New Roman"/>
              </w:rPr>
            </w:pPr>
          </w:p>
        </w:tc>
      </w:tr>
      <w:tr w:rsidR="00000000" w14:paraId="7805DFCF"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1EE00D71" w14:textId="77777777" w:rsidR="00000000" w:rsidRDefault="001D0688">
            <w:pPr>
              <w:ind w:hanging="180"/>
              <w:divId w:val="330060619"/>
              <w:rPr>
                <w:rFonts w:eastAsia="Times New Roman"/>
              </w:rPr>
            </w:pPr>
            <w:r>
              <w:rPr>
                <w:rFonts w:ascii="Arial" w:eastAsia="Times New Roman" w:hAnsi="Arial" w:cs="Arial"/>
                <w:color w:val="000000"/>
                <w:sz w:val="20"/>
                <w:szCs w:val="20"/>
              </w:rPr>
              <w:t>Trade accounts receivable, net of allowances of $35.5 and $22.4</w:t>
            </w:r>
            <w:r>
              <w:rPr>
                <w:rFonts w:ascii="Arial" w:eastAsia="Times New Roman" w:hAnsi="Arial" w:cs="Arial"/>
                <w:color w:val="000000"/>
                <w:sz w:val="20"/>
                <w:szCs w:val="20"/>
              </w:rPr>
              <w:br/>
              <w:t>at October 31, 2020 and 2019, respectively</w:t>
            </w:r>
          </w:p>
        </w:tc>
        <w:tc>
          <w:tcPr>
            <w:tcW w:w="0" w:type="auto"/>
            <w:gridSpan w:val="2"/>
            <w:shd w:val="clear" w:color="auto" w:fill="FFFFFF"/>
            <w:tcMar>
              <w:top w:w="30" w:type="dxa"/>
              <w:left w:w="20" w:type="dxa"/>
              <w:bottom w:w="30" w:type="dxa"/>
              <w:right w:w="0" w:type="dxa"/>
            </w:tcMar>
            <w:vAlign w:val="bottom"/>
            <w:hideMark/>
          </w:tcPr>
          <w:p w14:paraId="14706EC9" w14:textId="77777777" w:rsidR="00000000" w:rsidRDefault="001D0688">
            <w:pPr>
              <w:jc w:val="right"/>
              <w:rPr>
                <w:rFonts w:eastAsia="Times New Roman"/>
              </w:rPr>
            </w:pPr>
            <w:r>
              <w:rPr>
                <w:rFonts w:ascii="Arial" w:eastAsia="Times New Roman" w:hAnsi="Arial" w:cs="Arial"/>
                <w:color w:val="000000"/>
                <w:sz w:val="20"/>
                <w:szCs w:val="20"/>
              </w:rPr>
              <w:t>854.2 </w:t>
            </w:r>
          </w:p>
        </w:tc>
        <w:tc>
          <w:tcPr>
            <w:tcW w:w="0" w:type="auto"/>
            <w:shd w:val="clear" w:color="auto" w:fill="FFFFFF"/>
            <w:tcMar>
              <w:top w:w="30" w:type="dxa"/>
              <w:left w:w="0" w:type="dxa"/>
              <w:bottom w:w="30" w:type="dxa"/>
              <w:right w:w="20" w:type="dxa"/>
            </w:tcMar>
            <w:vAlign w:val="bottom"/>
            <w:hideMark/>
          </w:tcPr>
          <w:p w14:paraId="3856DA7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862C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C2015A" w14:textId="77777777" w:rsidR="00000000" w:rsidRDefault="001D0688">
            <w:pPr>
              <w:jc w:val="right"/>
              <w:rPr>
                <w:rFonts w:eastAsia="Times New Roman"/>
              </w:rPr>
            </w:pPr>
            <w:r>
              <w:rPr>
                <w:rFonts w:ascii="Arial" w:eastAsia="Times New Roman" w:hAnsi="Arial" w:cs="Arial"/>
                <w:color w:val="000000"/>
                <w:sz w:val="20"/>
                <w:szCs w:val="20"/>
              </w:rPr>
              <w:t>1,013.2 </w:t>
            </w:r>
          </w:p>
        </w:tc>
        <w:tc>
          <w:tcPr>
            <w:tcW w:w="0" w:type="auto"/>
            <w:shd w:val="clear" w:color="auto" w:fill="FFFFFF"/>
            <w:tcMar>
              <w:top w:w="30" w:type="dxa"/>
              <w:left w:w="0" w:type="dxa"/>
              <w:bottom w:w="30" w:type="dxa"/>
              <w:right w:w="20" w:type="dxa"/>
            </w:tcMar>
            <w:vAlign w:val="bottom"/>
            <w:hideMark/>
          </w:tcPr>
          <w:p w14:paraId="08BA8ED3" w14:textId="77777777" w:rsidR="00000000" w:rsidRDefault="001D0688">
            <w:pPr>
              <w:jc w:val="right"/>
              <w:rPr>
                <w:rFonts w:eastAsia="Times New Roman"/>
              </w:rPr>
            </w:pPr>
          </w:p>
        </w:tc>
      </w:tr>
      <w:tr w:rsidR="00000000" w14:paraId="21C14FF6"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1467FA05" w14:textId="77777777" w:rsidR="00000000" w:rsidRDefault="001D0688">
            <w:pPr>
              <w:rPr>
                <w:rFonts w:eastAsia="Times New Roman"/>
              </w:rPr>
            </w:pPr>
            <w:r>
              <w:rPr>
                <w:rFonts w:ascii="Arial" w:eastAsia="Times New Roman" w:hAnsi="Arial" w:cs="Arial"/>
                <w:color w:val="000000"/>
                <w:sz w:val="20"/>
                <w:szCs w:val="20"/>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14:paraId="73EF41FE" w14:textId="77777777" w:rsidR="00000000" w:rsidRDefault="001D0688">
            <w:pPr>
              <w:jc w:val="right"/>
              <w:rPr>
                <w:rFonts w:eastAsia="Times New Roman"/>
              </w:rPr>
            </w:pPr>
            <w:r>
              <w:rPr>
                <w:rFonts w:ascii="Arial" w:eastAsia="Times New Roman" w:hAnsi="Arial" w:cs="Arial"/>
                <w:color w:val="000000"/>
                <w:sz w:val="20"/>
                <w:szCs w:val="20"/>
              </w:rPr>
              <w:t>52.2 </w:t>
            </w:r>
          </w:p>
        </w:tc>
        <w:tc>
          <w:tcPr>
            <w:tcW w:w="0" w:type="auto"/>
            <w:shd w:val="clear" w:color="auto" w:fill="DCE2EF"/>
            <w:tcMar>
              <w:top w:w="30" w:type="dxa"/>
              <w:left w:w="0" w:type="dxa"/>
              <w:bottom w:w="30" w:type="dxa"/>
              <w:right w:w="20" w:type="dxa"/>
            </w:tcMar>
            <w:vAlign w:val="bottom"/>
            <w:hideMark/>
          </w:tcPr>
          <w:p w14:paraId="3CC3A59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B520B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7B524E3" w14:textId="77777777" w:rsidR="00000000" w:rsidRDefault="001D0688">
            <w:pPr>
              <w:jc w:val="right"/>
              <w:rPr>
                <w:rFonts w:eastAsia="Times New Roman"/>
              </w:rPr>
            </w:pPr>
            <w:r>
              <w:rPr>
                <w:rFonts w:ascii="Arial" w:eastAsia="Times New Roman" w:hAnsi="Arial" w:cs="Arial"/>
                <w:color w:val="000000"/>
                <w:sz w:val="20"/>
                <w:szCs w:val="20"/>
              </w:rPr>
              <w:t>72.6 </w:t>
            </w:r>
          </w:p>
        </w:tc>
        <w:tc>
          <w:tcPr>
            <w:tcW w:w="0" w:type="auto"/>
            <w:shd w:val="clear" w:color="auto" w:fill="DCE2EF"/>
            <w:tcMar>
              <w:top w:w="30" w:type="dxa"/>
              <w:left w:w="0" w:type="dxa"/>
              <w:bottom w:w="30" w:type="dxa"/>
              <w:right w:w="20" w:type="dxa"/>
            </w:tcMar>
            <w:vAlign w:val="bottom"/>
            <w:hideMark/>
          </w:tcPr>
          <w:p w14:paraId="1B54DD7A" w14:textId="77777777" w:rsidR="00000000" w:rsidRDefault="001D0688">
            <w:pPr>
              <w:jc w:val="right"/>
              <w:rPr>
                <w:rFonts w:eastAsia="Times New Roman"/>
              </w:rPr>
            </w:pPr>
          </w:p>
        </w:tc>
      </w:tr>
      <w:tr w:rsidR="00000000" w14:paraId="05284B8F"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10256484" w14:textId="77777777" w:rsidR="00000000" w:rsidRDefault="001D0688">
            <w:pPr>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058DCEC2" w14:textId="77777777" w:rsidR="00000000" w:rsidRDefault="001D0688">
            <w:pPr>
              <w:jc w:val="right"/>
              <w:rPr>
                <w:rFonts w:eastAsia="Times New Roman"/>
              </w:rPr>
            </w:pPr>
            <w:r>
              <w:rPr>
                <w:rFonts w:ascii="Arial" w:eastAsia="Times New Roman" w:hAnsi="Arial" w:cs="Arial"/>
                <w:color w:val="000000"/>
                <w:sz w:val="20"/>
                <w:szCs w:val="20"/>
              </w:rPr>
              <w:t>85.4 </w:t>
            </w:r>
          </w:p>
        </w:tc>
        <w:tc>
          <w:tcPr>
            <w:tcW w:w="0" w:type="auto"/>
            <w:shd w:val="clear" w:color="auto" w:fill="FFFFFF"/>
            <w:tcMar>
              <w:top w:w="30" w:type="dxa"/>
              <w:left w:w="0" w:type="dxa"/>
              <w:bottom w:w="30" w:type="dxa"/>
              <w:right w:w="20" w:type="dxa"/>
            </w:tcMar>
            <w:vAlign w:val="bottom"/>
            <w:hideMark/>
          </w:tcPr>
          <w:p w14:paraId="2C41A1C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8E73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B66ED" w14:textId="77777777" w:rsidR="00000000" w:rsidRDefault="001D0688">
            <w:pPr>
              <w:jc w:val="right"/>
              <w:rPr>
                <w:rFonts w:eastAsia="Times New Roman"/>
              </w:rPr>
            </w:pPr>
            <w:r>
              <w:rPr>
                <w:rFonts w:ascii="Arial" w:eastAsia="Times New Roman" w:hAnsi="Arial" w:cs="Arial"/>
                <w:color w:val="000000"/>
                <w:sz w:val="20"/>
                <w:szCs w:val="20"/>
              </w:rPr>
              <w:t>75.7 </w:t>
            </w:r>
          </w:p>
        </w:tc>
        <w:tc>
          <w:tcPr>
            <w:tcW w:w="0" w:type="auto"/>
            <w:shd w:val="clear" w:color="auto" w:fill="FFFFFF"/>
            <w:tcMar>
              <w:top w:w="30" w:type="dxa"/>
              <w:left w:w="0" w:type="dxa"/>
              <w:bottom w:w="30" w:type="dxa"/>
              <w:right w:w="20" w:type="dxa"/>
            </w:tcMar>
            <w:vAlign w:val="bottom"/>
            <w:hideMark/>
          </w:tcPr>
          <w:p w14:paraId="70A85741" w14:textId="77777777" w:rsidR="00000000" w:rsidRDefault="001D0688">
            <w:pPr>
              <w:jc w:val="right"/>
              <w:rPr>
                <w:rFonts w:eastAsia="Times New Roman"/>
              </w:rPr>
            </w:pPr>
          </w:p>
        </w:tc>
      </w:tr>
      <w:tr w:rsidR="00000000" w14:paraId="0F17EA93" w14:textId="77777777">
        <w:trPr>
          <w:divId w:val="1660621786"/>
          <w:jc w:val="center"/>
        </w:trPr>
        <w:tc>
          <w:tcPr>
            <w:tcW w:w="0" w:type="auto"/>
            <w:gridSpan w:val="3"/>
            <w:vAlign w:val="center"/>
            <w:hideMark/>
          </w:tcPr>
          <w:p w14:paraId="75E752A3" w14:textId="77777777" w:rsidR="00000000" w:rsidRDefault="001D0688">
            <w:pPr>
              <w:jc w:val="right"/>
              <w:rPr>
                <w:rFonts w:eastAsia="Times New Roman"/>
                <w:sz w:val="20"/>
                <w:szCs w:val="20"/>
              </w:rPr>
            </w:pPr>
          </w:p>
        </w:tc>
        <w:tc>
          <w:tcPr>
            <w:tcW w:w="0" w:type="auto"/>
            <w:gridSpan w:val="3"/>
            <w:vAlign w:val="center"/>
            <w:hideMark/>
          </w:tcPr>
          <w:p w14:paraId="465A1F11" w14:textId="77777777" w:rsidR="00000000" w:rsidRDefault="001D0688">
            <w:pPr>
              <w:rPr>
                <w:rFonts w:eastAsia="Times New Roman"/>
                <w:sz w:val="20"/>
                <w:szCs w:val="20"/>
              </w:rPr>
            </w:pPr>
          </w:p>
        </w:tc>
        <w:tc>
          <w:tcPr>
            <w:tcW w:w="0" w:type="auto"/>
            <w:gridSpan w:val="3"/>
            <w:vAlign w:val="center"/>
            <w:hideMark/>
          </w:tcPr>
          <w:p w14:paraId="0A669FBA" w14:textId="77777777" w:rsidR="00000000" w:rsidRDefault="001D0688">
            <w:pPr>
              <w:rPr>
                <w:rFonts w:eastAsia="Times New Roman"/>
                <w:sz w:val="20"/>
                <w:szCs w:val="20"/>
              </w:rPr>
            </w:pPr>
          </w:p>
        </w:tc>
        <w:tc>
          <w:tcPr>
            <w:tcW w:w="0" w:type="auto"/>
            <w:gridSpan w:val="3"/>
            <w:vAlign w:val="center"/>
            <w:hideMark/>
          </w:tcPr>
          <w:p w14:paraId="1E0A602A" w14:textId="77777777" w:rsidR="00000000" w:rsidRDefault="001D0688">
            <w:pPr>
              <w:rPr>
                <w:rFonts w:eastAsia="Times New Roman"/>
                <w:sz w:val="20"/>
                <w:szCs w:val="20"/>
              </w:rPr>
            </w:pPr>
          </w:p>
        </w:tc>
      </w:tr>
      <w:tr w:rsidR="00000000" w14:paraId="424E30AE"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238ECF8A" w14:textId="77777777" w:rsidR="00000000" w:rsidRDefault="001D0688">
            <w:pPr>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DCE2EF"/>
            <w:tcMar>
              <w:top w:w="30" w:type="dxa"/>
              <w:left w:w="20" w:type="dxa"/>
              <w:bottom w:w="30" w:type="dxa"/>
              <w:right w:w="0" w:type="dxa"/>
            </w:tcMar>
            <w:vAlign w:val="bottom"/>
            <w:hideMark/>
          </w:tcPr>
          <w:p w14:paraId="38BC9535" w14:textId="77777777" w:rsidR="00000000" w:rsidRDefault="001D0688">
            <w:pPr>
              <w:jc w:val="right"/>
              <w:rPr>
                <w:rFonts w:eastAsia="Times New Roman"/>
              </w:rPr>
            </w:pPr>
            <w:r>
              <w:rPr>
                <w:rFonts w:ascii="Arial" w:eastAsia="Times New Roman" w:hAnsi="Arial" w:cs="Arial"/>
                <w:color w:val="000000"/>
                <w:sz w:val="20"/>
                <w:szCs w:val="20"/>
              </w:rPr>
              <w:t>55.9 </w:t>
            </w:r>
          </w:p>
        </w:tc>
        <w:tc>
          <w:tcPr>
            <w:tcW w:w="0" w:type="auto"/>
            <w:shd w:val="clear" w:color="auto" w:fill="DCE2EF"/>
            <w:tcMar>
              <w:top w:w="30" w:type="dxa"/>
              <w:left w:w="0" w:type="dxa"/>
              <w:bottom w:w="30" w:type="dxa"/>
              <w:right w:w="20" w:type="dxa"/>
            </w:tcMar>
            <w:vAlign w:val="bottom"/>
            <w:hideMark/>
          </w:tcPr>
          <w:p w14:paraId="35B4F54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33B67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EC8445" w14:textId="77777777" w:rsidR="00000000" w:rsidRDefault="001D0688">
            <w:pPr>
              <w:jc w:val="right"/>
              <w:rPr>
                <w:rFonts w:eastAsia="Times New Roman"/>
              </w:rPr>
            </w:pPr>
            <w:r>
              <w:rPr>
                <w:rFonts w:ascii="Arial" w:eastAsia="Times New Roman" w:hAnsi="Arial" w:cs="Arial"/>
                <w:color w:val="000000"/>
                <w:sz w:val="20"/>
                <w:szCs w:val="20"/>
              </w:rPr>
              <w:t>55.5 </w:t>
            </w:r>
          </w:p>
        </w:tc>
        <w:tc>
          <w:tcPr>
            <w:tcW w:w="0" w:type="auto"/>
            <w:shd w:val="clear" w:color="auto" w:fill="DCE2EF"/>
            <w:tcMar>
              <w:top w:w="30" w:type="dxa"/>
              <w:left w:w="0" w:type="dxa"/>
              <w:bottom w:w="30" w:type="dxa"/>
              <w:right w:w="20" w:type="dxa"/>
            </w:tcMar>
            <w:vAlign w:val="bottom"/>
            <w:hideMark/>
          </w:tcPr>
          <w:p w14:paraId="089B2103" w14:textId="77777777" w:rsidR="00000000" w:rsidRDefault="001D0688">
            <w:pPr>
              <w:jc w:val="right"/>
              <w:rPr>
                <w:rFonts w:eastAsia="Times New Roman"/>
              </w:rPr>
            </w:pPr>
          </w:p>
        </w:tc>
      </w:tr>
      <w:tr w:rsidR="00000000" w14:paraId="1D471ADF" w14:textId="77777777">
        <w:trPr>
          <w:divId w:val="1660621786"/>
          <w:jc w:val="center"/>
        </w:trPr>
        <w:tc>
          <w:tcPr>
            <w:tcW w:w="0" w:type="auto"/>
            <w:gridSpan w:val="3"/>
            <w:vAlign w:val="center"/>
            <w:hideMark/>
          </w:tcPr>
          <w:p w14:paraId="4CAE4CB7" w14:textId="77777777" w:rsidR="00000000" w:rsidRDefault="001D0688">
            <w:pPr>
              <w:jc w:val="right"/>
              <w:rPr>
                <w:rFonts w:eastAsia="Times New Roman"/>
                <w:sz w:val="20"/>
                <w:szCs w:val="20"/>
              </w:rPr>
            </w:pPr>
          </w:p>
        </w:tc>
        <w:tc>
          <w:tcPr>
            <w:tcW w:w="0" w:type="auto"/>
            <w:gridSpan w:val="3"/>
            <w:vAlign w:val="center"/>
            <w:hideMark/>
          </w:tcPr>
          <w:p w14:paraId="55C1E996" w14:textId="77777777" w:rsidR="00000000" w:rsidRDefault="001D0688">
            <w:pPr>
              <w:rPr>
                <w:rFonts w:eastAsia="Times New Roman"/>
                <w:sz w:val="20"/>
                <w:szCs w:val="20"/>
              </w:rPr>
            </w:pPr>
          </w:p>
        </w:tc>
        <w:tc>
          <w:tcPr>
            <w:tcW w:w="0" w:type="auto"/>
            <w:gridSpan w:val="3"/>
            <w:vAlign w:val="center"/>
            <w:hideMark/>
          </w:tcPr>
          <w:p w14:paraId="0B2B08EB" w14:textId="77777777" w:rsidR="00000000" w:rsidRDefault="001D0688">
            <w:pPr>
              <w:rPr>
                <w:rFonts w:eastAsia="Times New Roman"/>
                <w:sz w:val="20"/>
                <w:szCs w:val="20"/>
              </w:rPr>
            </w:pPr>
          </w:p>
        </w:tc>
        <w:tc>
          <w:tcPr>
            <w:tcW w:w="0" w:type="auto"/>
            <w:gridSpan w:val="3"/>
            <w:vAlign w:val="center"/>
            <w:hideMark/>
          </w:tcPr>
          <w:p w14:paraId="0D01E8A8" w14:textId="77777777" w:rsidR="00000000" w:rsidRDefault="001D0688">
            <w:pPr>
              <w:rPr>
                <w:rFonts w:eastAsia="Times New Roman"/>
                <w:sz w:val="20"/>
                <w:szCs w:val="20"/>
              </w:rPr>
            </w:pPr>
          </w:p>
        </w:tc>
      </w:tr>
      <w:tr w:rsidR="00000000" w14:paraId="6C21AE10" w14:textId="77777777">
        <w:trPr>
          <w:divId w:val="1660621786"/>
          <w:jc w:val="center"/>
        </w:trPr>
        <w:tc>
          <w:tcPr>
            <w:tcW w:w="0" w:type="auto"/>
            <w:gridSpan w:val="3"/>
            <w:shd w:val="clear" w:color="auto" w:fill="FFFFFF"/>
            <w:tcMar>
              <w:top w:w="30" w:type="dxa"/>
              <w:left w:w="740" w:type="dxa"/>
              <w:bottom w:w="30" w:type="dxa"/>
              <w:right w:w="20" w:type="dxa"/>
            </w:tcMar>
            <w:vAlign w:val="bottom"/>
            <w:hideMark/>
          </w:tcPr>
          <w:p w14:paraId="4BDEAC6F" w14:textId="77777777" w:rsidR="00000000" w:rsidRDefault="001D0688">
            <w:pPr>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8A0CD8" w14:textId="77777777" w:rsidR="00000000" w:rsidRDefault="001D0688">
            <w:pPr>
              <w:jc w:val="right"/>
              <w:rPr>
                <w:rFonts w:eastAsia="Times New Roman"/>
              </w:rPr>
            </w:pPr>
            <w:r>
              <w:rPr>
                <w:rFonts w:ascii="Arial" w:eastAsia="Times New Roman" w:hAnsi="Arial" w:cs="Arial"/>
                <w:color w:val="000000"/>
                <w:sz w:val="20"/>
                <w:szCs w:val="20"/>
              </w:rPr>
              <w:t>1,441.9 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1B913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F91A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A45C62" w14:textId="77777777" w:rsidR="00000000" w:rsidRDefault="001D0688">
            <w:pPr>
              <w:jc w:val="right"/>
              <w:rPr>
                <w:rFonts w:eastAsia="Times New Roman"/>
              </w:rPr>
            </w:pPr>
            <w:r>
              <w:rPr>
                <w:rFonts w:ascii="Arial" w:eastAsia="Times New Roman" w:hAnsi="Arial" w:cs="Arial"/>
                <w:color w:val="000000"/>
                <w:sz w:val="20"/>
                <w:szCs w:val="20"/>
              </w:rPr>
              <w:t>1,275.4 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7900D4" w14:textId="77777777" w:rsidR="00000000" w:rsidRDefault="001D0688">
            <w:pPr>
              <w:jc w:val="right"/>
              <w:rPr>
                <w:rFonts w:eastAsia="Times New Roman"/>
              </w:rPr>
            </w:pPr>
          </w:p>
        </w:tc>
      </w:tr>
      <w:tr w:rsidR="00000000" w14:paraId="5D35ACF9"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631F8F20" w14:textId="77777777" w:rsidR="00000000" w:rsidRDefault="001D0688">
            <w:pPr>
              <w:rPr>
                <w:rFonts w:eastAsia="Times New Roman"/>
              </w:rPr>
            </w:pPr>
            <w:r>
              <w:rPr>
                <w:rFonts w:ascii="Arial" w:eastAsia="Times New Roman" w:hAnsi="Arial" w:cs="Arial"/>
                <w:color w:val="000000"/>
                <w:sz w:val="20"/>
                <w:szCs w:val="20"/>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CC2AD72" w14:textId="77777777" w:rsidR="00000000" w:rsidRDefault="001D0688">
            <w:pPr>
              <w:jc w:val="right"/>
              <w:rPr>
                <w:rFonts w:eastAsia="Times New Roman"/>
              </w:rPr>
            </w:pPr>
            <w:r>
              <w:rPr>
                <w:rFonts w:ascii="Arial" w:eastAsia="Times New Roman" w:hAnsi="Arial" w:cs="Arial"/>
                <w:color w:val="000000"/>
                <w:sz w:val="20"/>
                <w:szCs w:val="20"/>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384BAB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FAEEB1"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6A3E6B3" w14:textId="77777777" w:rsidR="00000000" w:rsidRDefault="001D0688">
            <w:pPr>
              <w:jc w:val="right"/>
              <w:rPr>
                <w:rFonts w:eastAsia="Times New Roman"/>
              </w:rPr>
            </w:pPr>
            <w:r>
              <w:rPr>
                <w:rFonts w:ascii="Arial" w:eastAsia="Times New Roman" w:hAnsi="Arial" w:cs="Arial"/>
                <w:color w:val="000000"/>
                <w:sz w:val="20"/>
                <w:szCs w:val="20"/>
              </w:rPr>
              <w:t>14.0 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8D6382B" w14:textId="77777777" w:rsidR="00000000" w:rsidRDefault="001D0688">
            <w:pPr>
              <w:jc w:val="right"/>
              <w:rPr>
                <w:rFonts w:eastAsia="Times New Roman"/>
              </w:rPr>
            </w:pPr>
          </w:p>
        </w:tc>
      </w:tr>
      <w:tr w:rsidR="00000000" w14:paraId="0966C25E"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6F39C71D" w14:textId="77777777" w:rsidR="00000000" w:rsidRDefault="001D0688">
            <w:pPr>
              <w:divId w:val="2066173605"/>
              <w:rPr>
                <w:rFonts w:eastAsia="Times New Roman"/>
              </w:rPr>
            </w:pPr>
            <w:r>
              <w:rPr>
                <w:rFonts w:ascii="Arial" w:eastAsia="Times New Roman" w:hAnsi="Arial" w:cs="Arial"/>
                <w:color w:val="000000"/>
                <w:sz w:val="20"/>
                <w:szCs w:val="20"/>
              </w:rPr>
              <w:t xml:space="preserve">Property, plant and equipment, net of accumulated depreciation of $241.3 and </w:t>
            </w:r>
          </w:p>
          <w:p w14:paraId="16988AA4" w14:textId="77777777" w:rsidR="00000000" w:rsidRDefault="001D0688">
            <w:pPr>
              <w:divId w:val="895122267"/>
              <w:rPr>
                <w:rFonts w:eastAsia="Times New Roman"/>
              </w:rPr>
            </w:pPr>
            <w:r>
              <w:rPr>
                <w:rFonts w:ascii="Arial" w:eastAsia="Times New Roman" w:hAnsi="Arial" w:cs="Arial"/>
                <w:color w:val="000000"/>
                <w:sz w:val="20"/>
                <w:szCs w:val="20"/>
              </w:rPr>
              <w:t>    $199.5 at October 31, 2020 and 2019, respectively</w:t>
            </w:r>
          </w:p>
        </w:tc>
        <w:tc>
          <w:tcPr>
            <w:tcW w:w="0" w:type="auto"/>
            <w:gridSpan w:val="2"/>
            <w:shd w:val="clear" w:color="auto" w:fill="FFFFFF"/>
            <w:tcMar>
              <w:top w:w="30" w:type="dxa"/>
              <w:left w:w="20" w:type="dxa"/>
              <w:bottom w:w="30" w:type="dxa"/>
              <w:right w:w="0" w:type="dxa"/>
            </w:tcMar>
            <w:vAlign w:val="bottom"/>
            <w:hideMark/>
          </w:tcPr>
          <w:p w14:paraId="750B66A7" w14:textId="77777777" w:rsidR="00000000" w:rsidRDefault="001D0688">
            <w:pPr>
              <w:jc w:val="right"/>
              <w:rPr>
                <w:rFonts w:eastAsia="Times New Roman"/>
              </w:rPr>
            </w:pPr>
            <w:r>
              <w:rPr>
                <w:rFonts w:ascii="Arial" w:eastAsia="Times New Roman" w:hAnsi="Arial" w:cs="Arial"/>
                <w:color w:val="000000"/>
                <w:sz w:val="20"/>
                <w:szCs w:val="20"/>
              </w:rPr>
              <w:t>133.7 </w:t>
            </w:r>
          </w:p>
        </w:tc>
        <w:tc>
          <w:tcPr>
            <w:tcW w:w="0" w:type="auto"/>
            <w:shd w:val="clear" w:color="auto" w:fill="FFFFFF"/>
            <w:tcMar>
              <w:top w:w="30" w:type="dxa"/>
              <w:left w:w="0" w:type="dxa"/>
              <w:bottom w:w="30" w:type="dxa"/>
              <w:right w:w="20" w:type="dxa"/>
            </w:tcMar>
            <w:vAlign w:val="bottom"/>
            <w:hideMark/>
          </w:tcPr>
          <w:p w14:paraId="516E13E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E228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EF220" w14:textId="77777777" w:rsidR="00000000" w:rsidRDefault="001D0688">
            <w:pPr>
              <w:jc w:val="right"/>
              <w:rPr>
                <w:rFonts w:eastAsia="Times New Roman"/>
              </w:rPr>
            </w:pPr>
            <w:r>
              <w:rPr>
                <w:rFonts w:ascii="Arial" w:eastAsia="Times New Roman" w:hAnsi="Arial" w:cs="Arial"/>
                <w:color w:val="000000"/>
                <w:sz w:val="20"/>
                <w:szCs w:val="20"/>
              </w:rPr>
              <w:t>150.3 </w:t>
            </w:r>
          </w:p>
        </w:tc>
        <w:tc>
          <w:tcPr>
            <w:tcW w:w="0" w:type="auto"/>
            <w:shd w:val="clear" w:color="auto" w:fill="FFFFFF"/>
            <w:tcMar>
              <w:top w:w="30" w:type="dxa"/>
              <w:left w:w="0" w:type="dxa"/>
              <w:bottom w:w="30" w:type="dxa"/>
              <w:right w:w="20" w:type="dxa"/>
            </w:tcMar>
            <w:vAlign w:val="bottom"/>
            <w:hideMark/>
          </w:tcPr>
          <w:p w14:paraId="471B9D1A" w14:textId="77777777" w:rsidR="00000000" w:rsidRDefault="001D0688">
            <w:pPr>
              <w:jc w:val="right"/>
              <w:rPr>
                <w:rFonts w:eastAsia="Times New Roman"/>
              </w:rPr>
            </w:pPr>
          </w:p>
        </w:tc>
      </w:tr>
      <w:tr w:rsidR="00000000" w14:paraId="062315AD"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463B5468" w14:textId="77777777" w:rsidR="00000000" w:rsidRDefault="001D0688">
            <w:pPr>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14:paraId="6D2205D3" w14:textId="77777777" w:rsidR="00000000" w:rsidRDefault="001D0688">
            <w:pPr>
              <w:jc w:val="right"/>
              <w:rPr>
                <w:rFonts w:eastAsia="Times New Roman"/>
              </w:rPr>
            </w:pPr>
            <w:r>
              <w:rPr>
                <w:rFonts w:ascii="Arial" w:eastAsia="Times New Roman" w:hAnsi="Arial" w:cs="Arial"/>
                <w:color w:val="000000"/>
                <w:sz w:val="20"/>
                <w:szCs w:val="20"/>
              </w:rPr>
              <w:t>143.1 </w:t>
            </w:r>
          </w:p>
        </w:tc>
        <w:tc>
          <w:tcPr>
            <w:tcW w:w="0" w:type="auto"/>
            <w:shd w:val="clear" w:color="auto" w:fill="DCE2EF"/>
            <w:tcMar>
              <w:top w:w="30" w:type="dxa"/>
              <w:left w:w="0" w:type="dxa"/>
              <w:bottom w:w="30" w:type="dxa"/>
              <w:right w:w="20" w:type="dxa"/>
            </w:tcMar>
            <w:vAlign w:val="bottom"/>
            <w:hideMark/>
          </w:tcPr>
          <w:p w14:paraId="4D466D0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D0BB3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AB36D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6640510" w14:textId="77777777" w:rsidR="00000000" w:rsidRDefault="001D0688">
            <w:pPr>
              <w:jc w:val="right"/>
              <w:rPr>
                <w:rFonts w:eastAsia="Times New Roman"/>
              </w:rPr>
            </w:pPr>
          </w:p>
        </w:tc>
      </w:tr>
      <w:tr w:rsidR="00000000" w14:paraId="648E55F3"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0B033FAE" w14:textId="77777777" w:rsidR="00000000" w:rsidRDefault="001D0688">
            <w:pPr>
              <w:ind w:hanging="180"/>
              <w:divId w:val="143936265"/>
              <w:rPr>
                <w:rFonts w:eastAsia="Times New Roman"/>
              </w:rPr>
            </w:pPr>
            <w:r>
              <w:rPr>
                <w:rFonts w:ascii="Arial" w:eastAsia="Times New Roman" w:hAnsi="Arial" w:cs="Arial"/>
                <w:color w:val="000000"/>
                <w:sz w:val="20"/>
                <w:szCs w:val="20"/>
              </w:rPr>
              <w:t>Other intangible assets, net of accumulated amortization of $343.8 and $309.0 at October 31, 2020 and 2019, respectively</w:t>
            </w:r>
          </w:p>
        </w:tc>
        <w:tc>
          <w:tcPr>
            <w:tcW w:w="0" w:type="auto"/>
            <w:gridSpan w:val="2"/>
            <w:shd w:val="clear" w:color="auto" w:fill="FFFFFF"/>
            <w:tcMar>
              <w:top w:w="30" w:type="dxa"/>
              <w:left w:w="20" w:type="dxa"/>
              <w:bottom w:w="30" w:type="dxa"/>
              <w:right w:w="0" w:type="dxa"/>
            </w:tcMar>
            <w:vAlign w:val="bottom"/>
            <w:hideMark/>
          </w:tcPr>
          <w:p w14:paraId="16AEA1AC" w14:textId="77777777" w:rsidR="00000000" w:rsidRDefault="001D0688">
            <w:pPr>
              <w:jc w:val="right"/>
              <w:rPr>
                <w:rFonts w:eastAsia="Times New Roman"/>
              </w:rPr>
            </w:pPr>
            <w:r>
              <w:rPr>
                <w:rFonts w:ascii="Arial" w:eastAsia="Times New Roman" w:hAnsi="Arial" w:cs="Arial"/>
                <w:color w:val="000000"/>
                <w:sz w:val="20"/>
                <w:szCs w:val="20"/>
              </w:rPr>
              <w:t>239.7 </w:t>
            </w:r>
          </w:p>
        </w:tc>
        <w:tc>
          <w:tcPr>
            <w:tcW w:w="0" w:type="auto"/>
            <w:shd w:val="clear" w:color="auto" w:fill="FFFFFF"/>
            <w:tcMar>
              <w:top w:w="30" w:type="dxa"/>
              <w:left w:w="0" w:type="dxa"/>
              <w:bottom w:w="30" w:type="dxa"/>
              <w:right w:w="20" w:type="dxa"/>
            </w:tcMar>
            <w:vAlign w:val="bottom"/>
            <w:hideMark/>
          </w:tcPr>
          <w:p w14:paraId="447D047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075C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528657" w14:textId="77777777" w:rsidR="00000000" w:rsidRDefault="001D0688">
            <w:pPr>
              <w:jc w:val="right"/>
              <w:rPr>
                <w:rFonts w:eastAsia="Times New Roman"/>
              </w:rPr>
            </w:pPr>
            <w:r>
              <w:rPr>
                <w:rFonts w:ascii="Arial" w:eastAsia="Times New Roman" w:hAnsi="Arial" w:cs="Arial"/>
                <w:color w:val="000000"/>
                <w:sz w:val="20"/>
                <w:szCs w:val="20"/>
              </w:rPr>
              <w:t>297.2 </w:t>
            </w:r>
          </w:p>
        </w:tc>
        <w:tc>
          <w:tcPr>
            <w:tcW w:w="0" w:type="auto"/>
            <w:shd w:val="clear" w:color="auto" w:fill="FFFFFF"/>
            <w:tcMar>
              <w:top w:w="30" w:type="dxa"/>
              <w:left w:w="0" w:type="dxa"/>
              <w:bottom w:w="30" w:type="dxa"/>
              <w:right w:w="20" w:type="dxa"/>
            </w:tcMar>
            <w:vAlign w:val="bottom"/>
            <w:hideMark/>
          </w:tcPr>
          <w:p w14:paraId="33F8A2E7" w14:textId="77777777" w:rsidR="00000000" w:rsidRDefault="001D0688">
            <w:pPr>
              <w:jc w:val="right"/>
              <w:rPr>
                <w:rFonts w:eastAsia="Times New Roman"/>
              </w:rPr>
            </w:pPr>
          </w:p>
        </w:tc>
      </w:tr>
      <w:tr w:rsidR="00000000" w14:paraId="63459403"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438449E8" w14:textId="77777777" w:rsidR="00000000" w:rsidRDefault="001D0688">
            <w:pPr>
              <w:rPr>
                <w:rFonts w:eastAsia="Times New Roman"/>
              </w:rPr>
            </w:pPr>
            <w:r>
              <w:rPr>
                <w:rFonts w:ascii="Arial" w:eastAsia="Times New Roman" w:hAnsi="Arial" w:cs="Arial"/>
                <w:color w:val="000000"/>
                <w:sz w:val="20"/>
                <w:szCs w:val="20"/>
              </w:rPr>
              <w:t>Goodwill</w:t>
            </w:r>
          </w:p>
        </w:tc>
        <w:tc>
          <w:tcPr>
            <w:tcW w:w="0" w:type="auto"/>
            <w:gridSpan w:val="2"/>
            <w:shd w:val="clear" w:color="auto" w:fill="DCE2EF"/>
            <w:tcMar>
              <w:top w:w="30" w:type="dxa"/>
              <w:left w:w="20" w:type="dxa"/>
              <w:bottom w:w="30" w:type="dxa"/>
              <w:right w:w="0" w:type="dxa"/>
            </w:tcMar>
            <w:vAlign w:val="bottom"/>
            <w:hideMark/>
          </w:tcPr>
          <w:p w14:paraId="45142212" w14:textId="77777777" w:rsidR="00000000" w:rsidRDefault="001D0688">
            <w:pPr>
              <w:jc w:val="right"/>
              <w:rPr>
                <w:rFonts w:eastAsia="Times New Roman"/>
              </w:rPr>
            </w:pPr>
            <w:r>
              <w:rPr>
                <w:rFonts w:ascii="Arial" w:eastAsia="Times New Roman" w:hAnsi="Arial" w:cs="Arial"/>
                <w:color w:val="000000"/>
                <w:sz w:val="20"/>
                <w:szCs w:val="20"/>
              </w:rPr>
              <w:t>1,671.4 </w:t>
            </w:r>
          </w:p>
        </w:tc>
        <w:tc>
          <w:tcPr>
            <w:tcW w:w="0" w:type="auto"/>
            <w:shd w:val="clear" w:color="auto" w:fill="DCE2EF"/>
            <w:tcMar>
              <w:top w:w="30" w:type="dxa"/>
              <w:left w:w="0" w:type="dxa"/>
              <w:bottom w:w="30" w:type="dxa"/>
              <w:right w:w="20" w:type="dxa"/>
            </w:tcMar>
            <w:vAlign w:val="bottom"/>
            <w:hideMark/>
          </w:tcPr>
          <w:p w14:paraId="306BEFB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D938B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362C05E" w14:textId="77777777" w:rsidR="00000000" w:rsidRDefault="001D0688">
            <w:pPr>
              <w:jc w:val="right"/>
              <w:rPr>
                <w:rFonts w:eastAsia="Times New Roman"/>
              </w:rPr>
            </w:pPr>
            <w:r>
              <w:rPr>
                <w:rFonts w:ascii="Arial" w:eastAsia="Times New Roman" w:hAnsi="Arial" w:cs="Arial"/>
                <w:color w:val="000000"/>
                <w:sz w:val="20"/>
                <w:szCs w:val="20"/>
              </w:rPr>
              <w:t>1,835.4 </w:t>
            </w:r>
          </w:p>
        </w:tc>
        <w:tc>
          <w:tcPr>
            <w:tcW w:w="0" w:type="auto"/>
            <w:shd w:val="clear" w:color="auto" w:fill="DCE2EF"/>
            <w:tcMar>
              <w:top w:w="30" w:type="dxa"/>
              <w:left w:w="0" w:type="dxa"/>
              <w:bottom w:w="30" w:type="dxa"/>
              <w:right w:w="20" w:type="dxa"/>
            </w:tcMar>
            <w:vAlign w:val="bottom"/>
            <w:hideMark/>
          </w:tcPr>
          <w:p w14:paraId="1E7AACD8" w14:textId="77777777" w:rsidR="00000000" w:rsidRDefault="001D0688">
            <w:pPr>
              <w:jc w:val="right"/>
              <w:rPr>
                <w:rFonts w:eastAsia="Times New Roman"/>
              </w:rPr>
            </w:pPr>
          </w:p>
        </w:tc>
      </w:tr>
      <w:tr w:rsidR="00000000" w14:paraId="0A621566" w14:textId="77777777">
        <w:trPr>
          <w:divId w:val="1660621786"/>
          <w:jc w:val="center"/>
        </w:trPr>
        <w:tc>
          <w:tcPr>
            <w:tcW w:w="0" w:type="auto"/>
            <w:gridSpan w:val="3"/>
            <w:vAlign w:val="center"/>
            <w:hideMark/>
          </w:tcPr>
          <w:p w14:paraId="7F4C241B" w14:textId="77777777" w:rsidR="00000000" w:rsidRDefault="001D0688">
            <w:pPr>
              <w:jc w:val="right"/>
              <w:rPr>
                <w:rFonts w:eastAsia="Times New Roman"/>
                <w:sz w:val="20"/>
                <w:szCs w:val="20"/>
              </w:rPr>
            </w:pPr>
          </w:p>
        </w:tc>
        <w:tc>
          <w:tcPr>
            <w:tcW w:w="0" w:type="auto"/>
            <w:gridSpan w:val="3"/>
            <w:vAlign w:val="center"/>
            <w:hideMark/>
          </w:tcPr>
          <w:p w14:paraId="27122B07" w14:textId="77777777" w:rsidR="00000000" w:rsidRDefault="001D0688">
            <w:pPr>
              <w:rPr>
                <w:rFonts w:eastAsia="Times New Roman"/>
                <w:sz w:val="20"/>
                <w:szCs w:val="20"/>
              </w:rPr>
            </w:pPr>
          </w:p>
        </w:tc>
        <w:tc>
          <w:tcPr>
            <w:tcW w:w="0" w:type="auto"/>
            <w:gridSpan w:val="3"/>
            <w:vAlign w:val="center"/>
            <w:hideMark/>
          </w:tcPr>
          <w:p w14:paraId="7F0971E6" w14:textId="77777777" w:rsidR="00000000" w:rsidRDefault="001D0688">
            <w:pPr>
              <w:rPr>
                <w:rFonts w:eastAsia="Times New Roman"/>
                <w:sz w:val="20"/>
                <w:szCs w:val="20"/>
              </w:rPr>
            </w:pPr>
          </w:p>
        </w:tc>
        <w:tc>
          <w:tcPr>
            <w:tcW w:w="0" w:type="auto"/>
            <w:gridSpan w:val="3"/>
            <w:vAlign w:val="center"/>
            <w:hideMark/>
          </w:tcPr>
          <w:p w14:paraId="286373E6" w14:textId="77777777" w:rsidR="00000000" w:rsidRDefault="001D0688">
            <w:pPr>
              <w:rPr>
                <w:rFonts w:eastAsia="Times New Roman"/>
                <w:sz w:val="20"/>
                <w:szCs w:val="20"/>
              </w:rPr>
            </w:pPr>
          </w:p>
        </w:tc>
      </w:tr>
      <w:tr w:rsidR="00000000" w14:paraId="26E8F75A"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6FDBB189" w14:textId="77777777" w:rsidR="00000000" w:rsidRDefault="001D0688">
            <w:pPr>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5A36B98C" w14:textId="77777777" w:rsidR="00000000" w:rsidRDefault="001D0688">
            <w:pPr>
              <w:jc w:val="right"/>
              <w:rPr>
                <w:rFonts w:eastAsia="Times New Roman"/>
              </w:rPr>
            </w:pPr>
            <w:r>
              <w:rPr>
                <w:rFonts w:ascii="Arial" w:eastAsia="Times New Roman" w:hAnsi="Arial" w:cs="Arial"/>
                <w:color w:val="000000"/>
                <w:sz w:val="20"/>
                <w:szCs w:val="20"/>
              </w:rPr>
              <w:t>136.1 </w:t>
            </w:r>
          </w:p>
        </w:tc>
        <w:tc>
          <w:tcPr>
            <w:tcW w:w="0" w:type="auto"/>
            <w:shd w:val="clear" w:color="auto" w:fill="FFFFFF"/>
            <w:tcMar>
              <w:top w:w="30" w:type="dxa"/>
              <w:left w:w="0" w:type="dxa"/>
              <w:bottom w:w="30" w:type="dxa"/>
              <w:right w:w="20" w:type="dxa"/>
            </w:tcMar>
            <w:vAlign w:val="bottom"/>
            <w:hideMark/>
          </w:tcPr>
          <w:p w14:paraId="0079158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C154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8AC24" w14:textId="77777777" w:rsidR="00000000" w:rsidRDefault="001D0688">
            <w:pPr>
              <w:jc w:val="right"/>
              <w:rPr>
                <w:rFonts w:eastAsia="Times New Roman"/>
              </w:rPr>
            </w:pPr>
            <w:r>
              <w:rPr>
                <w:rFonts w:ascii="Arial" w:eastAsia="Times New Roman" w:hAnsi="Arial" w:cs="Arial"/>
                <w:color w:val="000000"/>
                <w:sz w:val="20"/>
                <w:szCs w:val="20"/>
              </w:rPr>
              <w:t>120.3 </w:t>
            </w:r>
          </w:p>
        </w:tc>
        <w:tc>
          <w:tcPr>
            <w:tcW w:w="0" w:type="auto"/>
            <w:shd w:val="clear" w:color="auto" w:fill="FFFFFF"/>
            <w:tcMar>
              <w:top w:w="30" w:type="dxa"/>
              <w:left w:w="0" w:type="dxa"/>
              <w:bottom w:w="30" w:type="dxa"/>
              <w:right w:w="20" w:type="dxa"/>
            </w:tcMar>
            <w:vAlign w:val="bottom"/>
            <w:hideMark/>
          </w:tcPr>
          <w:p w14:paraId="53C0CF99" w14:textId="77777777" w:rsidR="00000000" w:rsidRDefault="001D0688">
            <w:pPr>
              <w:jc w:val="right"/>
              <w:rPr>
                <w:rFonts w:eastAsia="Times New Roman"/>
              </w:rPr>
            </w:pPr>
          </w:p>
        </w:tc>
      </w:tr>
      <w:tr w:rsidR="00000000" w14:paraId="03FA63D4" w14:textId="77777777">
        <w:trPr>
          <w:divId w:val="1660621786"/>
          <w:jc w:val="center"/>
        </w:trPr>
        <w:tc>
          <w:tcPr>
            <w:tcW w:w="0" w:type="auto"/>
            <w:gridSpan w:val="3"/>
            <w:vAlign w:val="center"/>
            <w:hideMark/>
          </w:tcPr>
          <w:p w14:paraId="5265F835" w14:textId="77777777" w:rsidR="00000000" w:rsidRDefault="001D0688">
            <w:pPr>
              <w:jc w:val="right"/>
              <w:rPr>
                <w:rFonts w:eastAsia="Times New Roman"/>
                <w:sz w:val="20"/>
                <w:szCs w:val="20"/>
              </w:rPr>
            </w:pPr>
          </w:p>
        </w:tc>
        <w:tc>
          <w:tcPr>
            <w:tcW w:w="0" w:type="auto"/>
            <w:gridSpan w:val="3"/>
            <w:vAlign w:val="center"/>
            <w:hideMark/>
          </w:tcPr>
          <w:p w14:paraId="2CEFF228" w14:textId="77777777" w:rsidR="00000000" w:rsidRDefault="001D0688">
            <w:pPr>
              <w:rPr>
                <w:rFonts w:eastAsia="Times New Roman"/>
                <w:sz w:val="20"/>
                <w:szCs w:val="20"/>
              </w:rPr>
            </w:pPr>
          </w:p>
        </w:tc>
        <w:tc>
          <w:tcPr>
            <w:tcW w:w="0" w:type="auto"/>
            <w:gridSpan w:val="3"/>
            <w:vAlign w:val="center"/>
            <w:hideMark/>
          </w:tcPr>
          <w:p w14:paraId="0C29A766" w14:textId="77777777" w:rsidR="00000000" w:rsidRDefault="001D0688">
            <w:pPr>
              <w:rPr>
                <w:rFonts w:eastAsia="Times New Roman"/>
                <w:sz w:val="20"/>
                <w:szCs w:val="20"/>
              </w:rPr>
            </w:pPr>
          </w:p>
        </w:tc>
        <w:tc>
          <w:tcPr>
            <w:tcW w:w="0" w:type="auto"/>
            <w:gridSpan w:val="3"/>
            <w:vAlign w:val="center"/>
            <w:hideMark/>
          </w:tcPr>
          <w:p w14:paraId="3507B6BE" w14:textId="77777777" w:rsidR="00000000" w:rsidRDefault="001D0688">
            <w:pPr>
              <w:rPr>
                <w:rFonts w:eastAsia="Times New Roman"/>
                <w:sz w:val="20"/>
                <w:szCs w:val="20"/>
              </w:rPr>
            </w:pPr>
          </w:p>
        </w:tc>
      </w:tr>
      <w:tr w:rsidR="00000000" w14:paraId="381133AE"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37D47676" w14:textId="77777777" w:rsidR="00000000" w:rsidRDefault="001D0688">
            <w:pPr>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CD15A6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68694A3" w14:textId="77777777" w:rsidR="00000000" w:rsidRDefault="001D0688">
            <w:pPr>
              <w:jc w:val="right"/>
              <w:rPr>
                <w:rFonts w:eastAsia="Times New Roman"/>
              </w:rPr>
            </w:pPr>
            <w:r>
              <w:rPr>
                <w:rFonts w:ascii="Arial" w:eastAsia="Times New Roman" w:hAnsi="Arial" w:cs="Arial"/>
                <w:color w:val="000000"/>
                <w:sz w:val="20"/>
                <w:szCs w:val="20"/>
              </w:rPr>
              <w:t>3,776.9 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400FC11"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4D303A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E3ED6B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C0BA52" w14:textId="77777777" w:rsidR="00000000" w:rsidRDefault="001D0688">
            <w:pPr>
              <w:jc w:val="right"/>
              <w:rPr>
                <w:rFonts w:eastAsia="Times New Roman"/>
              </w:rPr>
            </w:pPr>
            <w:r>
              <w:rPr>
                <w:rFonts w:ascii="Arial" w:eastAsia="Times New Roman" w:hAnsi="Arial" w:cs="Arial"/>
                <w:color w:val="000000"/>
                <w:sz w:val="20"/>
                <w:szCs w:val="20"/>
              </w:rPr>
              <w:t>3,692.6 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B8B554" w14:textId="77777777" w:rsidR="00000000" w:rsidRDefault="001D0688">
            <w:pPr>
              <w:jc w:val="right"/>
              <w:rPr>
                <w:rFonts w:eastAsia="Times New Roman"/>
              </w:rPr>
            </w:pPr>
          </w:p>
        </w:tc>
      </w:tr>
      <w:tr w:rsidR="00000000" w14:paraId="50C19FDA"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06F85DBA" w14:textId="77777777" w:rsidR="00000000" w:rsidRDefault="001D0688">
            <w:pPr>
              <w:rPr>
                <w:rFonts w:eastAsia="Times New Roman"/>
              </w:rPr>
            </w:pPr>
            <w:r>
              <w:rPr>
                <w:rFonts w:ascii="Arial" w:eastAsia="Times New Roman" w:hAnsi="Arial" w:cs="Arial"/>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304EF0"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100AA"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934B6D" w14:textId="77777777" w:rsidR="00000000" w:rsidRDefault="001D0688">
            <w:pPr>
              <w:rPr>
                <w:rFonts w:eastAsia="Times New Roman"/>
                <w:sz w:val="20"/>
                <w:szCs w:val="20"/>
              </w:rPr>
            </w:pPr>
          </w:p>
        </w:tc>
      </w:tr>
      <w:tr w:rsidR="00000000" w14:paraId="3B0C128B"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2F1E4B2F" w14:textId="77777777" w:rsidR="00000000" w:rsidRDefault="001D0688">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14:paraId="38370D83"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0E205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FBD44B" w14:textId="77777777" w:rsidR="00000000" w:rsidRDefault="001D0688">
            <w:pPr>
              <w:rPr>
                <w:rFonts w:eastAsia="Times New Roman"/>
                <w:sz w:val="20"/>
                <w:szCs w:val="20"/>
              </w:rPr>
            </w:pPr>
          </w:p>
        </w:tc>
      </w:tr>
      <w:tr w:rsidR="00000000" w14:paraId="1BAD9039"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59303B68" w14:textId="77777777" w:rsidR="00000000" w:rsidRDefault="001D0688">
            <w:pPr>
              <w:rPr>
                <w:rFonts w:eastAsia="Times New Roman"/>
              </w:rPr>
            </w:pPr>
            <w:r>
              <w:rPr>
                <w:rFonts w:ascii="Arial" w:eastAsia="Times New Roman" w:hAnsi="Arial" w:cs="Arial"/>
                <w:color w:val="000000"/>
                <w:sz w:val="20"/>
                <w:szCs w:val="20"/>
              </w:rPr>
              <w:t>Current portion of long-term debt, net</w:t>
            </w:r>
          </w:p>
        </w:tc>
        <w:tc>
          <w:tcPr>
            <w:tcW w:w="0" w:type="auto"/>
            <w:shd w:val="clear" w:color="auto" w:fill="FFFFFF"/>
            <w:tcMar>
              <w:top w:w="30" w:type="dxa"/>
              <w:left w:w="20" w:type="dxa"/>
              <w:bottom w:w="30" w:type="dxa"/>
              <w:right w:w="0" w:type="dxa"/>
            </w:tcMar>
            <w:vAlign w:val="bottom"/>
            <w:hideMark/>
          </w:tcPr>
          <w:p w14:paraId="2A63E79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5B93BEA" w14:textId="77777777" w:rsidR="00000000" w:rsidRDefault="001D0688">
            <w:pPr>
              <w:jc w:val="right"/>
              <w:rPr>
                <w:rFonts w:eastAsia="Times New Roman"/>
              </w:rPr>
            </w:pPr>
            <w:r>
              <w:rPr>
                <w:rFonts w:ascii="Arial" w:eastAsia="Times New Roman" w:hAnsi="Arial" w:cs="Arial"/>
                <w:color w:val="000000"/>
                <w:sz w:val="20"/>
                <w:szCs w:val="20"/>
              </w:rPr>
              <w:t>116.7 </w:t>
            </w:r>
          </w:p>
        </w:tc>
        <w:tc>
          <w:tcPr>
            <w:tcW w:w="0" w:type="auto"/>
            <w:shd w:val="clear" w:color="auto" w:fill="FFFFFF"/>
            <w:tcMar>
              <w:top w:w="30" w:type="dxa"/>
              <w:left w:w="0" w:type="dxa"/>
              <w:bottom w:w="30" w:type="dxa"/>
              <w:right w:w="20" w:type="dxa"/>
            </w:tcMar>
            <w:vAlign w:val="bottom"/>
            <w:hideMark/>
          </w:tcPr>
          <w:p w14:paraId="3E3C5D9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F650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33FBC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24F2EFB" w14:textId="77777777" w:rsidR="00000000" w:rsidRDefault="001D0688">
            <w:pPr>
              <w:jc w:val="right"/>
              <w:rPr>
                <w:rFonts w:eastAsia="Times New Roman"/>
              </w:rPr>
            </w:pPr>
            <w:r>
              <w:rPr>
                <w:rFonts w:ascii="Arial" w:eastAsia="Times New Roman" w:hAnsi="Arial" w:cs="Arial"/>
                <w:color w:val="000000"/>
                <w:sz w:val="20"/>
                <w:szCs w:val="20"/>
              </w:rPr>
              <w:t>57.2 </w:t>
            </w:r>
          </w:p>
        </w:tc>
        <w:tc>
          <w:tcPr>
            <w:tcW w:w="0" w:type="auto"/>
            <w:shd w:val="clear" w:color="auto" w:fill="FFFFFF"/>
            <w:tcMar>
              <w:top w:w="30" w:type="dxa"/>
              <w:left w:w="0" w:type="dxa"/>
              <w:bottom w:w="30" w:type="dxa"/>
              <w:right w:w="20" w:type="dxa"/>
            </w:tcMar>
            <w:vAlign w:val="bottom"/>
            <w:hideMark/>
          </w:tcPr>
          <w:p w14:paraId="02CA0850" w14:textId="77777777" w:rsidR="00000000" w:rsidRDefault="001D0688">
            <w:pPr>
              <w:jc w:val="right"/>
              <w:rPr>
                <w:rFonts w:eastAsia="Times New Roman"/>
              </w:rPr>
            </w:pPr>
          </w:p>
        </w:tc>
      </w:tr>
      <w:tr w:rsidR="00000000" w14:paraId="6103B01C"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6C82A629" w14:textId="77777777" w:rsidR="00000000" w:rsidRDefault="001D0688">
            <w:pPr>
              <w:rPr>
                <w:rFonts w:eastAsia="Times New Roman"/>
              </w:rPr>
            </w:pPr>
            <w:r>
              <w:rPr>
                <w:rFonts w:ascii="Arial" w:eastAsia="Times New Roman" w:hAnsi="Arial" w:cs="Arial"/>
                <w:color w:val="000000"/>
                <w:sz w:val="20"/>
                <w:szCs w:val="20"/>
              </w:rPr>
              <w:t>Trade accounts payable</w:t>
            </w:r>
          </w:p>
        </w:tc>
        <w:tc>
          <w:tcPr>
            <w:tcW w:w="0" w:type="auto"/>
            <w:gridSpan w:val="2"/>
            <w:shd w:val="clear" w:color="auto" w:fill="DCE2EF"/>
            <w:tcMar>
              <w:top w:w="30" w:type="dxa"/>
              <w:left w:w="20" w:type="dxa"/>
              <w:bottom w:w="30" w:type="dxa"/>
              <w:right w:w="0" w:type="dxa"/>
            </w:tcMar>
            <w:vAlign w:val="bottom"/>
            <w:hideMark/>
          </w:tcPr>
          <w:p w14:paraId="6B2D605D" w14:textId="77777777" w:rsidR="00000000" w:rsidRDefault="001D0688">
            <w:pPr>
              <w:jc w:val="right"/>
              <w:rPr>
                <w:rFonts w:eastAsia="Times New Roman"/>
              </w:rPr>
            </w:pPr>
            <w:r>
              <w:rPr>
                <w:rFonts w:ascii="Arial" w:eastAsia="Times New Roman" w:hAnsi="Arial" w:cs="Arial"/>
                <w:color w:val="000000"/>
                <w:sz w:val="20"/>
                <w:szCs w:val="20"/>
              </w:rPr>
              <w:t>273.3 </w:t>
            </w:r>
          </w:p>
        </w:tc>
        <w:tc>
          <w:tcPr>
            <w:tcW w:w="0" w:type="auto"/>
            <w:shd w:val="clear" w:color="auto" w:fill="DCE2EF"/>
            <w:tcMar>
              <w:top w:w="30" w:type="dxa"/>
              <w:left w:w="0" w:type="dxa"/>
              <w:bottom w:w="30" w:type="dxa"/>
              <w:right w:w="20" w:type="dxa"/>
            </w:tcMar>
            <w:vAlign w:val="bottom"/>
            <w:hideMark/>
          </w:tcPr>
          <w:p w14:paraId="46D6B82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63D7C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59FA29" w14:textId="77777777" w:rsidR="00000000" w:rsidRDefault="001D0688">
            <w:pPr>
              <w:jc w:val="right"/>
              <w:rPr>
                <w:rFonts w:eastAsia="Times New Roman"/>
              </w:rPr>
            </w:pPr>
            <w:r>
              <w:rPr>
                <w:rFonts w:ascii="Arial" w:eastAsia="Times New Roman" w:hAnsi="Arial" w:cs="Arial"/>
                <w:color w:val="000000"/>
                <w:sz w:val="20"/>
                <w:szCs w:val="20"/>
              </w:rPr>
              <w:t>280.7 </w:t>
            </w:r>
          </w:p>
        </w:tc>
        <w:tc>
          <w:tcPr>
            <w:tcW w:w="0" w:type="auto"/>
            <w:shd w:val="clear" w:color="auto" w:fill="DCE2EF"/>
            <w:tcMar>
              <w:top w:w="30" w:type="dxa"/>
              <w:left w:w="0" w:type="dxa"/>
              <w:bottom w:w="30" w:type="dxa"/>
              <w:right w:w="20" w:type="dxa"/>
            </w:tcMar>
            <w:vAlign w:val="bottom"/>
            <w:hideMark/>
          </w:tcPr>
          <w:p w14:paraId="29DEBCF4" w14:textId="77777777" w:rsidR="00000000" w:rsidRDefault="001D0688">
            <w:pPr>
              <w:jc w:val="right"/>
              <w:rPr>
                <w:rFonts w:eastAsia="Times New Roman"/>
              </w:rPr>
            </w:pPr>
          </w:p>
        </w:tc>
      </w:tr>
      <w:tr w:rsidR="00000000" w14:paraId="78D9B007"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65880959" w14:textId="77777777" w:rsidR="00000000" w:rsidRDefault="001D0688">
            <w:pPr>
              <w:rPr>
                <w:rFonts w:eastAsia="Times New Roman"/>
              </w:rPr>
            </w:pPr>
            <w:r>
              <w:rPr>
                <w:rFonts w:ascii="Arial" w:eastAsia="Times New Roman" w:hAnsi="Arial" w:cs="Arial"/>
                <w:color w:val="000000"/>
                <w:sz w:val="20"/>
                <w:szCs w:val="20"/>
              </w:rPr>
              <w:t>Accrued compensation</w:t>
            </w:r>
          </w:p>
        </w:tc>
        <w:tc>
          <w:tcPr>
            <w:tcW w:w="0" w:type="auto"/>
            <w:gridSpan w:val="2"/>
            <w:shd w:val="clear" w:color="auto" w:fill="FFFFFF"/>
            <w:tcMar>
              <w:top w:w="30" w:type="dxa"/>
              <w:left w:w="20" w:type="dxa"/>
              <w:bottom w:w="30" w:type="dxa"/>
              <w:right w:w="0" w:type="dxa"/>
            </w:tcMar>
            <w:vAlign w:val="bottom"/>
            <w:hideMark/>
          </w:tcPr>
          <w:p w14:paraId="2EDB79BE" w14:textId="77777777" w:rsidR="00000000" w:rsidRDefault="001D0688">
            <w:pPr>
              <w:jc w:val="right"/>
              <w:rPr>
                <w:rFonts w:eastAsia="Times New Roman"/>
              </w:rPr>
            </w:pPr>
            <w:r>
              <w:rPr>
                <w:rFonts w:ascii="Arial" w:eastAsia="Times New Roman" w:hAnsi="Arial" w:cs="Arial"/>
                <w:color w:val="000000"/>
                <w:sz w:val="20"/>
                <w:szCs w:val="20"/>
              </w:rPr>
              <w:t>187.6 </w:t>
            </w:r>
          </w:p>
        </w:tc>
        <w:tc>
          <w:tcPr>
            <w:tcW w:w="0" w:type="auto"/>
            <w:shd w:val="clear" w:color="auto" w:fill="FFFFFF"/>
            <w:tcMar>
              <w:top w:w="30" w:type="dxa"/>
              <w:left w:w="0" w:type="dxa"/>
              <w:bottom w:w="30" w:type="dxa"/>
              <w:right w:w="20" w:type="dxa"/>
            </w:tcMar>
            <w:vAlign w:val="bottom"/>
            <w:hideMark/>
          </w:tcPr>
          <w:p w14:paraId="34DA42C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043C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7401D5" w14:textId="77777777" w:rsidR="00000000" w:rsidRDefault="001D0688">
            <w:pPr>
              <w:jc w:val="right"/>
              <w:rPr>
                <w:rFonts w:eastAsia="Times New Roman"/>
              </w:rPr>
            </w:pPr>
            <w:r>
              <w:rPr>
                <w:rFonts w:ascii="Arial" w:eastAsia="Times New Roman" w:hAnsi="Arial" w:cs="Arial"/>
                <w:color w:val="000000"/>
                <w:sz w:val="20"/>
                <w:szCs w:val="20"/>
              </w:rPr>
              <w:t>189.3 </w:t>
            </w:r>
          </w:p>
        </w:tc>
        <w:tc>
          <w:tcPr>
            <w:tcW w:w="0" w:type="auto"/>
            <w:shd w:val="clear" w:color="auto" w:fill="FFFFFF"/>
            <w:tcMar>
              <w:top w:w="30" w:type="dxa"/>
              <w:left w:w="0" w:type="dxa"/>
              <w:bottom w:w="30" w:type="dxa"/>
              <w:right w:w="20" w:type="dxa"/>
            </w:tcMar>
            <w:vAlign w:val="bottom"/>
            <w:hideMark/>
          </w:tcPr>
          <w:p w14:paraId="1D76FD22" w14:textId="77777777" w:rsidR="00000000" w:rsidRDefault="001D0688">
            <w:pPr>
              <w:jc w:val="right"/>
              <w:rPr>
                <w:rFonts w:eastAsia="Times New Roman"/>
              </w:rPr>
            </w:pPr>
          </w:p>
        </w:tc>
      </w:tr>
      <w:tr w:rsidR="00000000" w14:paraId="125CA3B3"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524302F7" w14:textId="77777777" w:rsidR="00000000" w:rsidRDefault="001D0688">
            <w:pPr>
              <w:rPr>
                <w:rFonts w:eastAsia="Times New Roman"/>
              </w:rPr>
            </w:pPr>
            <w:r>
              <w:rPr>
                <w:rFonts w:ascii="Arial" w:eastAsia="Times New Roman" w:hAnsi="Arial" w:cs="Arial"/>
                <w:color w:val="000000"/>
                <w:sz w:val="20"/>
                <w:szCs w:val="20"/>
              </w:rPr>
              <w:t>Accrued taxes—other than income</w:t>
            </w:r>
          </w:p>
        </w:tc>
        <w:tc>
          <w:tcPr>
            <w:tcW w:w="0" w:type="auto"/>
            <w:gridSpan w:val="2"/>
            <w:shd w:val="clear" w:color="auto" w:fill="DCE2EF"/>
            <w:tcMar>
              <w:top w:w="30" w:type="dxa"/>
              <w:left w:w="20" w:type="dxa"/>
              <w:bottom w:w="30" w:type="dxa"/>
              <w:right w:w="0" w:type="dxa"/>
            </w:tcMar>
            <w:vAlign w:val="bottom"/>
            <w:hideMark/>
          </w:tcPr>
          <w:p w14:paraId="6FD59279" w14:textId="77777777" w:rsidR="00000000" w:rsidRDefault="001D0688">
            <w:pPr>
              <w:jc w:val="right"/>
              <w:rPr>
                <w:rFonts w:eastAsia="Times New Roman"/>
              </w:rPr>
            </w:pPr>
            <w:r>
              <w:rPr>
                <w:rFonts w:ascii="Arial" w:eastAsia="Times New Roman" w:hAnsi="Arial" w:cs="Arial"/>
                <w:color w:val="000000"/>
                <w:sz w:val="20"/>
                <w:szCs w:val="20"/>
              </w:rPr>
              <w:t>45.5 </w:t>
            </w:r>
          </w:p>
        </w:tc>
        <w:tc>
          <w:tcPr>
            <w:tcW w:w="0" w:type="auto"/>
            <w:shd w:val="clear" w:color="auto" w:fill="DCE2EF"/>
            <w:tcMar>
              <w:top w:w="30" w:type="dxa"/>
              <w:left w:w="0" w:type="dxa"/>
              <w:bottom w:w="30" w:type="dxa"/>
              <w:right w:w="20" w:type="dxa"/>
            </w:tcMar>
            <w:vAlign w:val="bottom"/>
            <w:hideMark/>
          </w:tcPr>
          <w:p w14:paraId="6F61168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A9381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D9B37B" w14:textId="77777777" w:rsidR="00000000" w:rsidRDefault="001D0688">
            <w:pPr>
              <w:jc w:val="right"/>
              <w:rPr>
                <w:rFonts w:eastAsia="Times New Roman"/>
              </w:rPr>
            </w:pPr>
            <w:r>
              <w:rPr>
                <w:rFonts w:ascii="Arial" w:eastAsia="Times New Roman" w:hAnsi="Arial" w:cs="Arial"/>
                <w:color w:val="000000"/>
                <w:sz w:val="20"/>
                <w:szCs w:val="20"/>
              </w:rPr>
              <w:t>63.6 </w:t>
            </w:r>
          </w:p>
        </w:tc>
        <w:tc>
          <w:tcPr>
            <w:tcW w:w="0" w:type="auto"/>
            <w:shd w:val="clear" w:color="auto" w:fill="DCE2EF"/>
            <w:tcMar>
              <w:top w:w="30" w:type="dxa"/>
              <w:left w:w="0" w:type="dxa"/>
              <w:bottom w:w="30" w:type="dxa"/>
              <w:right w:w="20" w:type="dxa"/>
            </w:tcMar>
            <w:vAlign w:val="bottom"/>
            <w:hideMark/>
          </w:tcPr>
          <w:p w14:paraId="62C74987" w14:textId="77777777" w:rsidR="00000000" w:rsidRDefault="001D0688">
            <w:pPr>
              <w:jc w:val="right"/>
              <w:rPr>
                <w:rFonts w:eastAsia="Times New Roman"/>
              </w:rPr>
            </w:pPr>
          </w:p>
        </w:tc>
      </w:tr>
      <w:tr w:rsidR="00000000" w14:paraId="7B0B07DE"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0700D3D6" w14:textId="77777777" w:rsidR="00000000" w:rsidRDefault="001D0688">
            <w:pPr>
              <w:rPr>
                <w:rFonts w:eastAsia="Times New Roman"/>
              </w:rPr>
            </w:pPr>
            <w:r>
              <w:rPr>
                <w:rFonts w:ascii="Arial" w:eastAsia="Times New Roman" w:hAnsi="Arial" w:cs="Arial"/>
                <w:color w:val="000000"/>
                <w:sz w:val="20"/>
                <w:szCs w:val="20"/>
              </w:rPr>
              <w:t>Insurance claims</w:t>
            </w:r>
          </w:p>
        </w:tc>
        <w:tc>
          <w:tcPr>
            <w:tcW w:w="0" w:type="auto"/>
            <w:gridSpan w:val="2"/>
            <w:shd w:val="clear" w:color="auto" w:fill="FFFFFF"/>
            <w:tcMar>
              <w:top w:w="30" w:type="dxa"/>
              <w:left w:w="20" w:type="dxa"/>
              <w:bottom w:w="30" w:type="dxa"/>
              <w:right w:w="0" w:type="dxa"/>
            </w:tcMar>
            <w:vAlign w:val="bottom"/>
            <w:hideMark/>
          </w:tcPr>
          <w:p w14:paraId="45CB68FF" w14:textId="77777777" w:rsidR="00000000" w:rsidRDefault="001D0688">
            <w:pPr>
              <w:jc w:val="right"/>
              <w:rPr>
                <w:rFonts w:eastAsia="Times New Roman"/>
              </w:rPr>
            </w:pPr>
            <w:r>
              <w:rPr>
                <w:rFonts w:ascii="Arial" w:eastAsia="Times New Roman" w:hAnsi="Arial" w:cs="Arial"/>
                <w:color w:val="000000"/>
                <w:sz w:val="20"/>
                <w:szCs w:val="20"/>
              </w:rPr>
              <w:t>155.2 </w:t>
            </w:r>
          </w:p>
        </w:tc>
        <w:tc>
          <w:tcPr>
            <w:tcW w:w="0" w:type="auto"/>
            <w:shd w:val="clear" w:color="auto" w:fill="FFFFFF"/>
            <w:tcMar>
              <w:top w:w="30" w:type="dxa"/>
              <w:left w:w="0" w:type="dxa"/>
              <w:bottom w:w="30" w:type="dxa"/>
              <w:right w:w="20" w:type="dxa"/>
            </w:tcMar>
            <w:vAlign w:val="bottom"/>
            <w:hideMark/>
          </w:tcPr>
          <w:p w14:paraId="2787D79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6138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89FF9" w14:textId="77777777" w:rsidR="00000000" w:rsidRDefault="001D0688">
            <w:pPr>
              <w:jc w:val="right"/>
              <w:rPr>
                <w:rFonts w:eastAsia="Times New Roman"/>
              </w:rPr>
            </w:pPr>
            <w:r>
              <w:rPr>
                <w:rFonts w:ascii="Arial" w:eastAsia="Times New Roman" w:hAnsi="Arial" w:cs="Arial"/>
                <w:color w:val="000000"/>
                <w:sz w:val="20"/>
                <w:szCs w:val="20"/>
              </w:rPr>
              <w:t>149.8 </w:t>
            </w:r>
          </w:p>
        </w:tc>
        <w:tc>
          <w:tcPr>
            <w:tcW w:w="0" w:type="auto"/>
            <w:shd w:val="clear" w:color="auto" w:fill="FFFFFF"/>
            <w:tcMar>
              <w:top w:w="30" w:type="dxa"/>
              <w:left w:w="0" w:type="dxa"/>
              <w:bottom w:w="30" w:type="dxa"/>
              <w:right w:w="20" w:type="dxa"/>
            </w:tcMar>
            <w:vAlign w:val="bottom"/>
            <w:hideMark/>
          </w:tcPr>
          <w:p w14:paraId="39EE038D" w14:textId="77777777" w:rsidR="00000000" w:rsidRDefault="001D0688">
            <w:pPr>
              <w:jc w:val="right"/>
              <w:rPr>
                <w:rFonts w:eastAsia="Times New Roman"/>
              </w:rPr>
            </w:pPr>
          </w:p>
        </w:tc>
      </w:tr>
      <w:tr w:rsidR="00000000" w14:paraId="2B85185C"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7139D312" w14:textId="77777777" w:rsidR="00000000" w:rsidRDefault="001D0688">
            <w:pPr>
              <w:rPr>
                <w:rFonts w:eastAsia="Times New Roman"/>
              </w:rPr>
            </w:pPr>
            <w:r>
              <w:rPr>
                <w:rFonts w:ascii="Arial" w:eastAsia="Times New Roman" w:hAnsi="Arial" w:cs="Arial"/>
                <w:color w:val="000000"/>
                <w:sz w:val="20"/>
                <w:szCs w:val="20"/>
              </w:rPr>
              <w:t>Income taxes payable</w:t>
            </w:r>
          </w:p>
        </w:tc>
        <w:tc>
          <w:tcPr>
            <w:tcW w:w="0" w:type="auto"/>
            <w:gridSpan w:val="2"/>
            <w:shd w:val="clear" w:color="auto" w:fill="DCE2EF"/>
            <w:tcMar>
              <w:top w:w="30" w:type="dxa"/>
              <w:left w:w="20" w:type="dxa"/>
              <w:bottom w:w="30" w:type="dxa"/>
              <w:right w:w="0" w:type="dxa"/>
            </w:tcMar>
            <w:vAlign w:val="bottom"/>
            <w:hideMark/>
          </w:tcPr>
          <w:p w14:paraId="52634A75" w14:textId="77777777" w:rsidR="00000000" w:rsidRDefault="001D0688">
            <w:pPr>
              <w:jc w:val="right"/>
              <w:rPr>
                <w:rFonts w:eastAsia="Times New Roman"/>
              </w:rPr>
            </w:pPr>
            <w:r>
              <w:rPr>
                <w:rFonts w:ascii="Arial" w:eastAsia="Times New Roman" w:hAnsi="Arial" w:cs="Arial"/>
                <w:color w:val="000000"/>
                <w:sz w:val="20"/>
                <w:szCs w:val="20"/>
              </w:rPr>
              <w:t>6.2 </w:t>
            </w:r>
          </w:p>
        </w:tc>
        <w:tc>
          <w:tcPr>
            <w:tcW w:w="0" w:type="auto"/>
            <w:shd w:val="clear" w:color="auto" w:fill="DCE2EF"/>
            <w:tcMar>
              <w:top w:w="30" w:type="dxa"/>
              <w:left w:w="0" w:type="dxa"/>
              <w:bottom w:w="30" w:type="dxa"/>
              <w:right w:w="20" w:type="dxa"/>
            </w:tcMar>
            <w:vAlign w:val="bottom"/>
            <w:hideMark/>
          </w:tcPr>
          <w:p w14:paraId="462C3A2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BFC73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4AECD6" w14:textId="77777777" w:rsidR="00000000" w:rsidRDefault="001D0688">
            <w:pPr>
              <w:jc w:val="right"/>
              <w:rPr>
                <w:rFonts w:eastAsia="Times New Roman"/>
              </w:rPr>
            </w:pPr>
            <w:r>
              <w:rPr>
                <w:rFonts w:ascii="Arial" w:eastAsia="Times New Roman" w:hAnsi="Arial" w:cs="Arial"/>
                <w:color w:val="000000"/>
                <w:sz w:val="20"/>
                <w:szCs w:val="20"/>
              </w:rPr>
              <w:t>3.5 </w:t>
            </w:r>
          </w:p>
        </w:tc>
        <w:tc>
          <w:tcPr>
            <w:tcW w:w="0" w:type="auto"/>
            <w:shd w:val="clear" w:color="auto" w:fill="DCE2EF"/>
            <w:tcMar>
              <w:top w:w="30" w:type="dxa"/>
              <w:left w:w="0" w:type="dxa"/>
              <w:bottom w:w="30" w:type="dxa"/>
              <w:right w:w="20" w:type="dxa"/>
            </w:tcMar>
            <w:vAlign w:val="bottom"/>
            <w:hideMark/>
          </w:tcPr>
          <w:p w14:paraId="7E6CB5BD" w14:textId="77777777" w:rsidR="00000000" w:rsidRDefault="001D0688">
            <w:pPr>
              <w:jc w:val="right"/>
              <w:rPr>
                <w:rFonts w:eastAsia="Times New Roman"/>
              </w:rPr>
            </w:pPr>
          </w:p>
        </w:tc>
      </w:tr>
      <w:tr w:rsidR="00000000" w14:paraId="633D4939"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2C044F46" w14:textId="77777777" w:rsidR="00000000" w:rsidRDefault="001D0688">
            <w:pPr>
              <w:rPr>
                <w:rFonts w:eastAsia="Times New Roman"/>
              </w:rPr>
            </w:pPr>
            <w:r>
              <w:rPr>
                <w:rFonts w:ascii="Arial" w:eastAsia="Times New Roman" w:hAnsi="Arial" w:cs="Arial"/>
                <w:color w:val="000000"/>
                <w:sz w:val="20"/>
                <w:szCs w:val="20"/>
              </w:rPr>
              <w:t xml:space="preserve">Current portion of lease liabilities </w:t>
            </w:r>
          </w:p>
        </w:tc>
        <w:tc>
          <w:tcPr>
            <w:tcW w:w="0" w:type="auto"/>
            <w:gridSpan w:val="2"/>
            <w:shd w:val="clear" w:color="auto" w:fill="FFFFFF"/>
            <w:tcMar>
              <w:top w:w="30" w:type="dxa"/>
              <w:left w:w="20" w:type="dxa"/>
              <w:bottom w:w="30" w:type="dxa"/>
              <w:right w:w="0" w:type="dxa"/>
            </w:tcMar>
            <w:vAlign w:val="bottom"/>
            <w:hideMark/>
          </w:tcPr>
          <w:p w14:paraId="3C61FFB4" w14:textId="77777777" w:rsidR="00000000" w:rsidRDefault="001D0688">
            <w:pPr>
              <w:jc w:val="right"/>
              <w:rPr>
                <w:rFonts w:eastAsia="Times New Roman"/>
              </w:rPr>
            </w:pPr>
            <w:r>
              <w:rPr>
                <w:rFonts w:ascii="Arial" w:eastAsia="Times New Roman" w:hAnsi="Arial" w:cs="Arial"/>
                <w:color w:val="000000"/>
                <w:sz w:val="20"/>
                <w:szCs w:val="20"/>
              </w:rPr>
              <w:t>35.0 </w:t>
            </w:r>
          </w:p>
        </w:tc>
        <w:tc>
          <w:tcPr>
            <w:tcW w:w="0" w:type="auto"/>
            <w:shd w:val="clear" w:color="auto" w:fill="FFFFFF"/>
            <w:tcMar>
              <w:top w:w="30" w:type="dxa"/>
              <w:left w:w="0" w:type="dxa"/>
              <w:bottom w:w="30" w:type="dxa"/>
              <w:right w:w="20" w:type="dxa"/>
            </w:tcMar>
            <w:vAlign w:val="bottom"/>
            <w:hideMark/>
          </w:tcPr>
          <w:p w14:paraId="169B7CF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63B7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42A5B"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B09D501" w14:textId="77777777" w:rsidR="00000000" w:rsidRDefault="001D0688">
            <w:pPr>
              <w:jc w:val="right"/>
              <w:rPr>
                <w:rFonts w:eastAsia="Times New Roman"/>
              </w:rPr>
            </w:pPr>
          </w:p>
        </w:tc>
      </w:tr>
      <w:tr w:rsidR="00000000" w14:paraId="09600B48"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412F02F2" w14:textId="77777777" w:rsidR="00000000" w:rsidRDefault="001D0688">
            <w:pPr>
              <w:rPr>
                <w:rFonts w:eastAsia="Times New Roman"/>
              </w:rPr>
            </w:pPr>
            <w:r>
              <w:rPr>
                <w:rFonts w:ascii="Arial" w:eastAsia="Times New Roman" w:hAnsi="Arial" w:cs="Arial"/>
                <w:color w:val="000000"/>
                <w:sz w:val="20"/>
                <w:szCs w:val="20"/>
              </w:rPr>
              <w:t>Other accrued liabilities</w:t>
            </w:r>
          </w:p>
        </w:tc>
        <w:tc>
          <w:tcPr>
            <w:tcW w:w="0" w:type="auto"/>
            <w:gridSpan w:val="2"/>
            <w:shd w:val="clear" w:color="auto" w:fill="DCE2EF"/>
            <w:tcMar>
              <w:top w:w="30" w:type="dxa"/>
              <w:left w:w="20" w:type="dxa"/>
              <w:bottom w:w="30" w:type="dxa"/>
              <w:right w:w="0" w:type="dxa"/>
            </w:tcMar>
            <w:vAlign w:val="bottom"/>
            <w:hideMark/>
          </w:tcPr>
          <w:p w14:paraId="4390E5B1" w14:textId="77777777" w:rsidR="00000000" w:rsidRDefault="001D0688">
            <w:pPr>
              <w:jc w:val="right"/>
              <w:rPr>
                <w:rFonts w:eastAsia="Times New Roman"/>
              </w:rPr>
            </w:pPr>
            <w:r>
              <w:rPr>
                <w:rFonts w:ascii="Arial" w:eastAsia="Times New Roman" w:hAnsi="Arial" w:cs="Arial"/>
                <w:color w:val="000000"/>
                <w:sz w:val="20"/>
                <w:szCs w:val="20"/>
              </w:rPr>
              <w:t>167.3 </w:t>
            </w:r>
          </w:p>
        </w:tc>
        <w:tc>
          <w:tcPr>
            <w:tcW w:w="0" w:type="auto"/>
            <w:shd w:val="clear" w:color="auto" w:fill="DCE2EF"/>
            <w:tcMar>
              <w:top w:w="30" w:type="dxa"/>
              <w:left w:w="0" w:type="dxa"/>
              <w:bottom w:w="30" w:type="dxa"/>
              <w:right w:w="20" w:type="dxa"/>
            </w:tcMar>
            <w:vAlign w:val="bottom"/>
            <w:hideMark/>
          </w:tcPr>
          <w:p w14:paraId="28C880B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FF601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6158016" w14:textId="77777777" w:rsidR="00000000" w:rsidRDefault="001D0688">
            <w:pPr>
              <w:jc w:val="right"/>
              <w:rPr>
                <w:rFonts w:eastAsia="Times New Roman"/>
              </w:rPr>
            </w:pPr>
            <w:r>
              <w:rPr>
                <w:rFonts w:ascii="Arial" w:eastAsia="Times New Roman" w:hAnsi="Arial" w:cs="Arial"/>
                <w:color w:val="000000"/>
                <w:sz w:val="20"/>
                <w:szCs w:val="20"/>
              </w:rPr>
              <w:t>158.2 </w:t>
            </w:r>
          </w:p>
        </w:tc>
        <w:tc>
          <w:tcPr>
            <w:tcW w:w="0" w:type="auto"/>
            <w:shd w:val="clear" w:color="auto" w:fill="DCE2EF"/>
            <w:tcMar>
              <w:top w:w="30" w:type="dxa"/>
              <w:left w:w="0" w:type="dxa"/>
              <w:bottom w:w="30" w:type="dxa"/>
              <w:right w:w="20" w:type="dxa"/>
            </w:tcMar>
            <w:vAlign w:val="bottom"/>
            <w:hideMark/>
          </w:tcPr>
          <w:p w14:paraId="51DF94E6" w14:textId="77777777" w:rsidR="00000000" w:rsidRDefault="001D0688">
            <w:pPr>
              <w:jc w:val="right"/>
              <w:rPr>
                <w:rFonts w:eastAsia="Times New Roman"/>
              </w:rPr>
            </w:pPr>
          </w:p>
        </w:tc>
      </w:tr>
      <w:tr w:rsidR="00000000" w14:paraId="1CBEA724" w14:textId="77777777">
        <w:trPr>
          <w:divId w:val="1660621786"/>
          <w:jc w:val="center"/>
        </w:trPr>
        <w:tc>
          <w:tcPr>
            <w:tcW w:w="0" w:type="auto"/>
            <w:gridSpan w:val="3"/>
            <w:vAlign w:val="center"/>
            <w:hideMark/>
          </w:tcPr>
          <w:p w14:paraId="449D86D3" w14:textId="77777777" w:rsidR="00000000" w:rsidRDefault="001D0688">
            <w:pPr>
              <w:jc w:val="right"/>
              <w:rPr>
                <w:rFonts w:eastAsia="Times New Roman"/>
                <w:sz w:val="20"/>
                <w:szCs w:val="20"/>
              </w:rPr>
            </w:pPr>
          </w:p>
        </w:tc>
        <w:tc>
          <w:tcPr>
            <w:tcW w:w="0" w:type="auto"/>
            <w:gridSpan w:val="3"/>
            <w:vAlign w:val="center"/>
            <w:hideMark/>
          </w:tcPr>
          <w:p w14:paraId="6A4A12EF" w14:textId="77777777" w:rsidR="00000000" w:rsidRDefault="001D0688">
            <w:pPr>
              <w:rPr>
                <w:rFonts w:eastAsia="Times New Roman"/>
                <w:sz w:val="20"/>
                <w:szCs w:val="20"/>
              </w:rPr>
            </w:pPr>
          </w:p>
        </w:tc>
        <w:tc>
          <w:tcPr>
            <w:tcW w:w="0" w:type="auto"/>
            <w:gridSpan w:val="3"/>
            <w:vAlign w:val="center"/>
            <w:hideMark/>
          </w:tcPr>
          <w:p w14:paraId="36C54333" w14:textId="77777777" w:rsidR="00000000" w:rsidRDefault="001D0688">
            <w:pPr>
              <w:rPr>
                <w:rFonts w:eastAsia="Times New Roman"/>
                <w:sz w:val="20"/>
                <w:szCs w:val="20"/>
              </w:rPr>
            </w:pPr>
          </w:p>
        </w:tc>
        <w:tc>
          <w:tcPr>
            <w:tcW w:w="0" w:type="auto"/>
            <w:gridSpan w:val="3"/>
            <w:vAlign w:val="center"/>
            <w:hideMark/>
          </w:tcPr>
          <w:p w14:paraId="48AFD657" w14:textId="77777777" w:rsidR="00000000" w:rsidRDefault="001D0688">
            <w:pPr>
              <w:rPr>
                <w:rFonts w:eastAsia="Times New Roman"/>
                <w:sz w:val="20"/>
                <w:szCs w:val="20"/>
              </w:rPr>
            </w:pPr>
          </w:p>
        </w:tc>
      </w:tr>
      <w:tr w:rsidR="00000000" w14:paraId="4D0CEFEA" w14:textId="77777777">
        <w:trPr>
          <w:divId w:val="1660621786"/>
          <w:jc w:val="center"/>
        </w:trPr>
        <w:tc>
          <w:tcPr>
            <w:tcW w:w="0" w:type="auto"/>
            <w:gridSpan w:val="3"/>
            <w:shd w:val="clear" w:color="auto" w:fill="FFFFFF"/>
            <w:tcMar>
              <w:top w:w="30" w:type="dxa"/>
              <w:left w:w="740" w:type="dxa"/>
              <w:bottom w:w="30" w:type="dxa"/>
              <w:right w:w="20" w:type="dxa"/>
            </w:tcMar>
            <w:vAlign w:val="bottom"/>
            <w:hideMark/>
          </w:tcPr>
          <w:p w14:paraId="591EDA42" w14:textId="77777777" w:rsidR="00000000" w:rsidRDefault="001D0688">
            <w:pPr>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A7E913" w14:textId="77777777" w:rsidR="00000000" w:rsidRDefault="001D0688">
            <w:pPr>
              <w:jc w:val="right"/>
              <w:rPr>
                <w:rFonts w:eastAsia="Times New Roman"/>
              </w:rPr>
            </w:pPr>
            <w:r>
              <w:rPr>
                <w:rFonts w:ascii="Arial" w:eastAsia="Times New Roman" w:hAnsi="Arial" w:cs="Arial"/>
                <w:color w:val="000000"/>
                <w:sz w:val="20"/>
                <w:szCs w:val="20"/>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A5423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AEACF"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3F006F" w14:textId="77777777" w:rsidR="00000000" w:rsidRDefault="001D0688">
            <w:pPr>
              <w:jc w:val="right"/>
              <w:rPr>
                <w:rFonts w:eastAsia="Times New Roman"/>
              </w:rPr>
            </w:pPr>
            <w:r>
              <w:rPr>
                <w:rFonts w:ascii="Arial" w:eastAsia="Times New Roman" w:hAnsi="Arial" w:cs="Arial"/>
                <w:color w:val="000000"/>
                <w:sz w:val="20"/>
                <w:szCs w:val="20"/>
              </w:rPr>
              <w:t>902.4 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00781F" w14:textId="77777777" w:rsidR="00000000" w:rsidRDefault="001D0688">
            <w:pPr>
              <w:jc w:val="right"/>
              <w:rPr>
                <w:rFonts w:eastAsia="Times New Roman"/>
              </w:rPr>
            </w:pPr>
          </w:p>
        </w:tc>
      </w:tr>
      <w:tr w:rsidR="00000000" w14:paraId="176A21F6"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045CB5C2" w14:textId="77777777" w:rsidR="00000000" w:rsidRDefault="001D0688">
            <w:pPr>
              <w:rPr>
                <w:rFonts w:eastAsia="Times New Roman"/>
              </w:rPr>
            </w:pPr>
            <w:r>
              <w:rPr>
                <w:rFonts w:ascii="Arial" w:eastAsia="Times New Roman" w:hAnsi="Arial" w:cs="Arial"/>
                <w:color w:val="000000"/>
                <w:sz w:val="20"/>
                <w:szCs w:val="20"/>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3B58D78" w14:textId="77777777" w:rsidR="00000000" w:rsidRDefault="001D0688">
            <w:pPr>
              <w:jc w:val="right"/>
              <w:rPr>
                <w:rFonts w:eastAsia="Times New Roman"/>
              </w:rPr>
            </w:pPr>
            <w:r>
              <w:rPr>
                <w:rFonts w:ascii="Arial" w:eastAsia="Times New Roman" w:hAnsi="Arial" w:cs="Arial"/>
                <w:color w:val="000000"/>
                <w:sz w:val="20"/>
                <w:szCs w:val="20"/>
              </w:rPr>
              <w:t>603.0 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701251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F7A304"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4359FE1" w14:textId="77777777" w:rsidR="00000000" w:rsidRDefault="001D0688">
            <w:pPr>
              <w:jc w:val="right"/>
              <w:rPr>
                <w:rFonts w:eastAsia="Times New Roman"/>
              </w:rPr>
            </w:pPr>
            <w:r>
              <w:rPr>
                <w:rFonts w:ascii="Arial" w:eastAsia="Times New Roman" w:hAnsi="Arial" w:cs="Arial"/>
                <w:color w:val="000000"/>
                <w:sz w:val="20"/>
                <w:szCs w:val="20"/>
              </w:rPr>
              <w:t>744.2 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4342E6" w14:textId="77777777" w:rsidR="00000000" w:rsidRDefault="001D0688">
            <w:pPr>
              <w:jc w:val="right"/>
              <w:rPr>
                <w:rFonts w:eastAsia="Times New Roman"/>
              </w:rPr>
            </w:pPr>
          </w:p>
        </w:tc>
      </w:tr>
      <w:tr w:rsidR="00000000" w14:paraId="4D8FFD37"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5DA59AE1" w14:textId="77777777" w:rsidR="00000000" w:rsidRDefault="001D0688">
            <w:pPr>
              <w:rPr>
                <w:rFonts w:eastAsia="Times New Roman"/>
              </w:rPr>
            </w:pPr>
            <w:r>
              <w:rPr>
                <w:rFonts w:ascii="Arial" w:eastAsia="Times New Roman" w:hAnsi="Arial" w:cs="Arial"/>
                <w:color w:val="000000"/>
                <w:sz w:val="20"/>
                <w:szCs w:val="20"/>
              </w:rPr>
              <w:t>Long-term lease liabilities</w:t>
            </w:r>
          </w:p>
        </w:tc>
        <w:tc>
          <w:tcPr>
            <w:tcW w:w="0" w:type="auto"/>
            <w:gridSpan w:val="2"/>
            <w:shd w:val="clear" w:color="auto" w:fill="FFFFFF"/>
            <w:tcMar>
              <w:top w:w="30" w:type="dxa"/>
              <w:left w:w="20" w:type="dxa"/>
              <w:bottom w:w="30" w:type="dxa"/>
              <w:right w:w="0" w:type="dxa"/>
            </w:tcMar>
            <w:vAlign w:val="bottom"/>
            <w:hideMark/>
          </w:tcPr>
          <w:p w14:paraId="353392A4" w14:textId="77777777" w:rsidR="00000000" w:rsidRDefault="001D0688">
            <w:pPr>
              <w:jc w:val="right"/>
              <w:rPr>
                <w:rFonts w:eastAsia="Times New Roman"/>
              </w:rPr>
            </w:pPr>
            <w:r>
              <w:rPr>
                <w:rFonts w:ascii="Arial" w:eastAsia="Times New Roman" w:hAnsi="Arial" w:cs="Arial"/>
                <w:color w:val="000000"/>
                <w:sz w:val="20"/>
                <w:szCs w:val="20"/>
              </w:rPr>
              <w:t>131.4 </w:t>
            </w:r>
          </w:p>
        </w:tc>
        <w:tc>
          <w:tcPr>
            <w:tcW w:w="0" w:type="auto"/>
            <w:shd w:val="clear" w:color="auto" w:fill="FFFFFF"/>
            <w:tcMar>
              <w:top w:w="30" w:type="dxa"/>
              <w:left w:w="0" w:type="dxa"/>
              <w:bottom w:w="30" w:type="dxa"/>
              <w:right w:w="20" w:type="dxa"/>
            </w:tcMar>
            <w:vAlign w:val="bottom"/>
            <w:hideMark/>
          </w:tcPr>
          <w:p w14:paraId="168D5C7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0441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16640"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A1C5FB2" w14:textId="77777777" w:rsidR="00000000" w:rsidRDefault="001D0688">
            <w:pPr>
              <w:jc w:val="right"/>
              <w:rPr>
                <w:rFonts w:eastAsia="Times New Roman"/>
              </w:rPr>
            </w:pPr>
          </w:p>
        </w:tc>
      </w:tr>
      <w:tr w:rsidR="00000000" w14:paraId="47DAA0C6" w14:textId="77777777">
        <w:trPr>
          <w:divId w:val="1660621786"/>
          <w:jc w:val="center"/>
        </w:trPr>
        <w:tc>
          <w:tcPr>
            <w:tcW w:w="0" w:type="auto"/>
            <w:gridSpan w:val="3"/>
            <w:vAlign w:val="center"/>
            <w:hideMark/>
          </w:tcPr>
          <w:p w14:paraId="27F200BF" w14:textId="77777777" w:rsidR="00000000" w:rsidRDefault="001D0688">
            <w:pPr>
              <w:jc w:val="right"/>
              <w:rPr>
                <w:rFonts w:eastAsia="Times New Roman"/>
                <w:sz w:val="20"/>
                <w:szCs w:val="20"/>
              </w:rPr>
            </w:pPr>
          </w:p>
        </w:tc>
        <w:tc>
          <w:tcPr>
            <w:tcW w:w="0" w:type="auto"/>
            <w:gridSpan w:val="3"/>
            <w:vAlign w:val="center"/>
            <w:hideMark/>
          </w:tcPr>
          <w:p w14:paraId="0A136A18" w14:textId="77777777" w:rsidR="00000000" w:rsidRDefault="001D0688">
            <w:pPr>
              <w:rPr>
                <w:rFonts w:eastAsia="Times New Roman"/>
                <w:sz w:val="20"/>
                <w:szCs w:val="20"/>
              </w:rPr>
            </w:pPr>
          </w:p>
        </w:tc>
        <w:tc>
          <w:tcPr>
            <w:tcW w:w="0" w:type="auto"/>
            <w:gridSpan w:val="3"/>
            <w:vAlign w:val="center"/>
            <w:hideMark/>
          </w:tcPr>
          <w:p w14:paraId="25D9D1DE" w14:textId="77777777" w:rsidR="00000000" w:rsidRDefault="001D0688">
            <w:pPr>
              <w:rPr>
                <w:rFonts w:eastAsia="Times New Roman"/>
                <w:sz w:val="20"/>
                <w:szCs w:val="20"/>
              </w:rPr>
            </w:pPr>
          </w:p>
        </w:tc>
        <w:tc>
          <w:tcPr>
            <w:tcW w:w="0" w:type="auto"/>
            <w:gridSpan w:val="3"/>
            <w:vAlign w:val="center"/>
            <w:hideMark/>
          </w:tcPr>
          <w:p w14:paraId="3054FF80" w14:textId="77777777" w:rsidR="00000000" w:rsidRDefault="001D0688">
            <w:pPr>
              <w:rPr>
                <w:rFonts w:eastAsia="Times New Roman"/>
                <w:sz w:val="20"/>
                <w:szCs w:val="20"/>
              </w:rPr>
            </w:pPr>
          </w:p>
        </w:tc>
      </w:tr>
      <w:tr w:rsidR="00000000" w14:paraId="7FEA2696"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2956AC84" w14:textId="77777777" w:rsidR="00000000" w:rsidRDefault="001D0688">
            <w:pPr>
              <w:rPr>
                <w:rFonts w:eastAsia="Times New Roman"/>
              </w:rPr>
            </w:pPr>
            <w:r>
              <w:rPr>
                <w:rFonts w:ascii="Arial" w:eastAsia="Times New Roman" w:hAnsi="Arial" w:cs="Arial"/>
                <w:color w:val="000000"/>
                <w:sz w:val="20"/>
                <w:szCs w:val="20"/>
              </w:rPr>
              <w:t>Deferred income tax liability, net</w:t>
            </w:r>
          </w:p>
        </w:tc>
        <w:tc>
          <w:tcPr>
            <w:tcW w:w="0" w:type="auto"/>
            <w:gridSpan w:val="2"/>
            <w:shd w:val="clear" w:color="auto" w:fill="DCE2EF"/>
            <w:tcMar>
              <w:top w:w="30" w:type="dxa"/>
              <w:left w:w="20" w:type="dxa"/>
              <w:bottom w:w="30" w:type="dxa"/>
              <w:right w:w="0" w:type="dxa"/>
            </w:tcMar>
            <w:vAlign w:val="bottom"/>
            <w:hideMark/>
          </w:tcPr>
          <w:p w14:paraId="7D24FC98" w14:textId="77777777" w:rsidR="00000000" w:rsidRDefault="001D0688">
            <w:pPr>
              <w:jc w:val="right"/>
              <w:rPr>
                <w:rFonts w:eastAsia="Times New Roman"/>
              </w:rPr>
            </w:pPr>
            <w:r>
              <w:rPr>
                <w:rFonts w:ascii="Arial" w:eastAsia="Times New Roman" w:hAnsi="Arial" w:cs="Arial"/>
                <w:color w:val="000000"/>
                <w:sz w:val="20"/>
                <w:szCs w:val="20"/>
              </w:rPr>
              <w:t>10.8 </w:t>
            </w:r>
          </w:p>
        </w:tc>
        <w:tc>
          <w:tcPr>
            <w:tcW w:w="0" w:type="auto"/>
            <w:shd w:val="clear" w:color="auto" w:fill="DCE2EF"/>
            <w:tcMar>
              <w:top w:w="30" w:type="dxa"/>
              <w:left w:w="0" w:type="dxa"/>
              <w:bottom w:w="30" w:type="dxa"/>
              <w:right w:w="20" w:type="dxa"/>
            </w:tcMar>
            <w:vAlign w:val="bottom"/>
            <w:hideMark/>
          </w:tcPr>
          <w:p w14:paraId="0EFB5FB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9392C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727E9D" w14:textId="77777777" w:rsidR="00000000" w:rsidRDefault="001D0688">
            <w:pPr>
              <w:jc w:val="right"/>
              <w:rPr>
                <w:rFonts w:eastAsia="Times New Roman"/>
              </w:rPr>
            </w:pPr>
            <w:r>
              <w:rPr>
                <w:rFonts w:ascii="Arial" w:eastAsia="Times New Roman" w:hAnsi="Arial" w:cs="Arial"/>
                <w:color w:val="000000"/>
                <w:sz w:val="20"/>
                <w:szCs w:val="20"/>
              </w:rPr>
              <w:t>47.7 </w:t>
            </w:r>
          </w:p>
        </w:tc>
        <w:tc>
          <w:tcPr>
            <w:tcW w:w="0" w:type="auto"/>
            <w:shd w:val="clear" w:color="auto" w:fill="DCE2EF"/>
            <w:tcMar>
              <w:top w:w="30" w:type="dxa"/>
              <w:left w:w="0" w:type="dxa"/>
              <w:bottom w:w="30" w:type="dxa"/>
              <w:right w:w="20" w:type="dxa"/>
            </w:tcMar>
            <w:vAlign w:val="bottom"/>
            <w:hideMark/>
          </w:tcPr>
          <w:p w14:paraId="577007DA" w14:textId="77777777" w:rsidR="00000000" w:rsidRDefault="001D0688">
            <w:pPr>
              <w:jc w:val="right"/>
              <w:rPr>
                <w:rFonts w:eastAsia="Times New Roman"/>
              </w:rPr>
            </w:pPr>
          </w:p>
        </w:tc>
      </w:tr>
      <w:tr w:rsidR="00000000" w14:paraId="126AD9FC"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54D73403" w14:textId="77777777" w:rsidR="00000000" w:rsidRDefault="001D0688">
            <w:pPr>
              <w:rPr>
                <w:rFonts w:eastAsia="Times New Roman"/>
              </w:rPr>
            </w:pPr>
            <w:r>
              <w:rPr>
                <w:rFonts w:ascii="Arial" w:eastAsia="Times New Roman" w:hAnsi="Arial" w:cs="Arial"/>
                <w:color w:val="000000"/>
                <w:sz w:val="20"/>
                <w:szCs w:val="20"/>
              </w:rPr>
              <w:t>Noncurrent insurance claims</w:t>
            </w:r>
          </w:p>
        </w:tc>
        <w:tc>
          <w:tcPr>
            <w:tcW w:w="0" w:type="auto"/>
            <w:gridSpan w:val="2"/>
            <w:shd w:val="clear" w:color="auto" w:fill="FFFFFF"/>
            <w:tcMar>
              <w:top w:w="30" w:type="dxa"/>
              <w:left w:w="20" w:type="dxa"/>
              <w:bottom w:w="30" w:type="dxa"/>
              <w:right w:w="0" w:type="dxa"/>
            </w:tcMar>
            <w:vAlign w:val="bottom"/>
            <w:hideMark/>
          </w:tcPr>
          <w:p w14:paraId="5EF34A1A" w14:textId="77777777" w:rsidR="00000000" w:rsidRDefault="001D0688">
            <w:pPr>
              <w:jc w:val="right"/>
              <w:rPr>
                <w:rFonts w:eastAsia="Times New Roman"/>
              </w:rPr>
            </w:pPr>
            <w:r>
              <w:rPr>
                <w:rFonts w:ascii="Arial" w:eastAsia="Times New Roman" w:hAnsi="Arial" w:cs="Arial"/>
                <w:color w:val="000000"/>
                <w:sz w:val="20"/>
                <w:szCs w:val="20"/>
              </w:rPr>
              <w:t>366.3 </w:t>
            </w:r>
          </w:p>
        </w:tc>
        <w:tc>
          <w:tcPr>
            <w:tcW w:w="0" w:type="auto"/>
            <w:shd w:val="clear" w:color="auto" w:fill="FFFFFF"/>
            <w:tcMar>
              <w:top w:w="30" w:type="dxa"/>
              <w:left w:w="0" w:type="dxa"/>
              <w:bottom w:w="30" w:type="dxa"/>
              <w:right w:w="20" w:type="dxa"/>
            </w:tcMar>
            <w:vAlign w:val="bottom"/>
            <w:hideMark/>
          </w:tcPr>
          <w:p w14:paraId="366EC0A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2A90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7A6460" w14:textId="77777777" w:rsidR="00000000" w:rsidRDefault="001D0688">
            <w:pPr>
              <w:jc w:val="right"/>
              <w:rPr>
                <w:rFonts w:eastAsia="Times New Roman"/>
              </w:rPr>
            </w:pPr>
            <w:r>
              <w:rPr>
                <w:rFonts w:ascii="Arial" w:eastAsia="Times New Roman" w:hAnsi="Arial" w:cs="Arial"/>
                <w:color w:val="000000"/>
                <w:sz w:val="20"/>
                <w:szCs w:val="20"/>
              </w:rPr>
              <w:t>365.2 </w:t>
            </w:r>
          </w:p>
        </w:tc>
        <w:tc>
          <w:tcPr>
            <w:tcW w:w="0" w:type="auto"/>
            <w:shd w:val="clear" w:color="auto" w:fill="FFFFFF"/>
            <w:tcMar>
              <w:top w:w="30" w:type="dxa"/>
              <w:left w:w="0" w:type="dxa"/>
              <w:bottom w:w="30" w:type="dxa"/>
              <w:right w:w="20" w:type="dxa"/>
            </w:tcMar>
            <w:vAlign w:val="bottom"/>
            <w:hideMark/>
          </w:tcPr>
          <w:p w14:paraId="1569AEFD" w14:textId="77777777" w:rsidR="00000000" w:rsidRDefault="001D0688">
            <w:pPr>
              <w:jc w:val="right"/>
              <w:rPr>
                <w:rFonts w:eastAsia="Times New Roman"/>
              </w:rPr>
            </w:pPr>
          </w:p>
        </w:tc>
      </w:tr>
      <w:tr w:rsidR="00000000" w14:paraId="2DD282C3"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28394342" w14:textId="77777777" w:rsidR="00000000" w:rsidRDefault="001D0688">
            <w:pPr>
              <w:rPr>
                <w:rFonts w:eastAsia="Times New Roman"/>
              </w:rPr>
            </w:pPr>
            <w:r>
              <w:rPr>
                <w:rFonts w:ascii="Arial" w:eastAsia="Times New Roman" w:hAnsi="Arial" w:cs="Arial"/>
                <w:color w:val="000000"/>
                <w:sz w:val="20"/>
                <w:szCs w:val="20"/>
              </w:rPr>
              <w:t>Other noncurrent liabilities</w:t>
            </w:r>
          </w:p>
        </w:tc>
        <w:tc>
          <w:tcPr>
            <w:tcW w:w="0" w:type="auto"/>
            <w:gridSpan w:val="2"/>
            <w:shd w:val="clear" w:color="auto" w:fill="DCE2EF"/>
            <w:tcMar>
              <w:top w:w="30" w:type="dxa"/>
              <w:left w:w="20" w:type="dxa"/>
              <w:bottom w:w="30" w:type="dxa"/>
              <w:right w:w="0" w:type="dxa"/>
            </w:tcMar>
            <w:vAlign w:val="bottom"/>
            <w:hideMark/>
          </w:tcPr>
          <w:p w14:paraId="37D602FC" w14:textId="77777777" w:rsidR="00000000" w:rsidRDefault="001D0688">
            <w:pPr>
              <w:jc w:val="right"/>
              <w:rPr>
                <w:rFonts w:eastAsia="Times New Roman"/>
              </w:rPr>
            </w:pPr>
            <w:r>
              <w:rPr>
                <w:rFonts w:ascii="Arial" w:eastAsia="Times New Roman" w:hAnsi="Arial" w:cs="Arial"/>
                <w:color w:val="000000"/>
                <w:sz w:val="20"/>
                <w:szCs w:val="20"/>
              </w:rPr>
              <w:t>168.1 </w:t>
            </w:r>
          </w:p>
        </w:tc>
        <w:tc>
          <w:tcPr>
            <w:tcW w:w="0" w:type="auto"/>
            <w:shd w:val="clear" w:color="auto" w:fill="DCE2EF"/>
            <w:tcMar>
              <w:top w:w="30" w:type="dxa"/>
              <w:left w:w="0" w:type="dxa"/>
              <w:bottom w:w="30" w:type="dxa"/>
              <w:right w:w="20" w:type="dxa"/>
            </w:tcMar>
            <w:vAlign w:val="bottom"/>
            <w:hideMark/>
          </w:tcPr>
          <w:p w14:paraId="283D466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C1BFF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EF5B6D" w14:textId="77777777" w:rsidR="00000000" w:rsidRDefault="001D0688">
            <w:pPr>
              <w:jc w:val="right"/>
              <w:rPr>
                <w:rFonts w:eastAsia="Times New Roman"/>
              </w:rPr>
            </w:pPr>
            <w:r>
              <w:rPr>
                <w:rFonts w:ascii="Arial" w:eastAsia="Times New Roman" w:hAnsi="Arial" w:cs="Arial"/>
                <w:color w:val="000000"/>
                <w:sz w:val="20"/>
                <w:szCs w:val="20"/>
              </w:rPr>
              <w:t>78.8 </w:t>
            </w:r>
          </w:p>
        </w:tc>
        <w:tc>
          <w:tcPr>
            <w:tcW w:w="0" w:type="auto"/>
            <w:shd w:val="clear" w:color="auto" w:fill="DCE2EF"/>
            <w:tcMar>
              <w:top w:w="30" w:type="dxa"/>
              <w:left w:w="0" w:type="dxa"/>
              <w:bottom w:w="30" w:type="dxa"/>
              <w:right w:w="20" w:type="dxa"/>
            </w:tcMar>
            <w:vAlign w:val="bottom"/>
            <w:hideMark/>
          </w:tcPr>
          <w:p w14:paraId="49932A81" w14:textId="77777777" w:rsidR="00000000" w:rsidRDefault="001D0688">
            <w:pPr>
              <w:jc w:val="right"/>
              <w:rPr>
                <w:rFonts w:eastAsia="Times New Roman"/>
              </w:rPr>
            </w:pPr>
          </w:p>
        </w:tc>
      </w:tr>
      <w:tr w:rsidR="00000000" w14:paraId="71FE7160"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7FEF3BE4" w14:textId="77777777" w:rsidR="00000000" w:rsidRDefault="001D0688">
            <w:pPr>
              <w:rPr>
                <w:rFonts w:eastAsia="Times New Roman"/>
              </w:rPr>
            </w:pPr>
            <w:r>
              <w:rPr>
                <w:rFonts w:ascii="Arial" w:eastAsia="Times New Roman" w:hAnsi="Arial" w:cs="Arial"/>
                <w:color w:val="000000"/>
                <w:sz w:val="20"/>
                <w:szCs w:val="20"/>
              </w:rPr>
              <w:t>Noncurrent income taxes payable</w:t>
            </w:r>
          </w:p>
        </w:tc>
        <w:tc>
          <w:tcPr>
            <w:tcW w:w="0" w:type="auto"/>
            <w:gridSpan w:val="2"/>
            <w:shd w:val="clear" w:color="auto" w:fill="FFFFFF"/>
            <w:tcMar>
              <w:top w:w="30" w:type="dxa"/>
              <w:left w:w="20" w:type="dxa"/>
              <w:bottom w:w="30" w:type="dxa"/>
              <w:right w:w="0" w:type="dxa"/>
            </w:tcMar>
            <w:vAlign w:val="bottom"/>
            <w:hideMark/>
          </w:tcPr>
          <w:p w14:paraId="17D99DDB" w14:textId="77777777" w:rsidR="00000000" w:rsidRDefault="001D0688">
            <w:pPr>
              <w:jc w:val="right"/>
              <w:rPr>
                <w:rFonts w:eastAsia="Times New Roman"/>
              </w:rPr>
            </w:pPr>
            <w:r>
              <w:rPr>
                <w:rFonts w:ascii="Arial" w:eastAsia="Times New Roman" w:hAnsi="Arial" w:cs="Arial"/>
                <w:color w:val="000000"/>
                <w:sz w:val="20"/>
                <w:szCs w:val="20"/>
              </w:rPr>
              <w:t>10.1 </w:t>
            </w:r>
          </w:p>
        </w:tc>
        <w:tc>
          <w:tcPr>
            <w:tcW w:w="0" w:type="auto"/>
            <w:shd w:val="clear" w:color="auto" w:fill="FFFFFF"/>
            <w:tcMar>
              <w:top w:w="30" w:type="dxa"/>
              <w:left w:w="0" w:type="dxa"/>
              <w:bottom w:w="30" w:type="dxa"/>
              <w:right w:w="20" w:type="dxa"/>
            </w:tcMar>
            <w:vAlign w:val="bottom"/>
            <w:hideMark/>
          </w:tcPr>
          <w:p w14:paraId="1289902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B3D5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1C4BE1" w14:textId="77777777" w:rsidR="00000000" w:rsidRDefault="001D0688">
            <w:pPr>
              <w:jc w:val="right"/>
              <w:rPr>
                <w:rFonts w:eastAsia="Times New Roman"/>
              </w:rPr>
            </w:pPr>
            <w:r>
              <w:rPr>
                <w:rFonts w:ascii="Arial" w:eastAsia="Times New Roman" w:hAnsi="Arial" w:cs="Arial"/>
                <w:color w:val="000000"/>
                <w:sz w:val="20"/>
                <w:szCs w:val="20"/>
              </w:rPr>
              <w:t>12.2 </w:t>
            </w:r>
          </w:p>
        </w:tc>
        <w:tc>
          <w:tcPr>
            <w:tcW w:w="0" w:type="auto"/>
            <w:shd w:val="clear" w:color="auto" w:fill="FFFFFF"/>
            <w:tcMar>
              <w:top w:w="30" w:type="dxa"/>
              <w:left w:w="0" w:type="dxa"/>
              <w:bottom w:w="30" w:type="dxa"/>
              <w:right w:w="20" w:type="dxa"/>
            </w:tcMar>
            <w:vAlign w:val="bottom"/>
            <w:hideMark/>
          </w:tcPr>
          <w:p w14:paraId="0397CF75" w14:textId="77777777" w:rsidR="00000000" w:rsidRDefault="001D0688">
            <w:pPr>
              <w:jc w:val="right"/>
              <w:rPr>
                <w:rFonts w:eastAsia="Times New Roman"/>
              </w:rPr>
            </w:pPr>
          </w:p>
        </w:tc>
      </w:tr>
      <w:tr w:rsidR="00000000" w14:paraId="7C6404DC" w14:textId="77777777">
        <w:trPr>
          <w:divId w:val="1660621786"/>
          <w:jc w:val="center"/>
        </w:trPr>
        <w:tc>
          <w:tcPr>
            <w:tcW w:w="0" w:type="auto"/>
            <w:gridSpan w:val="3"/>
            <w:vAlign w:val="center"/>
            <w:hideMark/>
          </w:tcPr>
          <w:p w14:paraId="495060B7" w14:textId="77777777" w:rsidR="00000000" w:rsidRDefault="001D0688">
            <w:pPr>
              <w:jc w:val="right"/>
              <w:rPr>
                <w:rFonts w:eastAsia="Times New Roman"/>
                <w:sz w:val="20"/>
                <w:szCs w:val="20"/>
              </w:rPr>
            </w:pPr>
          </w:p>
        </w:tc>
        <w:tc>
          <w:tcPr>
            <w:tcW w:w="0" w:type="auto"/>
            <w:gridSpan w:val="3"/>
            <w:vAlign w:val="center"/>
            <w:hideMark/>
          </w:tcPr>
          <w:p w14:paraId="2B9B3B9A" w14:textId="77777777" w:rsidR="00000000" w:rsidRDefault="001D0688">
            <w:pPr>
              <w:rPr>
                <w:rFonts w:eastAsia="Times New Roman"/>
                <w:sz w:val="20"/>
                <w:szCs w:val="20"/>
              </w:rPr>
            </w:pPr>
          </w:p>
        </w:tc>
        <w:tc>
          <w:tcPr>
            <w:tcW w:w="0" w:type="auto"/>
            <w:gridSpan w:val="3"/>
            <w:vAlign w:val="center"/>
            <w:hideMark/>
          </w:tcPr>
          <w:p w14:paraId="7D4A44BB" w14:textId="77777777" w:rsidR="00000000" w:rsidRDefault="001D0688">
            <w:pPr>
              <w:rPr>
                <w:rFonts w:eastAsia="Times New Roman"/>
                <w:sz w:val="20"/>
                <w:szCs w:val="20"/>
              </w:rPr>
            </w:pPr>
          </w:p>
        </w:tc>
        <w:tc>
          <w:tcPr>
            <w:tcW w:w="0" w:type="auto"/>
            <w:gridSpan w:val="3"/>
            <w:vAlign w:val="center"/>
            <w:hideMark/>
          </w:tcPr>
          <w:p w14:paraId="253BA635" w14:textId="77777777" w:rsidR="00000000" w:rsidRDefault="001D0688">
            <w:pPr>
              <w:rPr>
                <w:rFonts w:eastAsia="Times New Roman"/>
                <w:sz w:val="20"/>
                <w:szCs w:val="20"/>
              </w:rPr>
            </w:pPr>
          </w:p>
        </w:tc>
      </w:tr>
      <w:tr w:rsidR="00000000" w14:paraId="2B5C4323"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241B6250" w14:textId="77777777" w:rsidR="00000000" w:rsidRDefault="001D0688">
            <w:pPr>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9974A3D" w14:textId="77777777" w:rsidR="00000000" w:rsidRDefault="001D0688">
            <w:pPr>
              <w:jc w:val="right"/>
              <w:rPr>
                <w:rFonts w:eastAsia="Times New Roman"/>
              </w:rPr>
            </w:pPr>
            <w:r>
              <w:rPr>
                <w:rFonts w:ascii="Arial" w:eastAsia="Times New Roman" w:hAnsi="Arial" w:cs="Arial"/>
                <w:color w:val="000000"/>
                <w:sz w:val="20"/>
                <w:szCs w:val="20"/>
              </w:rPr>
              <w:t>2,276.6 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07E25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824DA9"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2EA3F7C" w14:textId="77777777" w:rsidR="00000000" w:rsidRDefault="001D0688">
            <w:pPr>
              <w:jc w:val="right"/>
              <w:rPr>
                <w:rFonts w:eastAsia="Times New Roman"/>
              </w:rPr>
            </w:pPr>
            <w:r>
              <w:rPr>
                <w:rFonts w:ascii="Arial" w:eastAsia="Times New Roman" w:hAnsi="Arial" w:cs="Arial"/>
                <w:color w:val="000000"/>
                <w:sz w:val="20"/>
                <w:szCs w:val="20"/>
              </w:rPr>
              <w:t>2,150.6 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9251E2" w14:textId="77777777" w:rsidR="00000000" w:rsidRDefault="001D0688">
            <w:pPr>
              <w:jc w:val="right"/>
              <w:rPr>
                <w:rFonts w:eastAsia="Times New Roman"/>
              </w:rPr>
            </w:pPr>
          </w:p>
        </w:tc>
      </w:tr>
      <w:tr w:rsidR="00000000" w14:paraId="7FD62626"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0D886F42" w14:textId="77777777" w:rsidR="00000000" w:rsidRDefault="001D0688">
            <w:pPr>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20ECC6"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851CD"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D71890" w14:textId="77777777" w:rsidR="00000000" w:rsidRDefault="001D0688">
            <w:pPr>
              <w:rPr>
                <w:rFonts w:eastAsia="Times New Roman"/>
                <w:sz w:val="20"/>
                <w:szCs w:val="20"/>
              </w:rPr>
            </w:pPr>
          </w:p>
        </w:tc>
      </w:tr>
      <w:tr w:rsidR="00000000" w14:paraId="56BC8B84"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558277D7" w14:textId="77777777" w:rsidR="00000000" w:rsidRDefault="001D0688">
            <w:pPr>
              <w:rPr>
                <w:rFonts w:eastAsia="Times New Roman"/>
              </w:rPr>
            </w:pPr>
            <w:r>
              <w:rPr>
                <w:rFonts w:ascii="Arial" w:eastAsia="Times New Roman" w:hAnsi="Arial" w:cs="Arial"/>
                <w:b/>
                <w:bCs/>
                <w:color w:val="000000"/>
                <w:sz w:val="20"/>
                <w:szCs w:val="20"/>
              </w:rPr>
              <w:t>Stockholders’ Equity</w:t>
            </w:r>
          </w:p>
        </w:tc>
        <w:tc>
          <w:tcPr>
            <w:tcW w:w="0" w:type="auto"/>
            <w:gridSpan w:val="3"/>
            <w:shd w:val="clear" w:color="auto" w:fill="DCE2EF"/>
            <w:tcMar>
              <w:top w:w="0" w:type="dxa"/>
              <w:left w:w="20" w:type="dxa"/>
              <w:bottom w:w="0" w:type="dxa"/>
              <w:right w:w="20" w:type="dxa"/>
            </w:tcMar>
            <w:vAlign w:val="center"/>
            <w:hideMark/>
          </w:tcPr>
          <w:p w14:paraId="093C4CA6"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55321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6FF953" w14:textId="77777777" w:rsidR="00000000" w:rsidRDefault="001D0688">
            <w:pPr>
              <w:rPr>
                <w:rFonts w:eastAsia="Times New Roman"/>
                <w:sz w:val="20"/>
                <w:szCs w:val="20"/>
              </w:rPr>
            </w:pPr>
          </w:p>
        </w:tc>
      </w:tr>
      <w:tr w:rsidR="00000000" w14:paraId="744B2C11"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1A4120CB" w14:textId="77777777" w:rsidR="00000000" w:rsidRDefault="001D0688">
            <w:pPr>
              <w:divId w:val="850994424"/>
              <w:rPr>
                <w:rFonts w:eastAsia="Times New Roman"/>
              </w:rPr>
            </w:pPr>
            <w:r>
              <w:rPr>
                <w:rFonts w:ascii="Arial" w:eastAsia="Times New Roman" w:hAnsi="Arial" w:cs="Arial"/>
                <w:color w:val="000000"/>
                <w:sz w:val="20"/>
                <w:szCs w:val="20"/>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14:paraId="4F93DD6B"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6A22B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2779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91C16E"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4B664F0" w14:textId="77777777" w:rsidR="00000000" w:rsidRDefault="001D0688">
            <w:pPr>
              <w:jc w:val="right"/>
              <w:rPr>
                <w:rFonts w:eastAsia="Times New Roman"/>
              </w:rPr>
            </w:pPr>
          </w:p>
        </w:tc>
      </w:tr>
      <w:tr w:rsidR="00000000" w14:paraId="7DAFE20E" w14:textId="77777777">
        <w:trPr>
          <w:divId w:val="1660621786"/>
          <w:jc w:val="center"/>
        </w:trPr>
        <w:tc>
          <w:tcPr>
            <w:tcW w:w="0" w:type="auto"/>
            <w:gridSpan w:val="3"/>
            <w:shd w:val="clear" w:color="auto" w:fill="DCE2EF"/>
            <w:tcMar>
              <w:top w:w="30" w:type="dxa"/>
              <w:left w:w="20" w:type="dxa"/>
              <w:bottom w:w="30" w:type="dxa"/>
              <w:right w:w="20" w:type="dxa"/>
            </w:tcMar>
            <w:vAlign w:val="bottom"/>
            <w:hideMark/>
          </w:tcPr>
          <w:p w14:paraId="02E68310" w14:textId="77777777" w:rsidR="00000000" w:rsidRDefault="001D0688">
            <w:pPr>
              <w:divId w:val="1381979029"/>
              <w:rPr>
                <w:rFonts w:eastAsia="Times New Roman"/>
              </w:rPr>
            </w:pPr>
            <w:r>
              <w:rPr>
                <w:rFonts w:ascii="Arial" w:eastAsia="Times New Roman" w:hAnsi="Arial" w:cs="Arial"/>
                <w:color w:val="000000"/>
                <w:sz w:val="20"/>
                <w:szCs w:val="20"/>
              </w:rPr>
              <w:t xml:space="preserve">Common stock, $0.01 par value; </w:t>
            </w:r>
            <w:r>
              <w:rPr>
                <w:rFonts w:ascii="Arial" w:eastAsia="Times New Roman" w:hAnsi="Arial" w:cs="Arial"/>
                <w:color w:val="000000"/>
                <w:sz w:val="20"/>
                <w:szCs w:val="20"/>
              </w:rPr>
              <w:t>100,000,000 shares authorized;</w:t>
            </w:r>
          </w:p>
          <w:p w14:paraId="603EAC17" w14:textId="77777777" w:rsidR="00000000" w:rsidRDefault="001D0688">
            <w:pPr>
              <w:divId w:val="284191491"/>
              <w:rPr>
                <w:rFonts w:eastAsia="Times New Roman"/>
              </w:rPr>
            </w:pPr>
            <w:r>
              <w:rPr>
                <w:rFonts w:ascii="Arial" w:eastAsia="Times New Roman" w:hAnsi="Arial" w:cs="Arial"/>
                <w:color w:val="000000"/>
                <w:sz w:val="20"/>
                <w:szCs w:val="20"/>
              </w:rPr>
              <w:t xml:space="preserve">    66,748,157 and 66,571,427 shares issued and outstanding at </w:t>
            </w:r>
          </w:p>
          <w:p w14:paraId="5F5CDFCC" w14:textId="77777777" w:rsidR="00000000" w:rsidRDefault="001D0688">
            <w:pPr>
              <w:divId w:val="1753047315"/>
              <w:rPr>
                <w:rFonts w:eastAsia="Times New Roman"/>
              </w:rPr>
            </w:pPr>
            <w:r>
              <w:rPr>
                <w:rFonts w:ascii="Arial" w:eastAsia="Times New Roman" w:hAnsi="Arial" w:cs="Arial"/>
                <w:color w:val="000000"/>
                <w:sz w:val="20"/>
                <w:szCs w:val="20"/>
              </w:rPr>
              <w:t>    October 31, 2020 and 2019, respectively</w:t>
            </w:r>
          </w:p>
        </w:tc>
        <w:tc>
          <w:tcPr>
            <w:tcW w:w="0" w:type="auto"/>
            <w:gridSpan w:val="2"/>
            <w:shd w:val="clear" w:color="auto" w:fill="DCE2EF"/>
            <w:tcMar>
              <w:top w:w="30" w:type="dxa"/>
              <w:left w:w="20" w:type="dxa"/>
              <w:bottom w:w="30" w:type="dxa"/>
              <w:right w:w="0" w:type="dxa"/>
            </w:tcMar>
            <w:vAlign w:val="bottom"/>
            <w:hideMark/>
          </w:tcPr>
          <w:p w14:paraId="0902861B"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14:paraId="40DF69F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F1E0E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4D0D00"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14:paraId="15F89D1B" w14:textId="77777777" w:rsidR="00000000" w:rsidRDefault="001D0688">
            <w:pPr>
              <w:jc w:val="right"/>
              <w:rPr>
                <w:rFonts w:eastAsia="Times New Roman"/>
              </w:rPr>
            </w:pPr>
          </w:p>
        </w:tc>
      </w:tr>
      <w:tr w:rsidR="00000000" w14:paraId="2B8705C2"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5F803DB4" w14:textId="77777777" w:rsidR="00000000" w:rsidRDefault="001D0688">
            <w:pPr>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55CBFDBA" w14:textId="77777777" w:rsidR="00000000" w:rsidRDefault="001D0688">
            <w:pPr>
              <w:jc w:val="right"/>
              <w:rPr>
                <w:rFonts w:eastAsia="Times New Roman"/>
              </w:rPr>
            </w:pPr>
            <w:r>
              <w:rPr>
                <w:rFonts w:ascii="Arial" w:eastAsia="Times New Roman" w:hAnsi="Arial" w:cs="Arial"/>
                <w:color w:val="000000"/>
                <w:sz w:val="20"/>
                <w:szCs w:val="20"/>
              </w:rPr>
              <w:t>724.1 </w:t>
            </w:r>
          </w:p>
        </w:tc>
        <w:tc>
          <w:tcPr>
            <w:tcW w:w="0" w:type="auto"/>
            <w:shd w:val="clear" w:color="auto" w:fill="FFFFFF"/>
            <w:tcMar>
              <w:top w:w="30" w:type="dxa"/>
              <w:left w:w="0" w:type="dxa"/>
              <w:bottom w:w="30" w:type="dxa"/>
              <w:right w:w="20" w:type="dxa"/>
            </w:tcMar>
            <w:vAlign w:val="bottom"/>
            <w:hideMark/>
          </w:tcPr>
          <w:p w14:paraId="0DD1B28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A6C0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E84CF" w14:textId="77777777" w:rsidR="00000000" w:rsidRDefault="001D0688">
            <w:pPr>
              <w:jc w:val="right"/>
              <w:rPr>
                <w:rFonts w:eastAsia="Times New Roman"/>
              </w:rPr>
            </w:pPr>
            <w:r>
              <w:rPr>
                <w:rFonts w:ascii="Arial" w:eastAsia="Times New Roman" w:hAnsi="Arial" w:cs="Arial"/>
                <w:color w:val="000000"/>
                <w:sz w:val="20"/>
                <w:szCs w:val="20"/>
              </w:rPr>
              <w:t>708.9 </w:t>
            </w:r>
          </w:p>
        </w:tc>
        <w:tc>
          <w:tcPr>
            <w:tcW w:w="0" w:type="auto"/>
            <w:shd w:val="clear" w:color="auto" w:fill="FFFFFF"/>
            <w:tcMar>
              <w:top w:w="30" w:type="dxa"/>
              <w:left w:w="0" w:type="dxa"/>
              <w:bottom w:w="30" w:type="dxa"/>
              <w:right w:w="20" w:type="dxa"/>
            </w:tcMar>
            <w:vAlign w:val="bottom"/>
            <w:hideMark/>
          </w:tcPr>
          <w:p w14:paraId="6FC9CB3E" w14:textId="77777777" w:rsidR="00000000" w:rsidRDefault="001D0688">
            <w:pPr>
              <w:jc w:val="right"/>
              <w:rPr>
                <w:rFonts w:eastAsia="Times New Roman"/>
              </w:rPr>
            </w:pPr>
          </w:p>
        </w:tc>
      </w:tr>
      <w:tr w:rsidR="00000000" w14:paraId="3830C1C9"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75F49D3E" w14:textId="77777777" w:rsidR="00000000" w:rsidRDefault="001D0688">
            <w:pPr>
              <w:rPr>
                <w:rFonts w:eastAsia="Times New Roman"/>
              </w:rPr>
            </w:pPr>
            <w:r>
              <w:rPr>
                <w:rFonts w:ascii="Arial" w:eastAsia="Times New Roman" w:hAnsi="Arial" w:cs="Arial"/>
                <w:color w:val="000000"/>
                <w:sz w:val="20"/>
                <w:szCs w:val="20"/>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14:paraId="44415573" w14:textId="77777777" w:rsidR="00000000" w:rsidRDefault="001D0688">
            <w:pPr>
              <w:jc w:val="right"/>
              <w:rPr>
                <w:rFonts w:eastAsia="Times New Roman"/>
              </w:rPr>
            </w:pPr>
            <w:r>
              <w:rPr>
                <w:rFonts w:ascii="Arial" w:eastAsia="Times New Roman" w:hAnsi="Arial" w:cs="Arial"/>
                <w:color w:val="000000"/>
                <w:sz w:val="20"/>
                <w:szCs w:val="20"/>
              </w:rPr>
              <w:t>(30.8)</w:t>
            </w:r>
          </w:p>
        </w:tc>
        <w:tc>
          <w:tcPr>
            <w:tcW w:w="0" w:type="auto"/>
            <w:shd w:val="clear" w:color="auto" w:fill="DCE2EF"/>
            <w:tcMar>
              <w:top w:w="30" w:type="dxa"/>
              <w:left w:w="0" w:type="dxa"/>
              <w:bottom w:w="30" w:type="dxa"/>
              <w:right w:w="20" w:type="dxa"/>
            </w:tcMar>
            <w:vAlign w:val="bottom"/>
            <w:hideMark/>
          </w:tcPr>
          <w:p w14:paraId="1977F5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0EDF2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79336AE" w14:textId="77777777" w:rsidR="00000000" w:rsidRDefault="001D0688">
            <w:pPr>
              <w:jc w:val="right"/>
              <w:rPr>
                <w:rFonts w:eastAsia="Times New Roman"/>
              </w:rPr>
            </w:pPr>
            <w:r>
              <w:rPr>
                <w:rFonts w:ascii="Arial" w:eastAsia="Times New Roman" w:hAnsi="Arial" w:cs="Arial"/>
                <w:color w:val="000000"/>
                <w:sz w:val="20"/>
                <w:szCs w:val="20"/>
              </w:rPr>
              <w:t>(23.9)</w:t>
            </w:r>
          </w:p>
        </w:tc>
        <w:tc>
          <w:tcPr>
            <w:tcW w:w="0" w:type="auto"/>
            <w:shd w:val="clear" w:color="auto" w:fill="DCE2EF"/>
            <w:tcMar>
              <w:top w:w="30" w:type="dxa"/>
              <w:left w:w="0" w:type="dxa"/>
              <w:bottom w:w="30" w:type="dxa"/>
              <w:right w:w="20" w:type="dxa"/>
            </w:tcMar>
            <w:vAlign w:val="bottom"/>
            <w:hideMark/>
          </w:tcPr>
          <w:p w14:paraId="05A57972" w14:textId="77777777" w:rsidR="00000000" w:rsidRDefault="001D0688">
            <w:pPr>
              <w:jc w:val="right"/>
              <w:rPr>
                <w:rFonts w:eastAsia="Times New Roman"/>
              </w:rPr>
            </w:pPr>
          </w:p>
        </w:tc>
      </w:tr>
      <w:tr w:rsidR="00000000" w14:paraId="35B83D1C" w14:textId="77777777">
        <w:trPr>
          <w:divId w:val="1660621786"/>
          <w:jc w:val="center"/>
        </w:trPr>
        <w:tc>
          <w:tcPr>
            <w:tcW w:w="0" w:type="auto"/>
            <w:gridSpan w:val="3"/>
            <w:shd w:val="clear" w:color="auto" w:fill="FFFFFF"/>
            <w:tcMar>
              <w:top w:w="30" w:type="dxa"/>
              <w:left w:w="380" w:type="dxa"/>
              <w:bottom w:w="30" w:type="dxa"/>
              <w:right w:w="20" w:type="dxa"/>
            </w:tcMar>
            <w:vAlign w:val="bottom"/>
            <w:hideMark/>
          </w:tcPr>
          <w:p w14:paraId="41871EC6" w14:textId="77777777" w:rsidR="00000000" w:rsidRDefault="001D0688">
            <w:pPr>
              <w:rPr>
                <w:rFonts w:eastAsia="Times New Roman"/>
              </w:rPr>
            </w:pPr>
            <w:r>
              <w:rPr>
                <w:rFonts w:ascii="Arial" w:eastAsia="Times New Roman" w:hAnsi="Arial" w:cs="Arial"/>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77B47B33" w14:textId="77777777" w:rsidR="00000000" w:rsidRDefault="001D0688">
            <w:pPr>
              <w:jc w:val="right"/>
              <w:rPr>
                <w:rFonts w:eastAsia="Times New Roman"/>
              </w:rPr>
            </w:pPr>
            <w:r>
              <w:rPr>
                <w:rFonts w:ascii="Arial" w:eastAsia="Times New Roman" w:hAnsi="Arial" w:cs="Arial"/>
                <w:color w:val="000000"/>
                <w:sz w:val="20"/>
                <w:szCs w:val="20"/>
              </w:rPr>
              <w:t>806.4 </w:t>
            </w:r>
          </w:p>
        </w:tc>
        <w:tc>
          <w:tcPr>
            <w:tcW w:w="0" w:type="auto"/>
            <w:shd w:val="clear" w:color="auto" w:fill="FFFFFF"/>
            <w:tcMar>
              <w:top w:w="30" w:type="dxa"/>
              <w:left w:w="0" w:type="dxa"/>
              <w:bottom w:w="30" w:type="dxa"/>
              <w:right w:w="20" w:type="dxa"/>
            </w:tcMar>
            <w:vAlign w:val="bottom"/>
            <w:hideMark/>
          </w:tcPr>
          <w:p w14:paraId="61E75B9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1D10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CC837" w14:textId="77777777" w:rsidR="00000000" w:rsidRDefault="001D0688">
            <w:pPr>
              <w:jc w:val="right"/>
              <w:rPr>
                <w:rFonts w:eastAsia="Times New Roman"/>
              </w:rPr>
            </w:pPr>
            <w:r>
              <w:rPr>
                <w:rFonts w:ascii="Arial" w:eastAsia="Times New Roman" w:hAnsi="Arial" w:cs="Arial"/>
                <w:color w:val="000000"/>
                <w:sz w:val="20"/>
                <w:szCs w:val="20"/>
              </w:rPr>
              <w:t>856.3 </w:t>
            </w:r>
          </w:p>
        </w:tc>
        <w:tc>
          <w:tcPr>
            <w:tcW w:w="0" w:type="auto"/>
            <w:shd w:val="clear" w:color="auto" w:fill="FFFFFF"/>
            <w:tcMar>
              <w:top w:w="30" w:type="dxa"/>
              <w:left w:w="0" w:type="dxa"/>
              <w:bottom w:w="30" w:type="dxa"/>
              <w:right w:w="20" w:type="dxa"/>
            </w:tcMar>
            <w:vAlign w:val="bottom"/>
            <w:hideMark/>
          </w:tcPr>
          <w:p w14:paraId="1A89DB8C" w14:textId="77777777" w:rsidR="00000000" w:rsidRDefault="001D0688">
            <w:pPr>
              <w:jc w:val="right"/>
              <w:rPr>
                <w:rFonts w:eastAsia="Times New Roman"/>
              </w:rPr>
            </w:pPr>
          </w:p>
        </w:tc>
      </w:tr>
      <w:tr w:rsidR="00000000" w14:paraId="3A104760" w14:textId="77777777">
        <w:trPr>
          <w:divId w:val="1660621786"/>
          <w:jc w:val="center"/>
        </w:trPr>
        <w:tc>
          <w:tcPr>
            <w:tcW w:w="0" w:type="auto"/>
            <w:gridSpan w:val="3"/>
            <w:shd w:val="clear" w:color="auto" w:fill="DCE2EF"/>
            <w:tcMar>
              <w:top w:w="30" w:type="dxa"/>
              <w:left w:w="380" w:type="dxa"/>
              <w:bottom w:w="30" w:type="dxa"/>
              <w:right w:w="20" w:type="dxa"/>
            </w:tcMar>
            <w:vAlign w:val="bottom"/>
            <w:hideMark/>
          </w:tcPr>
          <w:p w14:paraId="780D3E4D" w14:textId="77777777" w:rsidR="00000000" w:rsidRDefault="001D0688">
            <w:pPr>
              <w:rPr>
                <w:rFonts w:eastAsia="Times New Roman"/>
              </w:rPr>
            </w:pPr>
            <w:r>
              <w:rPr>
                <w:rFonts w:ascii="Arial" w:eastAsia="Times New Roman" w:hAnsi="Arial" w:cs="Arial"/>
                <w:color w:val="000000"/>
                <w:sz w:val="20"/>
                <w:szCs w:val="20"/>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F1BF5BA" w14:textId="77777777" w:rsidR="00000000" w:rsidRDefault="001D0688">
            <w:pPr>
              <w:jc w:val="right"/>
              <w:rPr>
                <w:rFonts w:eastAsia="Times New Roman"/>
              </w:rPr>
            </w:pPr>
            <w:r>
              <w:rPr>
                <w:rFonts w:ascii="Arial" w:eastAsia="Times New Roman" w:hAnsi="Arial" w:cs="Arial"/>
                <w:color w:val="000000"/>
                <w:sz w:val="20"/>
                <w:szCs w:val="20"/>
              </w:rPr>
              <w:t>1,500.3 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EAEADD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4F358A"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FC5F0AE" w14:textId="77777777" w:rsidR="00000000" w:rsidRDefault="001D0688">
            <w:pPr>
              <w:jc w:val="right"/>
              <w:rPr>
                <w:rFonts w:eastAsia="Times New Roman"/>
              </w:rPr>
            </w:pPr>
            <w:r>
              <w:rPr>
                <w:rFonts w:ascii="Arial" w:eastAsia="Times New Roman" w:hAnsi="Arial" w:cs="Arial"/>
                <w:color w:val="000000"/>
                <w:sz w:val="20"/>
                <w:szCs w:val="20"/>
              </w:rPr>
              <w:t>1,542.0 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7AF45AA" w14:textId="77777777" w:rsidR="00000000" w:rsidRDefault="001D0688">
            <w:pPr>
              <w:jc w:val="right"/>
              <w:rPr>
                <w:rFonts w:eastAsia="Times New Roman"/>
              </w:rPr>
            </w:pPr>
          </w:p>
        </w:tc>
      </w:tr>
      <w:tr w:rsidR="00000000" w14:paraId="7953C9F8" w14:textId="77777777">
        <w:trPr>
          <w:divId w:val="1660621786"/>
          <w:jc w:val="center"/>
        </w:trPr>
        <w:tc>
          <w:tcPr>
            <w:tcW w:w="0" w:type="auto"/>
            <w:gridSpan w:val="3"/>
            <w:shd w:val="clear" w:color="auto" w:fill="FFFFFF"/>
            <w:tcMar>
              <w:top w:w="30" w:type="dxa"/>
              <w:left w:w="20" w:type="dxa"/>
              <w:bottom w:w="30" w:type="dxa"/>
              <w:right w:w="20" w:type="dxa"/>
            </w:tcMar>
            <w:vAlign w:val="bottom"/>
            <w:hideMark/>
          </w:tcPr>
          <w:p w14:paraId="1D8F05B2" w14:textId="77777777" w:rsidR="00000000" w:rsidRDefault="001D0688">
            <w:pPr>
              <w:rPr>
                <w:rFonts w:eastAsia="Times New Roman"/>
              </w:rPr>
            </w:pPr>
            <w:r>
              <w:rPr>
                <w:rFonts w:ascii="Arial" w:eastAsia="Times New Roman" w:hAnsi="Arial" w:cs="Arial"/>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DA2CA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EF8B82" w14:textId="77777777" w:rsidR="00000000" w:rsidRDefault="001D0688">
            <w:pPr>
              <w:jc w:val="right"/>
              <w:rPr>
                <w:rFonts w:eastAsia="Times New Roman"/>
              </w:rPr>
            </w:pPr>
            <w:r>
              <w:rPr>
                <w:rFonts w:ascii="Arial" w:eastAsia="Times New Roman" w:hAnsi="Arial" w:cs="Arial"/>
                <w:color w:val="000000"/>
                <w:sz w:val="20"/>
                <w:szCs w:val="20"/>
              </w:rPr>
              <w:t>3,776.9 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C7E4B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D8524"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096EF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F234F3" w14:textId="77777777" w:rsidR="00000000" w:rsidRDefault="001D0688">
            <w:pPr>
              <w:jc w:val="right"/>
              <w:rPr>
                <w:rFonts w:eastAsia="Times New Roman"/>
              </w:rPr>
            </w:pPr>
            <w:r>
              <w:rPr>
                <w:rFonts w:ascii="Arial" w:eastAsia="Times New Roman" w:hAnsi="Arial" w:cs="Arial"/>
                <w:color w:val="000000"/>
                <w:sz w:val="20"/>
                <w:szCs w:val="20"/>
              </w:rPr>
              <w:t>3,692.6 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E60B7F" w14:textId="77777777" w:rsidR="00000000" w:rsidRDefault="001D0688">
            <w:pPr>
              <w:jc w:val="right"/>
              <w:rPr>
                <w:rFonts w:eastAsia="Times New Roman"/>
              </w:rPr>
            </w:pPr>
          </w:p>
        </w:tc>
      </w:tr>
    </w:tbl>
    <w:p w14:paraId="1E783033" w14:textId="77777777" w:rsidR="00000000" w:rsidRDefault="001D0688">
      <w:pPr>
        <w:jc w:val="center"/>
        <w:divId w:val="336156936"/>
        <w:rPr>
          <w:rFonts w:eastAsia="Times New Roman"/>
        </w:rPr>
      </w:pPr>
      <w:r>
        <w:rPr>
          <w:rFonts w:ascii="Arial" w:eastAsia="Times New Roman" w:hAnsi="Arial" w:cs="Arial"/>
          <w:color w:val="000000"/>
          <w:sz w:val="20"/>
          <w:szCs w:val="20"/>
        </w:rPr>
        <w:t>See accompanying notes to consolidated financial statements.</w:t>
      </w:r>
    </w:p>
    <w:p w14:paraId="03DDC6CF" w14:textId="77777777" w:rsidR="00000000" w:rsidRDefault="001D0688">
      <w:pPr>
        <w:jc w:val="center"/>
        <w:divId w:val="724762732"/>
        <w:rPr>
          <w:rFonts w:eastAsia="Times New Roman"/>
        </w:rPr>
      </w:pPr>
      <w:r>
        <w:rPr>
          <w:rFonts w:ascii="Arial" w:eastAsia="Times New Roman" w:hAnsi="Arial" w:cs="Arial"/>
          <w:color w:val="000000"/>
          <w:sz w:val="20"/>
          <w:szCs w:val="20"/>
        </w:rPr>
        <w:t>50</w:t>
      </w:r>
    </w:p>
    <w:p w14:paraId="6E20A21A" w14:textId="77777777" w:rsidR="00000000" w:rsidRDefault="001D0688">
      <w:pPr>
        <w:rPr>
          <w:rFonts w:eastAsia="Times New Roman"/>
        </w:rPr>
      </w:pPr>
      <w:r>
        <w:rPr>
          <w:rFonts w:eastAsia="Times New Roman"/>
        </w:rPr>
        <w:pict w14:anchorId="7D145A3B">
          <v:rect id="_x0000_i1086" style="width:0;height:1.5pt" o:hralign="center" o:hrstd="t" o:hr="t" fillcolor="#a0a0a0" stroked="f"/>
        </w:pict>
      </w:r>
    </w:p>
    <w:p w14:paraId="74F7B468" w14:textId="77777777" w:rsidR="00000000" w:rsidRDefault="001D0688">
      <w:pPr>
        <w:divId w:val="92210620"/>
        <w:rPr>
          <w:rFonts w:eastAsia="Times New Roman"/>
        </w:rPr>
      </w:pPr>
    </w:p>
    <w:p w14:paraId="5DD0E873" w14:textId="77777777" w:rsidR="00000000" w:rsidRDefault="001D0688">
      <w:pPr>
        <w:jc w:val="center"/>
        <w:divId w:val="893808056"/>
        <w:rPr>
          <w:rFonts w:eastAsia="Times New Roman"/>
        </w:rPr>
      </w:pPr>
      <w:r>
        <w:rPr>
          <w:rFonts w:ascii="Arial" w:eastAsia="Times New Roman" w:hAnsi="Arial" w:cs="Arial"/>
          <w:b/>
          <w:bCs/>
          <w:color w:val="0046AD"/>
          <w:sz w:val="20"/>
          <w:szCs w:val="20"/>
        </w:rPr>
        <w:t>ABM INDUSTRIES INCORPORATED AND SUBSIDIARIES</w:t>
      </w:r>
    </w:p>
    <w:p w14:paraId="3272688F" w14:textId="77777777" w:rsidR="00000000" w:rsidRDefault="001D0688">
      <w:pPr>
        <w:jc w:val="center"/>
        <w:divId w:val="1552770781"/>
        <w:rPr>
          <w:rFonts w:eastAsia="Times New Roman"/>
        </w:rPr>
      </w:pPr>
      <w:r>
        <w:rPr>
          <w:rFonts w:ascii="Arial" w:eastAsia="Times New Roman" w:hAnsi="Arial" w:cs="Arial"/>
          <w:b/>
          <w:bCs/>
          <w:color w:val="0046AD"/>
          <w:sz w:val="20"/>
          <w:szCs w:val="20"/>
        </w:rPr>
        <w:t>CONSOLIDATED STATEMENTS OF COMPREHENSIVE (LOSS) INCOME</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656"/>
        <w:gridCol w:w="40"/>
        <w:gridCol w:w="132"/>
        <w:gridCol w:w="972"/>
        <w:gridCol w:w="36"/>
        <w:gridCol w:w="36"/>
        <w:gridCol w:w="36"/>
        <w:gridCol w:w="36"/>
        <w:gridCol w:w="132"/>
        <w:gridCol w:w="926"/>
        <w:gridCol w:w="36"/>
        <w:gridCol w:w="36"/>
        <w:gridCol w:w="36"/>
        <w:gridCol w:w="36"/>
        <w:gridCol w:w="132"/>
        <w:gridCol w:w="926"/>
        <w:gridCol w:w="36"/>
      </w:tblGrid>
      <w:tr w:rsidR="00000000" w14:paraId="5D55C204" w14:textId="77777777">
        <w:trPr>
          <w:divId w:val="1552351897"/>
          <w:jc w:val="center"/>
        </w:trPr>
        <w:tc>
          <w:tcPr>
            <w:tcW w:w="50" w:type="pct"/>
            <w:vAlign w:val="center"/>
            <w:hideMark/>
          </w:tcPr>
          <w:p w14:paraId="6A21F530" w14:textId="77777777" w:rsidR="00000000" w:rsidRDefault="001D0688">
            <w:pPr>
              <w:jc w:val="center"/>
              <w:rPr>
                <w:rFonts w:eastAsia="Times New Roman"/>
              </w:rPr>
            </w:pPr>
          </w:p>
        </w:tc>
        <w:tc>
          <w:tcPr>
            <w:tcW w:w="2848" w:type="pct"/>
            <w:vAlign w:val="center"/>
            <w:hideMark/>
          </w:tcPr>
          <w:p w14:paraId="33C817F7" w14:textId="77777777" w:rsidR="00000000" w:rsidRDefault="001D0688">
            <w:pPr>
              <w:rPr>
                <w:rFonts w:eastAsia="Times New Roman"/>
                <w:sz w:val="20"/>
                <w:szCs w:val="20"/>
              </w:rPr>
            </w:pPr>
          </w:p>
        </w:tc>
        <w:tc>
          <w:tcPr>
            <w:tcW w:w="5" w:type="pct"/>
            <w:vAlign w:val="center"/>
            <w:hideMark/>
          </w:tcPr>
          <w:p w14:paraId="1E4C3D4B" w14:textId="77777777" w:rsidR="00000000" w:rsidRDefault="001D0688">
            <w:pPr>
              <w:rPr>
                <w:rFonts w:eastAsia="Times New Roman"/>
                <w:sz w:val="20"/>
                <w:szCs w:val="20"/>
              </w:rPr>
            </w:pPr>
          </w:p>
        </w:tc>
        <w:tc>
          <w:tcPr>
            <w:tcW w:w="50" w:type="pct"/>
            <w:vAlign w:val="center"/>
            <w:hideMark/>
          </w:tcPr>
          <w:p w14:paraId="6DD82290" w14:textId="77777777" w:rsidR="00000000" w:rsidRDefault="001D0688">
            <w:pPr>
              <w:rPr>
                <w:rFonts w:eastAsia="Times New Roman"/>
                <w:sz w:val="20"/>
                <w:szCs w:val="20"/>
              </w:rPr>
            </w:pPr>
          </w:p>
        </w:tc>
        <w:tc>
          <w:tcPr>
            <w:tcW w:w="619" w:type="pct"/>
            <w:vAlign w:val="center"/>
            <w:hideMark/>
          </w:tcPr>
          <w:p w14:paraId="17B2D09F" w14:textId="77777777" w:rsidR="00000000" w:rsidRDefault="001D0688">
            <w:pPr>
              <w:rPr>
                <w:rFonts w:eastAsia="Times New Roman"/>
                <w:sz w:val="20"/>
                <w:szCs w:val="20"/>
              </w:rPr>
            </w:pPr>
          </w:p>
        </w:tc>
        <w:tc>
          <w:tcPr>
            <w:tcW w:w="5" w:type="pct"/>
            <w:vAlign w:val="center"/>
            <w:hideMark/>
          </w:tcPr>
          <w:p w14:paraId="41FA233A" w14:textId="77777777" w:rsidR="00000000" w:rsidRDefault="001D0688">
            <w:pPr>
              <w:rPr>
                <w:rFonts w:eastAsia="Times New Roman"/>
                <w:sz w:val="20"/>
                <w:szCs w:val="20"/>
              </w:rPr>
            </w:pPr>
          </w:p>
        </w:tc>
        <w:tc>
          <w:tcPr>
            <w:tcW w:w="5" w:type="pct"/>
            <w:vAlign w:val="center"/>
            <w:hideMark/>
          </w:tcPr>
          <w:p w14:paraId="34263C24" w14:textId="77777777" w:rsidR="00000000" w:rsidRDefault="001D0688">
            <w:pPr>
              <w:rPr>
                <w:rFonts w:eastAsia="Times New Roman"/>
                <w:sz w:val="20"/>
                <w:szCs w:val="20"/>
              </w:rPr>
            </w:pPr>
          </w:p>
        </w:tc>
        <w:tc>
          <w:tcPr>
            <w:tcW w:w="26" w:type="pct"/>
            <w:vAlign w:val="center"/>
            <w:hideMark/>
          </w:tcPr>
          <w:p w14:paraId="39DE0346" w14:textId="77777777" w:rsidR="00000000" w:rsidRDefault="001D0688">
            <w:pPr>
              <w:rPr>
                <w:rFonts w:eastAsia="Times New Roman"/>
                <w:sz w:val="20"/>
                <w:szCs w:val="20"/>
              </w:rPr>
            </w:pPr>
          </w:p>
        </w:tc>
        <w:tc>
          <w:tcPr>
            <w:tcW w:w="5" w:type="pct"/>
            <w:vAlign w:val="center"/>
            <w:hideMark/>
          </w:tcPr>
          <w:p w14:paraId="1530783D" w14:textId="77777777" w:rsidR="00000000" w:rsidRDefault="001D0688">
            <w:pPr>
              <w:rPr>
                <w:rFonts w:eastAsia="Times New Roman"/>
                <w:sz w:val="20"/>
                <w:szCs w:val="20"/>
              </w:rPr>
            </w:pPr>
          </w:p>
        </w:tc>
        <w:tc>
          <w:tcPr>
            <w:tcW w:w="50" w:type="pct"/>
            <w:vAlign w:val="center"/>
            <w:hideMark/>
          </w:tcPr>
          <w:p w14:paraId="7F816D89" w14:textId="77777777" w:rsidR="00000000" w:rsidRDefault="001D0688">
            <w:pPr>
              <w:rPr>
                <w:rFonts w:eastAsia="Times New Roman"/>
                <w:sz w:val="20"/>
                <w:szCs w:val="20"/>
              </w:rPr>
            </w:pPr>
          </w:p>
        </w:tc>
        <w:tc>
          <w:tcPr>
            <w:tcW w:w="619" w:type="pct"/>
            <w:vAlign w:val="center"/>
            <w:hideMark/>
          </w:tcPr>
          <w:p w14:paraId="23541583" w14:textId="77777777" w:rsidR="00000000" w:rsidRDefault="001D0688">
            <w:pPr>
              <w:rPr>
                <w:rFonts w:eastAsia="Times New Roman"/>
                <w:sz w:val="20"/>
                <w:szCs w:val="20"/>
              </w:rPr>
            </w:pPr>
          </w:p>
        </w:tc>
        <w:tc>
          <w:tcPr>
            <w:tcW w:w="5" w:type="pct"/>
            <w:vAlign w:val="center"/>
            <w:hideMark/>
          </w:tcPr>
          <w:p w14:paraId="6BC9F610" w14:textId="77777777" w:rsidR="00000000" w:rsidRDefault="001D0688">
            <w:pPr>
              <w:rPr>
                <w:rFonts w:eastAsia="Times New Roman"/>
                <w:sz w:val="20"/>
                <w:szCs w:val="20"/>
              </w:rPr>
            </w:pPr>
          </w:p>
        </w:tc>
        <w:tc>
          <w:tcPr>
            <w:tcW w:w="5" w:type="pct"/>
            <w:vAlign w:val="center"/>
            <w:hideMark/>
          </w:tcPr>
          <w:p w14:paraId="3DF1BBD9" w14:textId="77777777" w:rsidR="00000000" w:rsidRDefault="001D0688">
            <w:pPr>
              <w:rPr>
                <w:rFonts w:eastAsia="Times New Roman"/>
                <w:sz w:val="20"/>
                <w:szCs w:val="20"/>
              </w:rPr>
            </w:pPr>
          </w:p>
        </w:tc>
        <w:tc>
          <w:tcPr>
            <w:tcW w:w="26" w:type="pct"/>
            <w:vAlign w:val="center"/>
            <w:hideMark/>
          </w:tcPr>
          <w:p w14:paraId="7DC04D5E" w14:textId="77777777" w:rsidR="00000000" w:rsidRDefault="001D0688">
            <w:pPr>
              <w:rPr>
                <w:rFonts w:eastAsia="Times New Roman"/>
                <w:sz w:val="20"/>
                <w:szCs w:val="20"/>
              </w:rPr>
            </w:pPr>
          </w:p>
        </w:tc>
        <w:tc>
          <w:tcPr>
            <w:tcW w:w="5" w:type="pct"/>
            <w:vAlign w:val="center"/>
            <w:hideMark/>
          </w:tcPr>
          <w:p w14:paraId="556511AC" w14:textId="77777777" w:rsidR="00000000" w:rsidRDefault="001D0688">
            <w:pPr>
              <w:rPr>
                <w:rFonts w:eastAsia="Times New Roman"/>
                <w:sz w:val="20"/>
                <w:szCs w:val="20"/>
              </w:rPr>
            </w:pPr>
          </w:p>
        </w:tc>
        <w:tc>
          <w:tcPr>
            <w:tcW w:w="50" w:type="pct"/>
            <w:vAlign w:val="center"/>
            <w:hideMark/>
          </w:tcPr>
          <w:p w14:paraId="2163DD83" w14:textId="77777777" w:rsidR="00000000" w:rsidRDefault="001D0688">
            <w:pPr>
              <w:rPr>
                <w:rFonts w:eastAsia="Times New Roman"/>
                <w:sz w:val="20"/>
                <w:szCs w:val="20"/>
              </w:rPr>
            </w:pPr>
          </w:p>
        </w:tc>
        <w:tc>
          <w:tcPr>
            <w:tcW w:w="619" w:type="pct"/>
            <w:vAlign w:val="center"/>
            <w:hideMark/>
          </w:tcPr>
          <w:p w14:paraId="0F359EE5" w14:textId="77777777" w:rsidR="00000000" w:rsidRDefault="001D0688">
            <w:pPr>
              <w:rPr>
                <w:rFonts w:eastAsia="Times New Roman"/>
                <w:sz w:val="20"/>
                <w:szCs w:val="20"/>
              </w:rPr>
            </w:pPr>
          </w:p>
        </w:tc>
        <w:tc>
          <w:tcPr>
            <w:tcW w:w="5" w:type="pct"/>
            <w:vAlign w:val="center"/>
            <w:hideMark/>
          </w:tcPr>
          <w:p w14:paraId="171D626E" w14:textId="77777777" w:rsidR="00000000" w:rsidRDefault="001D0688">
            <w:pPr>
              <w:rPr>
                <w:rFonts w:eastAsia="Times New Roman"/>
                <w:sz w:val="20"/>
                <w:szCs w:val="20"/>
              </w:rPr>
            </w:pPr>
          </w:p>
        </w:tc>
      </w:tr>
      <w:tr w:rsidR="00000000" w14:paraId="2F06A6B7" w14:textId="77777777">
        <w:trPr>
          <w:divId w:val="1552351897"/>
          <w:jc w:val="center"/>
        </w:trPr>
        <w:tc>
          <w:tcPr>
            <w:tcW w:w="0" w:type="auto"/>
            <w:gridSpan w:val="3"/>
            <w:tcMar>
              <w:top w:w="0" w:type="dxa"/>
              <w:left w:w="20" w:type="dxa"/>
              <w:bottom w:w="0" w:type="dxa"/>
              <w:right w:w="20" w:type="dxa"/>
            </w:tcMar>
            <w:vAlign w:val="center"/>
            <w:hideMark/>
          </w:tcPr>
          <w:p w14:paraId="3E010C2A"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493C72A3"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14ACCE2B" w14:textId="77777777">
        <w:trPr>
          <w:divId w:val="1552351897"/>
          <w:jc w:val="center"/>
        </w:trPr>
        <w:tc>
          <w:tcPr>
            <w:tcW w:w="0" w:type="auto"/>
            <w:gridSpan w:val="3"/>
            <w:tcMar>
              <w:top w:w="30" w:type="dxa"/>
              <w:left w:w="20" w:type="dxa"/>
              <w:bottom w:w="30" w:type="dxa"/>
              <w:right w:w="20" w:type="dxa"/>
            </w:tcMar>
            <w:vAlign w:val="bottom"/>
            <w:hideMark/>
          </w:tcPr>
          <w:p w14:paraId="2D36899B"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2049D1F5"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4B0864E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136435"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2EF815E1"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6C1D4B"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7C373520"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446E0E47" w14:textId="77777777" w:rsidR="00000000" w:rsidRDefault="001D0688">
            <w:pPr>
              <w:rPr>
                <w:rFonts w:eastAsia="Times New Roman"/>
              </w:rPr>
            </w:pPr>
            <w:r>
              <w:rPr>
                <w:rFonts w:ascii="Arial" w:eastAsia="Times New Roman" w:hAnsi="Arial" w:cs="Arial"/>
                <w:b/>
                <w:bCs/>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D269EA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DA10C83" w14:textId="77777777" w:rsidR="00000000" w:rsidRDefault="001D0688">
            <w:pPr>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669DF0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9CBB9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5D4AF3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52053B" w14:textId="77777777" w:rsidR="00000000" w:rsidRDefault="001D0688">
            <w:pPr>
              <w:jc w:val="right"/>
              <w:rPr>
                <w:rFonts w:eastAsia="Times New Roman"/>
              </w:rPr>
            </w:pPr>
            <w:r>
              <w:rPr>
                <w:rFonts w:ascii="Arial" w:eastAsia="Times New Roman" w:hAnsi="Arial" w:cs="Arial"/>
                <w:color w:val="000000"/>
                <w:sz w:val="20"/>
                <w:szCs w:val="20"/>
              </w:rPr>
              <w:t>6,498.6 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9F69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A9936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E88419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4904CF" w14:textId="77777777" w:rsidR="00000000" w:rsidRDefault="001D0688">
            <w:pPr>
              <w:jc w:val="right"/>
              <w:rPr>
                <w:rFonts w:eastAsia="Times New Roman"/>
              </w:rPr>
            </w:pPr>
            <w:r>
              <w:rPr>
                <w:rFonts w:ascii="Arial" w:eastAsia="Times New Roman" w:hAnsi="Arial" w:cs="Arial"/>
                <w:color w:val="000000"/>
                <w:sz w:val="20"/>
                <w:szCs w:val="20"/>
              </w:rPr>
              <w:t>6,442.2 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84A7A01" w14:textId="77777777" w:rsidR="00000000" w:rsidRDefault="001D0688">
            <w:pPr>
              <w:jc w:val="right"/>
              <w:rPr>
                <w:rFonts w:eastAsia="Times New Roman"/>
              </w:rPr>
            </w:pPr>
          </w:p>
        </w:tc>
      </w:tr>
      <w:tr w:rsidR="00000000" w14:paraId="5A46B09A"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6CFE18BD" w14:textId="77777777" w:rsidR="00000000" w:rsidRDefault="001D0688">
            <w:pPr>
              <w:rPr>
                <w:rFonts w:eastAsia="Times New Roman"/>
              </w:rPr>
            </w:pPr>
            <w:r>
              <w:rPr>
                <w:rFonts w:ascii="Arial" w:eastAsia="Times New Roman" w:hAnsi="Arial" w:cs="Arial"/>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14:paraId="6B07FE46" w14:textId="77777777" w:rsidR="00000000" w:rsidRDefault="001D0688">
            <w:pPr>
              <w:jc w:val="right"/>
              <w:rPr>
                <w:rFonts w:eastAsia="Times New Roman"/>
              </w:rPr>
            </w:pPr>
            <w:r>
              <w:rPr>
                <w:rFonts w:ascii="Arial" w:eastAsia="Times New Roman" w:hAnsi="Arial" w:cs="Arial"/>
                <w:color w:val="000000"/>
                <w:sz w:val="20"/>
                <w:szCs w:val="20"/>
              </w:rPr>
              <w:t>5,157.0 </w:t>
            </w:r>
          </w:p>
        </w:tc>
        <w:tc>
          <w:tcPr>
            <w:tcW w:w="0" w:type="auto"/>
            <w:shd w:val="clear" w:color="auto" w:fill="FFFFFF"/>
            <w:tcMar>
              <w:top w:w="30" w:type="dxa"/>
              <w:left w:w="0" w:type="dxa"/>
              <w:bottom w:w="30" w:type="dxa"/>
              <w:right w:w="20" w:type="dxa"/>
            </w:tcMar>
            <w:vAlign w:val="bottom"/>
            <w:hideMark/>
          </w:tcPr>
          <w:p w14:paraId="2CB2A7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A9FB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2DC19D" w14:textId="77777777" w:rsidR="00000000" w:rsidRDefault="001D0688">
            <w:pPr>
              <w:jc w:val="right"/>
              <w:rPr>
                <w:rFonts w:eastAsia="Times New Roman"/>
              </w:rPr>
            </w:pPr>
            <w:r>
              <w:rPr>
                <w:rFonts w:ascii="Arial" w:eastAsia="Times New Roman" w:hAnsi="Arial" w:cs="Arial"/>
                <w:color w:val="000000"/>
                <w:sz w:val="20"/>
                <w:szCs w:val="20"/>
              </w:rPr>
              <w:t>5,767.5 </w:t>
            </w:r>
          </w:p>
        </w:tc>
        <w:tc>
          <w:tcPr>
            <w:tcW w:w="0" w:type="auto"/>
            <w:shd w:val="clear" w:color="auto" w:fill="FFFFFF"/>
            <w:tcMar>
              <w:top w:w="30" w:type="dxa"/>
              <w:left w:w="0" w:type="dxa"/>
              <w:bottom w:w="30" w:type="dxa"/>
              <w:right w:w="20" w:type="dxa"/>
            </w:tcMar>
            <w:vAlign w:val="bottom"/>
            <w:hideMark/>
          </w:tcPr>
          <w:p w14:paraId="58697C3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F8EE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9A827" w14:textId="77777777" w:rsidR="00000000" w:rsidRDefault="001D0688">
            <w:pPr>
              <w:jc w:val="right"/>
              <w:rPr>
                <w:rFonts w:eastAsia="Times New Roman"/>
              </w:rPr>
            </w:pPr>
            <w:r>
              <w:rPr>
                <w:rFonts w:ascii="Arial" w:eastAsia="Times New Roman" w:hAnsi="Arial" w:cs="Arial"/>
                <w:color w:val="000000"/>
                <w:sz w:val="20"/>
                <w:szCs w:val="20"/>
              </w:rPr>
              <w:t>5,747.4 </w:t>
            </w:r>
          </w:p>
        </w:tc>
        <w:tc>
          <w:tcPr>
            <w:tcW w:w="0" w:type="auto"/>
            <w:shd w:val="clear" w:color="auto" w:fill="FFFFFF"/>
            <w:tcMar>
              <w:top w:w="30" w:type="dxa"/>
              <w:left w:w="0" w:type="dxa"/>
              <w:bottom w:w="30" w:type="dxa"/>
              <w:right w:w="20" w:type="dxa"/>
            </w:tcMar>
            <w:vAlign w:val="bottom"/>
            <w:hideMark/>
          </w:tcPr>
          <w:p w14:paraId="71A4CC83" w14:textId="77777777" w:rsidR="00000000" w:rsidRDefault="001D0688">
            <w:pPr>
              <w:jc w:val="right"/>
              <w:rPr>
                <w:rFonts w:eastAsia="Times New Roman"/>
              </w:rPr>
            </w:pPr>
          </w:p>
        </w:tc>
      </w:tr>
      <w:tr w:rsidR="00000000" w14:paraId="762BD962"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64F1FD41" w14:textId="77777777" w:rsidR="00000000" w:rsidRDefault="001D0688">
            <w:pPr>
              <w:rPr>
                <w:rFonts w:eastAsia="Times New Roman"/>
              </w:rPr>
            </w:pPr>
            <w:r>
              <w:rPr>
                <w:rFonts w:ascii="Arial" w:eastAsia="Times New Roman" w:hAnsi="Arial" w:cs="Arial"/>
                <w:color w:val="000000"/>
                <w:sz w:val="20"/>
                <w:szCs w:val="20"/>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14:paraId="328D8360" w14:textId="77777777" w:rsidR="00000000" w:rsidRDefault="001D0688">
            <w:pPr>
              <w:jc w:val="right"/>
              <w:rPr>
                <w:rFonts w:eastAsia="Times New Roman"/>
              </w:rPr>
            </w:pPr>
            <w:r>
              <w:rPr>
                <w:rFonts w:ascii="Arial" w:eastAsia="Times New Roman" w:hAnsi="Arial" w:cs="Arial"/>
                <w:color w:val="000000"/>
                <w:sz w:val="20"/>
                <w:szCs w:val="20"/>
              </w:rPr>
              <w:t>506.1 </w:t>
            </w:r>
          </w:p>
        </w:tc>
        <w:tc>
          <w:tcPr>
            <w:tcW w:w="0" w:type="auto"/>
            <w:shd w:val="clear" w:color="auto" w:fill="DCE2EF"/>
            <w:tcMar>
              <w:top w:w="30" w:type="dxa"/>
              <w:left w:w="0" w:type="dxa"/>
              <w:bottom w:w="30" w:type="dxa"/>
              <w:right w:w="20" w:type="dxa"/>
            </w:tcMar>
            <w:vAlign w:val="bottom"/>
            <w:hideMark/>
          </w:tcPr>
          <w:p w14:paraId="79F5CEC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0A2DB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8795C6" w14:textId="77777777" w:rsidR="00000000" w:rsidRDefault="001D0688">
            <w:pPr>
              <w:jc w:val="right"/>
              <w:rPr>
                <w:rFonts w:eastAsia="Times New Roman"/>
              </w:rPr>
            </w:pPr>
            <w:r>
              <w:rPr>
                <w:rFonts w:ascii="Arial" w:eastAsia="Times New Roman" w:hAnsi="Arial" w:cs="Arial"/>
                <w:color w:val="000000"/>
                <w:sz w:val="20"/>
                <w:szCs w:val="20"/>
              </w:rPr>
              <w:t>452.9 </w:t>
            </w:r>
          </w:p>
        </w:tc>
        <w:tc>
          <w:tcPr>
            <w:tcW w:w="0" w:type="auto"/>
            <w:shd w:val="clear" w:color="auto" w:fill="DCE2EF"/>
            <w:tcMar>
              <w:top w:w="30" w:type="dxa"/>
              <w:left w:w="0" w:type="dxa"/>
              <w:bottom w:w="30" w:type="dxa"/>
              <w:right w:w="20" w:type="dxa"/>
            </w:tcMar>
            <w:vAlign w:val="bottom"/>
            <w:hideMark/>
          </w:tcPr>
          <w:p w14:paraId="7F89A8C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1D41B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7019AD" w14:textId="77777777" w:rsidR="00000000" w:rsidRDefault="001D0688">
            <w:pPr>
              <w:jc w:val="right"/>
              <w:rPr>
                <w:rFonts w:eastAsia="Times New Roman"/>
              </w:rPr>
            </w:pPr>
            <w:r>
              <w:rPr>
                <w:rFonts w:ascii="Arial" w:eastAsia="Times New Roman" w:hAnsi="Arial" w:cs="Arial"/>
                <w:color w:val="000000"/>
                <w:sz w:val="20"/>
                <w:szCs w:val="20"/>
              </w:rPr>
              <w:t>438.0 </w:t>
            </w:r>
          </w:p>
        </w:tc>
        <w:tc>
          <w:tcPr>
            <w:tcW w:w="0" w:type="auto"/>
            <w:shd w:val="clear" w:color="auto" w:fill="DCE2EF"/>
            <w:tcMar>
              <w:top w:w="30" w:type="dxa"/>
              <w:left w:w="0" w:type="dxa"/>
              <w:bottom w:w="30" w:type="dxa"/>
              <w:right w:w="20" w:type="dxa"/>
            </w:tcMar>
            <w:vAlign w:val="bottom"/>
            <w:hideMark/>
          </w:tcPr>
          <w:p w14:paraId="6795BACB" w14:textId="77777777" w:rsidR="00000000" w:rsidRDefault="001D0688">
            <w:pPr>
              <w:jc w:val="right"/>
              <w:rPr>
                <w:rFonts w:eastAsia="Times New Roman"/>
              </w:rPr>
            </w:pPr>
          </w:p>
        </w:tc>
      </w:tr>
      <w:tr w:rsidR="00000000" w14:paraId="60DC8C0B"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0B3F6F87" w14:textId="77777777" w:rsidR="00000000" w:rsidRDefault="001D0688">
            <w:pPr>
              <w:rPr>
                <w:rFonts w:eastAsia="Times New Roman"/>
              </w:rPr>
            </w:pPr>
            <w:r>
              <w:rPr>
                <w:rFonts w:ascii="Arial" w:eastAsia="Times New Roman" w:hAnsi="Arial" w:cs="Arial"/>
                <w:color w:val="000000"/>
                <w:sz w:val="20"/>
                <w:szCs w:val="20"/>
              </w:rPr>
              <w:t>Restructuring and related expenses</w:t>
            </w:r>
          </w:p>
        </w:tc>
        <w:tc>
          <w:tcPr>
            <w:tcW w:w="0" w:type="auto"/>
            <w:gridSpan w:val="2"/>
            <w:shd w:val="clear" w:color="auto" w:fill="FFFFFF"/>
            <w:tcMar>
              <w:top w:w="30" w:type="dxa"/>
              <w:left w:w="20" w:type="dxa"/>
              <w:bottom w:w="30" w:type="dxa"/>
              <w:right w:w="0" w:type="dxa"/>
            </w:tcMar>
            <w:vAlign w:val="bottom"/>
            <w:hideMark/>
          </w:tcPr>
          <w:p w14:paraId="1BA64950" w14:textId="77777777" w:rsidR="00000000" w:rsidRDefault="001D0688">
            <w:pPr>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14:paraId="55574F8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9333E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C0049" w14:textId="77777777" w:rsidR="00000000" w:rsidRDefault="001D0688">
            <w:pPr>
              <w:jc w:val="right"/>
              <w:rPr>
                <w:rFonts w:eastAsia="Times New Roman"/>
              </w:rPr>
            </w:pPr>
            <w:r>
              <w:rPr>
                <w:rFonts w:ascii="Arial" w:eastAsia="Times New Roman" w:hAnsi="Arial" w:cs="Arial"/>
                <w:color w:val="000000"/>
                <w:sz w:val="20"/>
                <w:szCs w:val="20"/>
              </w:rPr>
              <w:t>11.2 </w:t>
            </w:r>
          </w:p>
        </w:tc>
        <w:tc>
          <w:tcPr>
            <w:tcW w:w="0" w:type="auto"/>
            <w:shd w:val="clear" w:color="auto" w:fill="FFFFFF"/>
            <w:tcMar>
              <w:top w:w="30" w:type="dxa"/>
              <w:left w:w="0" w:type="dxa"/>
              <w:bottom w:w="30" w:type="dxa"/>
              <w:right w:w="20" w:type="dxa"/>
            </w:tcMar>
            <w:vAlign w:val="bottom"/>
            <w:hideMark/>
          </w:tcPr>
          <w:p w14:paraId="33E3CDA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5776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28E4B" w14:textId="77777777" w:rsidR="00000000" w:rsidRDefault="001D0688">
            <w:pPr>
              <w:jc w:val="right"/>
              <w:rPr>
                <w:rFonts w:eastAsia="Times New Roman"/>
              </w:rPr>
            </w:pPr>
            <w:r>
              <w:rPr>
                <w:rFonts w:ascii="Arial" w:eastAsia="Times New Roman" w:hAnsi="Arial" w:cs="Arial"/>
                <w:color w:val="000000"/>
                <w:sz w:val="20"/>
                <w:szCs w:val="20"/>
              </w:rPr>
              <w:t>25.7 </w:t>
            </w:r>
          </w:p>
        </w:tc>
        <w:tc>
          <w:tcPr>
            <w:tcW w:w="0" w:type="auto"/>
            <w:shd w:val="clear" w:color="auto" w:fill="FFFFFF"/>
            <w:tcMar>
              <w:top w:w="30" w:type="dxa"/>
              <w:left w:w="0" w:type="dxa"/>
              <w:bottom w:w="30" w:type="dxa"/>
              <w:right w:w="20" w:type="dxa"/>
            </w:tcMar>
            <w:vAlign w:val="bottom"/>
            <w:hideMark/>
          </w:tcPr>
          <w:p w14:paraId="7AA9D851" w14:textId="77777777" w:rsidR="00000000" w:rsidRDefault="001D0688">
            <w:pPr>
              <w:jc w:val="right"/>
              <w:rPr>
                <w:rFonts w:eastAsia="Times New Roman"/>
              </w:rPr>
            </w:pPr>
          </w:p>
        </w:tc>
      </w:tr>
      <w:tr w:rsidR="00000000" w14:paraId="42AC0E18"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07F55C23" w14:textId="77777777" w:rsidR="00000000" w:rsidRDefault="001D0688">
            <w:pPr>
              <w:rPr>
                <w:rFonts w:eastAsia="Times New Roman"/>
              </w:rPr>
            </w:pPr>
            <w:r>
              <w:rPr>
                <w:rFonts w:ascii="Arial" w:eastAsia="Times New Roman" w:hAnsi="Arial" w:cs="Arial"/>
                <w:color w:val="000000"/>
                <w:sz w:val="20"/>
                <w:szCs w:val="20"/>
              </w:rPr>
              <w:t xml:space="preserve">Amortization of intangible assets </w:t>
            </w:r>
          </w:p>
        </w:tc>
        <w:tc>
          <w:tcPr>
            <w:tcW w:w="0" w:type="auto"/>
            <w:gridSpan w:val="2"/>
            <w:shd w:val="clear" w:color="auto" w:fill="DCE2EF"/>
            <w:tcMar>
              <w:top w:w="30" w:type="dxa"/>
              <w:left w:w="20" w:type="dxa"/>
              <w:bottom w:w="30" w:type="dxa"/>
              <w:right w:w="0" w:type="dxa"/>
            </w:tcMar>
            <w:vAlign w:val="bottom"/>
            <w:hideMark/>
          </w:tcPr>
          <w:p w14:paraId="6ADC71E5" w14:textId="77777777" w:rsidR="00000000" w:rsidRDefault="001D0688">
            <w:pPr>
              <w:jc w:val="right"/>
              <w:rPr>
                <w:rFonts w:eastAsia="Times New Roman"/>
              </w:rPr>
            </w:pPr>
            <w:r>
              <w:rPr>
                <w:rFonts w:ascii="Arial" w:eastAsia="Times New Roman" w:hAnsi="Arial" w:cs="Arial"/>
                <w:color w:val="000000"/>
                <w:sz w:val="20"/>
                <w:szCs w:val="20"/>
              </w:rPr>
              <w:t>48.4 </w:t>
            </w:r>
          </w:p>
        </w:tc>
        <w:tc>
          <w:tcPr>
            <w:tcW w:w="0" w:type="auto"/>
            <w:shd w:val="clear" w:color="auto" w:fill="DCE2EF"/>
            <w:tcMar>
              <w:top w:w="30" w:type="dxa"/>
              <w:left w:w="0" w:type="dxa"/>
              <w:bottom w:w="30" w:type="dxa"/>
              <w:right w:w="20" w:type="dxa"/>
            </w:tcMar>
            <w:vAlign w:val="bottom"/>
            <w:hideMark/>
          </w:tcPr>
          <w:p w14:paraId="260A4D7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4A77A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DD9FC1" w14:textId="77777777" w:rsidR="00000000" w:rsidRDefault="001D0688">
            <w:pPr>
              <w:jc w:val="right"/>
              <w:rPr>
                <w:rFonts w:eastAsia="Times New Roman"/>
              </w:rPr>
            </w:pPr>
            <w:r>
              <w:rPr>
                <w:rFonts w:ascii="Arial" w:eastAsia="Times New Roman" w:hAnsi="Arial" w:cs="Arial"/>
                <w:color w:val="000000"/>
                <w:sz w:val="20"/>
                <w:szCs w:val="20"/>
              </w:rPr>
              <w:t>58.5 </w:t>
            </w:r>
          </w:p>
        </w:tc>
        <w:tc>
          <w:tcPr>
            <w:tcW w:w="0" w:type="auto"/>
            <w:shd w:val="clear" w:color="auto" w:fill="DCE2EF"/>
            <w:tcMar>
              <w:top w:w="30" w:type="dxa"/>
              <w:left w:w="0" w:type="dxa"/>
              <w:bottom w:w="30" w:type="dxa"/>
              <w:right w:w="20" w:type="dxa"/>
            </w:tcMar>
            <w:vAlign w:val="bottom"/>
            <w:hideMark/>
          </w:tcPr>
          <w:p w14:paraId="3C4697A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3430F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474B06" w14:textId="77777777" w:rsidR="00000000" w:rsidRDefault="001D0688">
            <w:pPr>
              <w:jc w:val="right"/>
              <w:rPr>
                <w:rFonts w:eastAsia="Times New Roman"/>
              </w:rPr>
            </w:pPr>
            <w:r>
              <w:rPr>
                <w:rFonts w:ascii="Arial" w:eastAsia="Times New Roman" w:hAnsi="Arial" w:cs="Arial"/>
                <w:color w:val="000000"/>
                <w:sz w:val="20"/>
                <w:szCs w:val="20"/>
              </w:rPr>
              <w:t>66.0 </w:t>
            </w:r>
          </w:p>
        </w:tc>
        <w:tc>
          <w:tcPr>
            <w:tcW w:w="0" w:type="auto"/>
            <w:shd w:val="clear" w:color="auto" w:fill="DCE2EF"/>
            <w:tcMar>
              <w:top w:w="30" w:type="dxa"/>
              <w:left w:w="0" w:type="dxa"/>
              <w:bottom w:w="30" w:type="dxa"/>
              <w:right w:w="20" w:type="dxa"/>
            </w:tcMar>
            <w:vAlign w:val="bottom"/>
            <w:hideMark/>
          </w:tcPr>
          <w:p w14:paraId="7615F02E" w14:textId="77777777" w:rsidR="00000000" w:rsidRDefault="001D0688">
            <w:pPr>
              <w:jc w:val="right"/>
              <w:rPr>
                <w:rFonts w:eastAsia="Times New Roman"/>
              </w:rPr>
            </w:pPr>
          </w:p>
        </w:tc>
      </w:tr>
      <w:tr w:rsidR="00000000" w14:paraId="5562309F"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5DA59272" w14:textId="77777777" w:rsidR="00000000" w:rsidRDefault="001D0688">
            <w:pPr>
              <w:rPr>
                <w:rFonts w:eastAsia="Times New Roman"/>
              </w:rPr>
            </w:pPr>
            <w:r>
              <w:rPr>
                <w:rFonts w:ascii="Arial" w:eastAsia="Times New Roman" w:hAnsi="Arial" w:cs="Arial"/>
                <w:color w:val="000000"/>
                <w:sz w:val="20"/>
                <w:szCs w:val="20"/>
              </w:rPr>
              <w:t>Impairment loss</w:t>
            </w:r>
          </w:p>
        </w:tc>
        <w:tc>
          <w:tcPr>
            <w:tcW w:w="0" w:type="auto"/>
            <w:gridSpan w:val="2"/>
            <w:shd w:val="clear" w:color="auto" w:fill="FFFFFF"/>
            <w:tcMar>
              <w:top w:w="30" w:type="dxa"/>
              <w:left w:w="20" w:type="dxa"/>
              <w:bottom w:w="30" w:type="dxa"/>
              <w:right w:w="0" w:type="dxa"/>
            </w:tcMar>
            <w:vAlign w:val="bottom"/>
            <w:hideMark/>
          </w:tcPr>
          <w:p w14:paraId="33F0168D" w14:textId="77777777" w:rsidR="00000000" w:rsidRDefault="001D0688">
            <w:pPr>
              <w:jc w:val="right"/>
              <w:rPr>
                <w:rFonts w:eastAsia="Times New Roman"/>
              </w:rPr>
            </w:pPr>
            <w:r>
              <w:rPr>
                <w:rFonts w:ascii="Arial" w:eastAsia="Times New Roman" w:hAnsi="Arial" w:cs="Arial"/>
                <w:color w:val="000000"/>
                <w:sz w:val="20"/>
                <w:szCs w:val="20"/>
              </w:rPr>
              <w:t>172.8 </w:t>
            </w:r>
          </w:p>
        </w:tc>
        <w:tc>
          <w:tcPr>
            <w:tcW w:w="0" w:type="auto"/>
            <w:shd w:val="clear" w:color="auto" w:fill="FFFFFF"/>
            <w:tcMar>
              <w:top w:w="30" w:type="dxa"/>
              <w:left w:w="0" w:type="dxa"/>
              <w:bottom w:w="30" w:type="dxa"/>
              <w:right w:w="20" w:type="dxa"/>
            </w:tcMar>
            <w:vAlign w:val="bottom"/>
            <w:hideMark/>
          </w:tcPr>
          <w:p w14:paraId="1C9DF1B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EF92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96126"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4D0E51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2827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415E0" w14:textId="77777777" w:rsidR="00000000" w:rsidRDefault="001D0688">
            <w:pPr>
              <w:jc w:val="right"/>
              <w:rPr>
                <w:rFonts w:eastAsia="Times New Roman"/>
              </w:rPr>
            </w:pPr>
            <w:r>
              <w:rPr>
                <w:rFonts w:ascii="Arial" w:eastAsia="Times New Roman" w:hAnsi="Arial" w:cs="Arial"/>
                <w:color w:val="000000"/>
                <w:sz w:val="20"/>
                <w:szCs w:val="20"/>
              </w:rPr>
              <w:t>26.5 </w:t>
            </w:r>
          </w:p>
        </w:tc>
        <w:tc>
          <w:tcPr>
            <w:tcW w:w="0" w:type="auto"/>
            <w:shd w:val="clear" w:color="auto" w:fill="FFFFFF"/>
            <w:tcMar>
              <w:top w:w="30" w:type="dxa"/>
              <w:left w:w="0" w:type="dxa"/>
              <w:bottom w:w="30" w:type="dxa"/>
              <w:right w:w="20" w:type="dxa"/>
            </w:tcMar>
            <w:vAlign w:val="bottom"/>
            <w:hideMark/>
          </w:tcPr>
          <w:p w14:paraId="5C481BDF" w14:textId="77777777" w:rsidR="00000000" w:rsidRDefault="001D0688">
            <w:pPr>
              <w:jc w:val="right"/>
              <w:rPr>
                <w:rFonts w:eastAsia="Times New Roman"/>
              </w:rPr>
            </w:pPr>
          </w:p>
        </w:tc>
      </w:tr>
      <w:tr w:rsidR="00000000" w14:paraId="672ADF9B"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32F03235" w14:textId="77777777" w:rsidR="00000000" w:rsidRDefault="001D0688">
            <w:pPr>
              <w:rPr>
                <w:rFonts w:eastAsia="Times New Roman"/>
              </w:rPr>
            </w:pPr>
            <w:r>
              <w:rPr>
                <w:rFonts w:ascii="Arial" w:eastAsia="Times New Roman" w:hAnsi="Arial" w:cs="Arial"/>
                <w:b/>
                <w:bCs/>
                <w:color w:val="000000"/>
                <w:sz w:val="20"/>
                <w:szCs w:val="20"/>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3C2EB0D" w14:textId="77777777" w:rsidR="00000000" w:rsidRDefault="001D0688">
            <w:pPr>
              <w:jc w:val="right"/>
              <w:rPr>
                <w:rFonts w:eastAsia="Times New Roman"/>
              </w:rPr>
            </w:pPr>
            <w:r>
              <w:rPr>
                <w:rFonts w:ascii="Arial" w:eastAsia="Times New Roman" w:hAnsi="Arial" w:cs="Arial"/>
                <w:color w:val="000000"/>
                <w:sz w:val="20"/>
                <w:szCs w:val="20"/>
              </w:rPr>
              <w:t>95.7 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7C03CB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E6475F"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14CC9E5" w14:textId="77777777" w:rsidR="00000000" w:rsidRDefault="001D0688">
            <w:pPr>
              <w:jc w:val="right"/>
              <w:rPr>
                <w:rFonts w:eastAsia="Times New Roman"/>
              </w:rPr>
            </w:pPr>
            <w:r>
              <w:rPr>
                <w:rFonts w:ascii="Arial" w:eastAsia="Times New Roman" w:hAnsi="Arial" w:cs="Arial"/>
                <w:color w:val="000000"/>
                <w:sz w:val="20"/>
                <w:szCs w:val="20"/>
              </w:rPr>
              <w:t>208.3 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EA53D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9F76C4"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99BE2E5" w14:textId="77777777" w:rsidR="00000000" w:rsidRDefault="001D0688">
            <w:pPr>
              <w:jc w:val="right"/>
              <w:rPr>
                <w:rFonts w:eastAsia="Times New Roman"/>
              </w:rPr>
            </w:pPr>
            <w:r>
              <w:rPr>
                <w:rFonts w:ascii="Arial" w:eastAsia="Times New Roman" w:hAnsi="Arial" w:cs="Arial"/>
                <w:color w:val="000000"/>
                <w:sz w:val="20"/>
                <w:szCs w:val="20"/>
              </w:rPr>
              <w:t>138.6 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C5C2CAE" w14:textId="77777777" w:rsidR="00000000" w:rsidRDefault="001D0688">
            <w:pPr>
              <w:jc w:val="right"/>
              <w:rPr>
                <w:rFonts w:eastAsia="Times New Roman"/>
              </w:rPr>
            </w:pPr>
          </w:p>
        </w:tc>
      </w:tr>
      <w:tr w:rsidR="00000000" w14:paraId="1B56DD50" w14:textId="77777777">
        <w:trPr>
          <w:divId w:val="1552351897"/>
          <w:jc w:val="center"/>
        </w:trPr>
        <w:tc>
          <w:tcPr>
            <w:tcW w:w="0" w:type="auto"/>
            <w:gridSpan w:val="3"/>
            <w:vAlign w:val="center"/>
            <w:hideMark/>
          </w:tcPr>
          <w:p w14:paraId="72D139B0" w14:textId="77777777" w:rsidR="00000000" w:rsidRDefault="001D0688">
            <w:pPr>
              <w:jc w:val="right"/>
              <w:rPr>
                <w:rFonts w:eastAsia="Times New Roman"/>
                <w:sz w:val="20"/>
                <w:szCs w:val="20"/>
              </w:rPr>
            </w:pPr>
          </w:p>
        </w:tc>
        <w:tc>
          <w:tcPr>
            <w:tcW w:w="0" w:type="auto"/>
            <w:gridSpan w:val="3"/>
            <w:vAlign w:val="center"/>
            <w:hideMark/>
          </w:tcPr>
          <w:p w14:paraId="5F9F02DB" w14:textId="77777777" w:rsidR="00000000" w:rsidRDefault="001D0688">
            <w:pPr>
              <w:rPr>
                <w:rFonts w:eastAsia="Times New Roman"/>
                <w:sz w:val="20"/>
                <w:szCs w:val="20"/>
              </w:rPr>
            </w:pPr>
          </w:p>
        </w:tc>
        <w:tc>
          <w:tcPr>
            <w:tcW w:w="0" w:type="auto"/>
            <w:gridSpan w:val="3"/>
            <w:vAlign w:val="center"/>
            <w:hideMark/>
          </w:tcPr>
          <w:p w14:paraId="723D7761" w14:textId="77777777" w:rsidR="00000000" w:rsidRDefault="001D0688">
            <w:pPr>
              <w:rPr>
                <w:rFonts w:eastAsia="Times New Roman"/>
                <w:sz w:val="20"/>
                <w:szCs w:val="20"/>
              </w:rPr>
            </w:pPr>
          </w:p>
        </w:tc>
        <w:tc>
          <w:tcPr>
            <w:tcW w:w="0" w:type="auto"/>
            <w:gridSpan w:val="3"/>
            <w:vAlign w:val="center"/>
            <w:hideMark/>
          </w:tcPr>
          <w:p w14:paraId="3B19ACB0" w14:textId="77777777" w:rsidR="00000000" w:rsidRDefault="001D0688">
            <w:pPr>
              <w:rPr>
                <w:rFonts w:eastAsia="Times New Roman"/>
                <w:sz w:val="20"/>
                <w:szCs w:val="20"/>
              </w:rPr>
            </w:pPr>
          </w:p>
        </w:tc>
        <w:tc>
          <w:tcPr>
            <w:tcW w:w="0" w:type="auto"/>
            <w:gridSpan w:val="3"/>
            <w:vAlign w:val="center"/>
            <w:hideMark/>
          </w:tcPr>
          <w:p w14:paraId="6302BDDE" w14:textId="77777777" w:rsidR="00000000" w:rsidRDefault="001D0688">
            <w:pPr>
              <w:rPr>
                <w:rFonts w:eastAsia="Times New Roman"/>
                <w:sz w:val="20"/>
                <w:szCs w:val="20"/>
              </w:rPr>
            </w:pPr>
          </w:p>
        </w:tc>
        <w:tc>
          <w:tcPr>
            <w:tcW w:w="0" w:type="auto"/>
            <w:gridSpan w:val="3"/>
            <w:vAlign w:val="center"/>
            <w:hideMark/>
          </w:tcPr>
          <w:p w14:paraId="7B3AD6FF" w14:textId="77777777" w:rsidR="00000000" w:rsidRDefault="001D0688">
            <w:pPr>
              <w:rPr>
                <w:rFonts w:eastAsia="Times New Roman"/>
                <w:sz w:val="20"/>
                <w:szCs w:val="20"/>
              </w:rPr>
            </w:pPr>
          </w:p>
        </w:tc>
      </w:tr>
      <w:tr w:rsidR="00000000" w14:paraId="43DF4416"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6E751675" w14:textId="77777777" w:rsidR="00000000" w:rsidRDefault="001D0688">
            <w:pPr>
              <w:rPr>
                <w:rFonts w:eastAsia="Times New Roman"/>
              </w:rPr>
            </w:pPr>
            <w:r>
              <w:rPr>
                <w:rFonts w:ascii="Arial" w:eastAsia="Times New Roman" w:hAnsi="Arial" w:cs="Arial"/>
                <w:color w:val="000000"/>
                <w:sz w:val="20"/>
                <w:szCs w:val="20"/>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1CEB82E3" w14:textId="77777777" w:rsidR="00000000" w:rsidRDefault="001D0688">
            <w:pPr>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14:paraId="1209060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8D98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F4ACB" w14:textId="77777777" w:rsidR="00000000" w:rsidRDefault="001D0688">
            <w:pPr>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14:paraId="56E533B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E223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361EE" w14:textId="77777777" w:rsidR="00000000" w:rsidRDefault="001D0688">
            <w:pPr>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14:paraId="4E80F261" w14:textId="77777777" w:rsidR="00000000" w:rsidRDefault="001D0688">
            <w:pPr>
              <w:jc w:val="right"/>
              <w:rPr>
                <w:rFonts w:eastAsia="Times New Roman"/>
              </w:rPr>
            </w:pPr>
          </w:p>
        </w:tc>
      </w:tr>
      <w:tr w:rsidR="00000000" w14:paraId="59322B4D"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6743D974" w14:textId="77777777" w:rsidR="00000000" w:rsidRDefault="001D0688">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14:paraId="30FA32B3" w14:textId="77777777" w:rsidR="00000000" w:rsidRDefault="001D0688">
            <w:pPr>
              <w:jc w:val="right"/>
              <w:rPr>
                <w:rFonts w:eastAsia="Times New Roman"/>
              </w:rPr>
            </w:pPr>
            <w:r>
              <w:rPr>
                <w:rFonts w:ascii="Arial" w:eastAsia="Times New Roman" w:hAnsi="Arial" w:cs="Arial"/>
                <w:color w:val="000000"/>
                <w:sz w:val="20"/>
                <w:szCs w:val="20"/>
              </w:rPr>
              <w:t>(44.6)</w:t>
            </w:r>
          </w:p>
        </w:tc>
        <w:tc>
          <w:tcPr>
            <w:tcW w:w="0" w:type="auto"/>
            <w:shd w:val="clear" w:color="auto" w:fill="DCE2EF"/>
            <w:tcMar>
              <w:top w:w="30" w:type="dxa"/>
              <w:left w:w="0" w:type="dxa"/>
              <w:bottom w:w="30" w:type="dxa"/>
              <w:right w:w="20" w:type="dxa"/>
            </w:tcMar>
            <w:vAlign w:val="bottom"/>
            <w:hideMark/>
          </w:tcPr>
          <w:p w14:paraId="0977C4A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C053B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59A3C0" w14:textId="77777777" w:rsidR="00000000" w:rsidRDefault="001D0688">
            <w:pPr>
              <w:jc w:val="right"/>
              <w:rPr>
                <w:rFonts w:eastAsia="Times New Roman"/>
              </w:rPr>
            </w:pPr>
            <w:r>
              <w:rPr>
                <w:rFonts w:ascii="Arial" w:eastAsia="Times New Roman" w:hAnsi="Arial" w:cs="Arial"/>
                <w:color w:val="000000"/>
                <w:sz w:val="20"/>
                <w:szCs w:val="20"/>
              </w:rPr>
              <w:t>(51.1)</w:t>
            </w:r>
          </w:p>
        </w:tc>
        <w:tc>
          <w:tcPr>
            <w:tcW w:w="0" w:type="auto"/>
            <w:shd w:val="clear" w:color="auto" w:fill="DCE2EF"/>
            <w:tcMar>
              <w:top w:w="30" w:type="dxa"/>
              <w:left w:w="0" w:type="dxa"/>
              <w:bottom w:w="30" w:type="dxa"/>
              <w:right w:w="20" w:type="dxa"/>
            </w:tcMar>
            <w:vAlign w:val="bottom"/>
            <w:hideMark/>
          </w:tcPr>
          <w:p w14:paraId="04EBBC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B19D4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EB6643" w14:textId="77777777" w:rsidR="00000000" w:rsidRDefault="001D0688">
            <w:pPr>
              <w:jc w:val="right"/>
              <w:rPr>
                <w:rFonts w:eastAsia="Times New Roman"/>
              </w:rPr>
            </w:pPr>
            <w:r>
              <w:rPr>
                <w:rFonts w:ascii="Arial" w:eastAsia="Times New Roman" w:hAnsi="Arial" w:cs="Arial"/>
                <w:color w:val="000000"/>
                <w:sz w:val="20"/>
                <w:szCs w:val="20"/>
              </w:rPr>
              <w:t>(54.1)</w:t>
            </w:r>
          </w:p>
        </w:tc>
        <w:tc>
          <w:tcPr>
            <w:tcW w:w="0" w:type="auto"/>
            <w:shd w:val="clear" w:color="auto" w:fill="DCE2EF"/>
            <w:tcMar>
              <w:top w:w="30" w:type="dxa"/>
              <w:left w:w="0" w:type="dxa"/>
              <w:bottom w:w="30" w:type="dxa"/>
              <w:right w:w="20" w:type="dxa"/>
            </w:tcMar>
            <w:vAlign w:val="bottom"/>
            <w:hideMark/>
          </w:tcPr>
          <w:p w14:paraId="2BBEFE65" w14:textId="77777777" w:rsidR="00000000" w:rsidRDefault="001D0688">
            <w:pPr>
              <w:jc w:val="right"/>
              <w:rPr>
                <w:rFonts w:eastAsia="Times New Roman"/>
              </w:rPr>
            </w:pPr>
          </w:p>
        </w:tc>
      </w:tr>
      <w:tr w:rsidR="00000000" w14:paraId="39AA6902"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74B4152B" w14:textId="77777777" w:rsidR="00000000" w:rsidRDefault="001D0688">
            <w:pPr>
              <w:rPr>
                <w:rFonts w:eastAsia="Times New Roman"/>
              </w:rPr>
            </w:pPr>
            <w:r>
              <w:rPr>
                <w:rFonts w:ascii="Arial" w:eastAsia="Times New Roman" w:hAnsi="Arial" w:cs="Arial"/>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9CF78D" w14:textId="77777777" w:rsidR="00000000" w:rsidRDefault="001D0688">
            <w:pPr>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D1A97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F6B35"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A0D1CE" w14:textId="77777777" w:rsidR="00000000" w:rsidRDefault="001D0688">
            <w:pPr>
              <w:jc w:val="right"/>
              <w:rPr>
                <w:rFonts w:eastAsia="Times New Roman"/>
              </w:rPr>
            </w:pPr>
            <w:r>
              <w:rPr>
                <w:rFonts w:ascii="Arial" w:eastAsia="Times New Roman" w:hAnsi="Arial" w:cs="Arial"/>
                <w:color w:val="000000"/>
                <w:sz w:val="20"/>
                <w:szCs w:val="20"/>
              </w:rPr>
              <w:t>160.2 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9DA7E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FEBA3"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3FC36D" w14:textId="77777777" w:rsidR="00000000" w:rsidRDefault="001D0688">
            <w:pPr>
              <w:jc w:val="right"/>
              <w:rPr>
                <w:rFonts w:eastAsia="Times New Roman"/>
              </w:rPr>
            </w:pPr>
            <w:r>
              <w:rPr>
                <w:rFonts w:ascii="Arial" w:eastAsia="Times New Roman" w:hAnsi="Arial" w:cs="Arial"/>
                <w:color w:val="000000"/>
                <w:sz w:val="20"/>
                <w:szCs w:val="20"/>
              </w:rPr>
              <w:t>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390610" w14:textId="77777777" w:rsidR="00000000" w:rsidRDefault="001D0688">
            <w:pPr>
              <w:jc w:val="right"/>
              <w:rPr>
                <w:rFonts w:eastAsia="Times New Roman"/>
              </w:rPr>
            </w:pPr>
          </w:p>
        </w:tc>
      </w:tr>
      <w:tr w:rsidR="00000000" w14:paraId="4ACAB353"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598B395B" w14:textId="77777777" w:rsidR="00000000" w:rsidRDefault="001D0688">
            <w:pPr>
              <w:rPr>
                <w:rFonts w:eastAsia="Times New Roman"/>
              </w:rPr>
            </w:pPr>
            <w:r>
              <w:rPr>
                <w:rFonts w:ascii="Arial" w:eastAsia="Times New Roman" w:hAnsi="Arial" w:cs="Arial"/>
                <w:color w:val="000000"/>
                <w:sz w:val="20"/>
                <w:szCs w:val="20"/>
              </w:rPr>
              <w:t>Income tax (provision) benefit</w:t>
            </w:r>
          </w:p>
        </w:tc>
        <w:tc>
          <w:tcPr>
            <w:tcW w:w="0" w:type="auto"/>
            <w:gridSpan w:val="2"/>
            <w:shd w:val="clear" w:color="auto" w:fill="DCE2EF"/>
            <w:tcMar>
              <w:top w:w="30" w:type="dxa"/>
              <w:left w:w="20" w:type="dxa"/>
              <w:bottom w:w="30" w:type="dxa"/>
              <w:right w:w="0" w:type="dxa"/>
            </w:tcMar>
            <w:vAlign w:val="bottom"/>
            <w:hideMark/>
          </w:tcPr>
          <w:p w14:paraId="4D244AC6" w14:textId="77777777" w:rsidR="00000000" w:rsidRDefault="001D0688">
            <w:pPr>
              <w:jc w:val="right"/>
              <w:rPr>
                <w:rFonts w:eastAsia="Times New Roman"/>
              </w:rPr>
            </w:pPr>
            <w:r>
              <w:rPr>
                <w:rFonts w:ascii="Arial" w:eastAsia="Times New Roman" w:hAnsi="Arial" w:cs="Arial"/>
                <w:color w:val="000000"/>
                <w:sz w:val="20"/>
                <w:szCs w:val="20"/>
              </w:rPr>
              <w:t>(53.1)</w:t>
            </w:r>
          </w:p>
        </w:tc>
        <w:tc>
          <w:tcPr>
            <w:tcW w:w="0" w:type="auto"/>
            <w:shd w:val="clear" w:color="auto" w:fill="DCE2EF"/>
            <w:tcMar>
              <w:top w:w="30" w:type="dxa"/>
              <w:left w:w="0" w:type="dxa"/>
              <w:bottom w:w="30" w:type="dxa"/>
              <w:right w:w="20" w:type="dxa"/>
            </w:tcMar>
            <w:vAlign w:val="bottom"/>
            <w:hideMark/>
          </w:tcPr>
          <w:p w14:paraId="04556B4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01DC2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67E869" w14:textId="77777777" w:rsidR="00000000" w:rsidRDefault="001D0688">
            <w:pPr>
              <w:jc w:val="right"/>
              <w:rPr>
                <w:rFonts w:eastAsia="Times New Roman"/>
              </w:rPr>
            </w:pPr>
            <w:r>
              <w:rPr>
                <w:rFonts w:ascii="Arial" w:eastAsia="Times New Roman" w:hAnsi="Arial" w:cs="Arial"/>
                <w:color w:val="000000"/>
                <w:sz w:val="20"/>
                <w:szCs w:val="20"/>
              </w:rPr>
              <w:t>(32.7)</w:t>
            </w:r>
          </w:p>
        </w:tc>
        <w:tc>
          <w:tcPr>
            <w:tcW w:w="0" w:type="auto"/>
            <w:shd w:val="clear" w:color="auto" w:fill="DCE2EF"/>
            <w:tcMar>
              <w:top w:w="30" w:type="dxa"/>
              <w:left w:w="0" w:type="dxa"/>
              <w:bottom w:w="30" w:type="dxa"/>
              <w:right w:w="20" w:type="dxa"/>
            </w:tcMar>
            <w:vAlign w:val="bottom"/>
            <w:hideMark/>
          </w:tcPr>
          <w:p w14:paraId="034BE3F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75D3E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4DFAFC" w14:textId="77777777" w:rsidR="00000000" w:rsidRDefault="001D0688">
            <w:pPr>
              <w:jc w:val="right"/>
              <w:rPr>
                <w:rFonts w:eastAsia="Times New Roman"/>
              </w:rPr>
            </w:pPr>
            <w:r>
              <w:rPr>
                <w:rFonts w:ascii="Arial" w:eastAsia="Times New Roman" w:hAnsi="Arial" w:cs="Arial"/>
                <w:color w:val="000000"/>
                <w:sz w:val="20"/>
                <w:szCs w:val="20"/>
              </w:rPr>
              <w:t>8.2 </w:t>
            </w:r>
          </w:p>
        </w:tc>
        <w:tc>
          <w:tcPr>
            <w:tcW w:w="0" w:type="auto"/>
            <w:shd w:val="clear" w:color="auto" w:fill="DCE2EF"/>
            <w:tcMar>
              <w:top w:w="30" w:type="dxa"/>
              <w:left w:w="0" w:type="dxa"/>
              <w:bottom w:w="30" w:type="dxa"/>
              <w:right w:w="20" w:type="dxa"/>
            </w:tcMar>
            <w:vAlign w:val="bottom"/>
            <w:hideMark/>
          </w:tcPr>
          <w:p w14:paraId="7AA298BE" w14:textId="77777777" w:rsidR="00000000" w:rsidRDefault="001D0688">
            <w:pPr>
              <w:jc w:val="right"/>
              <w:rPr>
                <w:rFonts w:eastAsia="Times New Roman"/>
              </w:rPr>
            </w:pPr>
          </w:p>
        </w:tc>
      </w:tr>
      <w:tr w:rsidR="00000000" w14:paraId="0DE99247"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5D4E4C32"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CDFA39"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05314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1339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64C874" w14:textId="77777777" w:rsidR="00000000" w:rsidRDefault="001D0688">
            <w:pPr>
              <w:jc w:val="right"/>
              <w:rPr>
                <w:rFonts w:eastAsia="Times New Roman"/>
              </w:rPr>
            </w:pPr>
            <w:r>
              <w:rPr>
                <w:rFonts w:ascii="Arial" w:eastAsia="Times New Roman" w:hAnsi="Arial" w:cs="Arial"/>
                <w:color w:val="000000"/>
                <w:sz w:val="20"/>
                <w:szCs w:val="20"/>
              </w:rPr>
              <w:t>127.5 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6ABE2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D472B"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6FF92B" w14:textId="77777777" w:rsidR="00000000" w:rsidRDefault="001D0688">
            <w:pPr>
              <w:jc w:val="right"/>
              <w:rPr>
                <w:rFonts w:eastAsia="Times New Roman"/>
              </w:rPr>
            </w:pPr>
            <w:r>
              <w:rPr>
                <w:rFonts w:ascii="Arial" w:eastAsia="Times New Roman" w:hAnsi="Arial" w:cs="Arial"/>
                <w:color w:val="000000"/>
                <w:sz w:val="20"/>
                <w:szCs w:val="20"/>
              </w:rPr>
              <w:t>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B6911C" w14:textId="77777777" w:rsidR="00000000" w:rsidRDefault="001D0688">
            <w:pPr>
              <w:jc w:val="right"/>
              <w:rPr>
                <w:rFonts w:eastAsia="Times New Roman"/>
              </w:rPr>
            </w:pPr>
          </w:p>
        </w:tc>
      </w:tr>
      <w:tr w:rsidR="00000000" w14:paraId="040C0E69" w14:textId="77777777">
        <w:trPr>
          <w:divId w:val="1552351897"/>
          <w:jc w:val="center"/>
        </w:trPr>
        <w:tc>
          <w:tcPr>
            <w:tcW w:w="0" w:type="auto"/>
            <w:gridSpan w:val="3"/>
            <w:vAlign w:val="center"/>
            <w:hideMark/>
          </w:tcPr>
          <w:p w14:paraId="549D5C9F" w14:textId="77777777" w:rsidR="00000000" w:rsidRDefault="001D0688">
            <w:pPr>
              <w:jc w:val="right"/>
              <w:rPr>
                <w:rFonts w:eastAsia="Times New Roman"/>
                <w:sz w:val="20"/>
                <w:szCs w:val="20"/>
              </w:rPr>
            </w:pPr>
          </w:p>
        </w:tc>
        <w:tc>
          <w:tcPr>
            <w:tcW w:w="0" w:type="auto"/>
            <w:gridSpan w:val="3"/>
            <w:vAlign w:val="center"/>
            <w:hideMark/>
          </w:tcPr>
          <w:p w14:paraId="33F72DC2" w14:textId="77777777" w:rsidR="00000000" w:rsidRDefault="001D0688">
            <w:pPr>
              <w:rPr>
                <w:rFonts w:eastAsia="Times New Roman"/>
                <w:sz w:val="20"/>
                <w:szCs w:val="20"/>
              </w:rPr>
            </w:pPr>
          </w:p>
        </w:tc>
        <w:tc>
          <w:tcPr>
            <w:tcW w:w="0" w:type="auto"/>
            <w:gridSpan w:val="3"/>
            <w:vAlign w:val="center"/>
            <w:hideMark/>
          </w:tcPr>
          <w:p w14:paraId="2CA337D4" w14:textId="77777777" w:rsidR="00000000" w:rsidRDefault="001D0688">
            <w:pPr>
              <w:rPr>
                <w:rFonts w:eastAsia="Times New Roman"/>
                <w:sz w:val="20"/>
                <w:szCs w:val="20"/>
              </w:rPr>
            </w:pPr>
          </w:p>
        </w:tc>
        <w:tc>
          <w:tcPr>
            <w:tcW w:w="0" w:type="auto"/>
            <w:gridSpan w:val="3"/>
            <w:vAlign w:val="center"/>
            <w:hideMark/>
          </w:tcPr>
          <w:p w14:paraId="0CA19D61" w14:textId="77777777" w:rsidR="00000000" w:rsidRDefault="001D0688">
            <w:pPr>
              <w:rPr>
                <w:rFonts w:eastAsia="Times New Roman"/>
                <w:sz w:val="20"/>
                <w:szCs w:val="20"/>
              </w:rPr>
            </w:pPr>
          </w:p>
        </w:tc>
        <w:tc>
          <w:tcPr>
            <w:tcW w:w="0" w:type="auto"/>
            <w:gridSpan w:val="3"/>
            <w:vAlign w:val="center"/>
            <w:hideMark/>
          </w:tcPr>
          <w:p w14:paraId="2F1F5227" w14:textId="77777777" w:rsidR="00000000" w:rsidRDefault="001D0688">
            <w:pPr>
              <w:rPr>
                <w:rFonts w:eastAsia="Times New Roman"/>
                <w:sz w:val="20"/>
                <w:szCs w:val="20"/>
              </w:rPr>
            </w:pPr>
          </w:p>
        </w:tc>
        <w:tc>
          <w:tcPr>
            <w:tcW w:w="0" w:type="auto"/>
            <w:gridSpan w:val="3"/>
            <w:vAlign w:val="center"/>
            <w:hideMark/>
          </w:tcPr>
          <w:p w14:paraId="5F9F79AF" w14:textId="77777777" w:rsidR="00000000" w:rsidRDefault="001D0688">
            <w:pPr>
              <w:rPr>
                <w:rFonts w:eastAsia="Times New Roman"/>
                <w:sz w:val="20"/>
                <w:szCs w:val="20"/>
              </w:rPr>
            </w:pPr>
          </w:p>
        </w:tc>
      </w:tr>
      <w:tr w:rsidR="00000000" w14:paraId="096B9DF4" w14:textId="77777777">
        <w:trPr>
          <w:divId w:val="1552351897"/>
          <w:jc w:val="center"/>
        </w:trPr>
        <w:tc>
          <w:tcPr>
            <w:tcW w:w="0" w:type="auto"/>
            <w:gridSpan w:val="3"/>
            <w:vAlign w:val="center"/>
            <w:hideMark/>
          </w:tcPr>
          <w:p w14:paraId="5D9191D5" w14:textId="77777777" w:rsidR="00000000" w:rsidRDefault="001D0688">
            <w:pPr>
              <w:rPr>
                <w:rFonts w:eastAsia="Times New Roman"/>
                <w:sz w:val="20"/>
                <w:szCs w:val="20"/>
              </w:rPr>
            </w:pPr>
          </w:p>
        </w:tc>
        <w:tc>
          <w:tcPr>
            <w:tcW w:w="0" w:type="auto"/>
            <w:gridSpan w:val="3"/>
            <w:vAlign w:val="center"/>
            <w:hideMark/>
          </w:tcPr>
          <w:p w14:paraId="3494815B" w14:textId="77777777" w:rsidR="00000000" w:rsidRDefault="001D0688">
            <w:pPr>
              <w:rPr>
                <w:rFonts w:eastAsia="Times New Roman"/>
                <w:sz w:val="20"/>
                <w:szCs w:val="20"/>
              </w:rPr>
            </w:pPr>
          </w:p>
        </w:tc>
        <w:tc>
          <w:tcPr>
            <w:tcW w:w="0" w:type="auto"/>
            <w:gridSpan w:val="3"/>
            <w:vAlign w:val="center"/>
            <w:hideMark/>
          </w:tcPr>
          <w:p w14:paraId="403345E4" w14:textId="77777777" w:rsidR="00000000" w:rsidRDefault="001D0688">
            <w:pPr>
              <w:rPr>
                <w:rFonts w:eastAsia="Times New Roman"/>
                <w:sz w:val="20"/>
                <w:szCs w:val="20"/>
              </w:rPr>
            </w:pPr>
          </w:p>
        </w:tc>
        <w:tc>
          <w:tcPr>
            <w:tcW w:w="0" w:type="auto"/>
            <w:gridSpan w:val="3"/>
            <w:vAlign w:val="center"/>
            <w:hideMark/>
          </w:tcPr>
          <w:p w14:paraId="0A0D20C3" w14:textId="77777777" w:rsidR="00000000" w:rsidRDefault="001D0688">
            <w:pPr>
              <w:rPr>
                <w:rFonts w:eastAsia="Times New Roman"/>
                <w:sz w:val="20"/>
                <w:szCs w:val="20"/>
              </w:rPr>
            </w:pPr>
          </w:p>
        </w:tc>
        <w:tc>
          <w:tcPr>
            <w:tcW w:w="0" w:type="auto"/>
            <w:gridSpan w:val="3"/>
            <w:vAlign w:val="center"/>
            <w:hideMark/>
          </w:tcPr>
          <w:p w14:paraId="34AE7FA7" w14:textId="77777777" w:rsidR="00000000" w:rsidRDefault="001D0688">
            <w:pPr>
              <w:rPr>
                <w:rFonts w:eastAsia="Times New Roman"/>
                <w:sz w:val="20"/>
                <w:szCs w:val="20"/>
              </w:rPr>
            </w:pPr>
          </w:p>
        </w:tc>
        <w:tc>
          <w:tcPr>
            <w:tcW w:w="0" w:type="auto"/>
            <w:gridSpan w:val="3"/>
            <w:vAlign w:val="center"/>
            <w:hideMark/>
          </w:tcPr>
          <w:p w14:paraId="256406F5" w14:textId="77777777" w:rsidR="00000000" w:rsidRDefault="001D0688">
            <w:pPr>
              <w:rPr>
                <w:rFonts w:eastAsia="Times New Roman"/>
                <w:sz w:val="20"/>
                <w:szCs w:val="20"/>
              </w:rPr>
            </w:pPr>
          </w:p>
        </w:tc>
      </w:tr>
      <w:tr w:rsidR="00000000" w14:paraId="12AC4CCD" w14:textId="77777777">
        <w:trPr>
          <w:divId w:val="1552351897"/>
          <w:jc w:val="center"/>
        </w:trPr>
        <w:tc>
          <w:tcPr>
            <w:tcW w:w="0" w:type="auto"/>
            <w:gridSpan w:val="3"/>
            <w:vAlign w:val="center"/>
            <w:hideMark/>
          </w:tcPr>
          <w:p w14:paraId="00974EEB" w14:textId="77777777" w:rsidR="00000000" w:rsidRDefault="001D0688">
            <w:pPr>
              <w:rPr>
                <w:rFonts w:eastAsia="Times New Roman"/>
                <w:sz w:val="20"/>
                <w:szCs w:val="20"/>
              </w:rPr>
            </w:pPr>
          </w:p>
        </w:tc>
        <w:tc>
          <w:tcPr>
            <w:tcW w:w="0" w:type="auto"/>
            <w:gridSpan w:val="3"/>
            <w:vAlign w:val="center"/>
            <w:hideMark/>
          </w:tcPr>
          <w:p w14:paraId="47BB4677" w14:textId="77777777" w:rsidR="00000000" w:rsidRDefault="001D0688">
            <w:pPr>
              <w:rPr>
                <w:rFonts w:eastAsia="Times New Roman"/>
                <w:sz w:val="20"/>
                <w:szCs w:val="20"/>
              </w:rPr>
            </w:pPr>
          </w:p>
        </w:tc>
        <w:tc>
          <w:tcPr>
            <w:tcW w:w="0" w:type="auto"/>
            <w:gridSpan w:val="3"/>
            <w:vAlign w:val="center"/>
            <w:hideMark/>
          </w:tcPr>
          <w:p w14:paraId="768B2CCD" w14:textId="77777777" w:rsidR="00000000" w:rsidRDefault="001D0688">
            <w:pPr>
              <w:rPr>
                <w:rFonts w:eastAsia="Times New Roman"/>
                <w:sz w:val="20"/>
                <w:szCs w:val="20"/>
              </w:rPr>
            </w:pPr>
          </w:p>
        </w:tc>
        <w:tc>
          <w:tcPr>
            <w:tcW w:w="0" w:type="auto"/>
            <w:gridSpan w:val="3"/>
            <w:vAlign w:val="center"/>
            <w:hideMark/>
          </w:tcPr>
          <w:p w14:paraId="5442BD84" w14:textId="77777777" w:rsidR="00000000" w:rsidRDefault="001D0688">
            <w:pPr>
              <w:rPr>
                <w:rFonts w:eastAsia="Times New Roman"/>
                <w:sz w:val="20"/>
                <w:szCs w:val="20"/>
              </w:rPr>
            </w:pPr>
          </w:p>
        </w:tc>
        <w:tc>
          <w:tcPr>
            <w:tcW w:w="0" w:type="auto"/>
            <w:gridSpan w:val="3"/>
            <w:vAlign w:val="center"/>
            <w:hideMark/>
          </w:tcPr>
          <w:p w14:paraId="1F6D5356" w14:textId="77777777" w:rsidR="00000000" w:rsidRDefault="001D0688">
            <w:pPr>
              <w:rPr>
                <w:rFonts w:eastAsia="Times New Roman"/>
                <w:sz w:val="20"/>
                <w:szCs w:val="20"/>
              </w:rPr>
            </w:pPr>
          </w:p>
        </w:tc>
        <w:tc>
          <w:tcPr>
            <w:tcW w:w="0" w:type="auto"/>
            <w:gridSpan w:val="3"/>
            <w:vAlign w:val="center"/>
            <w:hideMark/>
          </w:tcPr>
          <w:p w14:paraId="4022D0AD" w14:textId="77777777" w:rsidR="00000000" w:rsidRDefault="001D0688">
            <w:pPr>
              <w:rPr>
                <w:rFonts w:eastAsia="Times New Roman"/>
                <w:sz w:val="20"/>
                <w:szCs w:val="20"/>
              </w:rPr>
            </w:pPr>
          </w:p>
        </w:tc>
      </w:tr>
      <w:tr w:rsidR="00000000" w14:paraId="7718813B"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770B00AD" w14:textId="77777777" w:rsidR="00000000" w:rsidRDefault="001D0688">
            <w:pPr>
              <w:rPr>
                <w:rFonts w:eastAsia="Times New Roman"/>
              </w:rPr>
            </w:pPr>
            <w:r>
              <w:rPr>
                <w:rFonts w:ascii="Arial" w:eastAsia="Times New Roman" w:hAnsi="Arial" w:cs="Arial"/>
                <w:color w:val="000000"/>
                <w:sz w:val="20"/>
                <w:szCs w:val="20"/>
              </w:rPr>
              <w:t>Income (loss) from discontinued operations, net of taxes</w:t>
            </w:r>
          </w:p>
        </w:tc>
        <w:tc>
          <w:tcPr>
            <w:tcW w:w="0" w:type="auto"/>
            <w:gridSpan w:val="2"/>
            <w:shd w:val="clear" w:color="auto" w:fill="DCE2EF"/>
            <w:tcMar>
              <w:top w:w="30" w:type="dxa"/>
              <w:left w:w="20" w:type="dxa"/>
              <w:bottom w:w="30" w:type="dxa"/>
              <w:right w:w="0" w:type="dxa"/>
            </w:tcMar>
            <w:vAlign w:val="bottom"/>
            <w:hideMark/>
          </w:tcPr>
          <w:p w14:paraId="7C25F37E"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56FB125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FBB79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BC0400D"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14:paraId="4966252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AB97A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E545F2" w14:textId="77777777" w:rsidR="00000000" w:rsidRDefault="001D0688">
            <w:pPr>
              <w:jc w:val="right"/>
              <w:rPr>
                <w:rFonts w:eastAsia="Times New Roman"/>
              </w:rPr>
            </w:pPr>
            <w:r>
              <w:rPr>
                <w:rFonts w:ascii="Arial" w:eastAsia="Times New Roman" w:hAnsi="Arial" w:cs="Arial"/>
                <w:color w:val="000000"/>
                <w:sz w:val="20"/>
                <w:szCs w:val="20"/>
              </w:rPr>
              <w:t>1.8 </w:t>
            </w:r>
          </w:p>
        </w:tc>
        <w:tc>
          <w:tcPr>
            <w:tcW w:w="0" w:type="auto"/>
            <w:shd w:val="clear" w:color="auto" w:fill="DCE2EF"/>
            <w:tcMar>
              <w:top w:w="30" w:type="dxa"/>
              <w:left w:w="0" w:type="dxa"/>
              <w:bottom w:w="30" w:type="dxa"/>
              <w:right w:w="20" w:type="dxa"/>
            </w:tcMar>
            <w:vAlign w:val="bottom"/>
            <w:hideMark/>
          </w:tcPr>
          <w:p w14:paraId="41B926F6" w14:textId="77777777" w:rsidR="00000000" w:rsidRDefault="001D0688">
            <w:pPr>
              <w:jc w:val="right"/>
              <w:rPr>
                <w:rFonts w:eastAsia="Times New Roman"/>
              </w:rPr>
            </w:pPr>
          </w:p>
        </w:tc>
      </w:tr>
      <w:tr w:rsidR="00000000" w14:paraId="32158AE4"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0222BAC9" w14:textId="77777777" w:rsidR="00000000" w:rsidRDefault="001D0688">
            <w:pPr>
              <w:rPr>
                <w:rFonts w:eastAsia="Times New Roman"/>
              </w:rPr>
            </w:pPr>
            <w:r>
              <w:rPr>
                <w:rFonts w:ascii="Arial" w:eastAsia="Times New Roman" w:hAnsi="Arial" w:cs="Arial"/>
                <w:b/>
                <w:bCs/>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64585C" w14:textId="77777777" w:rsidR="00000000" w:rsidRDefault="001D0688">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9E82C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0B4C4D"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7AC585" w14:textId="77777777" w:rsidR="00000000" w:rsidRDefault="001D0688">
            <w:pPr>
              <w:jc w:val="right"/>
              <w:rPr>
                <w:rFonts w:eastAsia="Times New Roman"/>
              </w:rPr>
            </w:pPr>
            <w:r>
              <w:rPr>
                <w:rFonts w:ascii="Arial" w:eastAsia="Times New Roman" w:hAnsi="Arial" w:cs="Arial"/>
                <w:color w:val="000000"/>
                <w:sz w:val="20"/>
                <w:szCs w:val="20"/>
              </w:rPr>
              <w:t>127.4 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F844D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633C2"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AC3918" w14:textId="77777777" w:rsidR="00000000" w:rsidRDefault="001D0688">
            <w:pPr>
              <w:jc w:val="right"/>
              <w:rPr>
                <w:rFonts w:eastAsia="Times New Roman"/>
              </w:rPr>
            </w:pPr>
            <w:r>
              <w:rPr>
                <w:rFonts w:ascii="Arial" w:eastAsia="Times New Roman" w:hAnsi="Arial" w:cs="Arial"/>
                <w:color w:val="000000"/>
                <w:sz w:val="20"/>
                <w:szCs w:val="20"/>
              </w:rPr>
              <w:t>97.8 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174095" w14:textId="77777777" w:rsidR="00000000" w:rsidRDefault="001D0688">
            <w:pPr>
              <w:jc w:val="right"/>
              <w:rPr>
                <w:rFonts w:eastAsia="Times New Roman"/>
              </w:rPr>
            </w:pPr>
          </w:p>
        </w:tc>
      </w:tr>
      <w:tr w:rsidR="00000000" w14:paraId="7AE54E6F"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7F7E22D8" w14:textId="77777777" w:rsidR="00000000" w:rsidRDefault="001D0688">
            <w:pPr>
              <w:rPr>
                <w:rFonts w:eastAsia="Times New Roman"/>
              </w:rPr>
            </w:pPr>
            <w:r>
              <w:rPr>
                <w:rFonts w:ascii="Arial" w:eastAsia="Times New Roman" w:hAnsi="Arial" w:cs="Arial"/>
                <w:color w:val="000000"/>
                <w:sz w:val="20"/>
                <w:szCs w:val="20"/>
              </w:rPr>
              <w:t>Other comprehensive (loss) income</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50BA664"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FB0FC9"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C997A7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FC2F60"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3B25149" w14:textId="77777777" w:rsidR="00000000" w:rsidRDefault="001D0688">
            <w:pPr>
              <w:rPr>
                <w:rFonts w:eastAsia="Times New Roman"/>
                <w:sz w:val="20"/>
                <w:szCs w:val="20"/>
              </w:rPr>
            </w:pPr>
          </w:p>
        </w:tc>
      </w:tr>
      <w:tr w:rsidR="00000000" w14:paraId="555714EE" w14:textId="77777777">
        <w:trPr>
          <w:divId w:val="1552351897"/>
          <w:jc w:val="center"/>
        </w:trPr>
        <w:tc>
          <w:tcPr>
            <w:tcW w:w="0" w:type="auto"/>
            <w:gridSpan w:val="3"/>
            <w:shd w:val="clear" w:color="auto" w:fill="FFFFFF"/>
            <w:tcMar>
              <w:top w:w="30" w:type="dxa"/>
              <w:left w:w="380" w:type="dxa"/>
              <w:bottom w:w="30" w:type="dxa"/>
              <w:right w:w="20" w:type="dxa"/>
            </w:tcMar>
            <w:vAlign w:val="bottom"/>
            <w:hideMark/>
          </w:tcPr>
          <w:p w14:paraId="49FEEE43" w14:textId="77777777" w:rsidR="00000000" w:rsidRDefault="001D0688">
            <w:pPr>
              <w:rPr>
                <w:rFonts w:eastAsia="Times New Roman"/>
              </w:rPr>
            </w:pPr>
            <w:r>
              <w:rPr>
                <w:rFonts w:ascii="Arial" w:eastAsia="Times New Roman" w:hAnsi="Arial" w:cs="Arial"/>
                <w:color w:val="000000"/>
                <w:sz w:val="20"/>
                <w:szCs w:val="20"/>
              </w:rPr>
              <w:t>Interest rate swaps</w:t>
            </w:r>
          </w:p>
        </w:tc>
        <w:tc>
          <w:tcPr>
            <w:tcW w:w="0" w:type="auto"/>
            <w:gridSpan w:val="2"/>
            <w:shd w:val="clear" w:color="auto" w:fill="FFFFFF"/>
            <w:tcMar>
              <w:top w:w="30" w:type="dxa"/>
              <w:left w:w="20" w:type="dxa"/>
              <w:bottom w:w="30" w:type="dxa"/>
              <w:right w:w="0" w:type="dxa"/>
            </w:tcMar>
            <w:vAlign w:val="bottom"/>
            <w:hideMark/>
          </w:tcPr>
          <w:p w14:paraId="54075695" w14:textId="77777777" w:rsidR="00000000" w:rsidRDefault="001D0688">
            <w:pPr>
              <w:jc w:val="right"/>
              <w:rPr>
                <w:rFonts w:eastAsia="Times New Roman"/>
              </w:rPr>
            </w:pPr>
            <w:r>
              <w:rPr>
                <w:rFonts w:ascii="Arial" w:eastAsia="Times New Roman" w:hAnsi="Arial" w:cs="Arial"/>
                <w:color w:val="000000"/>
                <w:sz w:val="20"/>
                <w:szCs w:val="20"/>
              </w:rPr>
              <w:t>(7.6)</w:t>
            </w:r>
          </w:p>
        </w:tc>
        <w:tc>
          <w:tcPr>
            <w:tcW w:w="0" w:type="auto"/>
            <w:shd w:val="clear" w:color="auto" w:fill="FFFFFF"/>
            <w:tcMar>
              <w:top w:w="30" w:type="dxa"/>
              <w:left w:w="0" w:type="dxa"/>
              <w:bottom w:w="30" w:type="dxa"/>
              <w:right w:w="20" w:type="dxa"/>
            </w:tcMar>
            <w:vAlign w:val="bottom"/>
            <w:hideMark/>
          </w:tcPr>
          <w:p w14:paraId="38916E9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C763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0E4C5" w14:textId="77777777" w:rsidR="00000000" w:rsidRDefault="001D0688">
            <w:pPr>
              <w:jc w:val="right"/>
              <w:rPr>
                <w:rFonts w:eastAsia="Times New Roman"/>
              </w:rPr>
            </w:pPr>
            <w:r>
              <w:rPr>
                <w:rFonts w:ascii="Arial" w:eastAsia="Times New Roman" w:hAnsi="Arial" w:cs="Arial"/>
                <w:color w:val="000000"/>
                <w:sz w:val="20"/>
                <w:szCs w:val="20"/>
              </w:rPr>
              <w:t>(22.4)</w:t>
            </w:r>
          </w:p>
        </w:tc>
        <w:tc>
          <w:tcPr>
            <w:tcW w:w="0" w:type="auto"/>
            <w:shd w:val="clear" w:color="auto" w:fill="FFFFFF"/>
            <w:tcMar>
              <w:top w:w="30" w:type="dxa"/>
              <w:left w:w="0" w:type="dxa"/>
              <w:bottom w:w="30" w:type="dxa"/>
              <w:right w:w="20" w:type="dxa"/>
            </w:tcMar>
            <w:vAlign w:val="bottom"/>
            <w:hideMark/>
          </w:tcPr>
          <w:p w14:paraId="1E350E8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BAE1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D22F53" w14:textId="77777777" w:rsidR="00000000" w:rsidRDefault="001D0688">
            <w:pPr>
              <w:jc w:val="right"/>
              <w:rPr>
                <w:rFonts w:eastAsia="Times New Roman"/>
              </w:rPr>
            </w:pPr>
            <w:r>
              <w:rPr>
                <w:rFonts w:ascii="Arial" w:eastAsia="Times New Roman" w:hAnsi="Arial" w:cs="Arial"/>
                <w:color w:val="000000"/>
                <w:sz w:val="20"/>
                <w:szCs w:val="20"/>
              </w:rPr>
              <w:t>21.9 </w:t>
            </w:r>
          </w:p>
        </w:tc>
        <w:tc>
          <w:tcPr>
            <w:tcW w:w="0" w:type="auto"/>
            <w:shd w:val="clear" w:color="auto" w:fill="FFFFFF"/>
            <w:tcMar>
              <w:top w:w="30" w:type="dxa"/>
              <w:left w:w="0" w:type="dxa"/>
              <w:bottom w:w="30" w:type="dxa"/>
              <w:right w:w="20" w:type="dxa"/>
            </w:tcMar>
            <w:vAlign w:val="bottom"/>
            <w:hideMark/>
          </w:tcPr>
          <w:p w14:paraId="656E58F1" w14:textId="77777777" w:rsidR="00000000" w:rsidRDefault="001D0688">
            <w:pPr>
              <w:jc w:val="right"/>
              <w:rPr>
                <w:rFonts w:eastAsia="Times New Roman"/>
              </w:rPr>
            </w:pPr>
          </w:p>
        </w:tc>
      </w:tr>
      <w:tr w:rsidR="00000000" w14:paraId="589BA55C" w14:textId="77777777">
        <w:trPr>
          <w:divId w:val="1552351897"/>
          <w:jc w:val="center"/>
        </w:trPr>
        <w:tc>
          <w:tcPr>
            <w:tcW w:w="0" w:type="auto"/>
            <w:gridSpan w:val="3"/>
            <w:shd w:val="clear" w:color="auto" w:fill="DCE2EF"/>
            <w:tcMar>
              <w:top w:w="30" w:type="dxa"/>
              <w:left w:w="380" w:type="dxa"/>
              <w:bottom w:w="30" w:type="dxa"/>
              <w:right w:w="20" w:type="dxa"/>
            </w:tcMar>
            <w:vAlign w:val="bottom"/>
            <w:hideMark/>
          </w:tcPr>
          <w:p w14:paraId="08CAC036" w14:textId="77777777" w:rsidR="00000000" w:rsidRDefault="001D0688">
            <w:pPr>
              <w:rPr>
                <w:rFonts w:eastAsia="Times New Roman"/>
              </w:rPr>
            </w:pPr>
            <w:r>
              <w:rPr>
                <w:rFonts w:ascii="Arial" w:eastAsia="Times New Roman" w:hAnsi="Arial" w:cs="Arial"/>
                <w:color w:val="000000"/>
                <w:sz w:val="20"/>
                <w:szCs w:val="20"/>
              </w:rPr>
              <w:t>Foreign currency translation and other</w:t>
            </w:r>
          </w:p>
        </w:tc>
        <w:tc>
          <w:tcPr>
            <w:tcW w:w="0" w:type="auto"/>
            <w:gridSpan w:val="2"/>
            <w:shd w:val="clear" w:color="auto" w:fill="DCE2EF"/>
            <w:tcMar>
              <w:top w:w="30" w:type="dxa"/>
              <w:left w:w="20" w:type="dxa"/>
              <w:bottom w:w="30" w:type="dxa"/>
              <w:right w:w="0" w:type="dxa"/>
            </w:tcMar>
            <w:vAlign w:val="bottom"/>
            <w:hideMark/>
          </w:tcPr>
          <w:p w14:paraId="653C919C" w14:textId="77777777" w:rsidR="00000000" w:rsidRDefault="001D0688">
            <w:pPr>
              <w:jc w:val="right"/>
              <w:rPr>
                <w:rFonts w:eastAsia="Times New Roman"/>
              </w:rPr>
            </w:pPr>
            <w:r>
              <w:rPr>
                <w:rFonts w:ascii="Arial" w:eastAsia="Times New Roman" w:hAnsi="Arial" w:cs="Arial"/>
                <w:color w:val="000000"/>
                <w:sz w:val="20"/>
                <w:szCs w:val="20"/>
              </w:rPr>
              <w:t>(1.8)</w:t>
            </w:r>
          </w:p>
        </w:tc>
        <w:tc>
          <w:tcPr>
            <w:tcW w:w="0" w:type="auto"/>
            <w:shd w:val="clear" w:color="auto" w:fill="DCE2EF"/>
            <w:tcMar>
              <w:top w:w="30" w:type="dxa"/>
              <w:left w:w="0" w:type="dxa"/>
              <w:bottom w:w="30" w:type="dxa"/>
              <w:right w:w="20" w:type="dxa"/>
            </w:tcMar>
            <w:vAlign w:val="bottom"/>
            <w:hideMark/>
          </w:tcPr>
          <w:p w14:paraId="5FAAFE2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E4773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BDF4B7" w14:textId="77777777" w:rsidR="00000000" w:rsidRDefault="001D0688">
            <w:pPr>
              <w:jc w:val="right"/>
              <w:rPr>
                <w:rFonts w:eastAsia="Times New Roman"/>
              </w:rPr>
            </w:pPr>
            <w:r>
              <w:rPr>
                <w:rFonts w:ascii="Arial" w:eastAsia="Times New Roman" w:hAnsi="Arial" w:cs="Arial"/>
                <w:color w:val="000000"/>
                <w:sz w:val="20"/>
                <w:szCs w:val="20"/>
              </w:rPr>
              <w:t>1.6 </w:t>
            </w:r>
          </w:p>
        </w:tc>
        <w:tc>
          <w:tcPr>
            <w:tcW w:w="0" w:type="auto"/>
            <w:shd w:val="clear" w:color="auto" w:fill="DCE2EF"/>
            <w:tcMar>
              <w:top w:w="30" w:type="dxa"/>
              <w:left w:w="0" w:type="dxa"/>
              <w:bottom w:w="30" w:type="dxa"/>
              <w:right w:w="20" w:type="dxa"/>
            </w:tcMar>
            <w:vAlign w:val="bottom"/>
            <w:hideMark/>
          </w:tcPr>
          <w:p w14:paraId="1261B66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9F171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457687" w14:textId="77777777" w:rsidR="00000000" w:rsidRDefault="001D0688">
            <w:pPr>
              <w:jc w:val="right"/>
              <w:rPr>
                <w:rFonts w:eastAsia="Times New Roman"/>
              </w:rPr>
            </w:pPr>
            <w:r>
              <w:rPr>
                <w:rFonts w:ascii="Arial" w:eastAsia="Times New Roman" w:hAnsi="Arial" w:cs="Arial"/>
                <w:color w:val="000000"/>
                <w:sz w:val="20"/>
                <w:szCs w:val="20"/>
              </w:rPr>
              <w:t>(4.7)</w:t>
            </w:r>
          </w:p>
        </w:tc>
        <w:tc>
          <w:tcPr>
            <w:tcW w:w="0" w:type="auto"/>
            <w:shd w:val="clear" w:color="auto" w:fill="DCE2EF"/>
            <w:tcMar>
              <w:top w:w="30" w:type="dxa"/>
              <w:left w:w="0" w:type="dxa"/>
              <w:bottom w:w="30" w:type="dxa"/>
              <w:right w:w="20" w:type="dxa"/>
            </w:tcMar>
            <w:vAlign w:val="bottom"/>
            <w:hideMark/>
          </w:tcPr>
          <w:p w14:paraId="3EE0FECC" w14:textId="77777777" w:rsidR="00000000" w:rsidRDefault="001D0688">
            <w:pPr>
              <w:jc w:val="right"/>
              <w:rPr>
                <w:rFonts w:eastAsia="Times New Roman"/>
              </w:rPr>
            </w:pPr>
          </w:p>
        </w:tc>
      </w:tr>
      <w:tr w:rsidR="00000000" w14:paraId="21FE877A" w14:textId="77777777">
        <w:trPr>
          <w:divId w:val="1552351897"/>
          <w:jc w:val="center"/>
        </w:trPr>
        <w:tc>
          <w:tcPr>
            <w:tcW w:w="0" w:type="auto"/>
            <w:gridSpan w:val="3"/>
            <w:shd w:val="clear" w:color="auto" w:fill="FFFFFF"/>
            <w:tcMar>
              <w:top w:w="30" w:type="dxa"/>
              <w:left w:w="380" w:type="dxa"/>
              <w:bottom w:w="30" w:type="dxa"/>
              <w:right w:w="20" w:type="dxa"/>
            </w:tcMar>
            <w:vAlign w:val="bottom"/>
            <w:hideMark/>
          </w:tcPr>
          <w:p w14:paraId="66239EAD" w14:textId="77777777" w:rsidR="00000000" w:rsidRDefault="001D0688">
            <w:pPr>
              <w:rPr>
                <w:rFonts w:eastAsia="Times New Roman"/>
              </w:rPr>
            </w:pPr>
            <w:r>
              <w:rPr>
                <w:rFonts w:ascii="Arial" w:eastAsia="Times New Roman" w:hAnsi="Arial" w:cs="Arial"/>
                <w:color w:val="000000"/>
                <w:sz w:val="20"/>
                <w:szCs w:val="20"/>
              </w:rPr>
              <w:t>Income tax benefit (provision)</w:t>
            </w:r>
          </w:p>
        </w:tc>
        <w:tc>
          <w:tcPr>
            <w:tcW w:w="0" w:type="auto"/>
            <w:gridSpan w:val="2"/>
            <w:shd w:val="clear" w:color="auto" w:fill="FFFFFF"/>
            <w:tcMar>
              <w:top w:w="30" w:type="dxa"/>
              <w:left w:w="20" w:type="dxa"/>
              <w:bottom w:w="30" w:type="dxa"/>
              <w:right w:w="0" w:type="dxa"/>
            </w:tcMar>
            <w:vAlign w:val="bottom"/>
            <w:hideMark/>
          </w:tcPr>
          <w:p w14:paraId="7F8B2E08" w14:textId="77777777" w:rsidR="00000000" w:rsidRDefault="001D0688">
            <w:pPr>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14:paraId="1971EB4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C051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3C3EB0" w14:textId="77777777" w:rsidR="00000000" w:rsidRDefault="001D0688">
            <w:pPr>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14:paraId="253DBF0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6484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EE836" w14:textId="77777777" w:rsidR="00000000" w:rsidRDefault="001D0688">
            <w:pPr>
              <w:jc w:val="right"/>
              <w:rPr>
                <w:rFonts w:eastAsia="Times New Roman"/>
              </w:rPr>
            </w:pPr>
            <w:r>
              <w:rPr>
                <w:rFonts w:ascii="Arial" w:eastAsia="Times New Roman" w:hAnsi="Arial" w:cs="Arial"/>
                <w:color w:val="000000"/>
                <w:sz w:val="20"/>
                <w:szCs w:val="20"/>
              </w:rPr>
              <w:t>(5.9)</w:t>
            </w:r>
          </w:p>
        </w:tc>
        <w:tc>
          <w:tcPr>
            <w:tcW w:w="0" w:type="auto"/>
            <w:shd w:val="clear" w:color="auto" w:fill="FFFFFF"/>
            <w:tcMar>
              <w:top w:w="30" w:type="dxa"/>
              <w:left w:w="0" w:type="dxa"/>
              <w:bottom w:w="30" w:type="dxa"/>
              <w:right w:w="20" w:type="dxa"/>
            </w:tcMar>
            <w:vAlign w:val="bottom"/>
            <w:hideMark/>
          </w:tcPr>
          <w:p w14:paraId="123F5076" w14:textId="77777777" w:rsidR="00000000" w:rsidRDefault="001D0688">
            <w:pPr>
              <w:jc w:val="right"/>
              <w:rPr>
                <w:rFonts w:eastAsia="Times New Roman"/>
              </w:rPr>
            </w:pPr>
          </w:p>
        </w:tc>
      </w:tr>
      <w:tr w:rsidR="00000000" w14:paraId="0B0485A2" w14:textId="77777777">
        <w:trPr>
          <w:divId w:val="1552351897"/>
          <w:jc w:val="center"/>
        </w:trPr>
        <w:tc>
          <w:tcPr>
            <w:tcW w:w="0" w:type="auto"/>
            <w:gridSpan w:val="3"/>
            <w:shd w:val="clear" w:color="auto" w:fill="DCE2EF"/>
            <w:tcMar>
              <w:top w:w="30" w:type="dxa"/>
              <w:left w:w="20" w:type="dxa"/>
              <w:bottom w:w="30" w:type="dxa"/>
              <w:right w:w="20" w:type="dxa"/>
            </w:tcMar>
            <w:vAlign w:val="bottom"/>
            <w:hideMark/>
          </w:tcPr>
          <w:p w14:paraId="3CA0072C" w14:textId="77777777" w:rsidR="00000000" w:rsidRDefault="001D0688">
            <w:pPr>
              <w:rPr>
                <w:rFonts w:eastAsia="Times New Roman"/>
              </w:rPr>
            </w:pPr>
            <w:r>
              <w:rPr>
                <w:rFonts w:ascii="Arial" w:eastAsia="Times New Roman" w:hAnsi="Arial" w:cs="Arial"/>
                <w:b/>
                <w:bCs/>
                <w:color w:val="000000"/>
                <w:sz w:val="20"/>
                <w:szCs w:val="20"/>
              </w:rPr>
              <w:t>Comprehensive (loss)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23FF12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A129080" w14:textId="77777777" w:rsidR="00000000" w:rsidRDefault="001D0688">
            <w:pPr>
              <w:jc w:val="right"/>
              <w:rPr>
                <w:rFonts w:eastAsia="Times New Roman"/>
              </w:rPr>
            </w:pPr>
            <w:r>
              <w:rPr>
                <w:rFonts w:ascii="Arial" w:eastAsia="Times New Roman" w:hAnsi="Arial" w:cs="Arial"/>
                <w:color w:val="000000"/>
                <w:sz w:val="20"/>
                <w:szCs w:val="20"/>
              </w:rPr>
              <w:t>(6.6)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53E4E9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5A241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7275E6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C5D32F2" w14:textId="77777777" w:rsidR="00000000" w:rsidRDefault="001D0688">
            <w:pPr>
              <w:jc w:val="right"/>
              <w:rPr>
                <w:rFonts w:eastAsia="Times New Roman"/>
              </w:rPr>
            </w:pPr>
            <w:r>
              <w:rPr>
                <w:rFonts w:ascii="Arial" w:eastAsia="Times New Roman" w:hAnsi="Arial" w:cs="Arial"/>
                <w:color w:val="000000"/>
                <w:sz w:val="20"/>
                <w:szCs w:val="20"/>
              </w:rPr>
              <w:t>112.5 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E7827C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9A200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DCAC11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65EA3CA" w14:textId="77777777" w:rsidR="00000000" w:rsidRDefault="001D0688">
            <w:pPr>
              <w:jc w:val="right"/>
              <w:rPr>
                <w:rFonts w:eastAsia="Times New Roman"/>
              </w:rPr>
            </w:pPr>
            <w:r>
              <w:rPr>
                <w:rFonts w:ascii="Arial" w:eastAsia="Times New Roman" w:hAnsi="Arial" w:cs="Arial"/>
                <w:color w:val="000000"/>
                <w:sz w:val="20"/>
                <w:szCs w:val="20"/>
              </w:rPr>
              <w:t>109.0 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7BE4FB3" w14:textId="77777777" w:rsidR="00000000" w:rsidRDefault="001D0688">
            <w:pPr>
              <w:jc w:val="right"/>
              <w:rPr>
                <w:rFonts w:eastAsia="Times New Roman"/>
              </w:rPr>
            </w:pPr>
          </w:p>
        </w:tc>
      </w:tr>
      <w:tr w:rsidR="00000000" w14:paraId="5EBDFDDC"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47875824" w14:textId="77777777" w:rsidR="00000000" w:rsidRDefault="001D0688">
            <w:pPr>
              <w:divId w:val="1440759978"/>
              <w:rPr>
                <w:rFonts w:eastAsia="Times New Roman"/>
              </w:rPr>
            </w:pPr>
            <w:r>
              <w:rPr>
                <w:rFonts w:ascii="Arial" w:eastAsia="Times New Roman" w:hAnsi="Arial" w:cs="Arial"/>
                <w:b/>
                <w:bCs/>
                <w:color w:val="000000"/>
                <w:sz w:val="20"/>
                <w:szCs w:val="20"/>
              </w:rPr>
              <w:t xml:space="preserve">Net income per common share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Basic</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4D3113"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07121"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E0E6E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077660"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5512C5" w14:textId="77777777" w:rsidR="00000000" w:rsidRDefault="001D0688">
            <w:pPr>
              <w:rPr>
                <w:rFonts w:eastAsia="Times New Roman"/>
                <w:sz w:val="20"/>
                <w:szCs w:val="20"/>
              </w:rPr>
            </w:pPr>
          </w:p>
        </w:tc>
      </w:tr>
      <w:tr w:rsidR="00000000" w14:paraId="6861C683" w14:textId="77777777">
        <w:trPr>
          <w:divId w:val="1552351897"/>
          <w:jc w:val="center"/>
        </w:trPr>
        <w:tc>
          <w:tcPr>
            <w:tcW w:w="0" w:type="auto"/>
            <w:gridSpan w:val="3"/>
            <w:shd w:val="clear" w:color="auto" w:fill="DCE2EF"/>
            <w:tcMar>
              <w:top w:w="30" w:type="dxa"/>
              <w:left w:w="380" w:type="dxa"/>
              <w:bottom w:w="30" w:type="dxa"/>
              <w:right w:w="20" w:type="dxa"/>
            </w:tcMar>
            <w:vAlign w:val="bottom"/>
            <w:hideMark/>
          </w:tcPr>
          <w:p w14:paraId="39C0C926"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14:paraId="33F183A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35591FC"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14:paraId="14CE605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52C3BE"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E2C3D9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242D2F2" w14:textId="77777777" w:rsidR="00000000" w:rsidRDefault="001D0688">
            <w:pPr>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14:paraId="78A35DA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4C1A3F"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3897A93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D449EDE" w14:textId="77777777" w:rsidR="00000000" w:rsidRDefault="001D0688">
            <w:pPr>
              <w:jc w:val="right"/>
              <w:rPr>
                <w:rFonts w:eastAsia="Times New Roman"/>
              </w:rPr>
            </w:pPr>
            <w:r>
              <w:rPr>
                <w:rFonts w:ascii="Arial" w:eastAsia="Times New Roman" w:hAnsi="Arial" w:cs="Arial"/>
                <w:color w:val="000000"/>
                <w:sz w:val="20"/>
                <w:szCs w:val="20"/>
              </w:rPr>
              <w:t>1.45 </w:t>
            </w:r>
          </w:p>
        </w:tc>
        <w:tc>
          <w:tcPr>
            <w:tcW w:w="0" w:type="auto"/>
            <w:shd w:val="clear" w:color="auto" w:fill="DCE2EF"/>
            <w:tcMar>
              <w:top w:w="30" w:type="dxa"/>
              <w:left w:w="0" w:type="dxa"/>
              <w:bottom w:w="30" w:type="dxa"/>
              <w:right w:w="20" w:type="dxa"/>
            </w:tcMar>
            <w:vAlign w:val="bottom"/>
            <w:hideMark/>
          </w:tcPr>
          <w:p w14:paraId="3C8F8157" w14:textId="77777777" w:rsidR="00000000" w:rsidRDefault="001D0688">
            <w:pPr>
              <w:jc w:val="right"/>
              <w:rPr>
                <w:rFonts w:eastAsia="Times New Roman"/>
              </w:rPr>
            </w:pPr>
          </w:p>
        </w:tc>
      </w:tr>
      <w:tr w:rsidR="00000000" w14:paraId="25EF3993" w14:textId="77777777">
        <w:trPr>
          <w:divId w:val="1552351897"/>
          <w:jc w:val="center"/>
        </w:trPr>
        <w:tc>
          <w:tcPr>
            <w:tcW w:w="0" w:type="auto"/>
            <w:gridSpan w:val="3"/>
            <w:shd w:val="clear" w:color="auto" w:fill="FFFFFF"/>
            <w:tcMar>
              <w:top w:w="30" w:type="dxa"/>
              <w:left w:w="380" w:type="dxa"/>
              <w:bottom w:w="30" w:type="dxa"/>
              <w:right w:w="20" w:type="dxa"/>
            </w:tcMar>
            <w:vAlign w:val="bottom"/>
            <w:hideMark/>
          </w:tcPr>
          <w:p w14:paraId="0A097C9D"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14:paraId="28FE5187"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F8A6E4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46EA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601F6"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E863FE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4DDBA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1717B" w14:textId="77777777" w:rsidR="00000000" w:rsidRDefault="001D0688">
            <w:pPr>
              <w:jc w:val="right"/>
              <w:rPr>
                <w:rFonts w:eastAsia="Times New Roman"/>
              </w:rPr>
            </w:pPr>
            <w:r>
              <w:rPr>
                <w:rFonts w:ascii="Arial" w:eastAsia="Times New Roman" w:hAnsi="Arial" w:cs="Arial"/>
                <w:color w:val="000000"/>
                <w:sz w:val="20"/>
                <w:szCs w:val="20"/>
              </w:rPr>
              <w:t>0.03 </w:t>
            </w:r>
          </w:p>
        </w:tc>
        <w:tc>
          <w:tcPr>
            <w:tcW w:w="0" w:type="auto"/>
            <w:shd w:val="clear" w:color="auto" w:fill="FFFFFF"/>
            <w:tcMar>
              <w:top w:w="30" w:type="dxa"/>
              <w:left w:w="0" w:type="dxa"/>
              <w:bottom w:w="30" w:type="dxa"/>
              <w:right w:w="20" w:type="dxa"/>
            </w:tcMar>
            <w:vAlign w:val="bottom"/>
            <w:hideMark/>
          </w:tcPr>
          <w:p w14:paraId="619B82A1" w14:textId="77777777" w:rsidR="00000000" w:rsidRDefault="001D0688">
            <w:pPr>
              <w:jc w:val="right"/>
              <w:rPr>
                <w:rFonts w:eastAsia="Times New Roman"/>
              </w:rPr>
            </w:pPr>
          </w:p>
        </w:tc>
      </w:tr>
      <w:tr w:rsidR="00000000" w14:paraId="2C92A2A8" w14:textId="77777777">
        <w:trPr>
          <w:divId w:val="1552351897"/>
          <w:jc w:val="center"/>
        </w:trPr>
        <w:tc>
          <w:tcPr>
            <w:tcW w:w="0" w:type="auto"/>
            <w:gridSpan w:val="3"/>
            <w:shd w:val="clear" w:color="auto" w:fill="DCE2EF"/>
            <w:tcMar>
              <w:top w:w="30" w:type="dxa"/>
              <w:left w:w="380" w:type="dxa"/>
              <w:bottom w:w="30" w:type="dxa"/>
              <w:right w:w="20" w:type="dxa"/>
            </w:tcMar>
            <w:vAlign w:val="bottom"/>
            <w:hideMark/>
          </w:tcPr>
          <w:p w14:paraId="65808322"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E339B2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CD4CF6F"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26B71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4B624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206CF2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4516CE" w14:textId="77777777" w:rsidR="00000000" w:rsidRDefault="001D0688">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788B34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53995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C2E8EE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12DD84A" w14:textId="77777777" w:rsidR="00000000" w:rsidRDefault="001D0688">
            <w:pPr>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6CF5F95" w14:textId="77777777" w:rsidR="00000000" w:rsidRDefault="001D0688">
            <w:pPr>
              <w:jc w:val="right"/>
              <w:rPr>
                <w:rFonts w:eastAsia="Times New Roman"/>
              </w:rPr>
            </w:pPr>
          </w:p>
        </w:tc>
      </w:tr>
      <w:tr w:rsidR="00000000" w14:paraId="79E6154E"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1076E478" w14:textId="77777777" w:rsidR="00000000" w:rsidRDefault="001D0688">
            <w:pPr>
              <w:divId w:val="1279989118"/>
              <w:rPr>
                <w:rFonts w:eastAsia="Times New Roman"/>
              </w:rPr>
            </w:pPr>
            <w:r>
              <w:rPr>
                <w:rFonts w:ascii="Arial" w:eastAsia="Times New Roman" w:hAnsi="Arial" w:cs="Arial"/>
                <w:b/>
                <w:bCs/>
                <w:color w:val="000000"/>
                <w:sz w:val="20"/>
                <w:szCs w:val="20"/>
              </w:rPr>
              <w:t xml:space="preserve">Net income per common share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27967A"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499B7"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49E1B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63FF79"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4C7309" w14:textId="77777777" w:rsidR="00000000" w:rsidRDefault="001D0688">
            <w:pPr>
              <w:rPr>
                <w:rFonts w:eastAsia="Times New Roman"/>
                <w:sz w:val="20"/>
                <w:szCs w:val="20"/>
              </w:rPr>
            </w:pPr>
          </w:p>
        </w:tc>
      </w:tr>
      <w:tr w:rsidR="00000000" w14:paraId="276FFB41" w14:textId="77777777">
        <w:trPr>
          <w:divId w:val="1552351897"/>
          <w:jc w:val="center"/>
        </w:trPr>
        <w:tc>
          <w:tcPr>
            <w:tcW w:w="0" w:type="auto"/>
            <w:gridSpan w:val="3"/>
            <w:shd w:val="clear" w:color="auto" w:fill="DCE2EF"/>
            <w:tcMar>
              <w:top w:w="30" w:type="dxa"/>
              <w:left w:w="380" w:type="dxa"/>
              <w:bottom w:w="30" w:type="dxa"/>
              <w:right w:w="20" w:type="dxa"/>
            </w:tcMar>
            <w:vAlign w:val="bottom"/>
            <w:hideMark/>
          </w:tcPr>
          <w:p w14:paraId="0ACC470D"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14:paraId="59CE7EF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1EA6B67"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14:paraId="792730C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87EEE7"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CE50A3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9C64C15" w14:textId="77777777" w:rsidR="00000000" w:rsidRDefault="001D0688">
            <w:pPr>
              <w:jc w:val="right"/>
              <w:rPr>
                <w:rFonts w:eastAsia="Times New Roman"/>
              </w:rPr>
            </w:pPr>
            <w:r>
              <w:rPr>
                <w:rFonts w:ascii="Arial" w:eastAsia="Times New Roman" w:hAnsi="Arial" w:cs="Arial"/>
                <w:color w:val="000000"/>
                <w:sz w:val="20"/>
                <w:szCs w:val="20"/>
              </w:rPr>
              <w:t>1.91 </w:t>
            </w:r>
          </w:p>
        </w:tc>
        <w:tc>
          <w:tcPr>
            <w:tcW w:w="0" w:type="auto"/>
            <w:shd w:val="clear" w:color="auto" w:fill="DCE2EF"/>
            <w:tcMar>
              <w:top w:w="30" w:type="dxa"/>
              <w:left w:w="0" w:type="dxa"/>
              <w:bottom w:w="30" w:type="dxa"/>
              <w:right w:w="20" w:type="dxa"/>
            </w:tcMar>
            <w:vAlign w:val="bottom"/>
            <w:hideMark/>
          </w:tcPr>
          <w:p w14:paraId="176182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D8E756"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62F788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62EB16D" w14:textId="77777777" w:rsidR="00000000" w:rsidRDefault="001D0688">
            <w:pPr>
              <w:jc w:val="right"/>
              <w:rPr>
                <w:rFonts w:eastAsia="Times New Roman"/>
              </w:rPr>
            </w:pPr>
            <w:r>
              <w:rPr>
                <w:rFonts w:ascii="Arial" w:eastAsia="Times New Roman" w:hAnsi="Arial" w:cs="Arial"/>
                <w:color w:val="000000"/>
                <w:sz w:val="20"/>
                <w:szCs w:val="20"/>
              </w:rPr>
              <w:t>1.45 </w:t>
            </w:r>
          </w:p>
        </w:tc>
        <w:tc>
          <w:tcPr>
            <w:tcW w:w="0" w:type="auto"/>
            <w:shd w:val="clear" w:color="auto" w:fill="DCE2EF"/>
            <w:tcMar>
              <w:top w:w="30" w:type="dxa"/>
              <w:left w:w="0" w:type="dxa"/>
              <w:bottom w:w="30" w:type="dxa"/>
              <w:right w:w="20" w:type="dxa"/>
            </w:tcMar>
            <w:vAlign w:val="bottom"/>
            <w:hideMark/>
          </w:tcPr>
          <w:p w14:paraId="48595DCA" w14:textId="77777777" w:rsidR="00000000" w:rsidRDefault="001D0688">
            <w:pPr>
              <w:jc w:val="right"/>
              <w:rPr>
                <w:rFonts w:eastAsia="Times New Roman"/>
              </w:rPr>
            </w:pPr>
          </w:p>
        </w:tc>
      </w:tr>
      <w:tr w:rsidR="00000000" w14:paraId="48C1F4C6" w14:textId="77777777">
        <w:trPr>
          <w:divId w:val="1552351897"/>
          <w:jc w:val="center"/>
        </w:trPr>
        <w:tc>
          <w:tcPr>
            <w:tcW w:w="0" w:type="auto"/>
            <w:gridSpan w:val="3"/>
            <w:shd w:val="clear" w:color="auto" w:fill="FFFFFF"/>
            <w:tcMar>
              <w:top w:w="30" w:type="dxa"/>
              <w:left w:w="380" w:type="dxa"/>
              <w:bottom w:w="30" w:type="dxa"/>
              <w:right w:w="20" w:type="dxa"/>
            </w:tcMar>
            <w:vAlign w:val="bottom"/>
            <w:hideMark/>
          </w:tcPr>
          <w:p w14:paraId="0E06C389"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14:paraId="348806DB"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17BE03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583F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43003"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2A2AD0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5638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8E8EB" w14:textId="77777777" w:rsidR="00000000" w:rsidRDefault="001D0688">
            <w:pPr>
              <w:jc w:val="right"/>
              <w:rPr>
                <w:rFonts w:eastAsia="Times New Roman"/>
              </w:rPr>
            </w:pPr>
            <w:r>
              <w:rPr>
                <w:rFonts w:ascii="Arial" w:eastAsia="Times New Roman" w:hAnsi="Arial" w:cs="Arial"/>
                <w:color w:val="000000"/>
                <w:sz w:val="20"/>
                <w:szCs w:val="20"/>
              </w:rPr>
              <w:t>0.03 </w:t>
            </w:r>
          </w:p>
        </w:tc>
        <w:tc>
          <w:tcPr>
            <w:tcW w:w="0" w:type="auto"/>
            <w:shd w:val="clear" w:color="auto" w:fill="FFFFFF"/>
            <w:tcMar>
              <w:top w:w="30" w:type="dxa"/>
              <w:left w:w="0" w:type="dxa"/>
              <w:bottom w:w="30" w:type="dxa"/>
              <w:right w:w="20" w:type="dxa"/>
            </w:tcMar>
            <w:vAlign w:val="bottom"/>
            <w:hideMark/>
          </w:tcPr>
          <w:p w14:paraId="4BEC7143" w14:textId="77777777" w:rsidR="00000000" w:rsidRDefault="001D0688">
            <w:pPr>
              <w:jc w:val="right"/>
              <w:rPr>
                <w:rFonts w:eastAsia="Times New Roman"/>
              </w:rPr>
            </w:pPr>
          </w:p>
        </w:tc>
      </w:tr>
      <w:tr w:rsidR="00000000" w14:paraId="56167E01" w14:textId="77777777">
        <w:trPr>
          <w:divId w:val="1552351897"/>
          <w:jc w:val="center"/>
        </w:trPr>
        <w:tc>
          <w:tcPr>
            <w:tcW w:w="0" w:type="auto"/>
            <w:gridSpan w:val="3"/>
            <w:shd w:val="clear" w:color="auto" w:fill="DCE2EF"/>
            <w:tcMar>
              <w:top w:w="30" w:type="dxa"/>
              <w:left w:w="380" w:type="dxa"/>
              <w:bottom w:w="30" w:type="dxa"/>
              <w:right w:w="20" w:type="dxa"/>
            </w:tcMar>
            <w:vAlign w:val="bottom"/>
            <w:hideMark/>
          </w:tcPr>
          <w:p w14:paraId="53D83D2D"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9AFBAB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59BEB3B"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9C18F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76901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82FD2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336947D" w14:textId="77777777" w:rsidR="00000000" w:rsidRDefault="001D0688">
            <w:pPr>
              <w:jc w:val="right"/>
              <w:rPr>
                <w:rFonts w:eastAsia="Times New Roman"/>
              </w:rPr>
            </w:pPr>
            <w:r>
              <w:rPr>
                <w:rFonts w:ascii="Arial" w:eastAsia="Times New Roman" w:hAnsi="Arial" w:cs="Arial"/>
                <w:color w:val="000000"/>
                <w:sz w:val="20"/>
                <w:szCs w:val="20"/>
              </w:rPr>
              <w:t>1.90 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EB58A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B4BEF6"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B0E910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8DD783B" w14:textId="77777777" w:rsidR="00000000" w:rsidRDefault="001D0688">
            <w:pPr>
              <w:jc w:val="right"/>
              <w:rPr>
                <w:rFonts w:eastAsia="Times New Roman"/>
              </w:rPr>
            </w:pPr>
            <w:r>
              <w:rPr>
                <w:rFonts w:ascii="Arial" w:eastAsia="Times New Roman" w:hAnsi="Arial" w:cs="Arial"/>
                <w:color w:val="000000"/>
                <w:sz w:val="20"/>
                <w:szCs w:val="20"/>
              </w:rPr>
              <w:t>1.47 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5A30FF" w14:textId="77777777" w:rsidR="00000000" w:rsidRDefault="001D0688">
            <w:pPr>
              <w:jc w:val="right"/>
              <w:rPr>
                <w:rFonts w:eastAsia="Times New Roman"/>
              </w:rPr>
            </w:pPr>
          </w:p>
        </w:tc>
      </w:tr>
      <w:tr w:rsidR="00000000" w14:paraId="756912F3" w14:textId="77777777">
        <w:trPr>
          <w:divId w:val="1552351897"/>
          <w:jc w:val="center"/>
        </w:trPr>
        <w:tc>
          <w:tcPr>
            <w:tcW w:w="0" w:type="auto"/>
            <w:gridSpan w:val="3"/>
            <w:shd w:val="clear" w:color="auto" w:fill="FFFFFF"/>
            <w:tcMar>
              <w:top w:w="30" w:type="dxa"/>
              <w:left w:w="20" w:type="dxa"/>
              <w:bottom w:w="30" w:type="dxa"/>
              <w:right w:w="20" w:type="dxa"/>
            </w:tcMar>
            <w:vAlign w:val="bottom"/>
            <w:hideMark/>
          </w:tcPr>
          <w:p w14:paraId="37ECBE43" w14:textId="77777777" w:rsidR="00000000" w:rsidRDefault="001D0688">
            <w:pPr>
              <w:rPr>
                <w:rFonts w:eastAsia="Times New Roman"/>
              </w:rPr>
            </w:pPr>
            <w:r>
              <w:rPr>
                <w:rFonts w:ascii="Arial" w:eastAsia="Times New Roman" w:hAnsi="Arial" w:cs="Arial"/>
                <w:b/>
                <w:bCs/>
                <w:color w:val="000000"/>
                <w:sz w:val="20"/>
                <w:szCs w:val="20"/>
              </w:rPr>
              <w:t xml:space="preserve">Weighted-average common and common </w:t>
            </w:r>
            <w:r>
              <w:rPr>
                <w:rFonts w:ascii="Arial" w:eastAsia="Times New Roman" w:hAnsi="Arial" w:cs="Arial"/>
                <w:b/>
                <w:bCs/>
                <w:color w:val="000000"/>
                <w:sz w:val="20"/>
                <w:szCs w:val="20"/>
              </w:rPr>
              <w:br/>
              <w:t>equivalent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4BD846"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4B74B"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E8851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7DE0A"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1DEF0F" w14:textId="77777777" w:rsidR="00000000" w:rsidRDefault="001D0688">
            <w:pPr>
              <w:rPr>
                <w:rFonts w:eastAsia="Times New Roman"/>
                <w:sz w:val="20"/>
                <w:szCs w:val="20"/>
              </w:rPr>
            </w:pPr>
          </w:p>
        </w:tc>
      </w:tr>
      <w:tr w:rsidR="00000000" w14:paraId="08145D25" w14:textId="77777777">
        <w:trPr>
          <w:divId w:val="1552351897"/>
          <w:jc w:val="center"/>
        </w:trPr>
        <w:tc>
          <w:tcPr>
            <w:tcW w:w="0" w:type="auto"/>
            <w:gridSpan w:val="3"/>
            <w:shd w:val="clear" w:color="auto" w:fill="DCE2EF"/>
            <w:tcMar>
              <w:top w:w="30" w:type="dxa"/>
              <w:left w:w="380" w:type="dxa"/>
              <w:bottom w:w="30" w:type="dxa"/>
              <w:right w:w="20" w:type="dxa"/>
            </w:tcMar>
            <w:vAlign w:val="bottom"/>
            <w:hideMark/>
          </w:tcPr>
          <w:p w14:paraId="5B08E1E5" w14:textId="77777777" w:rsidR="00000000" w:rsidRDefault="001D0688">
            <w:pPr>
              <w:rPr>
                <w:rFonts w:eastAsia="Times New Roman"/>
              </w:rPr>
            </w:pPr>
            <w:r>
              <w:rPr>
                <w:rFonts w:ascii="Arial" w:eastAsia="Times New Roman" w:hAnsi="Arial" w:cs="Arial"/>
                <w:color w:val="000000"/>
                <w:sz w:val="20"/>
                <w:szCs w:val="20"/>
              </w:rPr>
              <w:t>Basic</w:t>
            </w:r>
          </w:p>
        </w:tc>
        <w:tc>
          <w:tcPr>
            <w:tcW w:w="0" w:type="auto"/>
            <w:gridSpan w:val="2"/>
            <w:shd w:val="clear" w:color="auto" w:fill="DCE2EF"/>
            <w:tcMar>
              <w:top w:w="30" w:type="dxa"/>
              <w:left w:w="20" w:type="dxa"/>
              <w:bottom w:w="30" w:type="dxa"/>
              <w:right w:w="0" w:type="dxa"/>
            </w:tcMar>
            <w:vAlign w:val="bottom"/>
            <w:hideMark/>
          </w:tcPr>
          <w:p w14:paraId="7ECF0480" w14:textId="77777777" w:rsidR="00000000" w:rsidRDefault="001D0688">
            <w:pPr>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14:paraId="66EC9B6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13D1C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62D08C" w14:textId="77777777" w:rsidR="00000000" w:rsidRDefault="001D0688">
            <w:pPr>
              <w:jc w:val="right"/>
              <w:rPr>
                <w:rFonts w:eastAsia="Times New Roman"/>
              </w:rPr>
            </w:pPr>
            <w:r>
              <w:rPr>
                <w:rFonts w:ascii="Arial" w:eastAsia="Times New Roman" w:hAnsi="Arial" w:cs="Arial"/>
                <w:color w:val="000000"/>
                <w:sz w:val="20"/>
                <w:szCs w:val="20"/>
              </w:rPr>
              <w:t>66.6 </w:t>
            </w:r>
          </w:p>
        </w:tc>
        <w:tc>
          <w:tcPr>
            <w:tcW w:w="0" w:type="auto"/>
            <w:shd w:val="clear" w:color="auto" w:fill="DCE2EF"/>
            <w:tcMar>
              <w:top w:w="30" w:type="dxa"/>
              <w:left w:w="0" w:type="dxa"/>
              <w:bottom w:w="30" w:type="dxa"/>
              <w:right w:w="20" w:type="dxa"/>
            </w:tcMar>
            <w:vAlign w:val="bottom"/>
            <w:hideMark/>
          </w:tcPr>
          <w:p w14:paraId="5EE7793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22955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C7FA54" w14:textId="77777777" w:rsidR="00000000" w:rsidRDefault="001D0688">
            <w:pPr>
              <w:jc w:val="right"/>
              <w:rPr>
                <w:rFonts w:eastAsia="Times New Roman"/>
              </w:rPr>
            </w:pPr>
            <w:r>
              <w:rPr>
                <w:rFonts w:ascii="Arial" w:eastAsia="Times New Roman" w:hAnsi="Arial" w:cs="Arial"/>
                <w:color w:val="000000"/>
                <w:sz w:val="20"/>
                <w:szCs w:val="20"/>
              </w:rPr>
              <w:t>66.1 </w:t>
            </w:r>
          </w:p>
        </w:tc>
        <w:tc>
          <w:tcPr>
            <w:tcW w:w="0" w:type="auto"/>
            <w:shd w:val="clear" w:color="auto" w:fill="DCE2EF"/>
            <w:tcMar>
              <w:top w:w="30" w:type="dxa"/>
              <w:left w:w="0" w:type="dxa"/>
              <w:bottom w:w="30" w:type="dxa"/>
              <w:right w:w="20" w:type="dxa"/>
            </w:tcMar>
            <w:vAlign w:val="bottom"/>
            <w:hideMark/>
          </w:tcPr>
          <w:p w14:paraId="50DB4C8B" w14:textId="77777777" w:rsidR="00000000" w:rsidRDefault="001D0688">
            <w:pPr>
              <w:jc w:val="right"/>
              <w:rPr>
                <w:rFonts w:eastAsia="Times New Roman"/>
              </w:rPr>
            </w:pPr>
          </w:p>
        </w:tc>
      </w:tr>
      <w:tr w:rsidR="00000000" w14:paraId="77026ECE" w14:textId="77777777">
        <w:trPr>
          <w:divId w:val="1552351897"/>
          <w:jc w:val="center"/>
        </w:trPr>
        <w:tc>
          <w:tcPr>
            <w:tcW w:w="0" w:type="auto"/>
            <w:gridSpan w:val="3"/>
            <w:shd w:val="clear" w:color="auto" w:fill="FFFFFF"/>
            <w:tcMar>
              <w:top w:w="30" w:type="dxa"/>
              <w:left w:w="380" w:type="dxa"/>
              <w:bottom w:w="30" w:type="dxa"/>
              <w:right w:w="20" w:type="dxa"/>
            </w:tcMar>
            <w:vAlign w:val="bottom"/>
            <w:hideMark/>
          </w:tcPr>
          <w:p w14:paraId="10461675" w14:textId="77777777" w:rsidR="00000000" w:rsidRDefault="001D0688">
            <w:pPr>
              <w:rPr>
                <w:rFonts w:eastAsia="Times New Roman"/>
              </w:rPr>
            </w:pPr>
            <w:r>
              <w:rPr>
                <w:rFonts w:ascii="Arial" w:eastAsia="Times New Roman" w:hAnsi="Arial" w:cs="Arial"/>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14:paraId="6BD83AF4" w14:textId="77777777" w:rsidR="00000000" w:rsidRDefault="001D0688">
            <w:pPr>
              <w:jc w:val="right"/>
              <w:rPr>
                <w:rFonts w:eastAsia="Times New Roman"/>
              </w:rPr>
            </w:pPr>
            <w:r>
              <w:rPr>
                <w:rFonts w:ascii="Arial" w:eastAsia="Times New Roman" w:hAnsi="Arial" w:cs="Arial"/>
                <w:color w:val="000000"/>
                <w:sz w:val="20"/>
                <w:szCs w:val="20"/>
              </w:rPr>
              <w:t>67.3 </w:t>
            </w:r>
          </w:p>
        </w:tc>
        <w:tc>
          <w:tcPr>
            <w:tcW w:w="0" w:type="auto"/>
            <w:shd w:val="clear" w:color="auto" w:fill="FFFFFF"/>
            <w:tcMar>
              <w:top w:w="30" w:type="dxa"/>
              <w:left w:w="0" w:type="dxa"/>
              <w:bottom w:w="30" w:type="dxa"/>
              <w:right w:w="20" w:type="dxa"/>
            </w:tcMar>
            <w:vAlign w:val="bottom"/>
            <w:hideMark/>
          </w:tcPr>
          <w:p w14:paraId="615A822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0C29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66803" w14:textId="77777777" w:rsidR="00000000" w:rsidRDefault="001D0688">
            <w:pPr>
              <w:jc w:val="right"/>
              <w:rPr>
                <w:rFonts w:eastAsia="Times New Roman"/>
              </w:rPr>
            </w:pPr>
            <w:r>
              <w:rPr>
                <w:rFonts w:ascii="Arial" w:eastAsia="Times New Roman" w:hAnsi="Arial" w:cs="Arial"/>
                <w:color w:val="000000"/>
                <w:sz w:val="20"/>
                <w:szCs w:val="20"/>
              </w:rPr>
              <w:t>66.9 </w:t>
            </w:r>
          </w:p>
        </w:tc>
        <w:tc>
          <w:tcPr>
            <w:tcW w:w="0" w:type="auto"/>
            <w:shd w:val="clear" w:color="auto" w:fill="FFFFFF"/>
            <w:tcMar>
              <w:top w:w="30" w:type="dxa"/>
              <w:left w:w="0" w:type="dxa"/>
              <w:bottom w:w="30" w:type="dxa"/>
              <w:right w:w="20" w:type="dxa"/>
            </w:tcMar>
            <w:vAlign w:val="bottom"/>
            <w:hideMark/>
          </w:tcPr>
          <w:p w14:paraId="3480FB4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5AC5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223B22" w14:textId="77777777" w:rsidR="00000000" w:rsidRDefault="001D0688">
            <w:pPr>
              <w:jc w:val="right"/>
              <w:rPr>
                <w:rFonts w:eastAsia="Times New Roman"/>
              </w:rPr>
            </w:pPr>
            <w:r>
              <w:rPr>
                <w:rFonts w:ascii="Arial" w:eastAsia="Times New Roman" w:hAnsi="Arial" w:cs="Arial"/>
                <w:color w:val="000000"/>
                <w:sz w:val="20"/>
                <w:szCs w:val="20"/>
              </w:rPr>
              <w:t>66.4 </w:t>
            </w:r>
          </w:p>
        </w:tc>
        <w:tc>
          <w:tcPr>
            <w:tcW w:w="0" w:type="auto"/>
            <w:shd w:val="clear" w:color="auto" w:fill="FFFFFF"/>
            <w:tcMar>
              <w:top w:w="30" w:type="dxa"/>
              <w:left w:w="0" w:type="dxa"/>
              <w:bottom w:w="30" w:type="dxa"/>
              <w:right w:w="20" w:type="dxa"/>
            </w:tcMar>
            <w:vAlign w:val="bottom"/>
            <w:hideMark/>
          </w:tcPr>
          <w:p w14:paraId="35436EE7" w14:textId="77777777" w:rsidR="00000000" w:rsidRDefault="001D0688">
            <w:pPr>
              <w:jc w:val="right"/>
              <w:rPr>
                <w:rFonts w:eastAsia="Times New Roman"/>
              </w:rPr>
            </w:pPr>
          </w:p>
        </w:tc>
      </w:tr>
    </w:tbl>
    <w:p w14:paraId="3361BB57" w14:textId="77777777" w:rsidR="00000000" w:rsidRDefault="001D0688">
      <w:pPr>
        <w:jc w:val="center"/>
        <w:divId w:val="730420886"/>
        <w:rPr>
          <w:rFonts w:eastAsia="Times New Roman"/>
        </w:rPr>
      </w:pPr>
      <w:r>
        <w:rPr>
          <w:rFonts w:ascii="Arial" w:eastAsia="Times New Roman" w:hAnsi="Arial" w:cs="Arial"/>
          <w:color w:val="000000"/>
          <w:sz w:val="20"/>
          <w:szCs w:val="20"/>
        </w:rPr>
        <w:t>See accompanying notes to consolidated financial statements.</w:t>
      </w:r>
    </w:p>
    <w:p w14:paraId="475CBEAA" w14:textId="77777777" w:rsidR="00000000" w:rsidRDefault="001D0688">
      <w:pPr>
        <w:jc w:val="center"/>
        <w:divId w:val="1635721415"/>
        <w:rPr>
          <w:rFonts w:eastAsia="Times New Roman"/>
        </w:rPr>
      </w:pPr>
      <w:r>
        <w:rPr>
          <w:rFonts w:ascii="Arial" w:eastAsia="Times New Roman" w:hAnsi="Arial" w:cs="Arial"/>
          <w:color w:val="000000"/>
          <w:sz w:val="20"/>
          <w:szCs w:val="20"/>
        </w:rPr>
        <w:t>51</w:t>
      </w:r>
    </w:p>
    <w:p w14:paraId="4C0B533A" w14:textId="77777777" w:rsidR="00000000" w:rsidRDefault="001D0688">
      <w:pPr>
        <w:rPr>
          <w:rFonts w:eastAsia="Times New Roman"/>
        </w:rPr>
      </w:pPr>
      <w:r>
        <w:rPr>
          <w:rFonts w:eastAsia="Times New Roman"/>
        </w:rPr>
        <w:pict w14:anchorId="10D680A6">
          <v:rect id="_x0000_i1087" style="width:0;height:1.5pt" o:hralign="center" o:hrstd="t" o:hr="t" fillcolor="#a0a0a0" stroked="f"/>
        </w:pict>
      </w:r>
    </w:p>
    <w:p w14:paraId="6984BF3F" w14:textId="77777777" w:rsidR="00000000" w:rsidRDefault="001D0688">
      <w:pPr>
        <w:divId w:val="1124958104"/>
        <w:rPr>
          <w:rFonts w:eastAsia="Times New Roman"/>
        </w:rPr>
      </w:pPr>
    </w:p>
    <w:p w14:paraId="24A9B24C" w14:textId="77777777" w:rsidR="00000000" w:rsidRDefault="001D0688">
      <w:pPr>
        <w:jc w:val="center"/>
        <w:divId w:val="423113360"/>
        <w:rPr>
          <w:rFonts w:eastAsia="Times New Roman"/>
        </w:rPr>
      </w:pPr>
      <w:r>
        <w:rPr>
          <w:rFonts w:ascii="Arial" w:eastAsia="Times New Roman" w:hAnsi="Arial" w:cs="Arial"/>
          <w:b/>
          <w:bCs/>
          <w:color w:val="0046AD"/>
          <w:sz w:val="20"/>
          <w:szCs w:val="20"/>
        </w:rPr>
        <w:t>ABM INDUSTRIES INCORPORATED AND SUBSIDIARIES</w:t>
      </w:r>
    </w:p>
    <w:p w14:paraId="1D29E25B" w14:textId="77777777" w:rsidR="00000000" w:rsidRDefault="001D0688">
      <w:pPr>
        <w:jc w:val="center"/>
        <w:divId w:val="1333068918"/>
        <w:rPr>
          <w:rFonts w:eastAsia="Times New Roman"/>
        </w:rPr>
      </w:pPr>
      <w:r>
        <w:rPr>
          <w:rFonts w:ascii="Arial" w:eastAsia="Times New Roman" w:hAnsi="Arial" w:cs="Arial"/>
          <w:b/>
          <w:bCs/>
          <w:color w:val="0046AD"/>
          <w:sz w:val="20"/>
          <w:szCs w:val="20"/>
        </w:rPr>
        <w:t xml:space="preserve">CONSOLIDATED STATEMENTS OF STOCKHOLDERS’ EQUITY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3509"/>
        <w:gridCol w:w="40"/>
        <w:gridCol w:w="36"/>
        <w:gridCol w:w="36"/>
        <w:gridCol w:w="36"/>
        <w:gridCol w:w="66"/>
        <w:gridCol w:w="546"/>
        <w:gridCol w:w="36"/>
        <w:gridCol w:w="36"/>
        <w:gridCol w:w="36"/>
        <w:gridCol w:w="36"/>
        <w:gridCol w:w="109"/>
        <w:gridCol w:w="579"/>
        <w:gridCol w:w="36"/>
        <w:gridCol w:w="36"/>
        <w:gridCol w:w="36"/>
        <w:gridCol w:w="36"/>
        <w:gridCol w:w="66"/>
        <w:gridCol w:w="512"/>
        <w:gridCol w:w="36"/>
        <w:gridCol w:w="36"/>
        <w:gridCol w:w="36"/>
        <w:gridCol w:w="36"/>
        <w:gridCol w:w="109"/>
        <w:gridCol w:w="579"/>
        <w:gridCol w:w="36"/>
        <w:gridCol w:w="36"/>
        <w:gridCol w:w="36"/>
        <w:gridCol w:w="36"/>
        <w:gridCol w:w="66"/>
        <w:gridCol w:w="516"/>
        <w:gridCol w:w="36"/>
        <w:gridCol w:w="36"/>
        <w:gridCol w:w="36"/>
        <w:gridCol w:w="36"/>
        <w:gridCol w:w="109"/>
        <w:gridCol w:w="579"/>
        <w:gridCol w:w="36"/>
      </w:tblGrid>
      <w:tr w:rsidR="00000000" w14:paraId="364F2CDE" w14:textId="77777777">
        <w:trPr>
          <w:divId w:val="1692410833"/>
          <w:jc w:val="center"/>
        </w:trPr>
        <w:tc>
          <w:tcPr>
            <w:tcW w:w="50" w:type="pct"/>
            <w:vAlign w:val="center"/>
            <w:hideMark/>
          </w:tcPr>
          <w:p w14:paraId="6ADD813E" w14:textId="77777777" w:rsidR="00000000" w:rsidRDefault="001D0688">
            <w:pPr>
              <w:jc w:val="center"/>
              <w:rPr>
                <w:rFonts w:eastAsia="Times New Roman"/>
              </w:rPr>
            </w:pPr>
          </w:p>
        </w:tc>
        <w:tc>
          <w:tcPr>
            <w:tcW w:w="2135" w:type="pct"/>
            <w:vAlign w:val="center"/>
            <w:hideMark/>
          </w:tcPr>
          <w:p w14:paraId="4EB40C9A" w14:textId="77777777" w:rsidR="00000000" w:rsidRDefault="001D0688">
            <w:pPr>
              <w:rPr>
                <w:rFonts w:eastAsia="Times New Roman"/>
                <w:sz w:val="20"/>
                <w:szCs w:val="20"/>
              </w:rPr>
            </w:pPr>
          </w:p>
        </w:tc>
        <w:tc>
          <w:tcPr>
            <w:tcW w:w="5" w:type="pct"/>
            <w:vAlign w:val="center"/>
            <w:hideMark/>
          </w:tcPr>
          <w:p w14:paraId="6C544B21" w14:textId="77777777" w:rsidR="00000000" w:rsidRDefault="001D0688">
            <w:pPr>
              <w:rPr>
                <w:rFonts w:eastAsia="Times New Roman"/>
                <w:sz w:val="20"/>
                <w:szCs w:val="20"/>
              </w:rPr>
            </w:pPr>
          </w:p>
        </w:tc>
        <w:tc>
          <w:tcPr>
            <w:tcW w:w="5" w:type="pct"/>
            <w:vAlign w:val="center"/>
            <w:hideMark/>
          </w:tcPr>
          <w:p w14:paraId="78D3335C" w14:textId="77777777" w:rsidR="00000000" w:rsidRDefault="001D0688">
            <w:pPr>
              <w:rPr>
                <w:rFonts w:eastAsia="Times New Roman"/>
                <w:sz w:val="20"/>
                <w:szCs w:val="20"/>
              </w:rPr>
            </w:pPr>
          </w:p>
        </w:tc>
        <w:tc>
          <w:tcPr>
            <w:tcW w:w="24" w:type="pct"/>
            <w:vAlign w:val="center"/>
            <w:hideMark/>
          </w:tcPr>
          <w:p w14:paraId="596652B9" w14:textId="77777777" w:rsidR="00000000" w:rsidRDefault="001D0688">
            <w:pPr>
              <w:rPr>
                <w:rFonts w:eastAsia="Times New Roman"/>
                <w:sz w:val="20"/>
                <w:szCs w:val="20"/>
              </w:rPr>
            </w:pPr>
          </w:p>
        </w:tc>
        <w:tc>
          <w:tcPr>
            <w:tcW w:w="5" w:type="pct"/>
            <w:vAlign w:val="center"/>
            <w:hideMark/>
          </w:tcPr>
          <w:p w14:paraId="45805840" w14:textId="77777777" w:rsidR="00000000" w:rsidRDefault="001D0688">
            <w:pPr>
              <w:rPr>
                <w:rFonts w:eastAsia="Times New Roman"/>
                <w:sz w:val="20"/>
                <w:szCs w:val="20"/>
              </w:rPr>
            </w:pPr>
          </w:p>
        </w:tc>
        <w:tc>
          <w:tcPr>
            <w:tcW w:w="50" w:type="pct"/>
            <w:vAlign w:val="center"/>
            <w:hideMark/>
          </w:tcPr>
          <w:p w14:paraId="67C66F4E" w14:textId="77777777" w:rsidR="00000000" w:rsidRDefault="001D0688">
            <w:pPr>
              <w:rPr>
                <w:rFonts w:eastAsia="Times New Roman"/>
                <w:sz w:val="20"/>
                <w:szCs w:val="20"/>
              </w:rPr>
            </w:pPr>
          </w:p>
        </w:tc>
        <w:tc>
          <w:tcPr>
            <w:tcW w:w="383" w:type="pct"/>
            <w:vAlign w:val="center"/>
            <w:hideMark/>
          </w:tcPr>
          <w:p w14:paraId="42A8FE4B" w14:textId="77777777" w:rsidR="00000000" w:rsidRDefault="001D0688">
            <w:pPr>
              <w:rPr>
                <w:rFonts w:eastAsia="Times New Roman"/>
                <w:sz w:val="20"/>
                <w:szCs w:val="20"/>
              </w:rPr>
            </w:pPr>
          </w:p>
        </w:tc>
        <w:tc>
          <w:tcPr>
            <w:tcW w:w="5" w:type="pct"/>
            <w:vAlign w:val="center"/>
            <w:hideMark/>
          </w:tcPr>
          <w:p w14:paraId="68305FDB" w14:textId="77777777" w:rsidR="00000000" w:rsidRDefault="001D0688">
            <w:pPr>
              <w:rPr>
                <w:rFonts w:eastAsia="Times New Roman"/>
                <w:sz w:val="20"/>
                <w:szCs w:val="20"/>
              </w:rPr>
            </w:pPr>
          </w:p>
        </w:tc>
        <w:tc>
          <w:tcPr>
            <w:tcW w:w="5" w:type="pct"/>
            <w:vAlign w:val="center"/>
            <w:hideMark/>
          </w:tcPr>
          <w:p w14:paraId="22DA41E2" w14:textId="77777777" w:rsidR="00000000" w:rsidRDefault="001D0688">
            <w:pPr>
              <w:rPr>
                <w:rFonts w:eastAsia="Times New Roman"/>
                <w:sz w:val="20"/>
                <w:szCs w:val="20"/>
              </w:rPr>
            </w:pPr>
          </w:p>
        </w:tc>
        <w:tc>
          <w:tcPr>
            <w:tcW w:w="24" w:type="pct"/>
            <w:vAlign w:val="center"/>
            <w:hideMark/>
          </w:tcPr>
          <w:p w14:paraId="2A1E2F1A" w14:textId="77777777" w:rsidR="00000000" w:rsidRDefault="001D0688">
            <w:pPr>
              <w:rPr>
                <w:rFonts w:eastAsia="Times New Roman"/>
                <w:sz w:val="20"/>
                <w:szCs w:val="20"/>
              </w:rPr>
            </w:pPr>
          </w:p>
        </w:tc>
        <w:tc>
          <w:tcPr>
            <w:tcW w:w="5" w:type="pct"/>
            <w:vAlign w:val="center"/>
            <w:hideMark/>
          </w:tcPr>
          <w:p w14:paraId="6301D488" w14:textId="77777777" w:rsidR="00000000" w:rsidRDefault="001D0688">
            <w:pPr>
              <w:rPr>
                <w:rFonts w:eastAsia="Times New Roman"/>
                <w:sz w:val="20"/>
                <w:szCs w:val="20"/>
              </w:rPr>
            </w:pPr>
          </w:p>
        </w:tc>
        <w:tc>
          <w:tcPr>
            <w:tcW w:w="50" w:type="pct"/>
            <w:vAlign w:val="center"/>
            <w:hideMark/>
          </w:tcPr>
          <w:p w14:paraId="5843484F" w14:textId="77777777" w:rsidR="00000000" w:rsidRDefault="001D0688">
            <w:pPr>
              <w:rPr>
                <w:rFonts w:eastAsia="Times New Roman"/>
                <w:sz w:val="20"/>
                <w:szCs w:val="20"/>
              </w:rPr>
            </w:pPr>
          </w:p>
        </w:tc>
        <w:tc>
          <w:tcPr>
            <w:tcW w:w="369" w:type="pct"/>
            <w:vAlign w:val="center"/>
            <w:hideMark/>
          </w:tcPr>
          <w:p w14:paraId="2839F5E9" w14:textId="77777777" w:rsidR="00000000" w:rsidRDefault="001D0688">
            <w:pPr>
              <w:rPr>
                <w:rFonts w:eastAsia="Times New Roman"/>
                <w:sz w:val="20"/>
                <w:szCs w:val="20"/>
              </w:rPr>
            </w:pPr>
          </w:p>
        </w:tc>
        <w:tc>
          <w:tcPr>
            <w:tcW w:w="5" w:type="pct"/>
            <w:vAlign w:val="center"/>
            <w:hideMark/>
          </w:tcPr>
          <w:p w14:paraId="529BC51C" w14:textId="77777777" w:rsidR="00000000" w:rsidRDefault="001D0688">
            <w:pPr>
              <w:rPr>
                <w:rFonts w:eastAsia="Times New Roman"/>
                <w:sz w:val="20"/>
                <w:szCs w:val="20"/>
              </w:rPr>
            </w:pPr>
          </w:p>
        </w:tc>
        <w:tc>
          <w:tcPr>
            <w:tcW w:w="5" w:type="pct"/>
            <w:vAlign w:val="center"/>
            <w:hideMark/>
          </w:tcPr>
          <w:p w14:paraId="3CE5985E" w14:textId="77777777" w:rsidR="00000000" w:rsidRDefault="001D0688">
            <w:pPr>
              <w:rPr>
                <w:rFonts w:eastAsia="Times New Roman"/>
                <w:sz w:val="20"/>
                <w:szCs w:val="20"/>
              </w:rPr>
            </w:pPr>
          </w:p>
        </w:tc>
        <w:tc>
          <w:tcPr>
            <w:tcW w:w="24" w:type="pct"/>
            <w:vAlign w:val="center"/>
            <w:hideMark/>
          </w:tcPr>
          <w:p w14:paraId="4F1315C7" w14:textId="77777777" w:rsidR="00000000" w:rsidRDefault="001D0688">
            <w:pPr>
              <w:rPr>
                <w:rFonts w:eastAsia="Times New Roman"/>
                <w:sz w:val="20"/>
                <w:szCs w:val="20"/>
              </w:rPr>
            </w:pPr>
          </w:p>
        </w:tc>
        <w:tc>
          <w:tcPr>
            <w:tcW w:w="5" w:type="pct"/>
            <w:vAlign w:val="center"/>
            <w:hideMark/>
          </w:tcPr>
          <w:p w14:paraId="2A376603" w14:textId="77777777" w:rsidR="00000000" w:rsidRDefault="001D0688">
            <w:pPr>
              <w:rPr>
                <w:rFonts w:eastAsia="Times New Roman"/>
                <w:sz w:val="20"/>
                <w:szCs w:val="20"/>
              </w:rPr>
            </w:pPr>
          </w:p>
        </w:tc>
        <w:tc>
          <w:tcPr>
            <w:tcW w:w="50" w:type="pct"/>
            <w:vAlign w:val="center"/>
            <w:hideMark/>
          </w:tcPr>
          <w:p w14:paraId="2A513817" w14:textId="77777777" w:rsidR="00000000" w:rsidRDefault="001D0688">
            <w:pPr>
              <w:rPr>
                <w:rFonts w:eastAsia="Times New Roman"/>
                <w:sz w:val="20"/>
                <w:szCs w:val="20"/>
              </w:rPr>
            </w:pPr>
          </w:p>
        </w:tc>
        <w:tc>
          <w:tcPr>
            <w:tcW w:w="383" w:type="pct"/>
            <w:vAlign w:val="center"/>
            <w:hideMark/>
          </w:tcPr>
          <w:p w14:paraId="08E18A46" w14:textId="77777777" w:rsidR="00000000" w:rsidRDefault="001D0688">
            <w:pPr>
              <w:rPr>
                <w:rFonts w:eastAsia="Times New Roman"/>
                <w:sz w:val="20"/>
                <w:szCs w:val="20"/>
              </w:rPr>
            </w:pPr>
          </w:p>
        </w:tc>
        <w:tc>
          <w:tcPr>
            <w:tcW w:w="5" w:type="pct"/>
            <w:vAlign w:val="center"/>
            <w:hideMark/>
          </w:tcPr>
          <w:p w14:paraId="4F825095" w14:textId="77777777" w:rsidR="00000000" w:rsidRDefault="001D0688">
            <w:pPr>
              <w:rPr>
                <w:rFonts w:eastAsia="Times New Roman"/>
                <w:sz w:val="20"/>
                <w:szCs w:val="20"/>
              </w:rPr>
            </w:pPr>
          </w:p>
        </w:tc>
        <w:tc>
          <w:tcPr>
            <w:tcW w:w="5" w:type="pct"/>
            <w:vAlign w:val="center"/>
            <w:hideMark/>
          </w:tcPr>
          <w:p w14:paraId="555A43F6" w14:textId="77777777" w:rsidR="00000000" w:rsidRDefault="001D0688">
            <w:pPr>
              <w:rPr>
                <w:rFonts w:eastAsia="Times New Roman"/>
                <w:sz w:val="20"/>
                <w:szCs w:val="20"/>
              </w:rPr>
            </w:pPr>
          </w:p>
        </w:tc>
        <w:tc>
          <w:tcPr>
            <w:tcW w:w="24" w:type="pct"/>
            <w:vAlign w:val="center"/>
            <w:hideMark/>
          </w:tcPr>
          <w:p w14:paraId="02EE1A6C" w14:textId="77777777" w:rsidR="00000000" w:rsidRDefault="001D0688">
            <w:pPr>
              <w:rPr>
                <w:rFonts w:eastAsia="Times New Roman"/>
                <w:sz w:val="20"/>
                <w:szCs w:val="20"/>
              </w:rPr>
            </w:pPr>
          </w:p>
        </w:tc>
        <w:tc>
          <w:tcPr>
            <w:tcW w:w="5" w:type="pct"/>
            <w:vAlign w:val="center"/>
            <w:hideMark/>
          </w:tcPr>
          <w:p w14:paraId="037863DA" w14:textId="77777777" w:rsidR="00000000" w:rsidRDefault="001D0688">
            <w:pPr>
              <w:rPr>
                <w:rFonts w:eastAsia="Times New Roman"/>
                <w:sz w:val="20"/>
                <w:szCs w:val="20"/>
              </w:rPr>
            </w:pPr>
          </w:p>
        </w:tc>
        <w:tc>
          <w:tcPr>
            <w:tcW w:w="50" w:type="pct"/>
            <w:vAlign w:val="center"/>
            <w:hideMark/>
          </w:tcPr>
          <w:p w14:paraId="3C9B41AB" w14:textId="77777777" w:rsidR="00000000" w:rsidRDefault="001D0688">
            <w:pPr>
              <w:rPr>
                <w:rFonts w:eastAsia="Times New Roman"/>
                <w:sz w:val="20"/>
                <w:szCs w:val="20"/>
              </w:rPr>
            </w:pPr>
          </w:p>
        </w:tc>
        <w:tc>
          <w:tcPr>
            <w:tcW w:w="369" w:type="pct"/>
            <w:vAlign w:val="center"/>
            <w:hideMark/>
          </w:tcPr>
          <w:p w14:paraId="2B3312AE" w14:textId="77777777" w:rsidR="00000000" w:rsidRDefault="001D0688">
            <w:pPr>
              <w:rPr>
                <w:rFonts w:eastAsia="Times New Roman"/>
                <w:sz w:val="20"/>
                <w:szCs w:val="20"/>
              </w:rPr>
            </w:pPr>
          </w:p>
        </w:tc>
        <w:tc>
          <w:tcPr>
            <w:tcW w:w="5" w:type="pct"/>
            <w:vAlign w:val="center"/>
            <w:hideMark/>
          </w:tcPr>
          <w:p w14:paraId="61607866" w14:textId="77777777" w:rsidR="00000000" w:rsidRDefault="001D0688">
            <w:pPr>
              <w:rPr>
                <w:rFonts w:eastAsia="Times New Roman"/>
                <w:sz w:val="20"/>
                <w:szCs w:val="20"/>
              </w:rPr>
            </w:pPr>
          </w:p>
        </w:tc>
        <w:tc>
          <w:tcPr>
            <w:tcW w:w="5" w:type="pct"/>
            <w:vAlign w:val="center"/>
            <w:hideMark/>
          </w:tcPr>
          <w:p w14:paraId="4CF7BD11" w14:textId="77777777" w:rsidR="00000000" w:rsidRDefault="001D0688">
            <w:pPr>
              <w:rPr>
                <w:rFonts w:eastAsia="Times New Roman"/>
                <w:sz w:val="20"/>
                <w:szCs w:val="20"/>
              </w:rPr>
            </w:pPr>
          </w:p>
        </w:tc>
        <w:tc>
          <w:tcPr>
            <w:tcW w:w="24" w:type="pct"/>
            <w:vAlign w:val="center"/>
            <w:hideMark/>
          </w:tcPr>
          <w:p w14:paraId="571D111D" w14:textId="77777777" w:rsidR="00000000" w:rsidRDefault="001D0688">
            <w:pPr>
              <w:rPr>
                <w:rFonts w:eastAsia="Times New Roman"/>
                <w:sz w:val="20"/>
                <w:szCs w:val="20"/>
              </w:rPr>
            </w:pPr>
          </w:p>
        </w:tc>
        <w:tc>
          <w:tcPr>
            <w:tcW w:w="5" w:type="pct"/>
            <w:vAlign w:val="center"/>
            <w:hideMark/>
          </w:tcPr>
          <w:p w14:paraId="11265A82" w14:textId="77777777" w:rsidR="00000000" w:rsidRDefault="001D0688">
            <w:pPr>
              <w:rPr>
                <w:rFonts w:eastAsia="Times New Roman"/>
                <w:sz w:val="20"/>
                <w:szCs w:val="20"/>
              </w:rPr>
            </w:pPr>
          </w:p>
        </w:tc>
        <w:tc>
          <w:tcPr>
            <w:tcW w:w="50" w:type="pct"/>
            <w:vAlign w:val="center"/>
            <w:hideMark/>
          </w:tcPr>
          <w:p w14:paraId="076ADFF5" w14:textId="77777777" w:rsidR="00000000" w:rsidRDefault="001D0688">
            <w:pPr>
              <w:rPr>
                <w:rFonts w:eastAsia="Times New Roman"/>
                <w:sz w:val="20"/>
                <w:szCs w:val="20"/>
              </w:rPr>
            </w:pPr>
          </w:p>
        </w:tc>
        <w:tc>
          <w:tcPr>
            <w:tcW w:w="383" w:type="pct"/>
            <w:vAlign w:val="center"/>
            <w:hideMark/>
          </w:tcPr>
          <w:p w14:paraId="2A1E6C5B" w14:textId="77777777" w:rsidR="00000000" w:rsidRDefault="001D0688">
            <w:pPr>
              <w:rPr>
                <w:rFonts w:eastAsia="Times New Roman"/>
                <w:sz w:val="20"/>
                <w:szCs w:val="20"/>
              </w:rPr>
            </w:pPr>
          </w:p>
        </w:tc>
        <w:tc>
          <w:tcPr>
            <w:tcW w:w="5" w:type="pct"/>
            <w:vAlign w:val="center"/>
            <w:hideMark/>
          </w:tcPr>
          <w:p w14:paraId="6C2FBB4B" w14:textId="77777777" w:rsidR="00000000" w:rsidRDefault="001D0688">
            <w:pPr>
              <w:rPr>
                <w:rFonts w:eastAsia="Times New Roman"/>
                <w:sz w:val="20"/>
                <w:szCs w:val="20"/>
              </w:rPr>
            </w:pPr>
          </w:p>
        </w:tc>
        <w:tc>
          <w:tcPr>
            <w:tcW w:w="5" w:type="pct"/>
            <w:vAlign w:val="center"/>
            <w:hideMark/>
          </w:tcPr>
          <w:p w14:paraId="7E311D16" w14:textId="77777777" w:rsidR="00000000" w:rsidRDefault="001D0688">
            <w:pPr>
              <w:rPr>
                <w:rFonts w:eastAsia="Times New Roman"/>
                <w:sz w:val="20"/>
                <w:szCs w:val="20"/>
              </w:rPr>
            </w:pPr>
          </w:p>
        </w:tc>
        <w:tc>
          <w:tcPr>
            <w:tcW w:w="24" w:type="pct"/>
            <w:vAlign w:val="center"/>
            <w:hideMark/>
          </w:tcPr>
          <w:p w14:paraId="3D35C41D" w14:textId="77777777" w:rsidR="00000000" w:rsidRDefault="001D0688">
            <w:pPr>
              <w:rPr>
                <w:rFonts w:eastAsia="Times New Roman"/>
                <w:sz w:val="20"/>
                <w:szCs w:val="20"/>
              </w:rPr>
            </w:pPr>
          </w:p>
        </w:tc>
        <w:tc>
          <w:tcPr>
            <w:tcW w:w="5" w:type="pct"/>
            <w:vAlign w:val="center"/>
            <w:hideMark/>
          </w:tcPr>
          <w:p w14:paraId="52B14E65" w14:textId="77777777" w:rsidR="00000000" w:rsidRDefault="001D0688">
            <w:pPr>
              <w:rPr>
                <w:rFonts w:eastAsia="Times New Roman"/>
                <w:sz w:val="20"/>
                <w:szCs w:val="20"/>
              </w:rPr>
            </w:pPr>
          </w:p>
        </w:tc>
        <w:tc>
          <w:tcPr>
            <w:tcW w:w="50" w:type="pct"/>
            <w:vAlign w:val="center"/>
            <w:hideMark/>
          </w:tcPr>
          <w:p w14:paraId="77196BEE" w14:textId="77777777" w:rsidR="00000000" w:rsidRDefault="001D0688">
            <w:pPr>
              <w:rPr>
                <w:rFonts w:eastAsia="Times New Roman"/>
                <w:sz w:val="20"/>
                <w:szCs w:val="20"/>
              </w:rPr>
            </w:pPr>
          </w:p>
        </w:tc>
        <w:tc>
          <w:tcPr>
            <w:tcW w:w="383" w:type="pct"/>
            <w:vAlign w:val="center"/>
            <w:hideMark/>
          </w:tcPr>
          <w:p w14:paraId="254E713D" w14:textId="77777777" w:rsidR="00000000" w:rsidRDefault="001D0688">
            <w:pPr>
              <w:rPr>
                <w:rFonts w:eastAsia="Times New Roman"/>
                <w:sz w:val="20"/>
                <w:szCs w:val="20"/>
              </w:rPr>
            </w:pPr>
          </w:p>
        </w:tc>
        <w:tc>
          <w:tcPr>
            <w:tcW w:w="5" w:type="pct"/>
            <w:vAlign w:val="center"/>
            <w:hideMark/>
          </w:tcPr>
          <w:p w14:paraId="4D5AFAAA" w14:textId="77777777" w:rsidR="00000000" w:rsidRDefault="001D0688">
            <w:pPr>
              <w:rPr>
                <w:rFonts w:eastAsia="Times New Roman"/>
                <w:sz w:val="20"/>
                <w:szCs w:val="20"/>
              </w:rPr>
            </w:pPr>
          </w:p>
        </w:tc>
      </w:tr>
      <w:tr w:rsidR="00000000" w14:paraId="29A42A67" w14:textId="77777777">
        <w:trPr>
          <w:divId w:val="1692410833"/>
          <w:jc w:val="center"/>
        </w:trPr>
        <w:tc>
          <w:tcPr>
            <w:tcW w:w="0" w:type="auto"/>
            <w:gridSpan w:val="3"/>
            <w:tcMar>
              <w:top w:w="0" w:type="dxa"/>
              <w:left w:w="20" w:type="dxa"/>
              <w:bottom w:w="0" w:type="dxa"/>
              <w:right w:w="20" w:type="dxa"/>
            </w:tcMar>
            <w:vAlign w:val="center"/>
            <w:hideMark/>
          </w:tcPr>
          <w:p w14:paraId="167903B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B902666" w14:textId="77777777" w:rsidR="00000000" w:rsidRDefault="001D0688">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241DE342" w14:textId="77777777" w:rsidR="00000000" w:rsidRDefault="001D0688">
            <w:pPr>
              <w:jc w:val="center"/>
              <w:rPr>
                <w:rFonts w:eastAsia="Times New Roman"/>
              </w:rPr>
            </w:pPr>
            <w:r>
              <w:rPr>
                <w:rFonts w:ascii="Arial" w:eastAsia="Times New Roman" w:hAnsi="Arial" w:cs="Arial"/>
                <w:b/>
                <w:bCs/>
                <w:color w:val="000000"/>
                <w:sz w:val="16"/>
                <w:szCs w:val="16"/>
              </w:rPr>
              <w:t>Years Ended October 31,</w:t>
            </w:r>
          </w:p>
        </w:tc>
      </w:tr>
      <w:tr w:rsidR="00000000" w14:paraId="1C188DF8" w14:textId="77777777">
        <w:trPr>
          <w:divId w:val="1692410833"/>
          <w:jc w:val="center"/>
        </w:trPr>
        <w:tc>
          <w:tcPr>
            <w:tcW w:w="0" w:type="auto"/>
            <w:gridSpan w:val="3"/>
            <w:tcMar>
              <w:top w:w="0" w:type="dxa"/>
              <w:left w:w="20" w:type="dxa"/>
              <w:bottom w:w="0" w:type="dxa"/>
              <w:right w:w="20" w:type="dxa"/>
            </w:tcMar>
            <w:vAlign w:val="center"/>
            <w:hideMark/>
          </w:tcPr>
          <w:p w14:paraId="19FB7994"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5F73D32B" w14:textId="77777777" w:rsidR="00000000" w:rsidRDefault="001D0688">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7978FF7F" w14:textId="77777777" w:rsidR="00000000" w:rsidRDefault="001D0688">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31EE940A" w14:textId="77777777" w:rsidR="00000000" w:rsidRDefault="001D068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8B20280" w14:textId="77777777" w:rsidR="00000000" w:rsidRDefault="001D0688">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5016AB2F" w14:textId="77777777" w:rsidR="00000000" w:rsidRDefault="001D068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0B21D3E" w14:textId="77777777" w:rsidR="00000000" w:rsidRDefault="001D0688">
            <w:pPr>
              <w:jc w:val="center"/>
              <w:rPr>
                <w:rFonts w:eastAsia="Times New Roman"/>
              </w:rPr>
            </w:pPr>
            <w:r>
              <w:rPr>
                <w:rFonts w:ascii="Arial" w:eastAsia="Times New Roman" w:hAnsi="Arial" w:cs="Arial"/>
                <w:b/>
                <w:bCs/>
                <w:color w:val="000000"/>
                <w:sz w:val="16"/>
                <w:szCs w:val="16"/>
              </w:rPr>
              <w:t>2018</w:t>
            </w:r>
          </w:p>
        </w:tc>
      </w:tr>
      <w:tr w:rsidR="00000000" w14:paraId="5A71E4F2" w14:textId="77777777">
        <w:trPr>
          <w:divId w:val="1692410833"/>
          <w:jc w:val="center"/>
        </w:trPr>
        <w:tc>
          <w:tcPr>
            <w:tcW w:w="0" w:type="auto"/>
            <w:gridSpan w:val="3"/>
            <w:tcMar>
              <w:top w:w="30" w:type="dxa"/>
              <w:left w:w="20" w:type="dxa"/>
              <w:bottom w:w="30" w:type="dxa"/>
              <w:right w:w="20" w:type="dxa"/>
            </w:tcMar>
            <w:vAlign w:val="bottom"/>
            <w:hideMark/>
          </w:tcPr>
          <w:p w14:paraId="750B30A4" w14:textId="77777777" w:rsidR="00000000" w:rsidRDefault="001D0688">
            <w:pPr>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14:paraId="495603B5"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D9019C" w14:textId="77777777" w:rsidR="00000000" w:rsidRDefault="001D0688">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71F82C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E81216" w14:textId="77777777" w:rsidR="00000000" w:rsidRDefault="001D0688">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380AA60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8FC0FF" w14:textId="77777777" w:rsidR="00000000" w:rsidRDefault="001D0688">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4EBAC70"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430834" w14:textId="77777777" w:rsidR="00000000" w:rsidRDefault="001D0688">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269E5941"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D2EC75" w14:textId="77777777" w:rsidR="00000000" w:rsidRDefault="001D0688">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DC5FE3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B5BF1F" w14:textId="77777777" w:rsidR="00000000" w:rsidRDefault="001D0688">
            <w:pPr>
              <w:jc w:val="center"/>
              <w:rPr>
                <w:rFonts w:eastAsia="Times New Roman"/>
              </w:rPr>
            </w:pPr>
            <w:r>
              <w:rPr>
                <w:rFonts w:ascii="Arial" w:eastAsia="Times New Roman" w:hAnsi="Arial" w:cs="Arial"/>
                <w:b/>
                <w:bCs/>
                <w:color w:val="000000"/>
                <w:sz w:val="16"/>
                <w:szCs w:val="16"/>
              </w:rPr>
              <w:t>Amount</w:t>
            </w:r>
          </w:p>
        </w:tc>
      </w:tr>
      <w:tr w:rsidR="00000000" w14:paraId="04B7F4C2" w14:textId="77777777">
        <w:trPr>
          <w:divId w:val="1692410833"/>
          <w:jc w:val="center"/>
        </w:trPr>
        <w:tc>
          <w:tcPr>
            <w:tcW w:w="0" w:type="auto"/>
            <w:gridSpan w:val="3"/>
            <w:shd w:val="clear" w:color="auto" w:fill="DCE2EF"/>
            <w:tcMar>
              <w:top w:w="30" w:type="dxa"/>
              <w:left w:w="20" w:type="dxa"/>
              <w:bottom w:w="30" w:type="dxa"/>
              <w:right w:w="20" w:type="dxa"/>
            </w:tcMar>
            <w:vAlign w:val="bottom"/>
            <w:hideMark/>
          </w:tcPr>
          <w:p w14:paraId="5E690C34" w14:textId="77777777" w:rsidR="00000000" w:rsidRDefault="001D0688">
            <w:pPr>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14:paraId="7F05FD21"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3CCDDD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566541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1B50D4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9CA966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BFA0B0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285B1D5"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E040B3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306C0B"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8ADBB1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BEF13B6"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DD3E2FE" w14:textId="77777777" w:rsidR="00000000" w:rsidRDefault="001D0688">
            <w:pPr>
              <w:rPr>
                <w:rFonts w:eastAsia="Times New Roman"/>
                <w:sz w:val="20"/>
                <w:szCs w:val="20"/>
              </w:rPr>
            </w:pPr>
          </w:p>
        </w:tc>
      </w:tr>
      <w:tr w:rsidR="00000000" w14:paraId="231A750B" w14:textId="77777777">
        <w:trPr>
          <w:divId w:val="1692410833"/>
          <w:jc w:val="center"/>
        </w:trPr>
        <w:tc>
          <w:tcPr>
            <w:tcW w:w="0" w:type="auto"/>
            <w:gridSpan w:val="3"/>
            <w:shd w:val="clear" w:color="auto" w:fill="FFFFFF"/>
            <w:tcMar>
              <w:top w:w="30" w:type="dxa"/>
              <w:left w:w="155" w:type="dxa"/>
              <w:bottom w:w="30" w:type="dxa"/>
              <w:right w:w="20" w:type="dxa"/>
            </w:tcMar>
            <w:vAlign w:val="bottom"/>
            <w:hideMark/>
          </w:tcPr>
          <w:p w14:paraId="203558B9" w14:textId="77777777" w:rsidR="00000000" w:rsidRDefault="001D0688">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FFFFFF"/>
            <w:tcMar>
              <w:top w:w="0" w:type="dxa"/>
              <w:left w:w="20" w:type="dxa"/>
              <w:bottom w:w="0" w:type="dxa"/>
              <w:right w:w="20" w:type="dxa"/>
            </w:tcMar>
            <w:vAlign w:val="center"/>
            <w:hideMark/>
          </w:tcPr>
          <w:p w14:paraId="3999650F"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C6BE99" w14:textId="77777777" w:rsidR="00000000" w:rsidRDefault="001D0688">
            <w:pPr>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14:paraId="7F8ADEB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F7C09"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961F7D"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E42DD6C"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0635380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2219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BF12D7" w14:textId="77777777" w:rsidR="00000000" w:rsidRDefault="001D0688">
            <w:pPr>
              <w:jc w:val="right"/>
              <w:rPr>
                <w:rFonts w:eastAsia="Times New Roman"/>
              </w:rPr>
            </w:pPr>
            <w:r>
              <w:rPr>
                <w:rFonts w:ascii="Arial" w:eastAsia="Times New Roman" w:hAnsi="Arial" w:cs="Arial"/>
                <w:color w:val="000000"/>
                <w:sz w:val="16"/>
                <w:szCs w:val="16"/>
              </w:rPr>
              <w:t>66.0 </w:t>
            </w:r>
          </w:p>
        </w:tc>
        <w:tc>
          <w:tcPr>
            <w:tcW w:w="0" w:type="auto"/>
            <w:shd w:val="clear" w:color="auto" w:fill="FFFFFF"/>
            <w:tcMar>
              <w:top w:w="30" w:type="dxa"/>
              <w:left w:w="0" w:type="dxa"/>
              <w:bottom w:w="30" w:type="dxa"/>
              <w:right w:w="20" w:type="dxa"/>
            </w:tcMar>
            <w:vAlign w:val="bottom"/>
            <w:hideMark/>
          </w:tcPr>
          <w:p w14:paraId="2B42A76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D30CD"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E5F126"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1161465A"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5BD4B4C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8E89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02466" w14:textId="77777777" w:rsidR="00000000" w:rsidRDefault="001D0688">
            <w:pPr>
              <w:jc w:val="right"/>
              <w:rPr>
                <w:rFonts w:eastAsia="Times New Roman"/>
              </w:rPr>
            </w:pPr>
            <w:r>
              <w:rPr>
                <w:rFonts w:ascii="Arial" w:eastAsia="Times New Roman" w:hAnsi="Arial" w:cs="Arial"/>
                <w:color w:val="000000"/>
                <w:sz w:val="16"/>
                <w:szCs w:val="16"/>
              </w:rPr>
              <w:t>65.5 </w:t>
            </w:r>
          </w:p>
        </w:tc>
        <w:tc>
          <w:tcPr>
            <w:tcW w:w="0" w:type="auto"/>
            <w:shd w:val="clear" w:color="auto" w:fill="FFFFFF"/>
            <w:tcMar>
              <w:top w:w="30" w:type="dxa"/>
              <w:left w:w="0" w:type="dxa"/>
              <w:bottom w:w="30" w:type="dxa"/>
              <w:right w:w="20" w:type="dxa"/>
            </w:tcMar>
            <w:vAlign w:val="bottom"/>
            <w:hideMark/>
          </w:tcPr>
          <w:p w14:paraId="0F314FB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B360E"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E5A17D"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5370E930"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2DAEB9CB" w14:textId="77777777" w:rsidR="00000000" w:rsidRDefault="001D0688">
            <w:pPr>
              <w:jc w:val="right"/>
              <w:rPr>
                <w:rFonts w:eastAsia="Times New Roman"/>
              </w:rPr>
            </w:pPr>
          </w:p>
        </w:tc>
      </w:tr>
      <w:tr w:rsidR="00000000" w14:paraId="7DD9A3F2"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4908E7BC" w14:textId="77777777" w:rsidR="00000000" w:rsidRDefault="001D0688">
            <w:pPr>
              <w:rPr>
                <w:rFonts w:eastAsia="Times New Roman"/>
              </w:rPr>
            </w:pPr>
            <w:r>
              <w:rPr>
                <w:rFonts w:ascii="Arial" w:eastAsia="Times New Roman" w:hAnsi="Arial" w:cs="Arial"/>
                <w:color w:val="000000"/>
                <w:sz w:val="16"/>
                <w:szCs w:val="16"/>
              </w:rPr>
              <w:t>Stock issued under employee stock purchase and share-based</w:t>
            </w:r>
            <w:r>
              <w:rPr>
                <w:rFonts w:ascii="Arial" w:eastAsia="Times New Roman" w:hAnsi="Arial" w:cs="Arial"/>
                <w:color w:val="000000"/>
                <w:sz w:val="16"/>
                <w:szCs w:val="16"/>
              </w:rPr>
              <w:br/>
              <w:t>compensation plans</w:t>
            </w:r>
          </w:p>
        </w:tc>
        <w:tc>
          <w:tcPr>
            <w:tcW w:w="0" w:type="auto"/>
            <w:gridSpan w:val="3"/>
            <w:shd w:val="clear" w:color="auto" w:fill="DCE2EF"/>
            <w:tcMar>
              <w:top w:w="0" w:type="dxa"/>
              <w:left w:w="20" w:type="dxa"/>
              <w:bottom w:w="0" w:type="dxa"/>
              <w:right w:w="20" w:type="dxa"/>
            </w:tcMar>
            <w:vAlign w:val="center"/>
            <w:hideMark/>
          </w:tcPr>
          <w:p w14:paraId="75AEEEBC"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309A186" w14:textId="77777777" w:rsidR="00000000" w:rsidRDefault="001D0688">
            <w:pPr>
              <w:jc w:val="right"/>
              <w:rPr>
                <w:rFonts w:eastAsia="Times New Roman"/>
              </w:rPr>
            </w:pPr>
            <w:r>
              <w:rPr>
                <w:rFonts w:ascii="Arial" w:eastAsia="Times New Roman" w:hAnsi="Arial" w:cs="Arial"/>
                <w:color w:val="000000"/>
                <w:sz w:val="16"/>
                <w:szCs w:val="16"/>
              </w:rPr>
              <w:t>0.3 </w:t>
            </w:r>
          </w:p>
        </w:tc>
        <w:tc>
          <w:tcPr>
            <w:tcW w:w="0" w:type="auto"/>
            <w:shd w:val="clear" w:color="auto" w:fill="DCE2EF"/>
            <w:tcMar>
              <w:top w:w="30" w:type="dxa"/>
              <w:left w:w="0" w:type="dxa"/>
              <w:bottom w:w="30" w:type="dxa"/>
              <w:right w:w="20" w:type="dxa"/>
            </w:tcMar>
            <w:vAlign w:val="bottom"/>
            <w:hideMark/>
          </w:tcPr>
          <w:p w14:paraId="33867C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50028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D7E293F"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0C0129C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ADAE7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0AAA8D" w14:textId="77777777" w:rsidR="00000000" w:rsidRDefault="001D0688">
            <w:pPr>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14:paraId="093DBA3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1DA56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5F1698"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56F2853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ED20B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40DCE60" w14:textId="77777777" w:rsidR="00000000" w:rsidRDefault="001D0688">
            <w:pPr>
              <w:jc w:val="right"/>
              <w:rPr>
                <w:rFonts w:eastAsia="Times New Roman"/>
              </w:rPr>
            </w:pPr>
            <w:r>
              <w:rPr>
                <w:rFonts w:ascii="Arial" w:eastAsia="Times New Roman" w:hAnsi="Arial" w:cs="Arial"/>
                <w:color w:val="000000"/>
                <w:sz w:val="16"/>
                <w:szCs w:val="16"/>
              </w:rPr>
              <w:t>0.5 </w:t>
            </w:r>
          </w:p>
        </w:tc>
        <w:tc>
          <w:tcPr>
            <w:tcW w:w="0" w:type="auto"/>
            <w:shd w:val="clear" w:color="auto" w:fill="DCE2EF"/>
            <w:tcMar>
              <w:top w:w="30" w:type="dxa"/>
              <w:left w:w="0" w:type="dxa"/>
              <w:bottom w:w="30" w:type="dxa"/>
              <w:right w:w="20" w:type="dxa"/>
            </w:tcMar>
            <w:vAlign w:val="bottom"/>
            <w:hideMark/>
          </w:tcPr>
          <w:p w14:paraId="70B2F8F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04F4A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2A0F51"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029A8B2B" w14:textId="77777777" w:rsidR="00000000" w:rsidRDefault="001D0688">
            <w:pPr>
              <w:jc w:val="right"/>
              <w:rPr>
                <w:rFonts w:eastAsia="Times New Roman"/>
              </w:rPr>
            </w:pPr>
          </w:p>
        </w:tc>
      </w:tr>
      <w:tr w:rsidR="00000000" w14:paraId="7D186D07" w14:textId="77777777">
        <w:trPr>
          <w:divId w:val="1692410833"/>
          <w:jc w:val="center"/>
        </w:trPr>
        <w:tc>
          <w:tcPr>
            <w:tcW w:w="0" w:type="auto"/>
            <w:gridSpan w:val="3"/>
            <w:vAlign w:val="center"/>
            <w:hideMark/>
          </w:tcPr>
          <w:p w14:paraId="21736504" w14:textId="77777777" w:rsidR="00000000" w:rsidRDefault="001D0688">
            <w:pPr>
              <w:jc w:val="right"/>
              <w:rPr>
                <w:rFonts w:eastAsia="Times New Roman"/>
                <w:sz w:val="20"/>
                <w:szCs w:val="20"/>
              </w:rPr>
            </w:pPr>
          </w:p>
        </w:tc>
        <w:tc>
          <w:tcPr>
            <w:tcW w:w="0" w:type="auto"/>
            <w:gridSpan w:val="3"/>
            <w:vAlign w:val="center"/>
            <w:hideMark/>
          </w:tcPr>
          <w:p w14:paraId="62F71CCC" w14:textId="77777777" w:rsidR="00000000" w:rsidRDefault="001D0688">
            <w:pPr>
              <w:rPr>
                <w:rFonts w:eastAsia="Times New Roman"/>
                <w:sz w:val="20"/>
                <w:szCs w:val="20"/>
              </w:rPr>
            </w:pPr>
          </w:p>
        </w:tc>
        <w:tc>
          <w:tcPr>
            <w:tcW w:w="0" w:type="auto"/>
            <w:gridSpan w:val="3"/>
            <w:vAlign w:val="center"/>
            <w:hideMark/>
          </w:tcPr>
          <w:p w14:paraId="3D18AFDA" w14:textId="77777777" w:rsidR="00000000" w:rsidRDefault="001D0688">
            <w:pPr>
              <w:rPr>
                <w:rFonts w:eastAsia="Times New Roman"/>
                <w:sz w:val="20"/>
                <w:szCs w:val="20"/>
              </w:rPr>
            </w:pPr>
          </w:p>
        </w:tc>
        <w:tc>
          <w:tcPr>
            <w:tcW w:w="0" w:type="auto"/>
            <w:gridSpan w:val="3"/>
            <w:vAlign w:val="center"/>
            <w:hideMark/>
          </w:tcPr>
          <w:p w14:paraId="771F0DB1" w14:textId="77777777" w:rsidR="00000000" w:rsidRDefault="001D0688">
            <w:pPr>
              <w:rPr>
                <w:rFonts w:eastAsia="Times New Roman"/>
                <w:sz w:val="20"/>
                <w:szCs w:val="20"/>
              </w:rPr>
            </w:pPr>
          </w:p>
        </w:tc>
        <w:tc>
          <w:tcPr>
            <w:tcW w:w="0" w:type="auto"/>
            <w:gridSpan w:val="3"/>
            <w:vAlign w:val="center"/>
            <w:hideMark/>
          </w:tcPr>
          <w:p w14:paraId="7D5D34C9" w14:textId="77777777" w:rsidR="00000000" w:rsidRDefault="001D0688">
            <w:pPr>
              <w:rPr>
                <w:rFonts w:eastAsia="Times New Roman"/>
                <w:sz w:val="20"/>
                <w:szCs w:val="20"/>
              </w:rPr>
            </w:pPr>
          </w:p>
        </w:tc>
        <w:tc>
          <w:tcPr>
            <w:tcW w:w="0" w:type="auto"/>
            <w:gridSpan w:val="3"/>
            <w:vAlign w:val="center"/>
            <w:hideMark/>
          </w:tcPr>
          <w:p w14:paraId="7BBEFC07" w14:textId="77777777" w:rsidR="00000000" w:rsidRDefault="001D0688">
            <w:pPr>
              <w:rPr>
                <w:rFonts w:eastAsia="Times New Roman"/>
                <w:sz w:val="20"/>
                <w:szCs w:val="20"/>
              </w:rPr>
            </w:pPr>
          </w:p>
        </w:tc>
        <w:tc>
          <w:tcPr>
            <w:tcW w:w="0" w:type="auto"/>
            <w:gridSpan w:val="3"/>
            <w:vAlign w:val="center"/>
            <w:hideMark/>
          </w:tcPr>
          <w:p w14:paraId="68D77FDE" w14:textId="77777777" w:rsidR="00000000" w:rsidRDefault="001D0688">
            <w:pPr>
              <w:rPr>
                <w:rFonts w:eastAsia="Times New Roman"/>
                <w:sz w:val="20"/>
                <w:szCs w:val="20"/>
              </w:rPr>
            </w:pPr>
          </w:p>
        </w:tc>
        <w:tc>
          <w:tcPr>
            <w:tcW w:w="0" w:type="auto"/>
            <w:gridSpan w:val="3"/>
            <w:vAlign w:val="center"/>
            <w:hideMark/>
          </w:tcPr>
          <w:p w14:paraId="2E515412" w14:textId="77777777" w:rsidR="00000000" w:rsidRDefault="001D0688">
            <w:pPr>
              <w:rPr>
                <w:rFonts w:eastAsia="Times New Roman"/>
                <w:sz w:val="20"/>
                <w:szCs w:val="20"/>
              </w:rPr>
            </w:pPr>
          </w:p>
        </w:tc>
        <w:tc>
          <w:tcPr>
            <w:tcW w:w="0" w:type="auto"/>
            <w:gridSpan w:val="3"/>
            <w:vAlign w:val="center"/>
            <w:hideMark/>
          </w:tcPr>
          <w:p w14:paraId="01130A03" w14:textId="77777777" w:rsidR="00000000" w:rsidRDefault="001D0688">
            <w:pPr>
              <w:rPr>
                <w:rFonts w:eastAsia="Times New Roman"/>
                <w:sz w:val="20"/>
                <w:szCs w:val="20"/>
              </w:rPr>
            </w:pPr>
          </w:p>
        </w:tc>
        <w:tc>
          <w:tcPr>
            <w:tcW w:w="0" w:type="auto"/>
            <w:gridSpan w:val="3"/>
            <w:vAlign w:val="center"/>
            <w:hideMark/>
          </w:tcPr>
          <w:p w14:paraId="5273D5E7" w14:textId="77777777" w:rsidR="00000000" w:rsidRDefault="001D0688">
            <w:pPr>
              <w:rPr>
                <w:rFonts w:eastAsia="Times New Roman"/>
                <w:sz w:val="20"/>
                <w:szCs w:val="20"/>
              </w:rPr>
            </w:pPr>
          </w:p>
        </w:tc>
        <w:tc>
          <w:tcPr>
            <w:tcW w:w="0" w:type="auto"/>
            <w:gridSpan w:val="3"/>
            <w:vAlign w:val="center"/>
            <w:hideMark/>
          </w:tcPr>
          <w:p w14:paraId="40E1DD54" w14:textId="77777777" w:rsidR="00000000" w:rsidRDefault="001D0688">
            <w:pPr>
              <w:rPr>
                <w:rFonts w:eastAsia="Times New Roman"/>
                <w:sz w:val="20"/>
                <w:szCs w:val="20"/>
              </w:rPr>
            </w:pPr>
          </w:p>
        </w:tc>
        <w:tc>
          <w:tcPr>
            <w:tcW w:w="0" w:type="auto"/>
            <w:gridSpan w:val="3"/>
            <w:vAlign w:val="center"/>
            <w:hideMark/>
          </w:tcPr>
          <w:p w14:paraId="33F4BFBA" w14:textId="77777777" w:rsidR="00000000" w:rsidRDefault="001D0688">
            <w:pPr>
              <w:rPr>
                <w:rFonts w:eastAsia="Times New Roman"/>
                <w:sz w:val="20"/>
                <w:szCs w:val="20"/>
              </w:rPr>
            </w:pPr>
          </w:p>
        </w:tc>
        <w:tc>
          <w:tcPr>
            <w:tcW w:w="0" w:type="auto"/>
            <w:gridSpan w:val="3"/>
            <w:vAlign w:val="center"/>
            <w:hideMark/>
          </w:tcPr>
          <w:p w14:paraId="4F6BFEBD" w14:textId="77777777" w:rsidR="00000000" w:rsidRDefault="001D0688">
            <w:pPr>
              <w:rPr>
                <w:rFonts w:eastAsia="Times New Roman"/>
                <w:sz w:val="20"/>
                <w:szCs w:val="20"/>
              </w:rPr>
            </w:pPr>
          </w:p>
        </w:tc>
      </w:tr>
      <w:tr w:rsidR="00000000" w14:paraId="7FF14A99" w14:textId="77777777">
        <w:trPr>
          <w:divId w:val="1692410833"/>
          <w:jc w:val="center"/>
        </w:trPr>
        <w:tc>
          <w:tcPr>
            <w:tcW w:w="0" w:type="auto"/>
            <w:gridSpan w:val="3"/>
            <w:shd w:val="clear" w:color="auto" w:fill="FFFFFF"/>
            <w:tcMar>
              <w:top w:w="30" w:type="dxa"/>
              <w:left w:w="155" w:type="dxa"/>
              <w:bottom w:w="30" w:type="dxa"/>
              <w:right w:w="20" w:type="dxa"/>
            </w:tcMar>
            <w:vAlign w:val="bottom"/>
            <w:hideMark/>
          </w:tcPr>
          <w:p w14:paraId="2D1B939D" w14:textId="77777777" w:rsidR="00000000" w:rsidRDefault="001D0688">
            <w:pPr>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15FAC16F"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DB792B" w14:textId="77777777" w:rsidR="00000000" w:rsidRDefault="001D0688">
            <w:pPr>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14:paraId="31C4492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7318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442D7"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935056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DFFD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C9B65"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71245B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83C2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8FF30"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462857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611F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B5F35"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7505C7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8A79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100B9"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EC5A8FF" w14:textId="77777777" w:rsidR="00000000" w:rsidRDefault="001D0688">
            <w:pPr>
              <w:jc w:val="right"/>
              <w:rPr>
                <w:rFonts w:eastAsia="Times New Roman"/>
              </w:rPr>
            </w:pPr>
          </w:p>
        </w:tc>
      </w:tr>
      <w:tr w:rsidR="00000000" w14:paraId="2AD356ED"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66C7DB79" w14:textId="77777777" w:rsidR="00000000" w:rsidRDefault="001D0688">
            <w:pPr>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14:paraId="1C3B8F98" w14:textId="77777777" w:rsidR="00000000" w:rsidRDefault="001D0688">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4007D81" w14:textId="77777777" w:rsidR="00000000" w:rsidRDefault="001D0688">
            <w:pPr>
              <w:jc w:val="right"/>
              <w:rPr>
                <w:rFonts w:eastAsia="Times New Roman"/>
              </w:rPr>
            </w:pPr>
            <w:r>
              <w:rPr>
                <w:rFonts w:ascii="Arial" w:eastAsia="Times New Roman" w:hAnsi="Arial" w:cs="Arial"/>
                <w:color w:val="000000"/>
                <w:sz w:val="16"/>
                <w:szCs w:val="16"/>
              </w:rPr>
              <w:t>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1DB9C0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FE5E90"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97E8ADD"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6A1FDE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95600E"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092BF4B" w14:textId="77777777" w:rsidR="00000000" w:rsidRDefault="001D0688">
            <w:pPr>
              <w:jc w:val="right"/>
              <w:rPr>
                <w:rFonts w:eastAsia="Times New Roman"/>
              </w:rPr>
            </w:pPr>
            <w:r>
              <w:rPr>
                <w:rFonts w:ascii="Arial" w:eastAsia="Times New Roman" w:hAnsi="Arial" w:cs="Arial"/>
                <w:color w:val="000000"/>
                <w:sz w:val="16"/>
                <w:szCs w:val="16"/>
              </w:rPr>
              <w:t>66.6 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8C181A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97C29A"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3116D2F"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E96526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E336D1"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2BAF020" w14:textId="77777777" w:rsidR="00000000" w:rsidRDefault="001D0688">
            <w:pPr>
              <w:jc w:val="right"/>
              <w:rPr>
                <w:rFonts w:eastAsia="Times New Roman"/>
              </w:rPr>
            </w:pPr>
            <w:r>
              <w:rPr>
                <w:rFonts w:ascii="Arial" w:eastAsia="Times New Roman" w:hAnsi="Arial" w:cs="Arial"/>
                <w:color w:val="000000"/>
                <w:sz w:val="16"/>
                <w:szCs w:val="16"/>
              </w:rPr>
              <w:t>66.0 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9AF3B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8553A8"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4E71E23"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7BF0D8" w14:textId="77777777" w:rsidR="00000000" w:rsidRDefault="001D0688">
            <w:pPr>
              <w:jc w:val="right"/>
              <w:rPr>
                <w:rFonts w:eastAsia="Times New Roman"/>
              </w:rPr>
            </w:pPr>
          </w:p>
        </w:tc>
      </w:tr>
      <w:tr w:rsidR="00000000" w14:paraId="6BBD4C64"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08BA8E61" w14:textId="77777777" w:rsidR="00000000" w:rsidRDefault="001D0688">
            <w:pPr>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14:paraId="77F4CF44" w14:textId="77777777" w:rsidR="00000000" w:rsidRDefault="001D0688">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C04E1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811296"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B2E7D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754421"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C366B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48C502"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BADCF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BB66F6"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69E1F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0F2257"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A53A5F" w14:textId="77777777" w:rsidR="00000000" w:rsidRDefault="001D0688">
            <w:pPr>
              <w:rPr>
                <w:rFonts w:eastAsia="Times New Roman"/>
                <w:sz w:val="20"/>
                <w:szCs w:val="20"/>
              </w:rPr>
            </w:pPr>
          </w:p>
        </w:tc>
      </w:tr>
      <w:tr w:rsidR="00000000" w14:paraId="72240234"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58287829" w14:textId="77777777" w:rsidR="00000000" w:rsidRDefault="001D0688">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14:paraId="2396A306"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F8E6C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BB9888D"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7B86E86" w14:textId="77777777" w:rsidR="00000000" w:rsidRDefault="001D0688">
            <w:pPr>
              <w:jc w:val="right"/>
              <w:rPr>
                <w:rFonts w:eastAsia="Times New Roman"/>
              </w:rPr>
            </w:pPr>
            <w:r>
              <w:rPr>
                <w:rFonts w:ascii="Arial" w:eastAsia="Times New Roman" w:hAnsi="Arial" w:cs="Arial"/>
                <w:color w:val="000000"/>
                <w:sz w:val="16"/>
                <w:szCs w:val="16"/>
              </w:rPr>
              <w:t>708.9 </w:t>
            </w:r>
          </w:p>
        </w:tc>
        <w:tc>
          <w:tcPr>
            <w:tcW w:w="0" w:type="auto"/>
            <w:shd w:val="clear" w:color="auto" w:fill="DCE2EF"/>
            <w:tcMar>
              <w:top w:w="30" w:type="dxa"/>
              <w:left w:w="0" w:type="dxa"/>
              <w:bottom w:w="30" w:type="dxa"/>
              <w:right w:w="20" w:type="dxa"/>
            </w:tcMar>
            <w:vAlign w:val="bottom"/>
            <w:hideMark/>
          </w:tcPr>
          <w:p w14:paraId="5974FAB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C26DB4"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F799E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DD9564B"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5D04773" w14:textId="77777777" w:rsidR="00000000" w:rsidRDefault="001D0688">
            <w:pPr>
              <w:jc w:val="right"/>
              <w:rPr>
                <w:rFonts w:eastAsia="Times New Roman"/>
              </w:rPr>
            </w:pPr>
            <w:r>
              <w:rPr>
                <w:rFonts w:ascii="Arial" w:eastAsia="Times New Roman" w:hAnsi="Arial" w:cs="Arial"/>
                <w:color w:val="000000"/>
                <w:sz w:val="16"/>
                <w:szCs w:val="16"/>
              </w:rPr>
              <w:t>691.8 </w:t>
            </w:r>
          </w:p>
        </w:tc>
        <w:tc>
          <w:tcPr>
            <w:tcW w:w="0" w:type="auto"/>
            <w:shd w:val="clear" w:color="auto" w:fill="DCE2EF"/>
            <w:tcMar>
              <w:top w:w="30" w:type="dxa"/>
              <w:left w:w="0" w:type="dxa"/>
              <w:bottom w:w="30" w:type="dxa"/>
              <w:right w:w="20" w:type="dxa"/>
            </w:tcMar>
            <w:vAlign w:val="bottom"/>
            <w:hideMark/>
          </w:tcPr>
          <w:p w14:paraId="4251D63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93510C"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99102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90C8280"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F75166" w14:textId="77777777" w:rsidR="00000000" w:rsidRDefault="001D0688">
            <w:pPr>
              <w:jc w:val="right"/>
              <w:rPr>
                <w:rFonts w:eastAsia="Times New Roman"/>
              </w:rPr>
            </w:pPr>
            <w:r>
              <w:rPr>
                <w:rFonts w:ascii="Arial" w:eastAsia="Times New Roman" w:hAnsi="Arial" w:cs="Arial"/>
                <w:color w:val="000000"/>
                <w:sz w:val="16"/>
                <w:szCs w:val="16"/>
              </w:rPr>
              <w:t>675.2 </w:t>
            </w:r>
          </w:p>
        </w:tc>
        <w:tc>
          <w:tcPr>
            <w:tcW w:w="0" w:type="auto"/>
            <w:shd w:val="clear" w:color="auto" w:fill="DCE2EF"/>
            <w:tcMar>
              <w:top w:w="30" w:type="dxa"/>
              <w:left w:w="0" w:type="dxa"/>
              <w:bottom w:w="30" w:type="dxa"/>
              <w:right w:w="20" w:type="dxa"/>
            </w:tcMar>
            <w:vAlign w:val="bottom"/>
            <w:hideMark/>
          </w:tcPr>
          <w:p w14:paraId="5DFA9B48" w14:textId="77777777" w:rsidR="00000000" w:rsidRDefault="001D0688">
            <w:pPr>
              <w:jc w:val="right"/>
              <w:rPr>
                <w:rFonts w:eastAsia="Times New Roman"/>
              </w:rPr>
            </w:pPr>
          </w:p>
        </w:tc>
      </w:tr>
      <w:tr w:rsidR="00000000" w14:paraId="6A0739D1"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6A75780E" w14:textId="77777777" w:rsidR="00000000" w:rsidRDefault="001D0688">
            <w:pPr>
              <w:ind w:hanging="270"/>
              <w:divId w:val="586155601"/>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14:paraId="378B91F8" w14:textId="77777777" w:rsidR="00000000" w:rsidRDefault="001D0688">
            <w:pPr>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BAB9E"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A37BAE"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C8D4A"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1955355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BFBD5"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29012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1F23A4"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733EE" w14:textId="77777777" w:rsidR="00000000" w:rsidRDefault="001D0688">
            <w:pPr>
              <w:jc w:val="right"/>
              <w:rPr>
                <w:rFonts w:eastAsia="Times New Roman"/>
              </w:rPr>
            </w:pPr>
            <w:r>
              <w:rPr>
                <w:rFonts w:ascii="Arial" w:eastAsia="Times New Roman" w:hAnsi="Arial" w:cs="Arial"/>
                <w:color w:val="000000"/>
                <w:sz w:val="16"/>
                <w:szCs w:val="16"/>
              </w:rPr>
              <w:t>(0.3)</w:t>
            </w:r>
          </w:p>
        </w:tc>
        <w:tc>
          <w:tcPr>
            <w:tcW w:w="0" w:type="auto"/>
            <w:shd w:val="clear" w:color="auto" w:fill="FFFFFF"/>
            <w:tcMar>
              <w:top w:w="30" w:type="dxa"/>
              <w:left w:w="0" w:type="dxa"/>
              <w:bottom w:w="30" w:type="dxa"/>
              <w:right w:w="20" w:type="dxa"/>
            </w:tcMar>
            <w:vAlign w:val="bottom"/>
            <w:hideMark/>
          </w:tcPr>
          <w:p w14:paraId="067FF3E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D82FE"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5742F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FEB18"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AE5DE" w14:textId="77777777" w:rsidR="00000000" w:rsidRDefault="001D0688">
            <w:pPr>
              <w:jc w:val="right"/>
              <w:rPr>
                <w:rFonts w:eastAsia="Times New Roman"/>
              </w:rPr>
            </w:pPr>
            <w:r>
              <w:rPr>
                <w:rFonts w:ascii="Arial" w:eastAsia="Times New Roman" w:hAnsi="Arial" w:cs="Arial"/>
                <w:color w:val="000000"/>
                <w:sz w:val="16"/>
                <w:szCs w:val="16"/>
              </w:rPr>
              <w:t>(0.4)</w:t>
            </w:r>
          </w:p>
        </w:tc>
        <w:tc>
          <w:tcPr>
            <w:tcW w:w="0" w:type="auto"/>
            <w:shd w:val="clear" w:color="auto" w:fill="FFFFFF"/>
            <w:tcMar>
              <w:top w:w="30" w:type="dxa"/>
              <w:left w:w="0" w:type="dxa"/>
              <w:bottom w:w="30" w:type="dxa"/>
              <w:right w:w="20" w:type="dxa"/>
            </w:tcMar>
            <w:vAlign w:val="bottom"/>
            <w:hideMark/>
          </w:tcPr>
          <w:p w14:paraId="4BB14094" w14:textId="77777777" w:rsidR="00000000" w:rsidRDefault="001D0688">
            <w:pPr>
              <w:jc w:val="right"/>
              <w:rPr>
                <w:rFonts w:eastAsia="Times New Roman"/>
              </w:rPr>
            </w:pPr>
          </w:p>
        </w:tc>
      </w:tr>
      <w:tr w:rsidR="00000000" w14:paraId="13CA2590"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3241EEC7" w14:textId="77777777" w:rsidR="00000000" w:rsidRDefault="001D0688">
            <w:pPr>
              <w:rPr>
                <w:rFonts w:eastAsia="Times New Roman"/>
              </w:rPr>
            </w:pPr>
            <w:r>
              <w:rPr>
                <w:rFonts w:ascii="Arial" w:eastAsia="Times New Roman" w:hAnsi="Arial" w:cs="Arial"/>
                <w:color w:val="000000"/>
                <w:sz w:val="16"/>
                <w:szCs w:val="16"/>
              </w:rPr>
              <w:t>Share-based compensation expense</w:t>
            </w:r>
          </w:p>
        </w:tc>
        <w:tc>
          <w:tcPr>
            <w:tcW w:w="0" w:type="auto"/>
            <w:gridSpan w:val="3"/>
            <w:shd w:val="clear" w:color="auto" w:fill="DCE2EF"/>
            <w:tcMar>
              <w:top w:w="0" w:type="dxa"/>
              <w:left w:w="20" w:type="dxa"/>
              <w:bottom w:w="0" w:type="dxa"/>
              <w:right w:w="20" w:type="dxa"/>
            </w:tcMar>
            <w:vAlign w:val="center"/>
            <w:hideMark/>
          </w:tcPr>
          <w:p w14:paraId="267218B1"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2A145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5A5559"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88FCB7" w14:textId="77777777" w:rsidR="00000000" w:rsidRDefault="001D0688">
            <w:pPr>
              <w:jc w:val="right"/>
              <w:rPr>
                <w:rFonts w:eastAsia="Times New Roman"/>
              </w:rPr>
            </w:pPr>
            <w:r>
              <w:rPr>
                <w:rFonts w:ascii="Arial" w:eastAsia="Times New Roman" w:hAnsi="Arial" w:cs="Arial"/>
                <w:color w:val="000000"/>
                <w:sz w:val="16"/>
                <w:szCs w:val="16"/>
              </w:rPr>
              <w:t>20.3 </w:t>
            </w:r>
          </w:p>
        </w:tc>
        <w:tc>
          <w:tcPr>
            <w:tcW w:w="0" w:type="auto"/>
            <w:shd w:val="clear" w:color="auto" w:fill="DCE2EF"/>
            <w:tcMar>
              <w:top w:w="30" w:type="dxa"/>
              <w:left w:w="0" w:type="dxa"/>
              <w:bottom w:w="30" w:type="dxa"/>
              <w:right w:w="20" w:type="dxa"/>
            </w:tcMar>
            <w:vAlign w:val="bottom"/>
            <w:hideMark/>
          </w:tcPr>
          <w:p w14:paraId="3153F0F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501090"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98668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A28A49"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9FD74D" w14:textId="77777777" w:rsidR="00000000" w:rsidRDefault="001D0688">
            <w:pPr>
              <w:jc w:val="right"/>
              <w:rPr>
                <w:rFonts w:eastAsia="Times New Roman"/>
              </w:rPr>
            </w:pPr>
            <w:r>
              <w:rPr>
                <w:rFonts w:ascii="Arial" w:eastAsia="Times New Roman" w:hAnsi="Arial" w:cs="Arial"/>
                <w:color w:val="000000"/>
                <w:sz w:val="16"/>
                <w:szCs w:val="16"/>
              </w:rPr>
              <w:t>17.5 </w:t>
            </w:r>
          </w:p>
        </w:tc>
        <w:tc>
          <w:tcPr>
            <w:tcW w:w="0" w:type="auto"/>
            <w:shd w:val="clear" w:color="auto" w:fill="DCE2EF"/>
            <w:tcMar>
              <w:top w:w="30" w:type="dxa"/>
              <w:left w:w="0" w:type="dxa"/>
              <w:bottom w:w="30" w:type="dxa"/>
              <w:right w:w="20" w:type="dxa"/>
            </w:tcMar>
            <w:vAlign w:val="bottom"/>
            <w:hideMark/>
          </w:tcPr>
          <w:p w14:paraId="64139B6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3ED1D5"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804B06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F0E31F"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45E577" w14:textId="77777777" w:rsidR="00000000" w:rsidRDefault="001D0688">
            <w:pPr>
              <w:jc w:val="right"/>
              <w:rPr>
                <w:rFonts w:eastAsia="Times New Roman"/>
              </w:rPr>
            </w:pPr>
            <w:r>
              <w:rPr>
                <w:rFonts w:ascii="Arial" w:eastAsia="Times New Roman" w:hAnsi="Arial" w:cs="Arial"/>
                <w:color w:val="000000"/>
                <w:sz w:val="16"/>
                <w:szCs w:val="16"/>
              </w:rPr>
              <w:t>17.0 </w:t>
            </w:r>
          </w:p>
        </w:tc>
        <w:tc>
          <w:tcPr>
            <w:tcW w:w="0" w:type="auto"/>
            <w:shd w:val="clear" w:color="auto" w:fill="DCE2EF"/>
            <w:tcMar>
              <w:top w:w="30" w:type="dxa"/>
              <w:left w:w="0" w:type="dxa"/>
              <w:bottom w:w="30" w:type="dxa"/>
              <w:right w:w="20" w:type="dxa"/>
            </w:tcMar>
            <w:vAlign w:val="bottom"/>
            <w:hideMark/>
          </w:tcPr>
          <w:p w14:paraId="5E80F1D3" w14:textId="77777777" w:rsidR="00000000" w:rsidRDefault="001D0688">
            <w:pPr>
              <w:jc w:val="right"/>
              <w:rPr>
                <w:rFonts w:eastAsia="Times New Roman"/>
              </w:rPr>
            </w:pPr>
          </w:p>
        </w:tc>
      </w:tr>
      <w:tr w:rsidR="00000000" w14:paraId="1FC74ECC" w14:textId="77777777">
        <w:trPr>
          <w:divId w:val="1692410833"/>
          <w:jc w:val="center"/>
        </w:trPr>
        <w:tc>
          <w:tcPr>
            <w:tcW w:w="0" w:type="auto"/>
            <w:gridSpan w:val="3"/>
            <w:vAlign w:val="center"/>
            <w:hideMark/>
          </w:tcPr>
          <w:p w14:paraId="4D0FCD18" w14:textId="77777777" w:rsidR="00000000" w:rsidRDefault="001D0688">
            <w:pPr>
              <w:jc w:val="right"/>
              <w:rPr>
                <w:rFonts w:eastAsia="Times New Roman"/>
                <w:sz w:val="20"/>
                <w:szCs w:val="20"/>
              </w:rPr>
            </w:pPr>
          </w:p>
        </w:tc>
        <w:tc>
          <w:tcPr>
            <w:tcW w:w="0" w:type="auto"/>
            <w:gridSpan w:val="3"/>
            <w:vAlign w:val="center"/>
            <w:hideMark/>
          </w:tcPr>
          <w:p w14:paraId="723BEC01" w14:textId="77777777" w:rsidR="00000000" w:rsidRDefault="001D0688">
            <w:pPr>
              <w:rPr>
                <w:rFonts w:eastAsia="Times New Roman"/>
                <w:sz w:val="20"/>
                <w:szCs w:val="20"/>
              </w:rPr>
            </w:pPr>
          </w:p>
        </w:tc>
        <w:tc>
          <w:tcPr>
            <w:tcW w:w="0" w:type="auto"/>
            <w:gridSpan w:val="3"/>
            <w:vAlign w:val="center"/>
            <w:hideMark/>
          </w:tcPr>
          <w:p w14:paraId="7FD9DDD7" w14:textId="77777777" w:rsidR="00000000" w:rsidRDefault="001D0688">
            <w:pPr>
              <w:rPr>
                <w:rFonts w:eastAsia="Times New Roman"/>
                <w:sz w:val="20"/>
                <w:szCs w:val="20"/>
              </w:rPr>
            </w:pPr>
          </w:p>
        </w:tc>
        <w:tc>
          <w:tcPr>
            <w:tcW w:w="0" w:type="auto"/>
            <w:gridSpan w:val="3"/>
            <w:vAlign w:val="center"/>
            <w:hideMark/>
          </w:tcPr>
          <w:p w14:paraId="64208E7E" w14:textId="77777777" w:rsidR="00000000" w:rsidRDefault="001D0688">
            <w:pPr>
              <w:rPr>
                <w:rFonts w:eastAsia="Times New Roman"/>
                <w:sz w:val="20"/>
                <w:szCs w:val="20"/>
              </w:rPr>
            </w:pPr>
          </w:p>
        </w:tc>
        <w:tc>
          <w:tcPr>
            <w:tcW w:w="0" w:type="auto"/>
            <w:gridSpan w:val="3"/>
            <w:vAlign w:val="center"/>
            <w:hideMark/>
          </w:tcPr>
          <w:p w14:paraId="50076EAF" w14:textId="77777777" w:rsidR="00000000" w:rsidRDefault="001D0688">
            <w:pPr>
              <w:rPr>
                <w:rFonts w:eastAsia="Times New Roman"/>
                <w:sz w:val="20"/>
                <w:szCs w:val="20"/>
              </w:rPr>
            </w:pPr>
          </w:p>
        </w:tc>
        <w:tc>
          <w:tcPr>
            <w:tcW w:w="0" w:type="auto"/>
            <w:gridSpan w:val="3"/>
            <w:vAlign w:val="center"/>
            <w:hideMark/>
          </w:tcPr>
          <w:p w14:paraId="482E1387" w14:textId="77777777" w:rsidR="00000000" w:rsidRDefault="001D0688">
            <w:pPr>
              <w:rPr>
                <w:rFonts w:eastAsia="Times New Roman"/>
                <w:sz w:val="20"/>
                <w:szCs w:val="20"/>
              </w:rPr>
            </w:pPr>
          </w:p>
        </w:tc>
        <w:tc>
          <w:tcPr>
            <w:tcW w:w="0" w:type="auto"/>
            <w:gridSpan w:val="3"/>
            <w:vAlign w:val="center"/>
            <w:hideMark/>
          </w:tcPr>
          <w:p w14:paraId="2AB007B9" w14:textId="77777777" w:rsidR="00000000" w:rsidRDefault="001D0688">
            <w:pPr>
              <w:rPr>
                <w:rFonts w:eastAsia="Times New Roman"/>
                <w:sz w:val="20"/>
                <w:szCs w:val="20"/>
              </w:rPr>
            </w:pPr>
          </w:p>
        </w:tc>
        <w:tc>
          <w:tcPr>
            <w:tcW w:w="0" w:type="auto"/>
            <w:gridSpan w:val="3"/>
            <w:vAlign w:val="center"/>
            <w:hideMark/>
          </w:tcPr>
          <w:p w14:paraId="3E250A57" w14:textId="77777777" w:rsidR="00000000" w:rsidRDefault="001D0688">
            <w:pPr>
              <w:rPr>
                <w:rFonts w:eastAsia="Times New Roman"/>
                <w:sz w:val="20"/>
                <w:szCs w:val="20"/>
              </w:rPr>
            </w:pPr>
          </w:p>
        </w:tc>
        <w:tc>
          <w:tcPr>
            <w:tcW w:w="0" w:type="auto"/>
            <w:gridSpan w:val="3"/>
            <w:vAlign w:val="center"/>
            <w:hideMark/>
          </w:tcPr>
          <w:p w14:paraId="2E0A860C" w14:textId="77777777" w:rsidR="00000000" w:rsidRDefault="001D0688">
            <w:pPr>
              <w:rPr>
                <w:rFonts w:eastAsia="Times New Roman"/>
                <w:sz w:val="20"/>
                <w:szCs w:val="20"/>
              </w:rPr>
            </w:pPr>
          </w:p>
        </w:tc>
        <w:tc>
          <w:tcPr>
            <w:tcW w:w="0" w:type="auto"/>
            <w:gridSpan w:val="3"/>
            <w:vAlign w:val="center"/>
            <w:hideMark/>
          </w:tcPr>
          <w:p w14:paraId="64C5370D" w14:textId="77777777" w:rsidR="00000000" w:rsidRDefault="001D0688">
            <w:pPr>
              <w:rPr>
                <w:rFonts w:eastAsia="Times New Roman"/>
                <w:sz w:val="20"/>
                <w:szCs w:val="20"/>
              </w:rPr>
            </w:pPr>
          </w:p>
        </w:tc>
        <w:tc>
          <w:tcPr>
            <w:tcW w:w="0" w:type="auto"/>
            <w:gridSpan w:val="3"/>
            <w:vAlign w:val="center"/>
            <w:hideMark/>
          </w:tcPr>
          <w:p w14:paraId="7CDDCC81" w14:textId="77777777" w:rsidR="00000000" w:rsidRDefault="001D0688">
            <w:pPr>
              <w:rPr>
                <w:rFonts w:eastAsia="Times New Roman"/>
                <w:sz w:val="20"/>
                <w:szCs w:val="20"/>
              </w:rPr>
            </w:pPr>
          </w:p>
        </w:tc>
        <w:tc>
          <w:tcPr>
            <w:tcW w:w="0" w:type="auto"/>
            <w:gridSpan w:val="3"/>
            <w:vAlign w:val="center"/>
            <w:hideMark/>
          </w:tcPr>
          <w:p w14:paraId="63FB6872" w14:textId="77777777" w:rsidR="00000000" w:rsidRDefault="001D0688">
            <w:pPr>
              <w:rPr>
                <w:rFonts w:eastAsia="Times New Roman"/>
                <w:sz w:val="20"/>
                <w:szCs w:val="20"/>
              </w:rPr>
            </w:pPr>
          </w:p>
        </w:tc>
        <w:tc>
          <w:tcPr>
            <w:tcW w:w="0" w:type="auto"/>
            <w:gridSpan w:val="3"/>
            <w:vAlign w:val="center"/>
            <w:hideMark/>
          </w:tcPr>
          <w:p w14:paraId="3EE2D9B8" w14:textId="77777777" w:rsidR="00000000" w:rsidRDefault="001D0688">
            <w:pPr>
              <w:rPr>
                <w:rFonts w:eastAsia="Times New Roman"/>
                <w:sz w:val="20"/>
                <w:szCs w:val="20"/>
              </w:rPr>
            </w:pPr>
          </w:p>
        </w:tc>
      </w:tr>
      <w:tr w:rsidR="00000000" w14:paraId="7DA0A70F" w14:textId="77777777">
        <w:trPr>
          <w:divId w:val="1692410833"/>
          <w:jc w:val="center"/>
        </w:trPr>
        <w:tc>
          <w:tcPr>
            <w:tcW w:w="0" w:type="auto"/>
            <w:gridSpan w:val="3"/>
            <w:shd w:val="clear" w:color="auto" w:fill="FFFFFF"/>
            <w:tcMar>
              <w:top w:w="30" w:type="dxa"/>
              <w:left w:w="155" w:type="dxa"/>
              <w:bottom w:w="30" w:type="dxa"/>
              <w:right w:w="20" w:type="dxa"/>
            </w:tcMar>
            <w:vAlign w:val="bottom"/>
            <w:hideMark/>
          </w:tcPr>
          <w:p w14:paraId="3C26B19D" w14:textId="77777777" w:rsidR="00000000" w:rsidRDefault="001D0688">
            <w:pPr>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3378B525"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A0F8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C19125"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EA04A5" w14:textId="77777777" w:rsidR="00000000" w:rsidRDefault="001D0688">
            <w:pPr>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14:paraId="62C0FD5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4C74E"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1ED21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F1653"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830B0"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E30B52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2F562"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C845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F0D34"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A2B74"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CB1D761" w14:textId="77777777" w:rsidR="00000000" w:rsidRDefault="001D0688">
            <w:pPr>
              <w:jc w:val="right"/>
              <w:rPr>
                <w:rFonts w:eastAsia="Times New Roman"/>
              </w:rPr>
            </w:pPr>
          </w:p>
        </w:tc>
      </w:tr>
      <w:tr w:rsidR="00000000" w14:paraId="6D3684B7"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1735F059" w14:textId="77777777" w:rsidR="00000000" w:rsidRDefault="001D0688">
            <w:pPr>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14:paraId="0B525097"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EA648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E20822B"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02E525D" w14:textId="77777777" w:rsidR="00000000" w:rsidRDefault="001D0688">
            <w:pPr>
              <w:jc w:val="right"/>
              <w:rPr>
                <w:rFonts w:eastAsia="Times New Roman"/>
              </w:rPr>
            </w:pPr>
            <w:r>
              <w:rPr>
                <w:rFonts w:ascii="Arial" w:eastAsia="Times New Roman" w:hAnsi="Arial" w:cs="Arial"/>
                <w:color w:val="000000"/>
                <w:sz w:val="16"/>
                <w:szCs w:val="16"/>
              </w:rPr>
              <w:t>724.1 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C1A69B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575B16"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4E5C9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F43FC87"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E3BACCC" w14:textId="77777777" w:rsidR="00000000" w:rsidRDefault="001D0688">
            <w:pPr>
              <w:jc w:val="right"/>
              <w:rPr>
                <w:rFonts w:eastAsia="Times New Roman"/>
              </w:rPr>
            </w:pPr>
            <w:r>
              <w:rPr>
                <w:rFonts w:ascii="Arial" w:eastAsia="Times New Roman" w:hAnsi="Arial" w:cs="Arial"/>
                <w:color w:val="000000"/>
                <w:sz w:val="16"/>
                <w:szCs w:val="16"/>
              </w:rPr>
              <w:t>708.9 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260DB3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C67CEF"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1B3C04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7E358E0"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7D56C5B" w14:textId="77777777" w:rsidR="00000000" w:rsidRDefault="001D0688">
            <w:pPr>
              <w:jc w:val="right"/>
              <w:rPr>
                <w:rFonts w:eastAsia="Times New Roman"/>
              </w:rPr>
            </w:pPr>
            <w:r>
              <w:rPr>
                <w:rFonts w:ascii="Arial" w:eastAsia="Times New Roman" w:hAnsi="Arial" w:cs="Arial"/>
                <w:color w:val="000000"/>
                <w:sz w:val="16"/>
                <w:szCs w:val="16"/>
              </w:rPr>
              <w:t>691.8 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1AAB6DF" w14:textId="77777777" w:rsidR="00000000" w:rsidRDefault="001D0688">
            <w:pPr>
              <w:jc w:val="right"/>
              <w:rPr>
                <w:rFonts w:eastAsia="Times New Roman"/>
              </w:rPr>
            </w:pPr>
          </w:p>
        </w:tc>
      </w:tr>
      <w:tr w:rsidR="00000000" w14:paraId="3FAB261F"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5F8E5C69" w14:textId="77777777" w:rsidR="00000000" w:rsidRDefault="001D0688">
            <w:pPr>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14:paraId="737C12C4"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8D53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9CF64"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A612C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2A77D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43508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48549"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2A175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D311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E09E0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1AB987"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4C1AC0" w14:textId="77777777" w:rsidR="00000000" w:rsidRDefault="001D0688">
            <w:pPr>
              <w:rPr>
                <w:rFonts w:eastAsia="Times New Roman"/>
                <w:sz w:val="20"/>
                <w:szCs w:val="20"/>
              </w:rPr>
            </w:pPr>
          </w:p>
        </w:tc>
      </w:tr>
      <w:tr w:rsidR="00000000" w14:paraId="2F7FC35C"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23E23C18" w14:textId="77777777" w:rsidR="00000000" w:rsidRDefault="001D0688">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14:paraId="39282D7A"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65631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D97EF15"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8BBBE2A" w14:textId="77777777" w:rsidR="00000000" w:rsidRDefault="001D0688">
            <w:pPr>
              <w:jc w:val="right"/>
              <w:rPr>
                <w:rFonts w:eastAsia="Times New Roman"/>
              </w:rPr>
            </w:pPr>
            <w:r>
              <w:rPr>
                <w:rFonts w:ascii="Arial" w:eastAsia="Times New Roman" w:hAnsi="Arial" w:cs="Arial"/>
                <w:color w:val="000000"/>
                <w:sz w:val="16"/>
                <w:szCs w:val="16"/>
              </w:rPr>
              <w:t>(23.9)</w:t>
            </w:r>
          </w:p>
        </w:tc>
        <w:tc>
          <w:tcPr>
            <w:tcW w:w="0" w:type="auto"/>
            <w:shd w:val="clear" w:color="auto" w:fill="DCE2EF"/>
            <w:tcMar>
              <w:top w:w="30" w:type="dxa"/>
              <w:left w:w="0" w:type="dxa"/>
              <w:bottom w:w="30" w:type="dxa"/>
              <w:right w:w="20" w:type="dxa"/>
            </w:tcMar>
            <w:vAlign w:val="bottom"/>
            <w:hideMark/>
          </w:tcPr>
          <w:p w14:paraId="157B1A5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AD4CB9"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96530F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A156DAB"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1D1A74" w14:textId="77777777" w:rsidR="00000000" w:rsidRDefault="001D0688">
            <w:pPr>
              <w:jc w:val="right"/>
              <w:rPr>
                <w:rFonts w:eastAsia="Times New Roman"/>
              </w:rPr>
            </w:pPr>
            <w:r>
              <w:rPr>
                <w:rFonts w:ascii="Arial" w:eastAsia="Times New Roman" w:hAnsi="Arial" w:cs="Arial"/>
                <w:color w:val="000000"/>
                <w:sz w:val="16"/>
                <w:szCs w:val="16"/>
              </w:rPr>
              <w:t>(9.0)</w:t>
            </w:r>
          </w:p>
        </w:tc>
        <w:tc>
          <w:tcPr>
            <w:tcW w:w="0" w:type="auto"/>
            <w:shd w:val="clear" w:color="auto" w:fill="DCE2EF"/>
            <w:tcMar>
              <w:top w:w="30" w:type="dxa"/>
              <w:left w:w="0" w:type="dxa"/>
              <w:bottom w:w="30" w:type="dxa"/>
              <w:right w:w="20" w:type="dxa"/>
            </w:tcMar>
            <w:vAlign w:val="bottom"/>
            <w:hideMark/>
          </w:tcPr>
          <w:p w14:paraId="7E8CAC1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B36B16"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201EC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E48C462"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A2973B" w14:textId="77777777" w:rsidR="00000000" w:rsidRDefault="001D0688">
            <w:pPr>
              <w:jc w:val="right"/>
              <w:rPr>
                <w:rFonts w:eastAsia="Times New Roman"/>
              </w:rPr>
            </w:pPr>
            <w:r>
              <w:rPr>
                <w:rFonts w:ascii="Arial" w:eastAsia="Times New Roman" w:hAnsi="Arial" w:cs="Arial"/>
                <w:color w:val="000000"/>
                <w:sz w:val="16"/>
                <w:szCs w:val="16"/>
              </w:rPr>
              <w:t>(20.3)</w:t>
            </w:r>
          </w:p>
        </w:tc>
        <w:tc>
          <w:tcPr>
            <w:tcW w:w="0" w:type="auto"/>
            <w:shd w:val="clear" w:color="auto" w:fill="DCE2EF"/>
            <w:tcMar>
              <w:top w:w="30" w:type="dxa"/>
              <w:left w:w="0" w:type="dxa"/>
              <w:bottom w:w="30" w:type="dxa"/>
              <w:right w:w="20" w:type="dxa"/>
            </w:tcMar>
            <w:vAlign w:val="bottom"/>
            <w:hideMark/>
          </w:tcPr>
          <w:p w14:paraId="30906BAE" w14:textId="77777777" w:rsidR="00000000" w:rsidRDefault="001D0688">
            <w:pPr>
              <w:jc w:val="right"/>
              <w:rPr>
                <w:rFonts w:eastAsia="Times New Roman"/>
              </w:rPr>
            </w:pPr>
          </w:p>
        </w:tc>
      </w:tr>
      <w:tr w:rsidR="00000000" w14:paraId="2BBC26E9" w14:textId="77777777">
        <w:trPr>
          <w:divId w:val="1692410833"/>
          <w:jc w:val="center"/>
        </w:trPr>
        <w:tc>
          <w:tcPr>
            <w:tcW w:w="0" w:type="auto"/>
            <w:gridSpan w:val="3"/>
            <w:shd w:val="clear" w:color="auto" w:fill="FFFFFF"/>
            <w:tcMar>
              <w:top w:w="30" w:type="dxa"/>
              <w:left w:w="155" w:type="dxa"/>
              <w:bottom w:w="30" w:type="dxa"/>
              <w:right w:w="20" w:type="dxa"/>
            </w:tcMar>
            <w:vAlign w:val="bottom"/>
            <w:hideMark/>
          </w:tcPr>
          <w:p w14:paraId="53766F65" w14:textId="77777777" w:rsidR="00000000" w:rsidRDefault="001D0688">
            <w:pPr>
              <w:rPr>
                <w:rFonts w:eastAsia="Times New Roman"/>
              </w:rPr>
            </w:pPr>
            <w:r>
              <w:rPr>
                <w:rFonts w:ascii="Arial" w:eastAsia="Times New Roman" w:hAnsi="Arial" w:cs="Arial"/>
                <w:color w:val="000000"/>
                <w:sz w:val="16"/>
                <w:szCs w:val="16"/>
              </w:rPr>
              <w:t>Other comprehensive (loss) income</w:t>
            </w:r>
          </w:p>
        </w:tc>
        <w:tc>
          <w:tcPr>
            <w:tcW w:w="0" w:type="auto"/>
            <w:gridSpan w:val="3"/>
            <w:shd w:val="clear" w:color="auto" w:fill="FFFFFF"/>
            <w:tcMar>
              <w:top w:w="0" w:type="dxa"/>
              <w:left w:w="20" w:type="dxa"/>
              <w:bottom w:w="0" w:type="dxa"/>
              <w:right w:w="20" w:type="dxa"/>
            </w:tcMar>
            <w:vAlign w:val="center"/>
            <w:hideMark/>
          </w:tcPr>
          <w:p w14:paraId="019C60C5"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9085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018983"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5235B" w14:textId="77777777" w:rsidR="00000000" w:rsidRDefault="001D0688">
            <w:pPr>
              <w:jc w:val="right"/>
              <w:rPr>
                <w:rFonts w:eastAsia="Times New Roman"/>
              </w:rPr>
            </w:pPr>
            <w:r>
              <w:rPr>
                <w:rFonts w:ascii="Arial" w:eastAsia="Times New Roman" w:hAnsi="Arial" w:cs="Arial"/>
                <w:color w:val="000000"/>
                <w:sz w:val="16"/>
                <w:szCs w:val="16"/>
              </w:rPr>
              <w:t>(6.9)</w:t>
            </w:r>
          </w:p>
        </w:tc>
        <w:tc>
          <w:tcPr>
            <w:tcW w:w="0" w:type="auto"/>
            <w:shd w:val="clear" w:color="auto" w:fill="FFFFFF"/>
            <w:tcMar>
              <w:top w:w="30" w:type="dxa"/>
              <w:left w:w="0" w:type="dxa"/>
              <w:bottom w:w="30" w:type="dxa"/>
              <w:right w:w="20" w:type="dxa"/>
            </w:tcMar>
            <w:vAlign w:val="bottom"/>
            <w:hideMark/>
          </w:tcPr>
          <w:p w14:paraId="402A3FD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EDBAA"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9DDF1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83BF55"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4FFB25" w14:textId="77777777" w:rsidR="00000000" w:rsidRDefault="001D0688">
            <w:pPr>
              <w:jc w:val="right"/>
              <w:rPr>
                <w:rFonts w:eastAsia="Times New Roman"/>
              </w:rPr>
            </w:pPr>
            <w:r>
              <w:rPr>
                <w:rFonts w:ascii="Arial" w:eastAsia="Times New Roman" w:hAnsi="Arial" w:cs="Arial"/>
                <w:color w:val="000000"/>
                <w:sz w:val="16"/>
                <w:szCs w:val="16"/>
              </w:rPr>
              <w:t>(14.9)</w:t>
            </w:r>
          </w:p>
        </w:tc>
        <w:tc>
          <w:tcPr>
            <w:tcW w:w="0" w:type="auto"/>
            <w:shd w:val="clear" w:color="auto" w:fill="FFFFFF"/>
            <w:tcMar>
              <w:top w:w="30" w:type="dxa"/>
              <w:left w:w="0" w:type="dxa"/>
              <w:bottom w:w="30" w:type="dxa"/>
              <w:right w:w="20" w:type="dxa"/>
            </w:tcMar>
            <w:vAlign w:val="bottom"/>
            <w:hideMark/>
          </w:tcPr>
          <w:p w14:paraId="6662770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E5243"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26D00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0831ED"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03B92" w14:textId="77777777" w:rsidR="00000000" w:rsidRDefault="001D0688">
            <w:pPr>
              <w:jc w:val="right"/>
              <w:rPr>
                <w:rFonts w:eastAsia="Times New Roman"/>
              </w:rPr>
            </w:pPr>
            <w:r>
              <w:rPr>
                <w:rFonts w:ascii="Arial" w:eastAsia="Times New Roman" w:hAnsi="Arial" w:cs="Arial"/>
                <w:color w:val="000000"/>
                <w:sz w:val="16"/>
                <w:szCs w:val="16"/>
              </w:rPr>
              <w:t>11.3 </w:t>
            </w:r>
          </w:p>
        </w:tc>
        <w:tc>
          <w:tcPr>
            <w:tcW w:w="0" w:type="auto"/>
            <w:shd w:val="clear" w:color="auto" w:fill="FFFFFF"/>
            <w:tcMar>
              <w:top w:w="30" w:type="dxa"/>
              <w:left w:w="0" w:type="dxa"/>
              <w:bottom w:w="30" w:type="dxa"/>
              <w:right w:w="20" w:type="dxa"/>
            </w:tcMar>
            <w:vAlign w:val="bottom"/>
            <w:hideMark/>
          </w:tcPr>
          <w:p w14:paraId="50AA2E39" w14:textId="77777777" w:rsidR="00000000" w:rsidRDefault="001D0688">
            <w:pPr>
              <w:jc w:val="right"/>
              <w:rPr>
                <w:rFonts w:eastAsia="Times New Roman"/>
              </w:rPr>
            </w:pPr>
          </w:p>
        </w:tc>
      </w:tr>
      <w:tr w:rsidR="00000000" w14:paraId="2E9B7600"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6C2D8931" w14:textId="77777777" w:rsidR="00000000" w:rsidRDefault="001D0688">
            <w:pPr>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14:paraId="29F500C2"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2AD1F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0C4DEA0"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B9D4BF6" w14:textId="77777777" w:rsidR="00000000" w:rsidRDefault="001D0688">
            <w:pPr>
              <w:jc w:val="right"/>
              <w:rPr>
                <w:rFonts w:eastAsia="Times New Roman"/>
              </w:rPr>
            </w:pPr>
            <w:r>
              <w:rPr>
                <w:rFonts w:ascii="Arial" w:eastAsia="Times New Roman" w:hAnsi="Arial" w:cs="Arial"/>
                <w:color w:val="000000"/>
                <w:sz w:val="16"/>
                <w:szCs w:val="16"/>
              </w:rPr>
              <w:t>(30.8)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C77D9C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EBBD72"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ACF753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3CF83D0"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B008014" w14:textId="77777777" w:rsidR="00000000" w:rsidRDefault="001D0688">
            <w:pPr>
              <w:jc w:val="right"/>
              <w:rPr>
                <w:rFonts w:eastAsia="Times New Roman"/>
              </w:rPr>
            </w:pPr>
            <w:r>
              <w:rPr>
                <w:rFonts w:ascii="Arial" w:eastAsia="Times New Roman" w:hAnsi="Arial" w:cs="Arial"/>
                <w:color w:val="000000"/>
                <w:sz w:val="16"/>
                <w:szCs w:val="16"/>
              </w:rPr>
              <w:t>(23.9)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D3E5DF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A80A13"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59754F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9A36E4E"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DCB99B9" w14:textId="77777777" w:rsidR="00000000" w:rsidRDefault="001D0688">
            <w:pPr>
              <w:jc w:val="right"/>
              <w:rPr>
                <w:rFonts w:eastAsia="Times New Roman"/>
              </w:rPr>
            </w:pPr>
            <w:r>
              <w:rPr>
                <w:rFonts w:ascii="Arial" w:eastAsia="Times New Roman" w:hAnsi="Arial" w:cs="Arial"/>
                <w:color w:val="000000"/>
                <w:sz w:val="16"/>
                <w:szCs w:val="16"/>
              </w:rPr>
              <w:t>(9.0)</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6D543EC" w14:textId="77777777" w:rsidR="00000000" w:rsidRDefault="001D0688">
            <w:pPr>
              <w:jc w:val="right"/>
              <w:rPr>
                <w:rFonts w:eastAsia="Times New Roman"/>
              </w:rPr>
            </w:pPr>
          </w:p>
        </w:tc>
      </w:tr>
      <w:tr w:rsidR="00000000" w14:paraId="3B7BB046"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1D0A997F" w14:textId="77777777" w:rsidR="00000000" w:rsidRDefault="001D0688">
            <w:pPr>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3AAF5928"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C19F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7CE8AE"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F72DD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A711D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63179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C5964"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4E15E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A870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AB7B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35B1EE"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F7CCE2" w14:textId="77777777" w:rsidR="00000000" w:rsidRDefault="001D0688">
            <w:pPr>
              <w:rPr>
                <w:rFonts w:eastAsia="Times New Roman"/>
                <w:sz w:val="20"/>
                <w:szCs w:val="20"/>
              </w:rPr>
            </w:pPr>
          </w:p>
        </w:tc>
      </w:tr>
      <w:tr w:rsidR="00000000" w14:paraId="4B684C80"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132653C9" w14:textId="77777777" w:rsidR="00000000" w:rsidRDefault="001D0688">
            <w:pPr>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14:paraId="4068FE24"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EA86C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41D9CF"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4DBFA6" w14:textId="77777777" w:rsidR="00000000" w:rsidRDefault="001D0688">
            <w:pPr>
              <w:jc w:val="right"/>
              <w:rPr>
                <w:rFonts w:eastAsia="Times New Roman"/>
              </w:rPr>
            </w:pPr>
            <w:r>
              <w:rPr>
                <w:rFonts w:ascii="Arial" w:eastAsia="Times New Roman" w:hAnsi="Arial" w:cs="Arial"/>
                <w:color w:val="000000"/>
                <w:sz w:val="16"/>
                <w:szCs w:val="16"/>
              </w:rPr>
              <w:t>856.3 </w:t>
            </w:r>
          </w:p>
        </w:tc>
        <w:tc>
          <w:tcPr>
            <w:tcW w:w="0" w:type="auto"/>
            <w:shd w:val="clear" w:color="auto" w:fill="DCE2EF"/>
            <w:tcMar>
              <w:top w:w="30" w:type="dxa"/>
              <w:left w:w="0" w:type="dxa"/>
              <w:bottom w:w="30" w:type="dxa"/>
              <w:right w:w="20" w:type="dxa"/>
            </w:tcMar>
            <w:vAlign w:val="bottom"/>
            <w:hideMark/>
          </w:tcPr>
          <w:p w14:paraId="64BE414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DA67DA"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CEFF1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A1D20F3"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85CCF8" w14:textId="77777777" w:rsidR="00000000" w:rsidRDefault="001D0688">
            <w:pPr>
              <w:jc w:val="right"/>
              <w:rPr>
                <w:rFonts w:eastAsia="Times New Roman"/>
              </w:rPr>
            </w:pPr>
            <w:r>
              <w:rPr>
                <w:rFonts w:ascii="Arial" w:eastAsia="Times New Roman" w:hAnsi="Arial" w:cs="Arial"/>
                <w:color w:val="000000"/>
                <w:sz w:val="16"/>
                <w:szCs w:val="16"/>
              </w:rPr>
              <w:t>771.2 </w:t>
            </w:r>
          </w:p>
        </w:tc>
        <w:tc>
          <w:tcPr>
            <w:tcW w:w="0" w:type="auto"/>
            <w:shd w:val="clear" w:color="auto" w:fill="DCE2EF"/>
            <w:tcMar>
              <w:top w:w="30" w:type="dxa"/>
              <w:left w:w="0" w:type="dxa"/>
              <w:bottom w:w="30" w:type="dxa"/>
              <w:right w:w="20" w:type="dxa"/>
            </w:tcMar>
            <w:vAlign w:val="bottom"/>
            <w:hideMark/>
          </w:tcPr>
          <w:p w14:paraId="4A14EC8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C2FE37"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69F518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907A82B"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5CB6AB0" w14:textId="77777777" w:rsidR="00000000" w:rsidRDefault="001D0688">
            <w:pPr>
              <w:jc w:val="right"/>
              <w:rPr>
                <w:rFonts w:eastAsia="Times New Roman"/>
              </w:rPr>
            </w:pPr>
            <w:r>
              <w:rPr>
                <w:rFonts w:ascii="Arial" w:eastAsia="Times New Roman" w:hAnsi="Arial" w:cs="Arial"/>
                <w:color w:val="000000"/>
                <w:sz w:val="16"/>
                <w:szCs w:val="16"/>
              </w:rPr>
              <w:t>720.1 </w:t>
            </w:r>
          </w:p>
        </w:tc>
        <w:tc>
          <w:tcPr>
            <w:tcW w:w="0" w:type="auto"/>
            <w:shd w:val="clear" w:color="auto" w:fill="DCE2EF"/>
            <w:tcMar>
              <w:top w:w="30" w:type="dxa"/>
              <w:left w:w="0" w:type="dxa"/>
              <w:bottom w:w="30" w:type="dxa"/>
              <w:right w:w="20" w:type="dxa"/>
            </w:tcMar>
            <w:vAlign w:val="bottom"/>
            <w:hideMark/>
          </w:tcPr>
          <w:p w14:paraId="57C8BF86" w14:textId="77777777" w:rsidR="00000000" w:rsidRDefault="001D0688">
            <w:pPr>
              <w:jc w:val="right"/>
              <w:rPr>
                <w:rFonts w:eastAsia="Times New Roman"/>
              </w:rPr>
            </w:pPr>
          </w:p>
        </w:tc>
      </w:tr>
      <w:tr w:rsidR="00000000" w14:paraId="44AFCEF6" w14:textId="77777777">
        <w:trPr>
          <w:divId w:val="1692410833"/>
          <w:jc w:val="center"/>
        </w:trPr>
        <w:tc>
          <w:tcPr>
            <w:tcW w:w="0" w:type="auto"/>
            <w:gridSpan w:val="3"/>
            <w:shd w:val="clear" w:color="auto" w:fill="FFFFFF"/>
            <w:tcMar>
              <w:top w:w="30" w:type="dxa"/>
              <w:left w:w="155" w:type="dxa"/>
              <w:bottom w:w="30" w:type="dxa"/>
              <w:right w:w="20" w:type="dxa"/>
            </w:tcMar>
            <w:vAlign w:val="bottom"/>
            <w:hideMark/>
          </w:tcPr>
          <w:p w14:paraId="7B4B95A6" w14:textId="77777777" w:rsidR="00000000" w:rsidRDefault="001D0688">
            <w:pPr>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1DB908A1"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CBDC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8C14C"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C6A2F" w14:textId="77777777" w:rsidR="00000000" w:rsidRDefault="001D0688">
            <w:pPr>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14:paraId="7182644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E5535"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7A28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1F6F2"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B71B8" w14:textId="77777777" w:rsidR="00000000" w:rsidRDefault="001D0688">
            <w:pPr>
              <w:jc w:val="right"/>
              <w:rPr>
                <w:rFonts w:eastAsia="Times New Roman"/>
              </w:rPr>
            </w:pPr>
            <w:r>
              <w:rPr>
                <w:rFonts w:ascii="Arial" w:eastAsia="Times New Roman" w:hAnsi="Arial" w:cs="Arial"/>
                <w:color w:val="000000"/>
                <w:sz w:val="16"/>
                <w:szCs w:val="16"/>
              </w:rPr>
              <w:t>127.4 </w:t>
            </w:r>
          </w:p>
        </w:tc>
        <w:tc>
          <w:tcPr>
            <w:tcW w:w="0" w:type="auto"/>
            <w:shd w:val="clear" w:color="auto" w:fill="FFFFFF"/>
            <w:tcMar>
              <w:top w:w="30" w:type="dxa"/>
              <w:left w:w="0" w:type="dxa"/>
              <w:bottom w:w="30" w:type="dxa"/>
              <w:right w:w="20" w:type="dxa"/>
            </w:tcMar>
            <w:vAlign w:val="bottom"/>
            <w:hideMark/>
          </w:tcPr>
          <w:p w14:paraId="3106551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C3F5B"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176FA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227112"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588381" w14:textId="77777777" w:rsidR="00000000" w:rsidRDefault="001D0688">
            <w:pPr>
              <w:jc w:val="right"/>
              <w:rPr>
                <w:rFonts w:eastAsia="Times New Roman"/>
              </w:rPr>
            </w:pPr>
            <w:r>
              <w:rPr>
                <w:rFonts w:ascii="Arial" w:eastAsia="Times New Roman" w:hAnsi="Arial" w:cs="Arial"/>
                <w:color w:val="000000"/>
                <w:sz w:val="16"/>
                <w:szCs w:val="16"/>
              </w:rPr>
              <w:t>97.8 </w:t>
            </w:r>
          </w:p>
        </w:tc>
        <w:tc>
          <w:tcPr>
            <w:tcW w:w="0" w:type="auto"/>
            <w:shd w:val="clear" w:color="auto" w:fill="FFFFFF"/>
            <w:tcMar>
              <w:top w:w="30" w:type="dxa"/>
              <w:left w:w="0" w:type="dxa"/>
              <w:bottom w:w="30" w:type="dxa"/>
              <w:right w:w="20" w:type="dxa"/>
            </w:tcMar>
            <w:vAlign w:val="bottom"/>
            <w:hideMark/>
          </w:tcPr>
          <w:p w14:paraId="22B995AD" w14:textId="77777777" w:rsidR="00000000" w:rsidRDefault="001D0688">
            <w:pPr>
              <w:jc w:val="right"/>
              <w:rPr>
                <w:rFonts w:eastAsia="Times New Roman"/>
              </w:rPr>
            </w:pPr>
          </w:p>
        </w:tc>
      </w:tr>
      <w:tr w:rsidR="00000000" w14:paraId="4EA7BE5C" w14:textId="77777777">
        <w:trPr>
          <w:divId w:val="1692410833"/>
          <w:jc w:val="center"/>
        </w:trPr>
        <w:tc>
          <w:tcPr>
            <w:tcW w:w="0" w:type="auto"/>
            <w:gridSpan w:val="3"/>
            <w:shd w:val="clear" w:color="auto" w:fill="DCE2EF"/>
            <w:tcMar>
              <w:top w:w="30" w:type="dxa"/>
              <w:left w:w="155" w:type="dxa"/>
              <w:bottom w:w="30" w:type="dxa"/>
              <w:right w:w="20" w:type="dxa"/>
            </w:tcMar>
            <w:vAlign w:val="bottom"/>
            <w:hideMark/>
          </w:tcPr>
          <w:p w14:paraId="27A3874A" w14:textId="77777777" w:rsidR="00000000" w:rsidRDefault="001D0688">
            <w:pPr>
              <w:rPr>
                <w:rFonts w:eastAsia="Times New Roman"/>
              </w:rPr>
            </w:pPr>
            <w:r>
              <w:rPr>
                <w:rFonts w:ascii="Arial" w:eastAsia="Times New Roman" w:hAnsi="Arial" w:cs="Arial"/>
                <w:color w:val="000000"/>
                <w:sz w:val="16"/>
                <w:szCs w:val="16"/>
              </w:rPr>
              <w:t>Dividends</w:t>
            </w:r>
          </w:p>
        </w:tc>
        <w:tc>
          <w:tcPr>
            <w:tcW w:w="0" w:type="auto"/>
            <w:gridSpan w:val="3"/>
            <w:shd w:val="clear" w:color="auto" w:fill="DCE2EF"/>
            <w:tcMar>
              <w:top w:w="0" w:type="dxa"/>
              <w:left w:w="20" w:type="dxa"/>
              <w:bottom w:w="0" w:type="dxa"/>
              <w:right w:w="20" w:type="dxa"/>
            </w:tcMar>
            <w:vAlign w:val="center"/>
            <w:hideMark/>
          </w:tcPr>
          <w:p w14:paraId="4789E624"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4EDF2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CD2A59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2873D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EFF57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AA8964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09AA0B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13CA9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50F63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01EFED"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5E121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AE7EE25" w14:textId="77777777" w:rsidR="00000000" w:rsidRDefault="001D0688">
            <w:pPr>
              <w:rPr>
                <w:rFonts w:eastAsia="Times New Roman"/>
                <w:sz w:val="20"/>
                <w:szCs w:val="20"/>
              </w:rPr>
            </w:pPr>
          </w:p>
        </w:tc>
      </w:tr>
      <w:tr w:rsidR="00000000" w14:paraId="6DAE3EB6"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143E9CC0" w14:textId="77777777" w:rsidR="00000000" w:rsidRDefault="001D0688">
            <w:pPr>
              <w:divId w:val="1346437410"/>
              <w:rPr>
                <w:rFonts w:eastAsia="Times New Roman"/>
              </w:rPr>
            </w:pPr>
            <w:r>
              <w:rPr>
                <w:rFonts w:ascii="Arial" w:eastAsia="Times New Roman" w:hAnsi="Arial" w:cs="Arial"/>
                <w:color w:val="000000"/>
                <w:sz w:val="16"/>
                <w:szCs w:val="16"/>
              </w:rPr>
              <w:t xml:space="preserve">Common stock ($0.740, $0.720, and $0.700 </w:t>
            </w:r>
            <w:r>
              <w:rPr>
                <w:rFonts w:ascii="Arial" w:eastAsia="Times New Roman" w:hAnsi="Arial" w:cs="Arial"/>
                <w:color w:val="000000"/>
                <w:sz w:val="16"/>
                <w:szCs w:val="16"/>
              </w:rPr>
              <w:t>per share)</w:t>
            </w:r>
          </w:p>
        </w:tc>
        <w:tc>
          <w:tcPr>
            <w:tcW w:w="0" w:type="auto"/>
            <w:gridSpan w:val="3"/>
            <w:shd w:val="clear" w:color="auto" w:fill="FFFFFF"/>
            <w:tcMar>
              <w:top w:w="0" w:type="dxa"/>
              <w:left w:w="20" w:type="dxa"/>
              <w:bottom w:w="0" w:type="dxa"/>
              <w:right w:w="20" w:type="dxa"/>
            </w:tcMar>
            <w:vAlign w:val="center"/>
            <w:hideMark/>
          </w:tcPr>
          <w:p w14:paraId="4110369C"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BD5BE"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3900C"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89F4C7" w14:textId="77777777" w:rsidR="00000000" w:rsidRDefault="001D0688">
            <w:pPr>
              <w:jc w:val="right"/>
              <w:rPr>
                <w:rFonts w:eastAsia="Times New Roman"/>
              </w:rPr>
            </w:pPr>
            <w:r>
              <w:rPr>
                <w:rFonts w:ascii="Arial" w:eastAsia="Times New Roman" w:hAnsi="Arial" w:cs="Arial"/>
                <w:color w:val="000000"/>
                <w:sz w:val="16"/>
                <w:szCs w:val="16"/>
              </w:rPr>
              <w:t>(49.3)</w:t>
            </w:r>
          </w:p>
        </w:tc>
        <w:tc>
          <w:tcPr>
            <w:tcW w:w="0" w:type="auto"/>
            <w:shd w:val="clear" w:color="auto" w:fill="FFFFFF"/>
            <w:tcMar>
              <w:top w:w="30" w:type="dxa"/>
              <w:left w:w="0" w:type="dxa"/>
              <w:bottom w:w="30" w:type="dxa"/>
              <w:right w:w="20" w:type="dxa"/>
            </w:tcMar>
            <w:vAlign w:val="bottom"/>
            <w:hideMark/>
          </w:tcPr>
          <w:p w14:paraId="738036A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DA5FF"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95EEE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A9711"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8232C7" w14:textId="77777777" w:rsidR="00000000" w:rsidRDefault="001D0688">
            <w:pPr>
              <w:jc w:val="right"/>
              <w:rPr>
                <w:rFonts w:eastAsia="Times New Roman"/>
              </w:rPr>
            </w:pPr>
            <w:r>
              <w:rPr>
                <w:rFonts w:ascii="Arial" w:eastAsia="Times New Roman" w:hAnsi="Arial" w:cs="Arial"/>
                <w:color w:val="000000"/>
                <w:sz w:val="16"/>
                <w:szCs w:val="16"/>
              </w:rPr>
              <w:t>(47.7)</w:t>
            </w:r>
          </w:p>
        </w:tc>
        <w:tc>
          <w:tcPr>
            <w:tcW w:w="0" w:type="auto"/>
            <w:shd w:val="clear" w:color="auto" w:fill="FFFFFF"/>
            <w:tcMar>
              <w:top w:w="30" w:type="dxa"/>
              <w:left w:w="0" w:type="dxa"/>
              <w:bottom w:w="30" w:type="dxa"/>
              <w:right w:w="20" w:type="dxa"/>
            </w:tcMar>
            <w:vAlign w:val="bottom"/>
            <w:hideMark/>
          </w:tcPr>
          <w:p w14:paraId="7DE2E0B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2F5CB"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2C1A3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706B9"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9D760" w14:textId="77777777" w:rsidR="00000000" w:rsidRDefault="001D0688">
            <w:pPr>
              <w:jc w:val="right"/>
              <w:rPr>
                <w:rFonts w:eastAsia="Times New Roman"/>
              </w:rPr>
            </w:pPr>
            <w:r>
              <w:rPr>
                <w:rFonts w:ascii="Arial" w:eastAsia="Times New Roman" w:hAnsi="Arial" w:cs="Arial"/>
                <w:color w:val="000000"/>
                <w:sz w:val="16"/>
                <w:szCs w:val="16"/>
              </w:rPr>
              <w:t>(46.0)</w:t>
            </w:r>
          </w:p>
        </w:tc>
        <w:tc>
          <w:tcPr>
            <w:tcW w:w="0" w:type="auto"/>
            <w:shd w:val="clear" w:color="auto" w:fill="FFFFFF"/>
            <w:tcMar>
              <w:top w:w="30" w:type="dxa"/>
              <w:left w:w="0" w:type="dxa"/>
              <w:bottom w:w="30" w:type="dxa"/>
              <w:right w:w="20" w:type="dxa"/>
            </w:tcMar>
            <w:vAlign w:val="bottom"/>
            <w:hideMark/>
          </w:tcPr>
          <w:p w14:paraId="0E58547F" w14:textId="77777777" w:rsidR="00000000" w:rsidRDefault="001D0688">
            <w:pPr>
              <w:jc w:val="right"/>
              <w:rPr>
                <w:rFonts w:eastAsia="Times New Roman"/>
              </w:rPr>
            </w:pPr>
          </w:p>
        </w:tc>
      </w:tr>
      <w:tr w:rsidR="00000000" w14:paraId="1D5EA4B6" w14:textId="77777777">
        <w:trPr>
          <w:divId w:val="1692410833"/>
          <w:jc w:val="center"/>
        </w:trPr>
        <w:tc>
          <w:tcPr>
            <w:tcW w:w="0" w:type="auto"/>
            <w:gridSpan w:val="3"/>
            <w:shd w:val="clear" w:color="auto" w:fill="DCE2EF"/>
            <w:tcMar>
              <w:top w:w="30" w:type="dxa"/>
              <w:left w:w="245" w:type="dxa"/>
              <w:bottom w:w="30" w:type="dxa"/>
              <w:right w:w="20" w:type="dxa"/>
            </w:tcMar>
            <w:vAlign w:val="bottom"/>
            <w:hideMark/>
          </w:tcPr>
          <w:p w14:paraId="50A8BD42" w14:textId="77777777" w:rsidR="00000000" w:rsidRDefault="001D0688">
            <w:pPr>
              <w:rPr>
                <w:rFonts w:eastAsia="Times New Roman"/>
              </w:rPr>
            </w:pPr>
            <w:r>
              <w:rPr>
                <w:rFonts w:ascii="Arial" w:eastAsia="Times New Roman" w:hAnsi="Arial" w:cs="Arial"/>
                <w:color w:val="000000"/>
                <w:sz w:val="16"/>
                <w:szCs w:val="16"/>
              </w:rPr>
              <w:t>Stock issued under share-based compensation plans</w:t>
            </w:r>
          </w:p>
        </w:tc>
        <w:tc>
          <w:tcPr>
            <w:tcW w:w="0" w:type="auto"/>
            <w:gridSpan w:val="3"/>
            <w:shd w:val="clear" w:color="auto" w:fill="DCE2EF"/>
            <w:tcMar>
              <w:top w:w="0" w:type="dxa"/>
              <w:left w:w="20" w:type="dxa"/>
              <w:bottom w:w="0" w:type="dxa"/>
              <w:right w:w="20" w:type="dxa"/>
            </w:tcMar>
            <w:vAlign w:val="center"/>
            <w:hideMark/>
          </w:tcPr>
          <w:p w14:paraId="7471719A"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201EF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512460"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ED62A0" w14:textId="77777777" w:rsidR="00000000" w:rsidRDefault="001D0688">
            <w:pPr>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14:paraId="42ED4F3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05E36E"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DF2A7A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15E64B"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308937" w14:textId="77777777" w:rsidR="00000000" w:rsidRDefault="001D0688">
            <w:pPr>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14:paraId="310CBE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FF89D2"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657199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7DFA65"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9FBB941" w14:textId="77777777" w:rsidR="00000000" w:rsidRDefault="001D0688">
            <w:pPr>
              <w:jc w:val="right"/>
              <w:rPr>
                <w:rFonts w:eastAsia="Times New Roman"/>
              </w:rPr>
            </w:pPr>
            <w:r>
              <w:rPr>
                <w:rFonts w:ascii="Arial" w:eastAsia="Times New Roman" w:hAnsi="Arial" w:cs="Arial"/>
                <w:color w:val="000000"/>
                <w:sz w:val="16"/>
                <w:szCs w:val="16"/>
              </w:rPr>
              <w:t>(0.6)</w:t>
            </w:r>
          </w:p>
        </w:tc>
        <w:tc>
          <w:tcPr>
            <w:tcW w:w="0" w:type="auto"/>
            <w:shd w:val="clear" w:color="auto" w:fill="DCE2EF"/>
            <w:tcMar>
              <w:top w:w="30" w:type="dxa"/>
              <w:left w:w="0" w:type="dxa"/>
              <w:bottom w:w="30" w:type="dxa"/>
              <w:right w:w="20" w:type="dxa"/>
            </w:tcMar>
            <w:vAlign w:val="bottom"/>
            <w:hideMark/>
          </w:tcPr>
          <w:p w14:paraId="38FEADCF" w14:textId="77777777" w:rsidR="00000000" w:rsidRDefault="001D0688">
            <w:pPr>
              <w:jc w:val="right"/>
              <w:rPr>
                <w:rFonts w:eastAsia="Times New Roman"/>
              </w:rPr>
            </w:pPr>
          </w:p>
        </w:tc>
      </w:tr>
      <w:tr w:rsidR="00000000" w14:paraId="44AF9584"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52E18AAB" w14:textId="77777777" w:rsidR="00000000" w:rsidRDefault="001D0688">
            <w:pPr>
              <w:ind w:hanging="180"/>
              <w:divId w:val="245069622"/>
              <w:rPr>
                <w:rFonts w:eastAsia="Times New Roman"/>
              </w:rPr>
            </w:pPr>
            <w:r>
              <w:rPr>
                <w:rFonts w:ascii="Arial" w:eastAsia="Times New Roman" w:hAnsi="Arial" w:cs="Arial"/>
                <w:color w:val="000000"/>
                <w:sz w:val="16"/>
                <w:szCs w:val="16"/>
              </w:rPr>
              <w:t>Cumulative effect adjustment for adoption of</w:t>
            </w:r>
            <w:r>
              <w:rPr>
                <w:rFonts w:ascii="Arial" w:eastAsia="Times New Roman" w:hAnsi="Arial" w:cs="Arial"/>
                <w:color w:val="000000"/>
                <w:sz w:val="16"/>
                <w:szCs w:val="16"/>
              </w:rPr>
              <w:t xml:space="preserve"> </w:t>
            </w:r>
            <w:r>
              <w:rPr>
                <w:rFonts w:ascii="Arial" w:eastAsia="Times New Roman" w:hAnsi="Arial" w:cs="Arial"/>
                <w:color w:val="000000"/>
                <w:sz w:val="16"/>
                <w:szCs w:val="16"/>
              </w:rPr>
              <w:t>ASU 2014-0</w:t>
            </w:r>
            <w:r>
              <w:rPr>
                <w:rFonts w:ascii="Arial" w:eastAsia="Times New Roman" w:hAnsi="Arial" w:cs="Arial"/>
                <w:color w:val="000000"/>
                <w:sz w:val="16"/>
                <w:szCs w:val="16"/>
              </w:rPr>
              <w:t>9</w:t>
            </w:r>
          </w:p>
        </w:tc>
        <w:tc>
          <w:tcPr>
            <w:tcW w:w="0" w:type="auto"/>
            <w:gridSpan w:val="3"/>
            <w:shd w:val="clear" w:color="auto" w:fill="FFFFFF"/>
            <w:tcMar>
              <w:top w:w="0" w:type="dxa"/>
              <w:left w:w="20" w:type="dxa"/>
              <w:bottom w:w="0" w:type="dxa"/>
              <w:right w:w="20" w:type="dxa"/>
            </w:tcMar>
            <w:vAlign w:val="center"/>
            <w:hideMark/>
          </w:tcPr>
          <w:p w14:paraId="3191B6EF" w14:textId="77777777" w:rsidR="00000000" w:rsidRDefault="001D0688">
            <w:pPr>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3CF7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DB87A8"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F04067"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09E3796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41610"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F5AD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E0EFA"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1714D" w14:textId="77777777" w:rsidR="00000000" w:rsidRDefault="001D0688">
            <w:pPr>
              <w:jc w:val="right"/>
              <w:rPr>
                <w:rFonts w:eastAsia="Times New Roman"/>
              </w:rPr>
            </w:pPr>
            <w:r>
              <w:rPr>
                <w:rFonts w:ascii="Arial" w:eastAsia="Times New Roman" w:hAnsi="Arial" w:cs="Arial"/>
                <w:color w:val="000000"/>
                <w:sz w:val="16"/>
                <w:szCs w:val="16"/>
              </w:rPr>
              <w:t>6.5 </w:t>
            </w:r>
          </w:p>
        </w:tc>
        <w:tc>
          <w:tcPr>
            <w:tcW w:w="0" w:type="auto"/>
            <w:shd w:val="clear" w:color="auto" w:fill="FFFFFF"/>
            <w:tcMar>
              <w:top w:w="30" w:type="dxa"/>
              <w:left w:w="0" w:type="dxa"/>
              <w:bottom w:w="30" w:type="dxa"/>
              <w:right w:w="20" w:type="dxa"/>
            </w:tcMar>
            <w:vAlign w:val="bottom"/>
            <w:hideMark/>
          </w:tcPr>
          <w:p w14:paraId="244460B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EA909"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E7C1B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FE9437"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88F7FE"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3F9EA869" w14:textId="77777777" w:rsidR="00000000" w:rsidRDefault="001D0688">
            <w:pPr>
              <w:jc w:val="right"/>
              <w:rPr>
                <w:rFonts w:eastAsia="Times New Roman"/>
              </w:rPr>
            </w:pPr>
          </w:p>
        </w:tc>
      </w:tr>
      <w:tr w:rsidR="00000000" w14:paraId="373FB8BD" w14:textId="77777777">
        <w:trPr>
          <w:divId w:val="1692410833"/>
          <w:jc w:val="center"/>
        </w:trPr>
        <w:tc>
          <w:tcPr>
            <w:tcW w:w="0" w:type="auto"/>
            <w:gridSpan w:val="3"/>
            <w:shd w:val="clear" w:color="auto" w:fill="DCE2EF"/>
            <w:tcMar>
              <w:top w:w="30" w:type="dxa"/>
              <w:left w:w="20" w:type="dxa"/>
              <w:bottom w:w="30" w:type="dxa"/>
              <w:right w:w="20" w:type="dxa"/>
            </w:tcMar>
            <w:vAlign w:val="bottom"/>
            <w:hideMark/>
          </w:tcPr>
          <w:p w14:paraId="1F07CCD6" w14:textId="77777777" w:rsidR="00000000" w:rsidRDefault="001D0688">
            <w:pPr>
              <w:rPr>
                <w:rFonts w:eastAsia="Times New Roman"/>
              </w:rPr>
            </w:pPr>
            <w:r>
              <w:rPr>
                <w:rFonts w:ascii="Arial" w:eastAsia="Times New Roman" w:hAnsi="Arial" w:cs="Arial"/>
                <w:color w:val="000000"/>
                <w:sz w:val="16"/>
                <w:szCs w:val="16"/>
              </w:rPr>
              <w:t>   Balance, end of year</w:t>
            </w:r>
          </w:p>
        </w:tc>
        <w:tc>
          <w:tcPr>
            <w:tcW w:w="0" w:type="auto"/>
            <w:gridSpan w:val="3"/>
            <w:shd w:val="clear" w:color="auto" w:fill="DCE2EF"/>
            <w:tcMar>
              <w:top w:w="0" w:type="dxa"/>
              <w:left w:w="20" w:type="dxa"/>
              <w:bottom w:w="0" w:type="dxa"/>
              <w:right w:w="20" w:type="dxa"/>
            </w:tcMar>
            <w:vAlign w:val="center"/>
            <w:hideMark/>
          </w:tcPr>
          <w:p w14:paraId="0949E618"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0CCA9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CC59CBC"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41ABF06" w14:textId="77777777" w:rsidR="00000000" w:rsidRDefault="001D0688">
            <w:pPr>
              <w:jc w:val="right"/>
              <w:rPr>
                <w:rFonts w:eastAsia="Times New Roman"/>
              </w:rPr>
            </w:pPr>
            <w:r>
              <w:rPr>
                <w:rFonts w:ascii="Arial" w:eastAsia="Times New Roman" w:hAnsi="Arial" w:cs="Arial"/>
                <w:color w:val="000000"/>
                <w:sz w:val="16"/>
                <w:szCs w:val="16"/>
              </w:rPr>
              <w:t>806.4 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1F242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BA668C"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3FCF12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9BC85BE"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0638750" w14:textId="77777777" w:rsidR="00000000" w:rsidRDefault="001D0688">
            <w:pPr>
              <w:jc w:val="right"/>
              <w:rPr>
                <w:rFonts w:eastAsia="Times New Roman"/>
              </w:rPr>
            </w:pPr>
            <w:r>
              <w:rPr>
                <w:rFonts w:ascii="Arial" w:eastAsia="Times New Roman" w:hAnsi="Arial" w:cs="Arial"/>
                <w:color w:val="000000"/>
                <w:sz w:val="16"/>
                <w:szCs w:val="16"/>
              </w:rPr>
              <w:t>856.3 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4AF83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21C621"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BA998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BA0E36E" w14:textId="77777777" w:rsidR="00000000" w:rsidRDefault="001D0688">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641B173" w14:textId="77777777" w:rsidR="00000000" w:rsidRDefault="001D0688">
            <w:pPr>
              <w:jc w:val="right"/>
              <w:rPr>
                <w:rFonts w:eastAsia="Times New Roman"/>
              </w:rPr>
            </w:pPr>
            <w:r>
              <w:rPr>
                <w:rFonts w:ascii="Arial" w:eastAsia="Times New Roman" w:hAnsi="Arial" w:cs="Arial"/>
                <w:color w:val="000000"/>
                <w:sz w:val="16"/>
                <w:szCs w:val="16"/>
              </w:rPr>
              <w:t>771.2 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141755A" w14:textId="77777777" w:rsidR="00000000" w:rsidRDefault="001D0688">
            <w:pPr>
              <w:jc w:val="right"/>
              <w:rPr>
                <w:rFonts w:eastAsia="Times New Roman"/>
              </w:rPr>
            </w:pPr>
          </w:p>
        </w:tc>
      </w:tr>
      <w:tr w:rsidR="00000000" w14:paraId="0863A8FD" w14:textId="77777777">
        <w:trPr>
          <w:divId w:val="1692410833"/>
          <w:jc w:val="center"/>
        </w:trPr>
        <w:tc>
          <w:tcPr>
            <w:tcW w:w="0" w:type="auto"/>
            <w:gridSpan w:val="3"/>
            <w:shd w:val="clear" w:color="auto" w:fill="FFFFFF"/>
            <w:tcMar>
              <w:top w:w="30" w:type="dxa"/>
              <w:left w:w="20" w:type="dxa"/>
              <w:bottom w:w="30" w:type="dxa"/>
              <w:right w:w="20" w:type="dxa"/>
            </w:tcMar>
            <w:vAlign w:val="bottom"/>
            <w:hideMark/>
          </w:tcPr>
          <w:p w14:paraId="229F0999" w14:textId="77777777" w:rsidR="00000000" w:rsidRDefault="001D0688">
            <w:pPr>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FFFFFF"/>
            <w:tcMar>
              <w:top w:w="0" w:type="dxa"/>
              <w:left w:w="20" w:type="dxa"/>
              <w:bottom w:w="0" w:type="dxa"/>
              <w:right w:w="20" w:type="dxa"/>
            </w:tcMar>
            <w:vAlign w:val="center"/>
            <w:hideMark/>
          </w:tcPr>
          <w:p w14:paraId="4A3FEB61"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5B5F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19FE3" w14:textId="77777777" w:rsidR="00000000" w:rsidRDefault="001D0688">
            <w:pPr>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71AFB049" w14:textId="77777777" w:rsidR="00000000" w:rsidRDefault="001D0688">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C0AE524" w14:textId="77777777" w:rsidR="00000000" w:rsidRDefault="001D0688">
            <w:pPr>
              <w:jc w:val="right"/>
              <w:rPr>
                <w:rFonts w:eastAsia="Times New Roman"/>
              </w:rPr>
            </w:pPr>
            <w:r>
              <w:rPr>
                <w:rFonts w:ascii="Arial" w:eastAsia="Times New Roman" w:hAnsi="Arial" w:cs="Arial"/>
                <w:color w:val="000000"/>
                <w:sz w:val="16"/>
                <w:szCs w:val="16"/>
              </w:rPr>
              <w:t>1,500.3 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4905836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8EBA7E"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556D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30E1F4" w14:textId="77777777" w:rsidR="00000000" w:rsidRDefault="001D068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590670" w14:textId="77777777" w:rsidR="00000000" w:rsidRDefault="001D0688">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58C464" w14:textId="77777777" w:rsidR="00000000" w:rsidRDefault="001D0688">
            <w:pPr>
              <w:jc w:val="right"/>
              <w:rPr>
                <w:rFonts w:eastAsia="Times New Roman"/>
              </w:rPr>
            </w:pPr>
            <w:r>
              <w:rPr>
                <w:rFonts w:ascii="Arial" w:eastAsia="Times New Roman" w:hAnsi="Arial" w:cs="Arial"/>
                <w:color w:val="000000"/>
                <w:sz w:val="16"/>
                <w:szCs w:val="16"/>
              </w:rPr>
              <w:t>1,542.0 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72F1A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DEF95"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D057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577402" w14:textId="77777777" w:rsidR="00000000" w:rsidRDefault="001D068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0A3908" w14:textId="77777777" w:rsidR="00000000" w:rsidRDefault="001D0688">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3ACC9C" w14:textId="77777777" w:rsidR="00000000" w:rsidRDefault="001D0688">
            <w:pPr>
              <w:jc w:val="right"/>
              <w:rPr>
                <w:rFonts w:eastAsia="Times New Roman"/>
              </w:rPr>
            </w:pPr>
            <w:r>
              <w:rPr>
                <w:rFonts w:ascii="Arial" w:eastAsia="Times New Roman" w:hAnsi="Arial" w:cs="Arial"/>
                <w:color w:val="000000"/>
                <w:sz w:val="16"/>
                <w:szCs w:val="16"/>
              </w:rPr>
              <w:t>1,454.6 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C85B4F" w14:textId="77777777" w:rsidR="00000000" w:rsidRDefault="001D0688">
            <w:pPr>
              <w:jc w:val="right"/>
              <w:rPr>
                <w:rFonts w:eastAsia="Times New Roman"/>
              </w:rPr>
            </w:pPr>
          </w:p>
        </w:tc>
      </w:tr>
    </w:tbl>
    <w:p w14:paraId="7256A9BB" w14:textId="77777777" w:rsidR="00000000" w:rsidRDefault="001D0688">
      <w:pPr>
        <w:jc w:val="center"/>
        <w:divId w:val="750391689"/>
        <w:rPr>
          <w:rFonts w:eastAsia="Times New Roman"/>
        </w:rPr>
      </w:pPr>
      <w:r>
        <w:rPr>
          <w:rFonts w:ascii="Arial" w:eastAsia="Times New Roman" w:hAnsi="Arial" w:cs="Arial"/>
          <w:color w:val="000000"/>
          <w:sz w:val="20"/>
          <w:szCs w:val="20"/>
        </w:rPr>
        <w:t>See accompanying notes to consolidated financial statements.</w:t>
      </w:r>
    </w:p>
    <w:p w14:paraId="01BA5124" w14:textId="77777777" w:rsidR="00000000" w:rsidRDefault="001D0688">
      <w:pPr>
        <w:jc w:val="center"/>
        <w:divId w:val="1208831224"/>
        <w:rPr>
          <w:rFonts w:eastAsia="Times New Roman"/>
        </w:rPr>
      </w:pPr>
    </w:p>
    <w:p w14:paraId="63C77C43" w14:textId="77777777" w:rsidR="00000000" w:rsidRDefault="001D0688">
      <w:pPr>
        <w:divId w:val="1596938425"/>
        <w:rPr>
          <w:rFonts w:eastAsia="Times New Roman"/>
        </w:rPr>
      </w:pPr>
    </w:p>
    <w:p w14:paraId="76F6FA4B" w14:textId="77777777" w:rsidR="00000000" w:rsidRDefault="001D0688">
      <w:pPr>
        <w:jc w:val="center"/>
        <w:divId w:val="1308978068"/>
        <w:rPr>
          <w:rFonts w:eastAsia="Times New Roman"/>
        </w:rPr>
      </w:pPr>
      <w:r>
        <w:rPr>
          <w:rFonts w:ascii="Arial" w:eastAsia="Times New Roman" w:hAnsi="Arial" w:cs="Arial"/>
          <w:color w:val="000000"/>
          <w:sz w:val="20"/>
          <w:szCs w:val="20"/>
        </w:rPr>
        <w:t>52</w:t>
      </w:r>
    </w:p>
    <w:p w14:paraId="7BED0BEC" w14:textId="77777777" w:rsidR="00000000" w:rsidRDefault="001D0688">
      <w:pPr>
        <w:rPr>
          <w:rFonts w:eastAsia="Times New Roman"/>
        </w:rPr>
      </w:pPr>
      <w:r>
        <w:rPr>
          <w:rFonts w:eastAsia="Times New Roman"/>
        </w:rPr>
        <w:pict w14:anchorId="1012137C">
          <v:rect id="_x0000_i1088" style="width:0;height:1.5pt" o:hralign="center" o:hrstd="t" o:hr="t" fillcolor="#a0a0a0" stroked="f"/>
        </w:pict>
      </w:r>
    </w:p>
    <w:p w14:paraId="4FEF6687" w14:textId="77777777" w:rsidR="00000000" w:rsidRDefault="001D0688">
      <w:pPr>
        <w:divId w:val="1449398221"/>
        <w:rPr>
          <w:rFonts w:eastAsia="Times New Roman"/>
        </w:rPr>
      </w:pPr>
    </w:p>
    <w:p w14:paraId="2E3D2462" w14:textId="77777777" w:rsidR="00000000" w:rsidRDefault="001D0688">
      <w:pPr>
        <w:jc w:val="center"/>
        <w:divId w:val="765811506"/>
        <w:rPr>
          <w:rFonts w:eastAsia="Times New Roman"/>
        </w:rPr>
      </w:pPr>
      <w:r>
        <w:rPr>
          <w:rFonts w:ascii="Arial" w:eastAsia="Times New Roman" w:hAnsi="Arial" w:cs="Arial"/>
          <w:b/>
          <w:bCs/>
          <w:color w:val="0046AD"/>
          <w:sz w:val="20"/>
          <w:szCs w:val="20"/>
        </w:rPr>
        <w:t>ABM IN</w:t>
      </w:r>
      <w:r>
        <w:rPr>
          <w:rFonts w:ascii="Arial" w:eastAsia="Times New Roman" w:hAnsi="Arial" w:cs="Arial"/>
          <w:b/>
          <w:bCs/>
          <w:color w:val="0046AD"/>
          <w:sz w:val="20"/>
          <w:szCs w:val="20"/>
        </w:rPr>
        <w:t>DUSTRIES INCORPORATED AND SUBSIDIARIES</w:t>
      </w:r>
    </w:p>
    <w:p w14:paraId="7AA9872F" w14:textId="77777777" w:rsidR="00000000" w:rsidRDefault="001D0688">
      <w:pPr>
        <w:jc w:val="center"/>
        <w:divId w:val="672299052"/>
        <w:rPr>
          <w:rFonts w:eastAsia="Times New Roman"/>
        </w:rPr>
      </w:pPr>
      <w:r>
        <w:rPr>
          <w:rFonts w:ascii="Arial" w:eastAsia="Times New Roman" w:hAnsi="Arial" w:cs="Arial"/>
          <w:b/>
          <w:bCs/>
          <w:color w:val="0046AD"/>
          <w:sz w:val="20"/>
          <w:szCs w:val="20"/>
        </w:rPr>
        <w:t>CONSOLIDATED STATEMENTS OF CASH FLOWS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5135"/>
        <w:gridCol w:w="39"/>
        <w:gridCol w:w="111"/>
        <w:gridCol w:w="834"/>
        <w:gridCol w:w="36"/>
        <w:gridCol w:w="36"/>
        <w:gridCol w:w="36"/>
        <w:gridCol w:w="36"/>
        <w:gridCol w:w="111"/>
        <w:gridCol w:w="794"/>
        <w:gridCol w:w="36"/>
        <w:gridCol w:w="36"/>
        <w:gridCol w:w="36"/>
        <w:gridCol w:w="36"/>
        <w:gridCol w:w="111"/>
        <w:gridCol w:w="794"/>
        <w:gridCol w:w="36"/>
      </w:tblGrid>
      <w:tr w:rsidR="00000000" w14:paraId="21D25130" w14:textId="77777777">
        <w:trPr>
          <w:divId w:val="1951008450"/>
          <w:jc w:val="center"/>
        </w:trPr>
        <w:tc>
          <w:tcPr>
            <w:tcW w:w="50" w:type="pct"/>
            <w:vAlign w:val="center"/>
            <w:hideMark/>
          </w:tcPr>
          <w:p w14:paraId="54B41022" w14:textId="77777777" w:rsidR="00000000" w:rsidRDefault="001D0688">
            <w:pPr>
              <w:jc w:val="center"/>
              <w:rPr>
                <w:rFonts w:eastAsia="Times New Roman"/>
              </w:rPr>
            </w:pPr>
          </w:p>
        </w:tc>
        <w:tc>
          <w:tcPr>
            <w:tcW w:w="3123" w:type="pct"/>
            <w:vAlign w:val="center"/>
            <w:hideMark/>
          </w:tcPr>
          <w:p w14:paraId="1ADBBE26" w14:textId="77777777" w:rsidR="00000000" w:rsidRDefault="001D0688">
            <w:pPr>
              <w:rPr>
                <w:rFonts w:eastAsia="Times New Roman"/>
                <w:sz w:val="20"/>
                <w:szCs w:val="20"/>
              </w:rPr>
            </w:pPr>
          </w:p>
        </w:tc>
        <w:tc>
          <w:tcPr>
            <w:tcW w:w="5" w:type="pct"/>
            <w:vAlign w:val="center"/>
            <w:hideMark/>
          </w:tcPr>
          <w:p w14:paraId="7B1A6A74" w14:textId="77777777" w:rsidR="00000000" w:rsidRDefault="001D0688">
            <w:pPr>
              <w:rPr>
                <w:rFonts w:eastAsia="Times New Roman"/>
                <w:sz w:val="20"/>
                <w:szCs w:val="20"/>
              </w:rPr>
            </w:pPr>
          </w:p>
        </w:tc>
        <w:tc>
          <w:tcPr>
            <w:tcW w:w="50" w:type="pct"/>
            <w:vAlign w:val="center"/>
            <w:hideMark/>
          </w:tcPr>
          <w:p w14:paraId="3F72DC40" w14:textId="77777777" w:rsidR="00000000" w:rsidRDefault="001D0688">
            <w:pPr>
              <w:rPr>
                <w:rFonts w:eastAsia="Times New Roman"/>
                <w:sz w:val="20"/>
                <w:szCs w:val="20"/>
              </w:rPr>
            </w:pPr>
          </w:p>
        </w:tc>
        <w:tc>
          <w:tcPr>
            <w:tcW w:w="529" w:type="pct"/>
            <w:vAlign w:val="center"/>
            <w:hideMark/>
          </w:tcPr>
          <w:p w14:paraId="347863AF" w14:textId="77777777" w:rsidR="00000000" w:rsidRDefault="001D0688">
            <w:pPr>
              <w:rPr>
                <w:rFonts w:eastAsia="Times New Roman"/>
                <w:sz w:val="20"/>
                <w:szCs w:val="20"/>
              </w:rPr>
            </w:pPr>
          </w:p>
        </w:tc>
        <w:tc>
          <w:tcPr>
            <w:tcW w:w="5" w:type="pct"/>
            <w:vAlign w:val="center"/>
            <w:hideMark/>
          </w:tcPr>
          <w:p w14:paraId="099501A6" w14:textId="77777777" w:rsidR="00000000" w:rsidRDefault="001D0688">
            <w:pPr>
              <w:rPr>
                <w:rFonts w:eastAsia="Times New Roman"/>
                <w:sz w:val="20"/>
                <w:szCs w:val="20"/>
              </w:rPr>
            </w:pPr>
          </w:p>
        </w:tc>
        <w:tc>
          <w:tcPr>
            <w:tcW w:w="5" w:type="pct"/>
            <w:vAlign w:val="center"/>
            <w:hideMark/>
          </w:tcPr>
          <w:p w14:paraId="346D0550" w14:textId="77777777" w:rsidR="00000000" w:rsidRDefault="001D0688">
            <w:pPr>
              <w:rPr>
                <w:rFonts w:eastAsia="Times New Roman"/>
                <w:sz w:val="20"/>
                <w:szCs w:val="20"/>
              </w:rPr>
            </w:pPr>
          </w:p>
        </w:tc>
        <w:tc>
          <w:tcPr>
            <w:tcW w:w="24" w:type="pct"/>
            <w:vAlign w:val="center"/>
            <w:hideMark/>
          </w:tcPr>
          <w:p w14:paraId="557196E4" w14:textId="77777777" w:rsidR="00000000" w:rsidRDefault="001D0688">
            <w:pPr>
              <w:rPr>
                <w:rFonts w:eastAsia="Times New Roman"/>
                <w:sz w:val="20"/>
                <w:szCs w:val="20"/>
              </w:rPr>
            </w:pPr>
          </w:p>
        </w:tc>
        <w:tc>
          <w:tcPr>
            <w:tcW w:w="5" w:type="pct"/>
            <w:vAlign w:val="center"/>
            <w:hideMark/>
          </w:tcPr>
          <w:p w14:paraId="01B697F3" w14:textId="77777777" w:rsidR="00000000" w:rsidRDefault="001D0688">
            <w:pPr>
              <w:rPr>
                <w:rFonts w:eastAsia="Times New Roman"/>
                <w:sz w:val="20"/>
                <w:szCs w:val="20"/>
              </w:rPr>
            </w:pPr>
          </w:p>
        </w:tc>
        <w:tc>
          <w:tcPr>
            <w:tcW w:w="50" w:type="pct"/>
            <w:vAlign w:val="center"/>
            <w:hideMark/>
          </w:tcPr>
          <w:p w14:paraId="54F00710" w14:textId="77777777" w:rsidR="00000000" w:rsidRDefault="001D0688">
            <w:pPr>
              <w:rPr>
                <w:rFonts w:eastAsia="Times New Roman"/>
                <w:sz w:val="20"/>
                <w:szCs w:val="20"/>
              </w:rPr>
            </w:pPr>
          </w:p>
        </w:tc>
        <w:tc>
          <w:tcPr>
            <w:tcW w:w="529" w:type="pct"/>
            <w:vAlign w:val="center"/>
            <w:hideMark/>
          </w:tcPr>
          <w:p w14:paraId="174BDD17" w14:textId="77777777" w:rsidR="00000000" w:rsidRDefault="001D0688">
            <w:pPr>
              <w:rPr>
                <w:rFonts w:eastAsia="Times New Roman"/>
                <w:sz w:val="20"/>
                <w:szCs w:val="20"/>
              </w:rPr>
            </w:pPr>
          </w:p>
        </w:tc>
        <w:tc>
          <w:tcPr>
            <w:tcW w:w="5" w:type="pct"/>
            <w:vAlign w:val="center"/>
            <w:hideMark/>
          </w:tcPr>
          <w:p w14:paraId="546D7187" w14:textId="77777777" w:rsidR="00000000" w:rsidRDefault="001D0688">
            <w:pPr>
              <w:rPr>
                <w:rFonts w:eastAsia="Times New Roman"/>
                <w:sz w:val="20"/>
                <w:szCs w:val="20"/>
              </w:rPr>
            </w:pPr>
          </w:p>
        </w:tc>
        <w:tc>
          <w:tcPr>
            <w:tcW w:w="5" w:type="pct"/>
            <w:vAlign w:val="center"/>
            <w:hideMark/>
          </w:tcPr>
          <w:p w14:paraId="05A92E66" w14:textId="77777777" w:rsidR="00000000" w:rsidRDefault="001D0688">
            <w:pPr>
              <w:rPr>
                <w:rFonts w:eastAsia="Times New Roman"/>
                <w:sz w:val="20"/>
                <w:szCs w:val="20"/>
              </w:rPr>
            </w:pPr>
          </w:p>
        </w:tc>
        <w:tc>
          <w:tcPr>
            <w:tcW w:w="24" w:type="pct"/>
            <w:vAlign w:val="center"/>
            <w:hideMark/>
          </w:tcPr>
          <w:p w14:paraId="4665B72D" w14:textId="77777777" w:rsidR="00000000" w:rsidRDefault="001D0688">
            <w:pPr>
              <w:rPr>
                <w:rFonts w:eastAsia="Times New Roman"/>
                <w:sz w:val="20"/>
                <w:szCs w:val="20"/>
              </w:rPr>
            </w:pPr>
          </w:p>
        </w:tc>
        <w:tc>
          <w:tcPr>
            <w:tcW w:w="5" w:type="pct"/>
            <w:vAlign w:val="center"/>
            <w:hideMark/>
          </w:tcPr>
          <w:p w14:paraId="4731150F" w14:textId="77777777" w:rsidR="00000000" w:rsidRDefault="001D0688">
            <w:pPr>
              <w:rPr>
                <w:rFonts w:eastAsia="Times New Roman"/>
                <w:sz w:val="20"/>
                <w:szCs w:val="20"/>
              </w:rPr>
            </w:pPr>
          </w:p>
        </w:tc>
        <w:tc>
          <w:tcPr>
            <w:tcW w:w="50" w:type="pct"/>
            <w:vAlign w:val="center"/>
            <w:hideMark/>
          </w:tcPr>
          <w:p w14:paraId="4101C6E0" w14:textId="77777777" w:rsidR="00000000" w:rsidRDefault="001D0688">
            <w:pPr>
              <w:rPr>
                <w:rFonts w:eastAsia="Times New Roman"/>
                <w:sz w:val="20"/>
                <w:szCs w:val="20"/>
              </w:rPr>
            </w:pPr>
          </w:p>
        </w:tc>
        <w:tc>
          <w:tcPr>
            <w:tcW w:w="529" w:type="pct"/>
            <w:vAlign w:val="center"/>
            <w:hideMark/>
          </w:tcPr>
          <w:p w14:paraId="7C3764D3" w14:textId="77777777" w:rsidR="00000000" w:rsidRDefault="001D0688">
            <w:pPr>
              <w:rPr>
                <w:rFonts w:eastAsia="Times New Roman"/>
                <w:sz w:val="20"/>
                <w:szCs w:val="20"/>
              </w:rPr>
            </w:pPr>
          </w:p>
        </w:tc>
        <w:tc>
          <w:tcPr>
            <w:tcW w:w="5" w:type="pct"/>
            <w:vAlign w:val="center"/>
            <w:hideMark/>
          </w:tcPr>
          <w:p w14:paraId="7423F09B" w14:textId="77777777" w:rsidR="00000000" w:rsidRDefault="001D0688">
            <w:pPr>
              <w:rPr>
                <w:rFonts w:eastAsia="Times New Roman"/>
                <w:sz w:val="20"/>
                <w:szCs w:val="20"/>
              </w:rPr>
            </w:pPr>
          </w:p>
        </w:tc>
      </w:tr>
      <w:tr w:rsidR="00000000" w14:paraId="63FD2D83" w14:textId="77777777">
        <w:trPr>
          <w:divId w:val="1951008450"/>
          <w:jc w:val="center"/>
        </w:trPr>
        <w:tc>
          <w:tcPr>
            <w:tcW w:w="0" w:type="auto"/>
            <w:gridSpan w:val="3"/>
            <w:tcMar>
              <w:top w:w="0" w:type="dxa"/>
              <w:left w:w="20" w:type="dxa"/>
              <w:bottom w:w="0" w:type="dxa"/>
              <w:right w:w="20" w:type="dxa"/>
            </w:tcMar>
            <w:vAlign w:val="center"/>
            <w:hideMark/>
          </w:tcPr>
          <w:p w14:paraId="1C81610D"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2A74F58F" w14:textId="77777777" w:rsidR="00000000" w:rsidRDefault="001D0688">
            <w:pPr>
              <w:jc w:val="center"/>
              <w:rPr>
                <w:rFonts w:eastAsia="Times New Roman"/>
              </w:rPr>
            </w:pPr>
            <w:r>
              <w:rPr>
                <w:rFonts w:ascii="Arial" w:eastAsia="Times New Roman" w:hAnsi="Arial" w:cs="Arial"/>
                <w:b/>
                <w:bCs/>
                <w:color w:val="000000"/>
                <w:sz w:val="16"/>
                <w:szCs w:val="16"/>
              </w:rPr>
              <w:t>Years Ended October 31,</w:t>
            </w:r>
          </w:p>
        </w:tc>
      </w:tr>
      <w:tr w:rsidR="00000000" w14:paraId="0CF49E00" w14:textId="77777777">
        <w:trPr>
          <w:divId w:val="1951008450"/>
          <w:jc w:val="center"/>
        </w:trPr>
        <w:tc>
          <w:tcPr>
            <w:tcW w:w="0" w:type="auto"/>
            <w:gridSpan w:val="3"/>
            <w:tcMar>
              <w:top w:w="30" w:type="dxa"/>
              <w:left w:w="20" w:type="dxa"/>
              <w:bottom w:w="30" w:type="dxa"/>
              <w:right w:w="20" w:type="dxa"/>
            </w:tcMar>
            <w:vAlign w:val="bottom"/>
            <w:hideMark/>
          </w:tcPr>
          <w:p w14:paraId="02C7EE22" w14:textId="77777777" w:rsidR="00000000" w:rsidRDefault="001D0688">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B074546" w14:textId="77777777" w:rsidR="00000000" w:rsidRDefault="001D0688">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0F96DBD"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F3DE4D" w14:textId="77777777" w:rsidR="00000000" w:rsidRDefault="001D0688">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45A4068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9AC7ED" w14:textId="77777777" w:rsidR="00000000" w:rsidRDefault="001D0688">
            <w:pPr>
              <w:jc w:val="center"/>
              <w:rPr>
                <w:rFonts w:eastAsia="Times New Roman"/>
              </w:rPr>
            </w:pPr>
            <w:r>
              <w:rPr>
                <w:rFonts w:ascii="Arial" w:eastAsia="Times New Roman" w:hAnsi="Arial" w:cs="Arial"/>
                <w:b/>
                <w:bCs/>
                <w:color w:val="000000"/>
                <w:sz w:val="16"/>
                <w:szCs w:val="16"/>
              </w:rPr>
              <w:t>2018</w:t>
            </w:r>
          </w:p>
        </w:tc>
      </w:tr>
      <w:tr w:rsidR="00000000" w14:paraId="09D1DA79"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1F5E23BE" w14:textId="77777777" w:rsidR="00000000" w:rsidRDefault="001D0688">
            <w:pPr>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98DFD45"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3A4AA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24FF6E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0C03299"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861C510" w14:textId="77777777" w:rsidR="00000000" w:rsidRDefault="001D0688">
            <w:pPr>
              <w:rPr>
                <w:rFonts w:eastAsia="Times New Roman"/>
                <w:sz w:val="20"/>
                <w:szCs w:val="20"/>
              </w:rPr>
            </w:pPr>
          </w:p>
        </w:tc>
      </w:tr>
      <w:tr w:rsidR="00000000" w14:paraId="0640FDC1"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52B702DD" w14:textId="77777777" w:rsidR="00000000" w:rsidRDefault="001D0688">
            <w:pPr>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14:paraId="51F5A6E2"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58101AB2" w14:textId="77777777" w:rsidR="00000000" w:rsidRDefault="001D0688">
            <w:pPr>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14:paraId="7CDCFC6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BB7CF"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57699F"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27BE867" w14:textId="77777777" w:rsidR="00000000" w:rsidRDefault="001D0688">
            <w:pPr>
              <w:jc w:val="right"/>
              <w:rPr>
                <w:rFonts w:eastAsia="Times New Roman"/>
              </w:rPr>
            </w:pPr>
            <w:r>
              <w:rPr>
                <w:rFonts w:ascii="Arial" w:eastAsia="Times New Roman" w:hAnsi="Arial" w:cs="Arial"/>
                <w:color w:val="000000"/>
                <w:sz w:val="16"/>
                <w:szCs w:val="16"/>
              </w:rPr>
              <w:t>127.4 </w:t>
            </w:r>
          </w:p>
        </w:tc>
        <w:tc>
          <w:tcPr>
            <w:tcW w:w="0" w:type="auto"/>
            <w:shd w:val="clear" w:color="auto" w:fill="FFFFFF"/>
            <w:tcMar>
              <w:top w:w="30" w:type="dxa"/>
              <w:left w:w="0" w:type="dxa"/>
              <w:bottom w:w="30" w:type="dxa"/>
              <w:right w:w="20" w:type="dxa"/>
            </w:tcMar>
            <w:vAlign w:val="bottom"/>
            <w:hideMark/>
          </w:tcPr>
          <w:p w14:paraId="168FA9F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8F80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D0B37B"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0826EB1" w14:textId="77777777" w:rsidR="00000000" w:rsidRDefault="001D0688">
            <w:pPr>
              <w:jc w:val="right"/>
              <w:rPr>
                <w:rFonts w:eastAsia="Times New Roman"/>
              </w:rPr>
            </w:pPr>
            <w:r>
              <w:rPr>
                <w:rFonts w:ascii="Arial" w:eastAsia="Times New Roman" w:hAnsi="Arial" w:cs="Arial"/>
                <w:color w:val="000000"/>
                <w:sz w:val="16"/>
                <w:szCs w:val="16"/>
              </w:rPr>
              <w:t>97.8 </w:t>
            </w:r>
          </w:p>
        </w:tc>
        <w:tc>
          <w:tcPr>
            <w:tcW w:w="0" w:type="auto"/>
            <w:shd w:val="clear" w:color="auto" w:fill="FFFFFF"/>
            <w:tcMar>
              <w:top w:w="30" w:type="dxa"/>
              <w:left w:w="0" w:type="dxa"/>
              <w:bottom w:w="30" w:type="dxa"/>
              <w:right w:w="20" w:type="dxa"/>
            </w:tcMar>
            <w:vAlign w:val="bottom"/>
            <w:hideMark/>
          </w:tcPr>
          <w:p w14:paraId="56DD638D" w14:textId="77777777" w:rsidR="00000000" w:rsidRDefault="001D0688">
            <w:pPr>
              <w:jc w:val="right"/>
              <w:rPr>
                <w:rFonts w:eastAsia="Times New Roman"/>
              </w:rPr>
            </w:pPr>
          </w:p>
        </w:tc>
      </w:tr>
      <w:tr w:rsidR="00000000" w14:paraId="683C4343"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06538D50" w14:textId="77777777" w:rsidR="00000000" w:rsidRDefault="001D0688">
            <w:pPr>
              <w:rPr>
                <w:rFonts w:eastAsia="Times New Roman"/>
              </w:rPr>
            </w:pPr>
            <w:r>
              <w:rPr>
                <w:rFonts w:ascii="Arial" w:eastAsia="Times New Roman" w:hAnsi="Arial" w:cs="Arial"/>
                <w:color w:val="000000"/>
                <w:sz w:val="16"/>
                <w:szCs w:val="16"/>
              </w:rPr>
              <w:t>(Income) loss from discontinued operations, net of taxes</w:t>
            </w:r>
          </w:p>
        </w:tc>
        <w:tc>
          <w:tcPr>
            <w:tcW w:w="0" w:type="auto"/>
            <w:gridSpan w:val="2"/>
            <w:shd w:val="clear" w:color="auto" w:fill="DCE2EF"/>
            <w:tcMar>
              <w:top w:w="30" w:type="dxa"/>
              <w:left w:w="20" w:type="dxa"/>
              <w:bottom w:w="30" w:type="dxa"/>
              <w:right w:w="0" w:type="dxa"/>
            </w:tcMar>
            <w:vAlign w:val="bottom"/>
            <w:hideMark/>
          </w:tcPr>
          <w:p w14:paraId="4E60F261" w14:textId="77777777" w:rsidR="00000000" w:rsidRDefault="001D0688">
            <w:pPr>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14:paraId="783F558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C19B5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70934D" w14:textId="77777777" w:rsidR="00000000" w:rsidRDefault="001D0688">
            <w:pPr>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14:paraId="0FCFA3C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CAC29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98D927" w14:textId="77777777" w:rsidR="00000000" w:rsidRDefault="001D0688">
            <w:pPr>
              <w:jc w:val="right"/>
              <w:rPr>
                <w:rFonts w:eastAsia="Times New Roman"/>
              </w:rPr>
            </w:pPr>
            <w:r>
              <w:rPr>
                <w:rFonts w:ascii="Arial" w:eastAsia="Times New Roman" w:hAnsi="Arial" w:cs="Arial"/>
                <w:color w:val="000000"/>
                <w:sz w:val="16"/>
                <w:szCs w:val="16"/>
              </w:rPr>
              <w:t>(1.8)</w:t>
            </w:r>
          </w:p>
        </w:tc>
        <w:tc>
          <w:tcPr>
            <w:tcW w:w="0" w:type="auto"/>
            <w:shd w:val="clear" w:color="auto" w:fill="DCE2EF"/>
            <w:tcMar>
              <w:top w:w="30" w:type="dxa"/>
              <w:left w:w="0" w:type="dxa"/>
              <w:bottom w:w="30" w:type="dxa"/>
              <w:right w:w="20" w:type="dxa"/>
            </w:tcMar>
            <w:vAlign w:val="bottom"/>
            <w:hideMark/>
          </w:tcPr>
          <w:p w14:paraId="2ECF7806" w14:textId="77777777" w:rsidR="00000000" w:rsidRDefault="001D0688">
            <w:pPr>
              <w:jc w:val="right"/>
              <w:rPr>
                <w:rFonts w:eastAsia="Times New Roman"/>
              </w:rPr>
            </w:pPr>
          </w:p>
        </w:tc>
      </w:tr>
      <w:tr w:rsidR="00000000" w14:paraId="5058D52F"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6AED4D4F" w14:textId="77777777" w:rsidR="00000000" w:rsidRDefault="001D0688">
            <w:pPr>
              <w:rPr>
                <w:rFonts w:eastAsia="Times New Roman"/>
              </w:rPr>
            </w:pPr>
            <w:r>
              <w:rPr>
                <w:rFonts w:ascii="Arial" w:eastAsia="Times New Roman" w:hAnsi="Arial" w:cs="Arial"/>
                <w:color w:val="000000"/>
                <w:sz w:val="16"/>
                <w:szCs w:val="16"/>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BBC616" w14:textId="77777777" w:rsidR="00000000" w:rsidRDefault="001D0688">
            <w:pPr>
              <w:jc w:val="right"/>
              <w:rPr>
                <w:rFonts w:eastAsia="Times New Roman"/>
              </w:rPr>
            </w:pPr>
            <w:r>
              <w:rPr>
                <w:rFonts w:ascii="Arial" w:eastAsia="Times New Roman" w:hAnsi="Arial" w:cs="Arial"/>
                <w:color w:val="000000"/>
                <w:sz w:val="16"/>
                <w:szCs w:val="16"/>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AB138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92491"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9CB88C" w14:textId="77777777" w:rsidR="00000000" w:rsidRDefault="001D0688">
            <w:pPr>
              <w:jc w:val="right"/>
              <w:rPr>
                <w:rFonts w:eastAsia="Times New Roman"/>
              </w:rPr>
            </w:pPr>
            <w:r>
              <w:rPr>
                <w:rFonts w:ascii="Arial" w:eastAsia="Times New Roman" w:hAnsi="Arial" w:cs="Arial"/>
                <w:color w:val="000000"/>
                <w:sz w:val="16"/>
                <w:szCs w:val="16"/>
              </w:rPr>
              <w:t>127.5 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60C5F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6D51E"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7AB192" w14:textId="77777777" w:rsidR="00000000" w:rsidRDefault="001D0688">
            <w:pPr>
              <w:jc w:val="right"/>
              <w:rPr>
                <w:rFonts w:eastAsia="Times New Roman"/>
              </w:rPr>
            </w:pPr>
            <w:r>
              <w:rPr>
                <w:rFonts w:ascii="Arial" w:eastAsia="Times New Roman" w:hAnsi="Arial" w:cs="Arial"/>
                <w:color w:val="000000"/>
                <w:sz w:val="16"/>
                <w:szCs w:val="16"/>
              </w:rPr>
              <w:t>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FB076F" w14:textId="77777777" w:rsidR="00000000" w:rsidRDefault="001D0688">
            <w:pPr>
              <w:jc w:val="right"/>
              <w:rPr>
                <w:rFonts w:eastAsia="Times New Roman"/>
              </w:rPr>
            </w:pPr>
          </w:p>
        </w:tc>
      </w:tr>
      <w:tr w:rsidR="00000000" w14:paraId="382A2D15"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7AF75E30" w14:textId="77777777" w:rsidR="00000000" w:rsidRDefault="001D0688">
            <w:pPr>
              <w:rPr>
                <w:rFonts w:eastAsia="Times New Roman"/>
              </w:rPr>
            </w:pPr>
            <w:r>
              <w:rPr>
                <w:rFonts w:ascii="Arial" w:eastAsia="Times New Roman" w:hAnsi="Arial" w:cs="Arial"/>
                <w:b/>
                <w:bCs/>
                <w:color w:val="000000"/>
                <w:sz w:val="16"/>
                <w:szCs w:val="16"/>
              </w:rPr>
              <w:t>Adjustments to reconcile income from continuing operations to net cash provided by</w:t>
            </w:r>
            <w:r>
              <w:rPr>
                <w:rFonts w:ascii="Arial" w:eastAsia="Times New Roman" w:hAnsi="Arial" w:cs="Arial"/>
                <w:b/>
                <w:bCs/>
                <w:color w:val="000000"/>
                <w:sz w:val="16"/>
                <w:szCs w:val="16"/>
              </w:rPr>
              <w:br/>
              <w:t>operating activities of continuing operations</w:t>
            </w:r>
          </w:p>
        </w:tc>
        <w:tc>
          <w:tcPr>
            <w:tcW w:w="0" w:type="auto"/>
            <w:gridSpan w:val="3"/>
            <w:shd w:val="clear" w:color="auto" w:fill="DCE2EF"/>
            <w:tcMar>
              <w:top w:w="0" w:type="dxa"/>
              <w:left w:w="20" w:type="dxa"/>
              <w:bottom w:w="0" w:type="dxa"/>
              <w:right w:w="20" w:type="dxa"/>
            </w:tcMar>
            <w:vAlign w:val="center"/>
            <w:hideMark/>
          </w:tcPr>
          <w:p w14:paraId="7EE549C6"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4C385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19AAA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3B5CFF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0F73E9F" w14:textId="77777777" w:rsidR="00000000" w:rsidRDefault="001D0688">
            <w:pPr>
              <w:rPr>
                <w:rFonts w:eastAsia="Times New Roman"/>
                <w:sz w:val="20"/>
                <w:szCs w:val="20"/>
              </w:rPr>
            </w:pPr>
          </w:p>
        </w:tc>
      </w:tr>
      <w:tr w:rsidR="00000000" w14:paraId="6288C39D"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451057DE" w14:textId="77777777" w:rsidR="00000000" w:rsidRDefault="001D0688">
            <w:pPr>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14:paraId="1F07C64D" w14:textId="77777777" w:rsidR="00000000" w:rsidRDefault="001D0688">
            <w:pPr>
              <w:jc w:val="right"/>
              <w:rPr>
                <w:rFonts w:eastAsia="Times New Roman"/>
              </w:rPr>
            </w:pPr>
            <w:r>
              <w:rPr>
                <w:rFonts w:ascii="Arial" w:eastAsia="Times New Roman" w:hAnsi="Arial" w:cs="Arial"/>
                <w:color w:val="000000"/>
                <w:sz w:val="16"/>
                <w:szCs w:val="16"/>
              </w:rPr>
              <w:t>96.4 </w:t>
            </w:r>
          </w:p>
        </w:tc>
        <w:tc>
          <w:tcPr>
            <w:tcW w:w="0" w:type="auto"/>
            <w:shd w:val="clear" w:color="auto" w:fill="FFFFFF"/>
            <w:tcMar>
              <w:top w:w="30" w:type="dxa"/>
              <w:left w:w="0" w:type="dxa"/>
              <w:bottom w:w="30" w:type="dxa"/>
              <w:right w:w="20" w:type="dxa"/>
            </w:tcMar>
            <w:vAlign w:val="bottom"/>
            <w:hideMark/>
          </w:tcPr>
          <w:p w14:paraId="084F4BF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2345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E15B6" w14:textId="77777777" w:rsidR="00000000" w:rsidRDefault="001D0688">
            <w:pPr>
              <w:jc w:val="right"/>
              <w:rPr>
                <w:rFonts w:eastAsia="Times New Roman"/>
              </w:rPr>
            </w:pPr>
            <w:r>
              <w:rPr>
                <w:rFonts w:ascii="Arial" w:eastAsia="Times New Roman" w:hAnsi="Arial" w:cs="Arial"/>
                <w:color w:val="000000"/>
                <w:sz w:val="16"/>
                <w:szCs w:val="16"/>
              </w:rPr>
              <w:t>107.4 </w:t>
            </w:r>
          </w:p>
        </w:tc>
        <w:tc>
          <w:tcPr>
            <w:tcW w:w="0" w:type="auto"/>
            <w:shd w:val="clear" w:color="auto" w:fill="FFFFFF"/>
            <w:tcMar>
              <w:top w:w="30" w:type="dxa"/>
              <w:left w:w="0" w:type="dxa"/>
              <w:bottom w:w="30" w:type="dxa"/>
              <w:right w:w="20" w:type="dxa"/>
            </w:tcMar>
            <w:vAlign w:val="bottom"/>
            <w:hideMark/>
          </w:tcPr>
          <w:p w14:paraId="24D3E4D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F2AE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1CCF9C" w14:textId="77777777" w:rsidR="00000000" w:rsidRDefault="001D0688">
            <w:pPr>
              <w:jc w:val="right"/>
              <w:rPr>
                <w:rFonts w:eastAsia="Times New Roman"/>
              </w:rPr>
            </w:pPr>
            <w:r>
              <w:rPr>
                <w:rFonts w:ascii="Arial" w:eastAsia="Times New Roman" w:hAnsi="Arial" w:cs="Arial"/>
                <w:color w:val="000000"/>
                <w:sz w:val="16"/>
                <w:szCs w:val="16"/>
              </w:rPr>
              <w:t>112.5 </w:t>
            </w:r>
          </w:p>
        </w:tc>
        <w:tc>
          <w:tcPr>
            <w:tcW w:w="0" w:type="auto"/>
            <w:shd w:val="clear" w:color="auto" w:fill="FFFFFF"/>
            <w:tcMar>
              <w:top w:w="30" w:type="dxa"/>
              <w:left w:w="0" w:type="dxa"/>
              <w:bottom w:w="30" w:type="dxa"/>
              <w:right w:w="20" w:type="dxa"/>
            </w:tcMar>
            <w:vAlign w:val="bottom"/>
            <w:hideMark/>
          </w:tcPr>
          <w:p w14:paraId="0B554D72" w14:textId="77777777" w:rsidR="00000000" w:rsidRDefault="001D0688">
            <w:pPr>
              <w:jc w:val="right"/>
              <w:rPr>
                <w:rFonts w:eastAsia="Times New Roman"/>
              </w:rPr>
            </w:pPr>
          </w:p>
        </w:tc>
      </w:tr>
      <w:tr w:rsidR="00000000" w14:paraId="37C33C92"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33C53687" w14:textId="77777777" w:rsidR="00000000" w:rsidRDefault="001D0688">
            <w:pPr>
              <w:rPr>
                <w:rFonts w:eastAsia="Times New Roman"/>
              </w:rPr>
            </w:pPr>
            <w:r>
              <w:rPr>
                <w:rFonts w:ascii="Arial" w:eastAsia="Times New Roman" w:hAnsi="Arial" w:cs="Arial"/>
                <w:color w:val="000000"/>
                <w:sz w:val="16"/>
                <w:szCs w:val="16"/>
              </w:rPr>
              <w:t>Proceeds from termination of interest rate swaps</w:t>
            </w:r>
          </w:p>
        </w:tc>
        <w:tc>
          <w:tcPr>
            <w:tcW w:w="0" w:type="auto"/>
            <w:gridSpan w:val="2"/>
            <w:shd w:val="clear" w:color="auto" w:fill="DCE2EF"/>
            <w:tcMar>
              <w:top w:w="30" w:type="dxa"/>
              <w:left w:w="20" w:type="dxa"/>
              <w:bottom w:w="30" w:type="dxa"/>
              <w:right w:w="0" w:type="dxa"/>
            </w:tcMar>
            <w:vAlign w:val="bottom"/>
            <w:hideMark/>
          </w:tcPr>
          <w:p w14:paraId="2FC9A060"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651A59B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F0AF5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82E7EF"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63087B1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65FA5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41BA29" w14:textId="77777777" w:rsidR="00000000" w:rsidRDefault="001D0688">
            <w:pPr>
              <w:jc w:val="right"/>
              <w:rPr>
                <w:rFonts w:eastAsia="Times New Roman"/>
              </w:rPr>
            </w:pPr>
            <w:r>
              <w:rPr>
                <w:rFonts w:ascii="Arial" w:eastAsia="Times New Roman" w:hAnsi="Arial" w:cs="Arial"/>
                <w:color w:val="000000"/>
                <w:sz w:val="16"/>
                <w:szCs w:val="16"/>
              </w:rPr>
              <w:t>25.9 </w:t>
            </w:r>
          </w:p>
        </w:tc>
        <w:tc>
          <w:tcPr>
            <w:tcW w:w="0" w:type="auto"/>
            <w:shd w:val="clear" w:color="auto" w:fill="DCE2EF"/>
            <w:tcMar>
              <w:top w:w="30" w:type="dxa"/>
              <w:left w:w="0" w:type="dxa"/>
              <w:bottom w:w="30" w:type="dxa"/>
              <w:right w:w="20" w:type="dxa"/>
            </w:tcMar>
            <w:vAlign w:val="bottom"/>
            <w:hideMark/>
          </w:tcPr>
          <w:p w14:paraId="3A8FBFF0" w14:textId="77777777" w:rsidR="00000000" w:rsidRDefault="001D0688">
            <w:pPr>
              <w:jc w:val="right"/>
              <w:rPr>
                <w:rFonts w:eastAsia="Times New Roman"/>
              </w:rPr>
            </w:pPr>
          </w:p>
        </w:tc>
      </w:tr>
      <w:tr w:rsidR="00000000" w14:paraId="601BE968"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57F77378" w14:textId="77777777" w:rsidR="00000000" w:rsidRDefault="001D0688">
            <w:pPr>
              <w:rPr>
                <w:rFonts w:eastAsia="Times New Roman"/>
              </w:rPr>
            </w:pPr>
            <w:r>
              <w:rPr>
                <w:rFonts w:ascii="Arial" w:eastAsia="Times New Roman" w:hAnsi="Arial" w:cs="Arial"/>
                <w:color w:val="000000"/>
                <w:sz w:val="16"/>
                <w:szCs w:val="16"/>
              </w:rPr>
              <w:t xml:space="preserve">Impairment loss </w:t>
            </w:r>
          </w:p>
        </w:tc>
        <w:tc>
          <w:tcPr>
            <w:tcW w:w="0" w:type="auto"/>
            <w:gridSpan w:val="2"/>
            <w:shd w:val="clear" w:color="auto" w:fill="FFFFFF"/>
            <w:tcMar>
              <w:top w:w="30" w:type="dxa"/>
              <w:left w:w="20" w:type="dxa"/>
              <w:bottom w:w="30" w:type="dxa"/>
              <w:right w:w="0" w:type="dxa"/>
            </w:tcMar>
            <w:vAlign w:val="bottom"/>
            <w:hideMark/>
          </w:tcPr>
          <w:p w14:paraId="4B15B8E8" w14:textId="77777777" w:rsidR="00000000" w:rsidRDefault="001D0688">
            <w:pPr>
              <w:jc w:val="right"/>
              <w:rPr>
                <w:rFonts w:eastAsia="Times New Roman"/>
              </w:rPr>
            </w:pPr>
            <w:r>
              <w:rPr>
                <w:rFonts w:ascii="Arial" w:eastAsia="Times New Roman" w:hAnsi="Arial" w:cs="Arial"/>
                <w:color w:val="000000"/>
                <w:sz w:val="16"/>
                <w:szCs w:val="16"/>
              </w:rPr>
              <w:t>172.8 </w:t>
            </w:r>
          </w:p>
        </w:tc>
        <w:tc>
          <w:tcPr>
            <w:tcW w:w="0" w:type="auto"/>
            <w:shd w:val="clear" w:color="auto" w:fill="FFFFFF"/>
            <w:tcMar>
              <w:top w:w="30" w:type="dxa"/>
              <w:left w:w="0" w:type="dxa"/>
              <w:bottom w:w="30" w:type="dxa"/>
              <w:right w:w="20" w:type="dxa"/>
            </w:tcMar>
            <w:vAlign w:val="bottom"/>
            <w:hideMark/>
          </w:tcPr>
          <w:p w14:paraId="1B636ED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0817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940ED2"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3095E8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C9C3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1B9C7" w14:textId="77777777" w:rsidR="00000000" w:rsidRDefault="001D0688">
            <w:pPr>
              <w:jc w:val="right"/>
              <w:rPr>
                <w:rFonts w:eastAsia="Times New Roman"/>
              </w:rPr>
            </w:pPr>
            <w:r>
              <w:rPr>
                <w:rFonts w:ascii="Arial" w:eastAsia="Times New Roman" w:hAnsi="Arial" w:cs="Arial"/>
                <w:color w:val="000000"/>
                <w:sz w:val="16"/>
                <w:szCs w:val="16"/>
              </w:rPr>
              <w:t>26.5 </w:t>
            </w:r>
          </w:p>
        </w:tc>
        <w:tc>
          <w:tcPr>
            <w:tcW w:w="0" w:type="auto"/>
            <w:shd w:val="clear" w:color="auto" w:fill="FFFFFF"/>
            <w:tcMar>
              <w:top w:w="30" w:type="dxa"/>
              <w:left w:w="0" w:type="dxa"/>
              <w:bottom w:w="30" w:type="dxa"/>
              <w:right w:w="20" w:type="dxa"/>
            </w:tcMar>
            <w:vAlign w:val="bottom"/>
            <w:hideMark/>
          </w:tcPr>
          <w:p w14:paraId="17C0F24B" w14:textId="77777777" w:rsidR="00000000" w:rsidRDefault="001D0688">
            <w:pPr>
              <w:jc w:val="right"/>
              <w:rPr>
                <w:rFonts w:eastAsia="Times New Roman"/>
              </w:rPr>
            </w:pPr>
          </w:p>
        </w:tc>
      </w:tr>
      <w:tr w:rsidR="00000000" w14:paraId="0469AEFB"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29D62388" w14:textId="77777777" w:rsidR="00000000" w:rsidRDefault="001D0688">
            <w:pPr>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14:paraId="171DEFB3" w14:textId="77777777" w:rsidR="00000000" w:rsidRDefault="001D0688">
            <w:pPr>
              <w:jc w:val="right"/>
              <w:rPr>
                <w:rFonts w:eastAsia="Times New Roman"/>
              </w:rPr>
            </w:pPr>
            <w:r>
              <w:rPr>
                <w:rFonts w:ascii="Arial" w:eastAsia="Times New Roman" w:hAnsi="Arial" w:cs="Arial"/>
                <w:color w:val="000000"/>
                <w:sz w:val="16"/>
                <w:szCs w:val="16"/>
              </w:rPr>
              <w:t>(36.6)</w:t>
            </w:r>
          </w:p>
        </w:tc>
        <w:tc>
          <w:tcPr>
            <w:tcW w:w="0" w:type="auto"/>
            <w:shd w:val="clear" w:color="auto" w:fill="DCE2EF"/>
            <w:tcMar>
              <w:top w:w="30" w:type="dxa"/>
              <w:left w:w="0" w:type="dxa"/>
              <w:bottom w:w="30" w:type="dxa"/>
              <w:right w:w="20" w:type="dxa"/>
            </w:tcMar>
            <w:vAlign w:val="bottom"/>
            <w:hideMark/>
          </w:tcPr>
          <w:p w14:paraId="728170F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D7330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CCE8803" w14:textId="77777777" w:rsidR="00000000" w:rsidRDefault="001D0688">
            <w:pPr>
              <w:jc w:val="right"/>
              <w:rPr>
                <w:rFonts w:eastAsia="Times New Roman"/>
              </w:rPr>
            </w:pPr>
            <w:r>
              <w:rPr>
                <w:rFonts w:ascii="Arial" w:eastAsia="Times New Roman" w:hAnsi="Arial" w:cs="Arial"/>
                <w:color w:val="000000"/>
                <w:sz w:val="16"/>
                <w:szCs w:val="16"/>
              </w:rPr>
              <w:t>9.7 </w:t>
            </w:r>
          </w:p>
        </w:tc>
        <w:tc>
          <w:tcPr>
            <w:tcW w:w="0" w:type="auto"/>
            <w:shd w:val="clear" w:color="auto" w:fill="DCE2EF"/>
            <w:tcMar>
              <w:top w:w="30" w:type="dxa"/>
              <w:left w:w="0" w:type="dxa"/>
              <w:bottom w:w="30" w:type="dxa"/>
              <w:right w:w="20" w:type="dxa"/>
            </w:tcMar>
            <w:vAlign w:val="bottom"/>
            <w:hideMark/>
          </w:tcPr>
          <w:p w14:paraId="7A44B28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81E44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1F1563" w14:textId="77777777" w:rsidR="00000000" w:rsidRDefault="001D0688">
            <w:pPr>
              <w:jc w:val="right"/>
              <w:rPr>
                <w:rFonts w:eastAsia="Times New Roman"/>
              </w:rPr>
            </w:pPr>
            <w:r>
              <w:rPr>
                <w:rFonts w:ascii="Arial" w:eastAsia="Times New Roman" w:hAnsi="Arial" w:cs="Arial"/>
                <w:color w:val="000000"/>
                <w:sz w:val="16"/>
                <w:szCs w:val="16"/>
              </w:rPr>
              <w:t>(23.7)</w:t>
            </w:r>
          </w:p>
        </w:tc>
        <w:tc>
          <w:tcPr>
            <w:tcW w:w="0" w:type="auto"/>
            <w:shd w:val="clear" w:color="auto" w:fill="DCE2EF"/>
            <w:tcMar>
              <w:top w:w="30" w:type="dxa"/>
              <w:left w:w="0" w:type="dxa"/>
              <w:bottom w:w="30" w:type="dxa"/>
              <w:right w:w="20" w:type="dxa"/>
            </w:tcMar>
            <w:vAlign w:val="bottom"/>
            <w:hideMark/>
          </w:tcPr>
          <w:p w14:paraId="45846D80" w14:textId="77777777" w:rsidR="00000000" w:rsidRDefault="001D0688">
            <w:pPr>
              <w:jc w:val="right"/>
              <w:rPr>
                <w:rFonts w:eastAsia="Times New Roman"/>
              </w:rPr>
            </w:pPr>
          </w:p>
        </w:tc>
      </w:tr>
      <w:tr w:rsidR="00000000" w14:paraId="4B4553A3"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656A80BD" w14:textId="77777777" w:rsidR="00000000" w:rsidRDefault="001D0688">
            <w:pPr>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14:paraId="41D9BD49" w14:textId="77777777" w:rsidR="00000000" w:rsidRDefault="001D0688">
            <w:pPr>
              <w:jc w:val="right"/>
              <w:rPr>
                <w:rFonts w:eastAsia="Times New Roman"/>
              </w:rPr>
            </w:pPr>
            <w:r>
              <w:rPr>
                <w:rFonts w:ascii="Arial" w:eastAsia="Times New Roman" w:hAnsi="Arial" w:cs="Arial"/>
                <w:color w:val="000000"/>
                <w:sz w:val="16"/>
                <w:szCs w:val="16"/>
              </w:rPr>
              <w:t>20.3 </w:t>
            </w:r>
          </w:p>
        </w:tc>
        <w:tc>
          <w:tcPr>
            <w:tcW w:w="0" w:type="auto"/>
            <w:shd w:val="clear" w:color="auto" w:fill="FFFFFF"/>
            <w:tcMar>
              <w:top w:w="30" w:type="dxa"/>
              <w:left w:w="0" w:type="dxa"/>
              <w:bottom w:w="30" w:type="dxa"/>
              <w:right w:w="20" w:type="dxa"/>
            </w:tcMar>
            <w:vAlign w:val="bottom"/>
            <w:hideMark/>
          </w:tcPr>
          <w:p w14:paraId="593F5F3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424E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77C785" w14:textId="77777777" w:rsidR="00000000" w:rsidRDefault="001D0688">
            <w:pPr>
              <w:jc w:val="right"/>
              <w:rPr>
                <w:rFonts w:eastAsia="Times New Roman"/>
              </w:rPr>
            </w:pPr>
            <w:r>
              <w:rPr>
                <w:rFonts w:ascii="Arial" w:eastAsia="Times New Roman" w:hAnsi="Arial" w:cs="Arial"/>
                <w:color w:val="000000"/>
                <w:sz w:val="16"/>
                <w:szCs w:val="16"/>
              </w:rPr>
              <w:t>17.5 </w:t>
            </w:r>
          </w:p>
        </w:tc>
        <w:tc>
          <w:tcPr>
            <w:tcW w:w="0" w:type="auto"/>
            <w:shd w:val="clear" w:color="auto" w:fill="FFFFFF"/>
            <w:tcMar>
              <w:top w:w="30" w:type="dxa"/>
              <w:left w:w="0" w:type="dxa"/>
              <w:bottom w:w="30" w:type="dxa"/>
              <w:right w:w="20" w:type="dxa"/>
            </w:tcMar>
            <w:vAlign w:val="bottom"/>
            <w:hideMark/>
          </w:tcPr>
          <w:p w14:paraId="142E15D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9328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E50358" w14:textId="77777777" w:rsidR="00000000" w:rsidRDefault="001D0688">
            <w:pPr>
              <w:jc w:val="right"/>
              <w:rPr>
                <w:rFonts w:eastAsia="Times New Roman"/>
              </w:rPr>
            </w:pPr>
            <w:r>
              <w:rPr>
                <w:rFonts w:ascii="Arial" w:eastAsia="Times New Roman" w:hAnsi="Arial" w:cs="Arial"/>
                <w:color w:val="000000"/>
                <w:sz w:val="16"/>
                <w:szCs w:val="16"/>
              </w:rPr>
              <w:t>17.0 </w:t>
            </w:r>
          </w:p>
        </w:tc>
        <w:tc>
          <w:tcPr>
            <w:tcW w:w="0" w:type="auto"/>
            <w:shd w:val="clear" w:color="auto" w:fill="FFFFFF"/>
            <w:tcMar>
              <w:top w:w="30" w:type="dxa"/>
              <w:left w:w="0" w:type="dxa"/>
              <w:bottom w:w="30" w:type="dxa"/>
              <w:right w:w="20" w:type="dxa"/>
            </w:tcMar>
            <w:vAlign w:val="bottom"/>
            <w:hideMark/>
          </w:tcPr>
          <w:p w14:paraId="5ABE22AE" w14:textId="77777777" w:rsidR="00000000" w:rsidRDefault="001D0688">
            <w:pPr>
              <w:jc w:val="right"/>
              <w:rPr>
                <w:rFonts w:eastAsia="Times New Roman"/>
              </w:rPr>
            </w:pPr>
          </w:p>
        </w:tc>
      </w:tr>
      <w:tr w:rsidR="00000000" w14:paraId="402ADDF0"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3DA679AB" w14:textId="77777777" w:rsidR="00000000" w:rsidRDefault="001D0688">
            <w:pPr>
              <w:rPr>
                <w:rFonts w:eastAsia="Times New Roman"/>
              </w:rPr>
            </w:pPr>
            <w:r>
              <w:rPr>
                <w:rFonts w:ascii="Arial" w:eastAsia="Times New Roman" w:hAnsi="Arial" w:cs="Arial"/>
                <w:color w:val="000000"/>
                <w:sz w:val="16"/>
                <w:szCs w:val="16"/>
              </w:rPr>
              <w:t>Provision for bad debt</w:t>
            </w:r>
          </w:p>
        </w:tc>
        <w:tc>
          <w:tcPr>
            <w:tcW w:w="0" w:type="auto"/>
            <w:gridSpan w:val="2"/>
            <w:shd w:val="clear" w:color="auto" w:fill="DCE2EF"/>
            <w:tcMar>
              <w:top w:w="30" w:type="dxa"/>
              <w:left w:w="20" w:type="dxa"/>
              <w:bottom w:w="30" w:type="dxa"/>
              <w:right w:w="0" w:type="dxa"/>
            </w:tcMar>
            <w:vAlign w:val="bottom"/>
            <w:hideMark/>
          </w:tcPr>
          <w:p w14:paraId="36966CB7" w14:textId="77777777" w:rsidR="00000000" w:rsidRDefault="001D0688">
            <w:pPr>
              <w:jc w:val="right"/>
              <w:rPr>
                <w:rFonts w:eastAsia="Times New Roman"/>
              </w:rPr>
            </w:pPr>
            <w:r>
              <w:rPr>
                <w:rFonts w:ascii="Arial" w:eastAsia="Times New Roman" w:hAnsi="Arial" w:cs="Arial"/>
                <w:color w:val="000000"/>
                <w:sz w:val="16"/>
                <w:szCs w:val="16"/>
              </w:rPr>
              <w:t>19.6 </w:t>
            </w:r>
          </w:p>
        </w:tc>
        <w:tc>
          <w:tcPr>
            <w:tcW w:w="0" w:type="auto"/>
            <w:shd w:val="clear" w:color="auto" w:fill="DCE2EF"/>
            <w:tcMar>
              <w:top w:w="30" w:type="dxa"/>
              <w:left w:w="0" w:type="dxa"/>
              <w:bottom w:w="30" w:type="dxa"/>
              <w:right w:w="20" w:type="dxa"/>
            </w:tcMar>
            <w:vAlign w:val="bottom"/>
            <w:hideMark/>
          </w:tcPr>
          <w:p w14:paraId="43D568E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26E14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79E3053" w14:textId="77777777" w:rsidR="00000000" w:rsidRDefault="001D0688">
            <w:pPr>
              <w:jc w:val="right"/>
              <w:rPr>
                <w:rFonts w:eastAsia="Times New Roman"/>
              </w:rPr>
            </w:pPr>
            <w:r>
              <w:rPr>
                <w:rFonts w:ascii="Arial" w:eastAsia="Times New Roman" w:hAnsi="Arial" w:cs="Arial"/>
                <w:color w:val="000000"/>
                <w:sz w:val="16"/>
                <w:szCs w:val="16"/>
              </w:rPr>
              <w:t>6.7 </w:t>
            </w:r>
          </w:p>
        </w:tc>
        <w:tc>
          <w:tcPr>
            <w:tcW w:w="0" w:type="auto"/>
            <w:shd w:val="clear" w:color="auto" w:fill="DCE2EF"/>
            <w:tcMar>
              <w:top w:w="30" w:type="dxa"/>
              <w:left w:w="0" w:type="dxa"/>
              <w:bottom w:w="30" w:type="dxa"/>
              <w:right w:w="20" w:type="dxa"/>
            </w:tcMar>
            <w:vAlign w:val="bottom"/>
            <w:hideMark/>
          </w:tcPr>
          <w:p w14:paraId="5AB0A29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5B3F4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8980D6A" w14:textId="77777777" w:rsidR="00000000" w:rsidRDefault="001D0688">
            <w:pPr>
              <w:jc w:val="right"/>
              <w:rPr>
                <w:rFonts w:eastAsia="Times New Roman"/>
              </w:rPr>
            </w:pPr>
            <w:r>
              <w:rPr>
                <w:rFonts w:ascii="Arial" w:eastAsia="Times New Roman" w:hAnsi="Arial" w:cs="Arial"/>
                <w:color w:val="000000"/>
                <w:sz w:val="16"/>
                <w:szCs w:val="16"/>
              </w:rPr>
              <w:t>6.4 </w:t>
            </w:r>
          </w:p>
        </w:tc>
        <w:tc>
          <w:tcPr>
            <w:tcW w:w="0" w:type="auto"/>
            <w:shd w:val="clear" w:color="auto" w:fill="DCE2EF"/>
            <w:tcMar>
              <w:top w:w="30" w:type="dxa"/>
              <w:left w:w="0" w:type="dxa"/>
              <w:bottom w:w="30" w:type="dxa"/>
              <w:right w:w="20" w:type="dxa"/>
            </w:tcMar>
            <w:vAlign w:val="bottom"/>
            <w:hideMark/>
          </w:tcPr>
          <w:p w14:paraId="5C478E4C" w14:textId="77777777" w:rsidR="00000000" w:rsidRDefault="001D0688">
            <w:pPr>
              <w:jc w:val="right"/>
              <w:rPr>
                <w:rFonts w:eastAsia="Times New Roman"/>
              </w:rPr>
            </w:pPr>
          </w:p>
        </w:tc>
      </w:tr>
      <w:tr w:rsidR="00000000" w14:paraId="0646DADE"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47912258" w14:textId="77777777" w:rsidR="00000000" w:rsidRDefault="001D0688">
            <w:pPr>
              <w:rPr>
                <w:rFonts w:eastAsia="Times New Roman"/>
              </w:rPr>
            </w:pPr>
            <w:r>
              <w:rPr>
                <w:rFonts w:ascii="Arial" w:eastAsia="Times New Roman" w:hAnsi="Arial" w:cs="Arial"/>
                <w:color w:val="000000"/>
                <w:sz w:val="16"/>
                <w:szCs w:val="16"/>
              </w:rPr>
              <w:t>Amortization of accumulated other comprehensive gain on interest rate swaps</w:t>
            </w:r>
          </w:p>
        </w:tc>
        <w:tc>
          <w:tcPr>
            <w:tcW w:w="0" w:type="auto"/>
            <w:gridSpan w:val="2"/>
            <w:shd w:val="clear" w:color="auto" w:fill="FFFFFF"/>
            <w:tcMar>
              <w:top w:w="30" w:type="dxa"/>
              <w:left w:w="20" w:type="dxa"/>
              <w:bottom w:w="30" w:type="dxa"/>
              <w:right w:w="0" w:type="dxa"/>
            </w:tcMar>
            <w:vAlign w:val="bottom"/>
            <w:hideMark/>
          </w:tcPr>
          <w:p w14:paraId="25DF61DD" w14:textId="77777777" w:rsidR="00000000" w:rsidRDefault="001D0688">
            <w:pPr>
              <w:jc w:val="right"/>
              <w:rPr>
                <w:rFonts w:eastAsia="Times New Roman"/>
              </w:rPr>
            </w:pPr>
            <w:r>
              <w:rPr>
                <w:rFonts w:ascii="Arial" w:eastAsia="Times New Roman" w:hAnsi="Arial" w:cs="Arial"/>
                <w:color w:val="000000"/>
                <w:sz w:val="16"/>
                <w:szCs w:val="16"/>
              </w:rPr>
              <w:t>(6.7)</w:t>
            </w:r>
          </w:p>
        </w:tc>
        <w:tc>
          <w:tcPr>
            <w:tcW w:w="0" w:type="auto"/>
            <w:shd w:val="clear" w:color="auto" w:fill="FFFFFF"/>
            <w:tcMar>
              <w:top w:w="30" w:type="dxa"/>
              <w:left w:w="0" w:type="dxa"/>
              <w:bottom w:w="30" w:type="dxa"/>
              <w:right w:w="20" w:type="dxa"/>
            </w:tcMar>
            <w:vAlign w:val="bottom"/>
            <w:hideMark/>
          </w:tcPr>
          <w:p w14:paraId="05BA113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3FC3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0C15F" w14:textId="77777777" w:rsidR="00000000" w:rsidRDefault="001D0688">
            <w:pPr>
              <w:jc w:val="right"/>
              <w:rPr>
                <w:rFonts w:eastAsia="Times New Roman"/>
              </w:rPr>
            </w:pPr>
            <w:r>
              <w:rPr>
                <w:rFonts w:ascii="Arial" w:eastAsia="Times New Roman" w:hAnsi="Arial" w:cs="Arial"/>
                <w:color w:val="000000"/>
                <w:sz w:val="16"/>
                <w:szCs w:val="16"/>
              </w:rPr>
              <w:t>(5.7)</w:t>
            </w:r>
          </w:p>
        </w:tc>
        <w:tc>
          <w:tcPr>
            <w:tcW w:w="0" w:type="auto"/>
            <w:shd w:val="clear" w:color="auto" w:fill="FFFFFF"/>
            <w:tcMar>
              <w:top w:w="30" w:type="dxa"/>
              <w:left w:w="0" w:type="dxa"/>
              <w:bottom w:w="30" w:type="dxa"/>
              <w:right w:w="20" w:type="dxa"/>
            </w:tcMar>
            <w:vAlign w:val="bottom"/>
            <w:hideMark/>
          </w:tcPr>
          <w:p w14:paraId="09E7341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6941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2B7372" w14:textId="77777777" w:rsidR="00000000" w:rsidRDefault="001D0688">
            <w:pPr>
              <w:jc w:val="right"/>
              <w:rPr>
                <w:rFonts w:eastAsia="Times New Roman"/>
              </w:rPr>
            </w:pPr>
            <w:r>
              <w:rPr>
                <w:rFonts w:ascii="Arial" w:eastAsia="Times New Roman" w:hAnsi="Arial" w:cs="Arial"/>
                <w:color w:val="000000"/>
                <w:sz w:val="16"/>
                <w:szCs w:val="16"/>
              </w:rPr>
              <w:t>(2.5)</w:t>
            </w:r>
          </w:p>
        </w:tc>
        <w:tc>
          <w:tcPr>
            <w:tcW w:w="0" w:type="auto"/>
            <w:shd w:val="clear" w:color="auto" w:fill="FFFFFF"/>
            <w:tcMar>
              <w:top w:w="30" w:type="dxa"/>
              <w:left w:w="0" w:type="dxa"/>
              <w:bottom w:w="30" w:type="dxa"/>
              <w:right w:w="20" w:type="dxa"/>
            </w:tcMar>
            <w:vAlign w:val="bottom"/>
            <w:hideMark/>
          </w:tcPr>
          <w:p w14:paraId="53F8AE62" w14:textId="77777777" w:rsidR="00000000" w:rsidRDefault="001D0688">
            <w:pPr>
              <w:jc w:val="right"/>
              <w:rPr>
                <w:rFonts w:eastAsia="Times New Roman"/>
              </w:rPr>
            </w:pPr>
          </w:p>
        </w:tc>
      </w:tr>
      <w:tr w:rsidR="00000000" w14:paraId="182DA3A3"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67473463" w14:textId="77777777" w:rsidR="00000000" w:rsidRDefault="001D0688">
            <w:pPr>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DCE2EF"/>
            <w:tcMar>
              <w:top w:w="30" w:type="dxa"/>
              <w:left w:w="20" w:type="dxa"/>
              <w:bottom w:w="30" w:type="dxa"/>
              <w:right w:w="0" w:type="dxa"/>
            </w:tcMar>
            <w:vAlign w:val="bottom"/>
            <w:hideMark/>
          </w:tcPr>
          <w:p w14:paraId="31B1AD95" w14:textId="77777777" w:rsidR="00000000" w:rsidRDefault="001D0688">
            <w:pPr>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14:paraId="085CEB0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B0FA0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373D45F" w14:textId="77777777" w:rsidR="00000000" w:rsidRDefault="001D0688">
            <w:pPr>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14:paraId="3DA742D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BAFA9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42CEC5E" w14:textId="77777777" w:rsidR="00000000" w:rsidRDefault="001D0688">
            <w:pPr>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14:paraId="6A74A6BD" w14:textId="77777777" w:rsidR="00000000" w:rsidRDefault="001D0688">
            <w:pPr>
              <w:jc w:val="right"/>
              <w:rPr>
                <w:rFonts w:eastAsia="Times New Roman"/>
              </w:rPr>
            </w:pPr>
          </w:p>
        </w:tc>
      </w:tr>
      <w:tr w:rsidR="00000000" w14:paraId="17197090" w14:textId="77777777">
        <w:trPr>
          <w:divId w:val="1951008450"/>
          <w:jc w:val="center"/>
        </w:trPr>
        <w:tc>
          <w:tcPr>
            <w:tcW w:w="0" w:type="auto"/>
            <w:gridSpan w:val="3"/>
            <w:vAlign w:val="center"/>
            <w:hideMark/>
          </w:tcPr>
          <w:p w14:paraId="29EB6B2C" w14:textId="77777777" w:rsidR="00000000" w:rsidRDefault="001D0688">
            <w:pPr>
              <w:jc w:val="right"/>
              <w:rPr>
                <w:rFonts w:eastAsia="Times New Roman"/>
                <w:sz w:val="20"/>
                <w:szCs w:val="20"/>
              </w:rPr>
            </w:pPr>
          </w:p>
        </w:tc>
        <w:tc>
          <w:tcPr>
            <w:tcW w:w="0" w:type="auto"/>
            <w:gridSpan w:val="3"/>
            <w:vAlign w:val="center"/>
            <w:hideMark/>
          </w:tcPr>
          <w:p w14:paraId="477B5159" w14:textId="77777777" w:rsidR="00000000" w:rsidRDefault="001D0688">
            <w:pPr>
              <w:rPr>
                <w:rFonts w:eastAsia="Times New Roman"/>
                <w:sz w:val="20"/>
                <w:szCs w:val="20"/>
              </w:rPr>
            </w:pPr>
          </w:p>
        </w:tc>
        <w:tc>
          <w:tcPr>
            <w:tcW w:w="0" w:type="auto"/>
            <w:gridSpan w:val="3"/>
            <w:vAlign w:val="center"/>
            <w:hideMark/>
          </w:tcPr>
          <w:p w14:paraId="60EC9F6B" w14:textId="77777777" w:rsidR="00000000" w:rsidRDefault="001D0688">
            <w:pPr>
              <w:rPr>
                <w:rFonts w:eastAsia="Times New Roman"/>
                <w:sz w:val="20"/>
                <w:szCs w:val="20"/>
              </w:rPr>
            </w:pPr>
          </w:p>
        </w:tc>
        <w:tc>
          <w:tcPr>
            <w:tcW w:w="0" w:type="auto"/>
            <w:gridSpan w:val="3"/>
            <w:vAlign w:val="center"/>
            <w:hideMark/>
          </w:tcPr>
          <w:p w14:paraId="70ACAEC6" w14:textId="77777777" w:rsidR="00000000" w:rsidRDefault="001D0688">
            <w:pPr>
              <w:rPr>
                <w:rFonts w:eastAsia="Times New Roman"/>
                <w:sz w:val="20"/>
                <w:szCs w:val="20"/>
              </w:rPr>
            </w:pPr>
          </w:p>
        </w:tc>
        <w:tc>
          <w:tcPr>
            <w:tcW w:w="0" w:type="auto"/>
            <w:gridSpan w:val="3"/>
            <w:vAlign w:val="center"/>
            <w:hideMark/>
          </w:tcPr>
          <w:p w14:paraId="2BB9D924" w14:textId="77777777" w:rsidR="00000000" w:rsidRDefault="001D0688">
            <w:pPr>
              <w:rPr>
                <w:rFonts w:eastAsia="Times New Roman"/>
                <w:sz w:val="20"/>
                <w:szCs w:val="20"/>
              </w:rPr>
            </w:pPr>
          </w:p>
        </w:tc>
        <w:tc>
          <w:tcPr>
            <w:tcW w:w="0" w:type="auto"/>
            <w:gridSpan w:val="3"/>
            <w:vAlign w:val="center"/>
            <w:hideMark/>
          </w:tcPr>
          <w:p w14:paraId="13CC139F" w14:textId="77777777" w:rsidR="00000000" w:rsidRDefault="001D0688">
            <w:pPr>
              <w:rPr>
                <w:rFonts w:eastAsia="Times New Roman"/>
                <w:sz w:val="20"/>
                <w:szCs w:val="20"/>
              </w:rPr>
            </w:pPr>
          </w:p>
        </w:tc>
      </w:tr>
      <w:tr w:rsidR="00000000" w14:paraId="4825300C"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460007D3" w14:textId="77777777" w:rsidR="00000000" w:rsidRDefault="001D0688">
            <w:pPr>
              <w:rPr>
                <w:rFonts w:eastAsia="Times New Roman"/>
              </w:rPr>
            </w:pPr>
            <w:r>
              <w:rPr>
                <w:rFonts w:ascii="Arial" w:eastAsia="Times New Roman" w:hAnsi="Arial" w:cs="Arial"/>
                <w:color w:val="000000"/>
                <w:sz w:val="16"/>
                <w:szCs w:val="16"/>
              </w:rPr>
              <w:t>Loss (gain) on sale of assets</w:t>
            </w:r>
          </w:p>
        </w:tc>
        <w:tc>
          <w:tcPr>
            <w:tcW w:w="0" w:type="auto"/>
            <w:gridSpan w:val="2"/>
            <w:shd w:val="clear" w:color="auto" w:fill="FFFFFF"/>
            <w:tcMar>
              <w:top w:w="30" w:type="dxa"/>
              <w:left w:w="20" w:type="dxa"/>
              <w:bottom w:w="30" w:type="dxa"/>
              <w:right w:w="0" w:type="dxa"/>
            </w:tcMar>
            <w:vAlign w:val="bottom"/>
            <w:hideMark/>
          </w:tcPr>
          <w:p w14:paraId="0A38F662" w14:textId="77777777" w:rsidR="00000000" w:rsidRDefault="001D0688">
            <w:pPr>
              <w:jc w:val="right"/>
              <w:rPr>
                <w:rFonts w:eastAsia="Times New Roman"/>
              </w:rPr>
            </w:pPr>
            <w:r>
              <w:rPr>
                <w:rFonts w:ascii="Arial" w:eastAsia="Times New Roman" w:hAnsi="Arial" w:cs="Arial"/>
                <w:color w:val="000000"/>
                <w:sz w:val="16"/>
                <w:szCs w:val="16"/>
              </w:rPr>
              <w:t>2.1 </w:t>
            </w:r>
          </w:p>
        </w:tc>
        <w:tc>
          <w:tcPr>
            <w:tcW w:w="0" w:type="auto"/>
            <w:shd w:val="clear" w:color="auto" w:fill="FFFFFF"/>
            <w:tcMar>
              <w:top w:w="30" w:type="dxa"/>
              <w:left w:w="0" w:type="dxa"/>
              <w:bottom w:w="30" w:type="dxa"/>
              <w:right w:w="20" w:type="dxa"/>
            </w:tcMar>
            <w:vAlign w:val="bottom"/>
            <w:hideMark/>
          </w:tcPr>
          <w:p w14:paraId="4650C11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BEDF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B3E994" w14:textId="77777777" w:rsidR="00000000" w:rsidRDefault="001D0688">
            <w:pPr>
              <w:jc w:val="right"/>
              <w:rPr>
                <w:rFonts w:eastAsia="Times New Roman"/>
              </w:rPr>
            </w:pPr>
            <w:r>
              <w:rPr>
                <w:rFonts w:ascii="Arial" w:eastAsia="Times New Roman" w:hAnsi="Arial" w:cs="Arial"/>
                <w:color w:val="000000"/>
                <w:sz w:val="16"/>
                <w:szCs w:val="16"/>
              </w:rPr>
              <w:t>(0.6)</w:t>
            </w:r>
          </w:p>
        </w:tc>
        <w:tc>
          <w:tcPr>
            <w:tcW w:w="0" w:type="auto"/>
            <w:shd w:val="clear" w:color="auto" w:fill="FFFFFF"/>
            <w:tcMar>
              <w:top w:w="30" w:type="dxa"/>
              <w:left w:w="0" w:type="dxa"/>
              <w:bottom w:w="30" w:type="dxa"/>
              <w:right w:w="20" w:type="dxa"/>
            </w:tcMar>
            <w:vAlign w:val="bottom"/>
            <w:hideMark/>
          </w:tcPr>
          <w:p w14:paraId="6014A0F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0FC0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816486" w14:textId="77777777" w:rsidR="00000000" w:rsidRDefault="001D0688">
            <w:pPr>
              <w:jc w:val="right"/>
              <w:rPr>
                <w:rFonts w:eastAsia="Times New Roman"/>
              </w:rPr>
            </w:pPr>
            <w:r>
              <w:rPr>
                <w:rFonts w:ascii="Arial" w:eastAsia="Times New Roman" w:hAnsi="Arial" w:cs="Arial"/>
                <w:color w:val="000000"/>
                <w:sz w:val="16"/>
                <w:szCs w:val="16"/>
              </w:rPr>
              <w:t>0.5 </w:t>
            </w:r>
          </w:p>
        </w:tc>
        <w:tc>
          <w:tcPr>
            <w:tcW w:w="0" w:type="auto"/>
            <w:shd w:val="clear" w:color="auto" w:fill="FFFFFF"/>
            <w:tcMar>
              <w:top w:w="30" w:type="dxa"/>
              <w:left w:w="0" w:type="dxa"/>
              <w:bottom w:w="30" w:type="dxa"/>
              <w:right w:w="20" w:type="dxa"/>
            </w:tcMar>
            <w:vAlign w:val="bottom"/>
            <w:hideMark/>
          </w:tcPr>
          <w:p w14:paraId="65FA2332" w14:textId="77777777" w:rsidR="00000000" w:rsidRDefault="001D0688">
            <w:pPr>
              <w:jc w:val="right"/>
              <w:rPr>
                <w:rFonts w:eastAsia="Times New Roman"/>
              </w:rPr>
            </w:pPr>
          </w:p>
        </w:tc>
      </w:tr>
      <w:tr w:rsidR="00000000" w14:paraId="366722D9"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55B11200" w14:textId="77777777" w:rsidR="00000000" w:rsidRDefault="001D0688">
            <w:pPr>
              <w:rPr>
                <w:rFonts w:eastAsia="Times New Roman"/>
              </w:rPr>
            </w:pPr>
            <w:r>
              <w:rPr>
                <w:rFonts w:ascii="Arial" w:eastAsia="Times New Roman" w:hAnsi="Arial" w:cs="Arial"/>
                <w:color w:val="000000"/>
                <w:sz w:val="16"/>
                <w:szCs w:val="16"/>
              </w:rPr>
              <w:t>Reserves on other assets</w:t>
            </w:r>
          </w:p>
        </w:tc>
        <w:tc>
          <w:tcPr>
            <w:tcW w:w="0" w:type="auto"/>
            <w:gridSpan w:val="2"/>
            <w:shd w:val="clear" w:color="auto" w:fill="DCE2EF"/>
            <w:tcMar>
              <w:top w:w="30" w:type="dxa"/>
              <w:left w:w="20" w:type="dxa"/>
              <w:bottom w:w="30" w:type="dxa"/>
              <w:right w:w="0" w:type="dxa"/>
            </w:tcMar>
            <w:vAlign w:val="bottom"/>
            <w:hideMark/>
          </w:tcPr>
          <w:p w14:paraId="050C7B72" w14:textId="77777777" w:rsidR="00000000" w:rsidRDefault="001D0688">
            <w:pPr>
              <w:jc w:val="right"/>
              <w:rPr>
                <w:rFonts w:eastAsia="Times New Roman"/>
              </w:rPr>
            </w:pPr>
            <w:r>
              <w:rPr>
                <w:rFonts w:ascii="Arial" w:eastAsia="Times New Roman" w:hAnsi="Arial" w:cs="Arial"/>
                <w:color w:val="000000"/>
                <w:sz w:val="16"/>
                <w:szCs w:val="16"/>
              </w:rPr>
              <w:t>17.6 </w:t>
            </w:r>
          </w:p>
        </w:tc>
        <w:tc>
          <w:tcPr>
            <w:tcW w:w="0" w:type="auto"/>
            <w:shd w:val="clear" w:color="auto" w:fill="DCE2EF"/>
            <w:tcMar>
              <w:top w:w="30" w:type="dxa"/>
              <w:left w:w="0" w:type="dxa"/>
              <w:bottom w:w="30" w:type="dxa"/>
              <w:right w:w="20" w:type="dxa"/>
            </w:tcMar>
            <w:vAlign w:val="bottom"/>
            <w:hideMark/>
          </w:tcPr>
          <w:p w14:paraId="4AE8780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51F73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86D6AD"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71E6537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1C9A9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62E8F8"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4D905DB1" w14:textId="77777777" w:rsidR="00000000" w:rsidRDefault="001D0688">
            <w:pPr>
              <w:jc w:val="right"/>
              <w:rPr>
                <w:rFonts w:eastAsia="Times New Roman"/>
              </w:rPr>
            </w:pPr>
          </w:p>
        </w:tc>
      </w:tr>
      <w:tr w:rsidR="00000000" w14:paraId="5F0A3FBC"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2DB0A69D" w14:textId="77777777" w:rsidR="00000000" w:rsidRDefault="001D0688">
            <w:pPr>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6CF4AF52" w14:textId="77777777" w:rsidR="00000000" w:rsidRDefault="001D0688">
            <w:pPr>
              <w:jc w:val="right"/>
              <w:rPr>
                <w:rFonts w:eastAsia="Times New Roman"/>
              </w:rPr>
            </w:pPr>
            <w:r>
              <w:rPr>
                <w:rFonts w:ascii="Arial" w:eastAsia="Times New Roman" w:hAnsi="Arial" w:cs="Arial"/>
                <w:color w:val="000000"/>
                <w:sz w:val="16"/>
                <w:szCs w:val="16"/>
              </w:rPr>
              <w:t>(2.2)</w:t>
            </w:r>
          </w:p>
        </w:tc>
        <w:tc>
          <w:tcPr>
            <w:tcW w:w="0" w:type="auto"/>
            <w:shd w:val="clear" w:color="auto" w:fill="FFFFFF"/>
            <w:tcMar>
              <w:top w:w="30" w:type="dxa"/>
              <w:left w:w="0" w:type="dxa"/>
              <w:bottom w:w="30" w:type="dxa"/>
              <w:right w:w="20" w:type="dxa"/>
            </w:tcMar>
            <w:vAlign w:val="bottom"/>
            <w:hideMark/>
          </w:tcPr>
          <w:p w14:paraId="01F6D84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3B61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D8731" w14:textId="77777777" w:rsidR="00000000" w:rsidRDefault="001D0688">
            <w:pPr>
              <w:jc w:val="right"/>
              <w:rPr>
                <w:rFonts w:eastAsia="Times New Roman"/>
              </w:rPr>
            </w:pPr>
            <w:r>
              <w:rPr>
                <w:rFonts w:ascii="Arial" w:eastAsia="Times New Roman" w:hAnsi="Arial" w:cs="Arial"/>
                <w:color w:val="000000"/>
                <w:sz w:val="16"/>
                <w:szCs w:val="16"/>
              </w:rPr>
              <w:t>(3.0)</w:t>
            </w:r>
          </w:p>
        </w:tc>
        <w:tc>
          <w:tcPr>
            <w:tcW w:w="0" w:type="auto"/>
            <w:shd w:val="clear" w:color="auto" w:fill="FFFFFF"/>
            <w:tcMar>
              <w:top w:w="30" w:type="dxa"/>
              <w:left w:w="0" w:type="dxa"/>
              <w:bottom w:w="30" w:type="dxa"/>
              <w:right w:w="20" w:type="dxa"/>
            </w:tcMar>
            <w:vAlign w:val="bottom"/>
            <w:hideMark/>
          </w:tcPr>
          <w:p w14:paraId="7A3856D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943F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620360" w14:textId="77777777" w:rsidR="00000000" w:rsidRDefault="001D0688">
            <w:pPr>
              <w:jc w:val="right"/>
              <w:rPr>
                <w:rFonts w:eastAsia="Times New Roman"/>
              </w:rPr>
            </w:pPr>
            <w:r>
              <w:rPr>
                <w:rFonts w:ascii="Arial" w:eastAsia="Times New Roman" w:hAnsi="Arial" w:cs="Arial"/>
                <w:color w:val="000000"/>
                <w:sz w:val="16"/>
                <w:szCs w:val="16"/>
              </w:rPr>
              <w:t>(3.2)</w:t>
            </w:r>
          </w:p>
        </w:tc>
        <w:tc>
          <w:tcPr>
            <w:tcW w:w="0" w:type="auto"/>
            <w:shd w:val="clear" w:color="auto" w:fill="FFFFFF"/>
            <w:tcMar>
              <w:top w:w="30" w:type="dxa"/>
              <w:left w:w="0" w:type="dxa"/>
              <w:bottom w:w="30" w:type="dxa"/>
              <w:right w:w="20" w:type="dxa"/>
            </w:tcMar>
            <w:vAlign w:val="bottom"/>
            <w:hideMark/>
          </w:tcPr>
          <w:p w14:paraId="562831C5" w14:textId="77777777" w:rsidR="00000000" w:rsidRDefault="001D0688">
            <w:pPr>
              <w:jc w:val="right"/>
              <w:rPr>
                <w:rFonts w:eastAsia="Times New Roman"/>
              </w:rPr>
            </w:pPr>
          </w:p>
        </w:tc>
      </w:tr>
      <w:tr w:rsidR="00000000" w14:paraId="067D075B"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273C0217" w14:textId="77777777" w:rsidR="00000000" w:rsidRDefault="001D0688">
            <w:pPr>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DCE2EF"/>
            <w:tcMar>
              <w:top w:w="30" w:type="dxa"/>
              <w:left w:w="20" w:type="dxa"/>
              <w:bottom w:w="30" w:type="dxa"/>
              <w:right w:w="0" w:type="dxa"/>
            </w:tcMar>
            <w:vAlign w:val="bottom"/>
            <w:hideMark/>
          </w:tcPr>
          <w:p w14:paraId="4428EA52" w14:textId="77777777" w:rsidR="00000000" w:rsidRDefault="001D0688">
            <w:pPr>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14:paraId="70B22DF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9974C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22DF39" w14:textId="77777777" w:rsidR="00000000" w:rsidRDefault="001D0688">
            <w:pPr>
              <w:jc w:val="right"/>
              <w:rPr>
                <w:rFonts w:eastAsia="Times New Roman"/>
              </w:rPr>
            </w:pPr>
            <w:r>
              <w:rPr>
                <w:rFonts w:ascii="Arial" w:eastAsia="Times New Roman" w:hAnsi="Arial" w:cs="Arial"/>
                <w:color w:val="000000"/>
                <w:sz w:val="16"/>
                <w:szCs w:val="16"/>
              </w:rPr>
              <w:t>5.4 </w:t>
            </w:r>
          </w:p>
        </w:tc>
        <w:tc>
          <w:tcPr>
            <w:tcW w:w="0" w:type="auto"/>
            <w:shd w:val="clear" w:color="auto" w:fill="DCE2EF"/>
            <w:tcMar>
              <w:top w:w="30" w:type="dxa"/>
              <w:left w:w="0" w:type="dxa"/>
              <w:bottom w:w="30" w:type="dxa"/>
              <w:right w:w="20" w:type="dxa"/>
            </w:tcMar>
            <w:vAlign w:val="bottom"/>
            <w:hideMark/>
          </w:tcPr>
          <w:p w14:paraId="34DA663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8F79D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042C3C3" w14:textId="77777777" w:rsidR="00000000" w:rsidRDefault="001D0688">
            <w:pPr>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14:paraId="2C5CFDB0" w14:textId="77777777" w:rsidR="00000000" w:rsidRDefault="001D0688">
            <w:pPr>
              <w:jc w:val="right"/>
              <w:rPr>
                <w:rFonts w:eastAsia="Times New Roman"/>
              </w:rPr>
            </w:pPr>
          </w:p>
        </w:tc>
      </w:tr>
      <w:tr w:rsidR="00000000" w14:paraId="7A58138A" w14:textId="77777777">
        <w:trPr>
          <w:divId w:val="1951008450"/>
          <w:jc w:val="center"/>
        </w:trPr>
        <w:tc>
          <w:tcPr>
            <w:tcW w:w="0" w:type="auto"/>
            <w:gridSpan w:val="3"/>
            <w:vAlign w:val="center"/>
            <w:hideMark/>
          </w:tcPr>
          <w:p w14:paraId="058FED4D" w14:textId="77777777" w:rsidR="00000000" w:rsidRDefault="001D0688">
            <w:pPr>
              <w:jc w:val="right"/>
              <w:rPr>
                <w:rFonts w:eastAsia="Times New Roman"/>
                <w:sz w:val="20"/>
                <w:szCs w:val="20"/>
              </w:rPr>
            </w:pPr>
          </w:p>
        </w:tc>
        <w:tc>
          <w:tcPr>
            <w:tcW w:w="0" w:type="auto"/>
            <w:gridSpan w:val="3"/>
            <w:vAlign w:val="center"/>
            <w:hideMark/>
          </w:tcPr>
          <w:p w14:paraId="7D8F6222" w14:textId="77777777" w:rsidR="00000000" w:rsidRDefault="001D0688">
            <w:pPr>
              <w:rPr>
                <w:rFonts w:eastAsia="Times New Roman"/>
                <w:sz w:val="20"/>
                <w:szCs w:val="20"/>
              </w:rPr>
            </w:pPr>
          </w:p>
        </w:tc>
        <w:tc>
          <w:tcPr>
            <w:tcW w:w="0" w:type="auto"/>
            <w:gridSpan w:val="3"/>
            <w:vAlign w:val="center"/>
            <w:hideMark/>
          </w:tcPr>
          <w:p w14:paraId="00B4B747" w14:textId="77777777" w:rsidR="00000000" w:rsidRDefault="001D0688">
            <w:pPr>
              <w:rPr>
                <w:rFonts w:eastAsia="Times New Roman"/>
                <w:sz w:val="20"/>
                <w:szCs w:val="20"/>
              </w:rPr>
            </w:pPr>
          </w:p>
        </w:tc>
        <w:tc>
          <w:tcPr>
            <w:tcW w:w="0" w:type="auto"/>
            <w:gridSpan w:val="3"/>
            <w:vAlign w:val="center"/>
            <w:hideMark/>
          </w:tcPr>
          <w:p w14:paraId="2FE7DB43" w14:textId="77777777" w:rsidR="00000000" w:rsidRDefault="001D0688">
            <w:pPr>
              <w:rPr>
                <w:rFonts w:eastAsia="Times New Roman"/>
                <w:sz w:val="20"/>
                <w:szCs w:val="20"/>
              </w:rPr>
            </w:pPr>
          </w:p>
        </w:tc>
        <w:tc>
          <w:tcPr>
            <w:tcW w:w="0" w:type="auto"/>
            <w:gridSpan w:val="3"/>
            <w:vAlign w:val="center"/>
            <w:hideMark/>
          </w:tcPr>
          <w:p w14:paraId="6CD36338" w14:textId="77777777" w:rsidR="00000000" w:rsidRDefault="001D0688">
            <w:pPr>
              <w:rPr>
                <w:rFonts w:eastAsia="Times New Roman"/>
                <w:sz w:val="20"/>
                <w:szCs w:val="20"/>
              </w:rPr>
            </w:pPr>
          </w:p>
        </w:tc>
        <w:tc>
          <w:tcPr>
            <w:tcW w:w="0" w:type="auto"/>
            <w:gridSpan w:val="3"/>
            <w:vAlign w:val="center"/>
            <w:hideMark/>
          </w:tcPr>
          <w:p w14:paraId="0492446F" w14:textId="77777777" w:rsidR="00000000" w:rsidRDefault="001D0688">
            <w:pPr>
              <w:rPr>
                <w:rFonts w:eastAsia="Times New Roman"/>
                <w:sz w:val="20"/>
                <w:szCs w:val="20"/>
              </w:rPr>
            </w:pPr>
          </w:p>
        </w:tc>
      </w:tr>
      <w:tr w:rsidR="00000000" w14:paraId="67A50E39"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1FF27E56" w14:textId="77777777" w:rsidR="00000000" w:rsidRDefault="001D0688">
            <w:pPr>
              <w:rPr>
                <w:rFonts w:eastAsia="Times New Roman"/>
              </w:rPr>
            </w:pPr>
            <w:r>
              <w:rPr>
                <w:rFonts w:ascii="Arial" w:eastAsia="Times New Roman" w:hAnsi="Arial" w:cs="Arial"/>
                <w:color w:val="000000"/>
                <w:sz w:val="16"/>
                <w:szCs w:val="16"/>
              </w:rPr>
              <w:t>Changes in operating assets and liabilities, net of effects of acquisitions</w:t>
            </w:r>
          </w:p>
        </w:tc>
        <w:tc>
          <w:tcPr>
            <w:tcW w:w="0" w:type="auto"/>
            <w:gridSpan w:val="3"/>
            <w:shd w:val="clear" w:color="auto" w:fill="FFFFFF"/>
            <w:tcMar>
              <w:top w:w="0" w:type="dxa"/>
              <w:left w:w="20" w:type="dxa"/>
              <w:bottom w:w="0" w:type="dxa"/>
              <w:right w:w="20" w:type="dxa"/>
            </w:tcMar>
            <w:vAlign w:val="center"/>
            <w:hideMark/>
          </w:tcPr>
          <w:p w14:paraId="34E55D9E"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54EF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3280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38DA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D2159" w14:textId="77777777" w:rsidR="00000000" w:rsidRDefault="001D0688">
            <w:pPr>
              <w:rPr>
                <w:rFonts w:eastAsia="Times New Roman"/>
                <w:sz w:val="20"/>
                <w:szCs w:val="20"/>
              </w:rPr>
            </w:pPr>
          </w:p>
        </w:tc>
      </w:tr>
      <w:tr w:rsidR="00000000" w14:paraId="1FD3683D" w14:textId="77777777">
        <w:trPr>
          <w:divId w:val="1951008450"/>
          <w:jc w:val="center"/>
        </w:trPr>
        <w:tc>
          <w:tcPr>
            <w:tcW w:w="0" w:type="auto"/>
            <w:gridSpan w:val="3"/>
            <w:shd w:val="clear" w:color="auto" w:fill="DCE2EF"/>
            <w:tcMar>
              <w:top w:w="30" w:type="dxa"/>
              <w:left w:w="380" w:type="dxa"/>
              <w:bottom w:w="30" w:type="dxa"/>
              <w:right w:w="20" w:type="dxa"/>
            </w:tcMar>
            <w:vAlign w:val="bottom"/>
            <w:hideMark/>
          </w:tcPr>
          <w:p w14:paraId="421F9811" w14:textId="77777777" w:rsidR="00000000" w:rsidRDefault="001D0688">
            <w:pPr>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DCE2EF"/>
            <w:tcMar>
              <w:top w:w="30" w:type="dxa"/>
              <w:left w:w="20" w:type="dxa"/>
              <w:bottom w:w="30" w:type="dxa"/>
              <w:right w:w="0" w:type="dxa"/>
            </w:tcMar>
            <w:vAlign w:val="bottom"/>
            <w:hideMark/>
          </w:tcPr>
          <w:p w14:paraId="5119AB93" w14:textId="77777777" w:rsidR="00000000" w:rsidRDefault="001D0688">
            <w:pPr>
              <w:jc w:val="right"/>
              <w:rPr>
                <w:rFonts w:eastAsia="Times New Roman"/>
              </w:rPr>
            </w:pPr>
            <w:r>
              <w:rPr>
                <w:rFonts w:ascii="Arial" w:eastAsia="Times New Roman" w:hAnsi="Arial" w:cs="Arial"/>
                <w:color w:val="000000"/>
                <w:sz w:val="16"/>
                <w:szCs w:val="16"/>
              </w:rPr>
              <w:t>141.4 </w:t>
            </w:r>
          </w:p>
        </w:tc>
        <w:tc>
          <w:tcPr>
            <w:tcW w:w="0" w:type="auto"/>
            <w:shd w:val="clear" w:color="auto" w:fill="DCE2EF"/>
            <w:tcMar>
              <w:top w:w="30" w:type="dxa"/>
              <w:left w:w="0" w:type="dxa"/>
              <w:bottom w:w="30" w:type="dxa"/>
              <w:right w:w="20" w:type="dxa"/>
            </w:tcMar>
            <w:vAlign w:val="bottom"/>
            <w:hideMark/>
          </w:tcPr>
          <w:p w14:paraId="60D819B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5F703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612661" w14:textId="77777777" w:rsidR="00000000" w:rsidRDefault="001D0688">
            <w:pPr>
              <w:jc w:val="right"/>
              <w:rPr>
                <w:rFonts w:eastAsia="Times New Roman"/>
              </w:rPr>
            </w:pPr>
            <w:r>
              <w:rPr>
                <w:rFonts w:ascii="Arial" w:eastAsia="Times New Roman" w:hAnsi="Arial" w:cs="Arial"/>
                <w:color w:val="000000"/>
                <w:sz w:val="16"/>
                <w:szCs w:val="16"/>
              </w:rPr>
              <w:t>(78.3)</w:t>
            </w:r>
          </w:p>
        </w:tc>
        <w:tc>
          <w:tcPr>
            <w:tcW w:w="0" w:type="auto"/>
            <w:shd w:val="clear" w:color="auto" w:fill="DCE2EF"/>
            <w:tcMar>
              <w:top w:w="30" w:type="dxa"/>
              <w:left w:w="0" w:type="dxa"/>
              <w:bottom w:w="30" w:type="dxa"/>
              <w:right w:w="20" w:type="dxa"/>
            </w:tcMar>
            <w:vAlign w:val="bottom"/>
            <w:hideMark/>
          </w:tcPr>
          <w:p w14:paraId="770A31C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237CC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57692AB" w14:textId="77777777" w:rsidR="00000000" w:rsidRDefault="001D0688">
            <w:pPr>
              <w:jc w:val="right"/>
              <w:rPr>
                <w:rFonts w:eastAsia="Times New Roman"/>
              </w:rPr>
            </w:pPr>
            <w:r>
              <w:rPr>
                <w:rFonts w:ascii="Arial" w:eastAsia="Times New Roman" w:hAnsi="Arial" w:cs="Arial"/>
                <w:color w:val="000000"/>
                <w:sz w:val="16"/>
                <w:szCs w:val="16"/>
              </w:rPr>
              <w:t>16.0 </w:t>
            </w:r>
          </w:p>
        </w:tc>
        <w:tc>
          <w:tcPr>
            <w:tcW w:w="0" w:type="auto"/>
            <w:shd w:val="clear" w:color="auto" w:fill="DCE2EF"/>
            <w:tcMar>
              <w:top w:w="30" w:type="dxa"/>
              <w:left w:w="0" w:type="dxa"/>
              <w:bottom w:w="30" w:type="dxa"/>
              <w:right w:w="20" w:type="dxa"/>
            </w:tcMar>
            <w:vAlign w:val="bottom"/>
            <w:hideMark/>
          </w:tcPr>
          <w:p w14:paraId="20E582B0" w14:textId="77777777" w:rsidR="00000000" w:rsidRDefault="001D0688">
            <w:pPr>
              <w:jc w:val="right"/>
              <w:rPr>
                <w:rFonts w:eastAsia="Times New Roman"/>
              </w:rPr>
            </w:pPr>
          </w:p>
        </w:tc>
      </w:tr>
      <w:tr w:rsidR="00000000" w14:paraId="53EE646B" w14:textId="77777777">
        <w:trPr>
          <w:divId w:val="1951008450"/>
          <w:jc w:val="center"/>
        </w:trPr>
        <w:tc>
          <w:tcPr>
            <w:tcW w:w="0" w:type="auto"/>
            <w:gridSpan w:val="3"/>
            <w:shd w:val="clear" w:color="auto" w:fill="FFFFFF"/>
            <w:tcMar>
              <w:top w:w="30" w:type="dxa"/>
              <w:left w:w="380" w:type="dxa"/>
              <w:bottom w:w="30" w:type="dxa"/>
              <w:right w:w="20" w:type="dxa"/>
            </w:tcMar>
            <w:vAlign w:val="bottom"/>
            <w:hideMark/>
          </w:tcPr>
          <w:p w14:paraId="0C52BEE2" w14:textId="77777777" w:rsidR="00000000" w:rsidRDefault="001D0688">
            <w:pPr>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5D71ABF5" w14:textId="77777777" w:rsidR="00000000" w:rsidRDefault="001D0688">
            <w:pPr>
              <w:jc w:val="right"/>
              <w:rPr>
                <w:rFonts w:eastAsia="Times New Roman"/>
              </w:rPr>
            </w:pPr>
            <w:r>
              <w:rPr>
                <w:rFonts w:ascii="Arial" w:eastAsia="Times New Roman" w:hAnsi="Arial" w:cs="Arial"/>
                <w:color w:val="000000"/>
                <w:sz w:val="16"/>
                <w:szCs w:val="16"/>
              </w:rPr>
              <w:t>(15.5)</w:t>
            </w:r>
          </w:p>
        </w:tc>
        <w:tc>
          <w:tcPr>
            <w:tcW w:w="0" w:type="auto"/>
            <w:shd w:val="clear" w:color="auto" w:fill="FFFFFF"/>
            <w:tcMar>
              <w:top w:w="30" w:type="dxa"/>
              <w:left w:w="0" w:type="dxa"/>
              <w:bottom w:w="30" w:type="dxa"/>
              <w:right w:w="20" w:type="dxa"/>
            </w:tcMar>
            <w:vAlign w:val="bottom"/>
            <w:hideMark/>
          </w:tcPr>
          <w:p w14:paraId="6CDEB7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9565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208B8" w14:textId="77777777" w:rsidR="00000000" w:rsidRDefault="001D0688">
            <w:pPr>
              <w:jc w:val="right"/>
              <w:rPr>
                <w:rFonts w:eastAsia="Times New Roman"/>
              </w:rPr>
            </w:pPr>
            <w:r>
              <w:rPr>
                <w:rFonts w:ascii="Arial" w:eastAsia="Times New Roman" w:hAnsi="Arial" w:cs="Arial"/>
                <w:color w:val="000000"/>
                <w:sz w:val="16"/>
                <w:szCs w:val="16"/>
              </w:rPr>
              <w:t>(13.2)</w:t>
            </w:r>
          </w:p>
        </w:tc>
        <w:tc>
          <w:tcPr>
            <w:tcW w:w="0" w:type="auto"/>
            <w:shd w:val="clear" w:color="auto" w:fill="FFFFFF"/>
            <w:tcMar>
              <w:top w:w="30" w:type="dxa"/>
              <w:left w:w="0" w:type="dxa"/>
              <w:bottom w:w="30" w:type="dxa"/>
              <w:right w:w="20" w:type="dxa"/>
            </w:tcMar>
            <w:vAlign w:val="bottom"/>
            <w:hideMark/>
          </w:tcPr>
          <w:p w14:paraId="45754E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B797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F8FEB" w14:textId="77777777" w:rsidR="00000000" w:rsidRDefault="001D0688">
            <w:pPr>
              <w:jc w:val="right"/>
              <w:rPr>
                <w:rFonts w:eastAsia="Times New Roman"/>
              </w:rPr>
            </w:pPr>
            <w:r>
              <w:rPr>
                <w:rFonts w:ascii="Arial" w:eastAsia="Times New Roman" w:hAnsi="Arial" w:cs="Arial"/>
                <w:color w:val="000000"/>
                <w:sz w:val="16"/>
                <w:szCs w:val="16"/>
              </w:rPr>
              <w:t>2.4 </w:t>
            </w:r>
          </w:p>
        </w:tc>
        <w:tc>
          <w:tcPr>
            <w:tcW w:w="0" w:type="auto"/>
            <w:shd w:val="clear" w:color="auto" w:fill="FFFFFF"/>
            <w:tcMar>
              <w:top w:w="30" w:type="dxa"/>
              <w:left w:w="0" w:type="dxa"/>
              <w:bottom w:w="30" w:type="dxa"/>
              <w:right w:w="20" w:type="dxa"/>
            </w:tcMar>
            <w:vAlign w:val="bottom"/>
            <w:hideMark/>
          </w:tcPr>
          <w:p w14:paraId="5750DB00" w14:textId="77777777" w:rsidR="00000000" w:rsidRDefault="001D0688">
            <w:pPr>
              <w:jc w:val="right"/>
              <w:rPr>
                <w:rFonts w:eastAsia="Times New Roman"/>
              </w:rPr>
            </w:pPr>
          </w:p>
        </w:tc>
      </w:tr>
      <w:tr w:rsidR="00000000" w14:paraId="468AC819" w14:textId="77777777">
        <w:trPr>
          <w:divId w:val="1951008450"/>
          <w:jc w:val="center"/>
        </w:trPr>
        <w:tc>
          <w:tcPr>
            <w:tcW w:w="0" w:type="auto"/>
            <w:gridSpan w:val="3"/>
            <w:vAlign w:val="center"/>
            <w:hideMark/>
          </w:tcPr>
          <w:p w14:paraId="7B8F3967" w14:textId="77777777" w:rsidR="00000000" w:rsidRDefault="001D0688">
            <w:pPr>
              <w:jc w:val="right"/>
              <w:rPr>
                <w:rFonts w:eastAsia="Times New Roman"/>
                <w:sz w:val="20"/>
                <w:szCs w:val="20"/>
              </w:rPr>
            </w:pPr>
          </w:p>
        </w:tc>
        <w:tc>
          <w:tcPr>
            <w:tcW w:w="0" w:type="auto"/>
            <w:gridSpan w:val="3"/>
            <w:vAlign w:val="center"/>
            <w:hideMark/>
          </w:tcPr>
          <w:p w14:paraId="409A3122" w14:textId="77777777" w:rsidR="00000000" w:rsidRDefault="001D0688">
            <w:pPr>
              <w:rPr>
                <w:rFonts w:eastAsia="Times New Roman"/>
                <w:sz w:val="20"/>
                <w:szCs w:val="20"/>
              </w:rPr>
            </w:pPr>
          </w:p>
        </w:tc>
        <w:tc>
          <w:tcPr>
            <w:tcW w:w="0" w:type="auto"/>
            <w:gridSpan w:val="3"/>
            <w:vAlign w:val="center"/>
            <w:hideMark/>
          </w:tcPr>
          <w:p w14:paraId="765BC3FC" w14:textId="77777777" w:rsidR="00000000" w:rsidRDefault="001D0688">
            <w:pPr>
              <w:rPr>
                <w:rFonts w:eastAsia="Times New Roman"/>
                <w:sz w:val="20"/>
                <w:szCs w:val="20"/>
              </w:rPr>
            </w:pPr>
          </w:p>
        </w:tc>
        <w:tc>
          <w:tcPr>
            <w:tcW w:w="0" w:type="auto"/>
            <w:gridSpan w:val="3"/>
            <w:vAlign w:val="center"/>
            <w:hideMark/>
          </w:tcPr>
          <w:p w14:paraId="397A8432" w14:textId="77777777" w:rsidR="00000000" w:rsidRDefault="001D0688">
            <w:pPr>
              <w:rPr>
                <w:rFonts w:eastAsia="Times New Roman"/>
                <w:sz w:val="20"/>
                <w:szCs w:val="20"/>
              </w:rPr>
            </w:pPr>
          </w:p>
        </w:tc>
        <w:tc>
          <w:tcPr>
            <w:tcW w:w="0" w:type="auto"/>
            <w:gridSpan w:val="3"/>
            <w:vAlign w:val="center"/>
            <w:hideMark/>
          </w:tcPr>
          <w:p w14:paraId="2C2E5080" w14:textId="77777777" w:rsidR="00000000" w:rsidRDefault="001D0688">
            <w:pPr>
              <w:rPr>
                <w:rFonts w:eastAsia="Times New Roman"/>
                <w:sz w:val="20"/>
                <w:szCs w:val="20"/>
              </w:rPr>
            </w:pPr>
          </w:p>
        </w:tc>
        <w:tc>
          <w:tcPr>
            <w:tcW w:w="0" w:type="auto"/>
            <w:gridSpan w:val="3"/>
            <w:vAlign w:val="center"/>
            <w:hideMark/>
          </w:tcPr>
          <w:p w14:paraId="07D30C48" w14:textId="77777777" w:rsidR="00000000" w:rsidRDefault="001D0688">
            <w:pPr>
              <w:rPr>
                <w:rFonts w:eastAsia="Times New Roman"/>
                <w:sz w:val="20"/>
                <w:szCs w:val="20"/>
              </w:rPr>
            </w:pPr>
          </w:p>
        </w:tc>
      </w:tr>
      <w:tr w:rsidR="00000000" w14:paraId="3F957928" w14:textId="77777777">
        <w:trPr>
          <w:divId w:val="1951008450"/>
          <w:jc w:val="center"/>
        </w:trPr>
        <w:tc>
          <w:tcPr>
            <w:tcW w:w="0" w:type="auto"/>
            <w:gridSpan w:val="3"/>
            <w:shd w:val="clear" w:color="auto" w:fill="DCE2EF"/>
            <w:tcMar>
              <w:top w:w="30" w:type="dxa"/>
              <w:left w:w="380" w:type="dxa"/>
              <w:bottom w:w="30" w:type="dxa"/>
              <w:right w:w="20" w:type="dxa"/>
            </w:tcMar>
            <w:vAlign w:val="bottom"/>
            <w:hideMark/>
          </w:tcPr>
          <w:p w14:paraId="552B4BC9" w14:textId="77777777" w:rsidR="00000000" w:rsidRDefault="001D0688">
            <w:pPr>
              <w:rPr>
                <w:rFonts w:eastAsia="Times New Roman"/>
              </w:rPr>
            </w:pPr>
            <w:r>
              <w:rPr>
                <w:rFonts w:ascii="Arial" w:eastAsia="Times New Roman" w:hAnsi="Arial" w:cs="Arial"/>
                <w:color w:val="000000"/>
                <w:sz w:val="16"/>
                <w:szCs w:val="16"/>
              </w:rPr>
              <w:t>Right-of-use assets</w:t>
            </w:r>
          </w:p>
        </w:tc>
        <w:tc>
          <w:tcPr>
            <w:tcW w:w="0" w:type="auto"/>
            <w:gridSpan w:val="2"/>
            <w:shd w:val="clear" w:color="auto" w:fill="DCE2EF"/>
            <w:tcMar>
              <w:top w:w="30" w:type="dxa"/>
              <w:left w:w="20" w:type="dxa"/>
              <w:bottom w:w="30" w:type="dxa"/>
              <w:right w:w="0" w:type="dxa"/>
            </w:tcMar>
            <w:vAlign w:val="bottom"/>
            <w:hideMark/>
          </w:tcPr>
          <w:p w14:paraId="79073CA7" w14:textId="77777777" w:rsidR="00000000" w:rsidRDefault="001D0688">
            <w:pPr>
              <w:jc w:val="right"/>
              <w:rPr>
                <w:rFonts w:eastAsia="Times New Roman"/>
              </w:rPr>
            </w:pPr>
            <w:r>
              <w:rPr>
                <w:rFonts w:ascii="Arial" w:eastAsia="Times New Roman" w:hAnsi="Arial" w:cs="Arial"/>
                <w:color w:val="000000"/>
                <w:sz w:val="16"/>
                <w:szCs w:val="16"/>
              </w:rPr>
              <w:t>24.4 </w:t>
            </w:r>
          </w:p>
        </w:tc>
        <w:tc>
          <w:tcPr>
            <w:tcW w:w="0" w:type="auto"/>
            <w:shd w:val="clear" w:color="auto" w:fill="DCE2EF"/>
            <w:tcMar>
              <w:top w:w="30" w:type="dxa"/>
              <w:left w:w="0" w:type="dxa"/>
              <w:bottom w:w="30" w:type="dxa"/>
              <w:right w:w="20" w:type="dxa"/>
            </w:tcMar>
            <w:vAlign w:val="bottom"/>
            <w:hideMark/>
          </w:tcPr>
          <w:p w14:paraId="25AEBC5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7B4DC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62FF9F"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64F518B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C1961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A7F55B"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007C6759" w14:textId="77777777" w:rsidR="00000000" w:rsidRDefault="001D0688">
            <w:pPr>
              <w:jc w:val="right"/>
              <w:rPr>
                <w:rFonts w:eastAsia="Times New Roman"/>
              </w:rPr>
            </w:pPr>
          </w:p>
        </w:tc>
      </w:tr>
      <w:tr w:rsidR="00000000" w14:paraId="069F7210" w14:textId="77777777">
        <w:trPr>
          <w:divId w:val="1951008450"/>
          <w:jc w:val="center"/>
        </w:trPr>
        <w:tc>
          <w:tcPr>
            <w:tcW w:w="0" w:type="auto"/>
            <w:gridSpan w:val="3"/>
            <w:shd w:val="clear" w:color="auto" w:fill="FFFFFF"/>
            <w:tcMar>
              <w:top w:w="30" w:type="dxa"/>
              <w:left w:w="380" w:type="dxa"/>
              <w:bottom w:w="30" w:type="dxa"/>
              <w:right w:w="20" w:type="dxa"/>
            </w:tcMar>
            <w:vAlign w:val="bottom"/>
            <w:hideMark/>
          </w:tcPr>
          <w:p w14:paraId="6455CA5E" w14:textId="77777777" w:rsidR="00000000" w:rsidRDefault="001D0688">
            <w:pPr>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FFFFFF"/>
            <w:tcMar>
              <w:top w:w="30" w:type="dxa"/>
              <w:left w:w="20" w:type="dxa"/>
              <w:bottom w:w="30" w:type="dxa"/>
              <w:right w:w="0" w:type="dxa"/>
            </w:tcMar>
            <w:vAlign w:val="bottom"/>
            <w:hideMark/>
          </w:tcPr>
          <w:p w14:paraId="4A4152E3" w14:textId="77777777" w:rsidR="00000000" w:rsidRDefault="001D0688">
            <w:pPr>
              <w:jc w:val="right"/>
              <w:rPr>
                <w:rFonts w:eastAsia="Times New Roman"/>
              </w:rPr>
            </w:pPr>
            <w:r>
              <w:rPr>
                <w:rFonts w:ascii="Arial" w:eastAsia="Times New Roman" w:hAnsi="Arial" w:cs="Arial"/>
                <w:color w:val="000000"/>
                <w:sz w:val="16"/>
                <w:szCs w:val="16"/>
              </w:rPr>
              <w:t>(10.4)</w:t>
            </w:r>
          </w:p>
        </w:tc>
        <w:tc>
          <w:tcPr>
            <w:tcW w:w="0" w:type="auto"/>
            <w:shd w:val="clear" w:color="auto" w:fill="FFFFFF"/>
            <w:tcMar>
              <w:top w:w="30" w:type="dxa"/>
              <w:left w:w="0" w:type="dxa"/>
              <w:bottom w:w="30" w:type="dxa"/>
              <w:right w:w="20" w:type="dxa"/>
            </w:tcMar>
            <w:vAlign w:val="bottom"/>
            <w:hideMark/>
          </w:tcPr>
          <w:p w14:paraId="4715A70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5AC3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C3FF9" w14:textId="77777777" w:rsidR="00000000" w:rsidRDefault="001D0688">
            <w:pPr>
              <w:jc w:val="right"/>
              <w:rPr>
                <w:rFonts w:eastAsia="Times New Roman"/>
              </w:rPr>
            </w:pPr>
            <w:r>
              <w:rPr>
                <w:rFonts w:ascii="Arial" w:eastAsia="Times New Roman" w:hAnsi="Arial" w:cs="Arial"/>
                <w:color w:val="000000"/>
                <w:sz w:val="16"/>
                <w:szCs w:val="16"/>
              </w:rPr>
              <w:t>4.5 </w:t>
            </w:r>
          </w:p>
        </w:tc>
        <w:tc>
          <w:tcPr>
            <w:tcW w:w="0" w:type="auto"/>
            <w:shd w:val="clear" w:color="auto" w:fill="FFFFFF"/>
            <w:tcMar>
              <w:top w:w="30" w:type="dxa"/>
              <w:left w:w="0" w:type="dxa"/>
              <w:bottom w:w="30" w:type="dxa"/>
              <w:right w:w="20" w:type="dxa"/>
            </w:tcMar>
            <w:vAlign w:val="bottom"/>
            <w:hideMark/>
          </w:tcPr>
          <w:p w14:paraId="4D4F21A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BCB1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3B9BCE" w14:textId="77777777" w:rsidR="00000000" w:rsidRDefault="001D0688">
            <w:pPr>
              <w:jc w:val="right"/>
              <w:rPr>
                <w:rFonts w:eastAsia="Times New Roman"/>
              </w:rPr>
            </w:pPr>
            <w:r>
              <w:rPr>
                <w:rFonts w:ascii="Arial" w:eastAsia="Times New Roman" w:hAnsi="Arial" w:cs="Arial"/>
                <w:color w:val="000000"/>
                <w:sz w:val="16"/>
                <w:szCs w:val="16"/>
              </w:rPr>
              <w:t>11.3 </w:t>
            </w:r>
          </w:p>
        </w:tc>
        <w:tc>
          <w:tcPr>
            <w:tcW w:w="0" w:type="auto"/>
            <w:shd w:val="clear" w:color="auto" w:fill="FFFFFF"/>
            <w:tcMar>
              <w:top w:w="30" w:type="dxa"/>
              <w:left w:w="0" w:type="dxa"/>
              <w:bottom w:w="30" w:type="dxa"/>
              <w:right w:w="20" w:type="dxa"/>
            </w:tcMar>
            <w:vAlign w:val="bottom"/>
            <w:hideMark/>
          </w:tcPr>
          <w:p w14:paraId="21D51550" w14:textId="77777777" w:rsidR="00000000" w:rsidRDefault="001D0688">
            <w:pPr>
              <w:jc w:val="right"/>
              <w:rPr>
                <w:rFonts w:eastAsia="Times New Roman"/>
              </w:rPr>
            </w:pPr>
          </w:p>
        </w:tc>
      </w:tr>
      <w:tr w:rsidR="00000000" w14:paraId="535E9F1A" w14:textId="77777777">
        <w:trPr>
          <w:divId w:val="1951008450"/>
          <w:jc w:val="center"/>
        </w:trPr>
        <w:tc>
          <w:tcPr>
            <w:tcW w:w="0" w:type="auto"/>
            <w:gridSpan w:val="3"/>
            <w:shd w:val="clear" w:color="auto" w:fill="DCE2EF"/>
            <w:tcMar>
              <w:top w:w="30" w:type="dxa"/>
              <w:left w:w="380" w:type="dxa"/>
              <w:bottom w:w="30" w:type="dxa"/>
              <w:right w:w="20" w:type="dxa"/>
            </w:tcMar>
            <w:vAlign w:val="bottom"/>
            <w:hideMark/>
          </w:tcPr>
          <w:p w14:paraId="2DE774AE" w14:textId="77777777" w:rsidR="00000000" w:rsidRDefault="001D0688">
            <w:pPr>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DCE2EF"/>
            <w:tcMar>
              <w:top w:w="30" w:type="dxa"/>
              <w:left w:w="20" w:type="dxa"/>
              <w:bottom w:w="30" w:type="dxa"/>
              <w:right w:w="0" w:type="dxa"/>
            </w:tcMar>
            <w:vAlign w:val="bottom"/>
            <w:hideMark/>
          </w:tcPr>
          <w:p w14:paraId="2373F8C6" w14:textId="77777777" w:rsidR="00000000" w:rsidRDefault="001D0688">
            <w:pPr>
              <w:jc w:val="right"/>
              <w:rPr>
                <w:rFonts w:eastAsia="Times New Roman"/>
              </w:rPr>
            </w:pPr>
            <w:r>
              <w:rPr>
                <w:rFonts w:ascii="Arial" w:eastAsia="Times New Roman" w:hAnsi="Arial" w:cs="Arial"/>
                <w:color w:val="000000"/>
                <w:sz w:val="16"/>
                <w:szCs w:val="16"/>
              </w:rPr>
              <w:t>(53.5)</w:t>
            </w:r>
          </w:p>
        </w:tc>
        <w:tc>
          <w:tcPr>
            <w:tcW w:w="0" w:type="auto"/>
            <w:shd w:val="clear" w:color="auto" w:fill="DCE2EF"/>
            <w:tcMar>
              <w:top w:w="30" w:type="dxa"/>
              <w:left w:w="0" w:type="dxa"/>
              <w:bottom w:w="30" w:type="dxa"/>
              <w:right w:w="20" w:type="dxa"/>
            </w:tcMar>
            <w:vAlign w:val="bottom"/>
            <w:hideMark/>
          </w:tcPr>
          <w:p w14:paraId="331B9B4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21848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E53729" w14:textId="77777777" w:rsidR="00000000" w:rsidRDefault="001D0688">
            <w:pPr>
              <w:jc w:val="right"/>
              <w:rPr>
                <w:rFonts w:eastAsia="Times New Roman"/>
              </w:rPr>
            </w:pPr>
            <w:r>
              <w:rPr>
                <w:rFonts w:ascii="Arial" w:eastAsia="Times New Roman" w:hAnsi="Arial" w:cs="Arial"/>
                <w:color w:val="000000"/>
                <w:sz w:val="16"/>
                <w:szCs w:val="16"/>
              </w:rPr>
              <w:t>85.8 </w:t>
            </w:r>
          </w:p>
        </w:tc>
        <w:tc>
          <w:tcPr>
            <w:tcW w:w="0" w:type="auto"/>
            <w:shd w:val="clear" w:color="auto" w:fill="DCE2EF"/>
            <w:tcMar>
              <w:top w:w="30" w:type="dxa"/>
              <w:left w:w="0" w:type="dxa"/>
              <w:bottom w:w="30" w:type="dxa"/>
              <w:right w:w="20" w:type="dxa"/>
            </w:tcMar>
            <w:vAlign w:val="bottom"/>
            <w:hideMark/>
          </w:tcPr>
          <w:p w14:paraId="4181E1C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BE9C5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811078" w14:textId="77777777" w:rsidR="00000000" w:rsidRDefault="001D0688">
            <w:pPr>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14:paraId="2F61BB63" w14:textId="77777777" w:rsidR="00000000" w:rsidRDefault="001D0688">
            <w:pPr>
              <w:jc w:val="right"/>
              <w:rPr>
                <w:rFonts w:eastAsia="Times New Roman"/>
              </w:rPr>
            </w:pPr>
          </w:p>
        </w:tc>
      </w:tr>
      <w:tr w:rsidR="00000000" w14:paraId="5A00BF97" w14:textId="77777777">
        <w:trPr>
          <w:divId w:val="1951008450"/>
          <w:jc w:val="center"/>
        </w:trPr>
        <w:tc>
          <w:tcPr>
            <w:tcW w:w="0" w:type="auto"/>
            <w:gridSpan w:val="3"/>
            <w:shd w:val="clear" w:color="auto" w:fill="FFFFFF"/>
            <w:tcMar>
              <w:top w:w="30" w:type="dxa"/>
              <w:left w:w="380" w:type="dxa"/>
              <w:bottom w:w="30" w:type="dxa"/>
              <w:right w:w="20" w:type="dxa"/>
            </w:tcMar>
            <w:vAlign w:val="bottom"/>
            <w:hideMark/>
          </w:tcPr>
          <w:p w14:paraId="700A95FD" w14:textId="77777777" w:rsidR="00000000" w:rsidRDefault="001D0688">
            <w:pPr>
              <w:rPr>
                <w:rFonts w:eastAsia="Times New Roman"/>
              </w:rPr>
            </w:pPr>
            <w:r>
              <w:rPr>
                <w:rFonts w:ascii="Arial" w:eastAsia="Times New Roman" w:hAnsi="Arial" w:cs="Arial"/>
                <w:color w:val="000000"/>
                <w:sz w:val="16"/>
                <w:szCs w:val="16"/>
              </w:rPr>
              <w:t xml:space="preserve">Long-term lease liabilities </w:t>
            </w:r>
          </w:p>
        </w:tc>
        <w:tc>
          <w:tcPr>
            <w:tcW w:w="0" w:type="auto"/>
            <w:gridSpan w:val="2"/>
            <w:shd w:val="clear" w:color="auto" w:fill="FFFFFF"/>
            <w:tcMar>
              <w:top w:w="30" w:type="dxa"/>
              <w:left w:w="20" w:type="dxa"/>
              <w:bottom w:w="30" w:type="dxa"/>
              <w:right w:w="0" w:type="dxa"/>
            </w:tcMar>
            <w:vAlign w:val="bottom"/>
            <w:hideMark/>
          </w:tcPr>
          <w:p w14:paraId="6128FA2D" w14:textId="77777777" w:rsidR="00000000" w:rsidRDefault="001D0688">
            <w:pPr>
              <w:jc w:val="right"/>
              <w:rPr>
                <w:rFonts w:eastAsia="Times New Roman"/>
              </w:rPr>
            </w:pPr>
            <w:r>
              <w:rPr>
                <w:rFonts w:ascii="Arial" w:eastAsia="Times New Roman" w:hAnsi="Arial" w:cs="Arial"/>
                <w:color w:val="000000"/>
                <w:sz w:val="16"/>
                <w:szCs w:val="16"/>
              </w:rPr>
              <w:t>(22.9)</w:t>
            </w:r>
          </w:p>
        </w:tc>
        <w:tc>
          <w:tcPr>
            <w:tcW w:w="0" w:type="auto"/>
            <w:shd w:val="clear" w:color="auto" w:fill="FFFFFF"/>
            <w:tcMar>
              <w:top w:w="30" w:type="dxa"/>
              <w:left w:w="0" w:type="dxa"/>
              <w:bottom w:w="30" w:type="dxa"/>
              <w:right w:w="20" w:type="dxa"/>
            </w:tcMar>
            <w:vAlign w:val="bottom"/>
            <w:hideMark/>
          </w:tcPr>
          <w:p w14:paraId="7C12868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F143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7B73B"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9BD3B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7313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8B7F7"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AC67198" w14:textId="77777777" w:rsidR="00000000" w:rsidRDefault="001D0688">
            <w:pPr>
              <w:jc w:val="right"/>
              <w:rPr>
                <w:rFonts w:eastAsia="Times New Roman"/>
              </w:rPr>
            </w:pPr>
          </w:p>
        </w:tc>
      </w:tr>
      <w:tr w:rsidR="00000000" w14:paraId="1127A215" w14:textId="77777777">
        <w:trPr>
          <w:divId w:val="1951008450"/>
          <w:jc w:val="center"/>
        </w:trPr>
        <w:tc>
          <w:tcPr>
            <w:tcW w:w="0" w:type="auto"/>
            <w:gridSpan w:val="3"/>
            <w:shd w:val="clear" w:color="auto" w:fill="DCE2EF"/>
            <w:tcMar>
              <w:top w:w="30" w:type="dxa"/>
              <w:left w:w="380" w:type="dxa"/>
              <w:bottom w:w="30" w:type="dxa"/>
              <w:right w:w="20" w:type="dxa"/>
            </w:tcMar>
            <w:vAlign w:val="bottom"/>
            <w:hideMark/>
          </w:tcPr>
          <w:p w14:paraId="69C2E8EE" w14:textId="77777777" w:rsidR="00000000" w:rsidRDefault="001D0688">
            <w:pPr>
              <w:rPr>
                <w:rFonts w:eastAsia="Times New Roman"/>
              </w:rPr>
            </w:pPr>
            <w:r>
              <w:rPr>
                <w:rFonts w:ascii="Arial" w:eastAsia="Times New Roman" w:hAnsi="Arial" w:cs="Arial"/>
                <w:color w:val="000000"/>
                <w:sz w:val="16"/>
                <w:szCs w:val="16"/>
              </w:rPr>
              <w:t>Insurance claims</w:t>
            </w:r>
          </w:p>
        </w:tc>
        <w:tc>
          <w:tcPr>
            <w:tcW w:w="0" w:type="auto"/>
            <w:gridSpan w:val="2"/>
            <w:shd w:val="clear" w:color="auto" w:fill="DCE2EF"/>
            <w:tcMar>
              <w:top w:w="30" w:type="dxa"/>
              <w:left w:w="20" w:type="dxa"/>
              <w:bottom w:w="30" w:type="dxa"/>
              <w:right w:w="0" w:type="dxa"/>
            </w:tcMar>
            <w:vAlign w:val="bottom"/>
            <w:hideMark/>
          </w:tcPr>
          <w:p w14:paraId="756EF3EF" w14:textId="77777777" w:rsidR="00000000" w:rsidRDefault="001D0688">
            <w:pPr>
              <w:jc w:val="right"/>
              <w:rPr>
                <w:rFonts w:eastAsia="Times New Roman"/>
              </w:rPr>
            </w:pPr>
            <w:r>
              <w:rPr>
                <w:rFonts w:ascii="Arial" w:eastAsia="Times New Roman" w:hAnsi="Arial" w:cs="Arial"/>
                <w:color w:val="000000"/>
                <w:sz w:val="16"/>
                <w:szCs w:val="16"/>
              </w:rPr>
              <w:t>5.7 </w:t>
            </w:r>
          </w:p>
        </w:tc>
        <w:tc>
          <w:tcPr>
            <w:tcW w:w="0" w:type="auto"/>
            <w:shd w:val="clear" w:color="auto" w:fill="DCE2EF"/>
            <w:tcMar>
              <w:top w:w="30" w:type="dxa"/>
              <w:left w:w="0" w:type="dxa"/>
              <w:bottom w:w="30" w:type="dxa"/>
              <w:right w:w="20" w:type="dxa"/>
            </w:tcMar>
            <w:vAlign w:val="bottom"/>
            <w:hideMark/>
          </w:tcPr>
          <w:p w14:paraId="3C91133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9B9E9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1EFC3E" w14:textId="77777777" w:rsidR="00000000" w:rsidRDefault="001D0688">
            <w:pPr>
              <w:jc w:val="right"/>
              <w:rPr>
                <w:rFonts w:eastAsia="Times New Roman"/>
              </w:rPr>
            </w:pPr>
            <w:r>
              <w:rPr>
                <w:rFonts w:ascii="Arial" w:eastAsia="Times New Roman" w:hAnsi="Arial" w:cs="Arial"/>
                <w:color w:val="000000"/>
                <w:sz w:val="16"/>
                <w:szCs w:val="16"/>
              </w:rPr>
              <w:t>3.9 </w:t>
            </w:r>
          </w:p>
        </w:tc>
        <w:tc>
          <w:tcPr>
            <w:tcW w:w="0" w:type="auto"/>
            <w:shd w:val="clear" w:color="auto" w:fill="DCE2EF"/>
            <w:tcMar>
              <w:top w:w="30" w:type="dxa"/>
              <w:left w:w="0" w:type="dxa"/>
              <w:bottom w:w="30" w:type="dxa"/>
              <w:right w:w="20" w:type="dxa"/>
            </w:tcMar>
            <w:vAlign w:val="bottom"/>
            <w:hideMark/>
          </w:tcPr>
          <w:p w14:paraId="1CBF88A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EA35F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268059" w14:textId="77777777" w:rsidR="00000000" w:rsidRDefault="001D0688">
            <w:pPr>
              <w:jc w:val="right"/>
              <w:rPr>
                <w:rFonts w:eastAsia="Times New Roman"/>
              </w:rPr>
            </w:pPr>
            <w:r>
              <w:rPr>
                <w:rFonts w:ascii="Arial" w:eastAsia="Times New Roman" w:hAnsi="Arial" w:cs="Arial"/>
                <w:color w:val="000000"/>
                <w:sz w:val="16"/>
                <w:szCs w:val="16"/>
              </w:rPr>
              <w:t>13.9 </w:t>
            </w:r>
          </w:p>
        </w:tc>
        <w:tc>
          <w:tcPr>
            <w:tcW w:w="0" w:type="auto"/>
            <w:shd w:val="clear" w:color="auto" w:fill="DCE2EF"/>
            <w:tcMar>
              <w:top w:w="30" w:type="dxa"/>
              <w:left w:w="0" w:type="dxa"/>
              <w:bottom w:w="30" w:type="dxa"/>
              <w:right w:w="20" w:type="dxa"/>
            </w:tcMar>
            <w:vAlign w:val="bottom"/>
            <w:hideMark/>
          </w:tcPr>
          <w:p w14:paraId="0E168637" w14:textId="77777777" w:rsidR="00000000" w:rsidRDefault="001D0688">
            <w:pPr>
              <w:jc w:val="right"/>
              <w:rPr>
                <w:rFonts w:eastAsia="Times New Roman"/>
              </w:rPr>
            </w:pPr>
          </w:p>
        </w:tc>
      </w:tr>
      <w:tr w:rsidR="00000000" w14:paraId="2DCFDBBF" w14:textId="77777777">
        <w:trPr>
          <w:divId w:val="1951008450"/>
          <w:jc w:val="center"/>
        </w:trPr>
        <w:tc>
          <w:tcPr>
            <w:tcW w:w="0" w:type="auto"/>
            <w:gridSpan w:val="3"/>
            <w:shd w:val="clear" w:color="auto" w:fill="FFFFFF"/>
            <w:tcMar>
              <w:top w:w="30" w:type="dxa"/>
              <w:left w:w="380" w:type="dxa"/>
              <w:bottom w:w="30" w:type="dxa"/>
              <w:right w:w="20" w:type="dxa"/>
            </w:tcMar>
            <w:vAlign w:val="bottom"/>
            <w:hideMark/>
          </w:tcPr>
          <w:p w14:paraId="3881B8A6" w14:textId="77777777" w:rsidR="00000000" w:rsidRDefault="001D0688">
            <w:pPr>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FFFFFF"/>
            <w:tcMar>
              <w:top w:w="30" w:type="dxa"/>
              <w:left w:w="20" w:type="dxa"/>
              <w:bottom w:w="30" w:type="dxa"/>
              <w:right w:w="0" w:type="dxa"/>
            </w:tcMar>
            <w:vAlign w:val="bottom"/>
            <w:hideMark/>
          </w:tcPr>
          <w:p w14:paraId="63959AE9" w14:textId="77777777" w:rsidR="00000000" w:rsidRDefault="001D0688">
            <w:pPr>
              <w:jc w:val="right"/>
              <w:rPr>
                <w:rFonts w:eastAsia="Times New Roman"/>
              </w:rPr>
            </w:pPr>
            <w:r>
              <w:rPr>
                <w:rFonts w:ascii="Arial" w:eastAsia="Times New Roman" w:hAnsi="Arial" w:cs="Arial"/>
                <w:color w:val="000000"/>
                <w:sz w:val="16"/>
                <w:szCs w:val="16"/>
              </w:rPr>
              <w:t>7.6 </w:t>
            </w:r>
          </w:p>
        </w:tc>
        <w:tc>
          <w:tcPr>
            <w:tcW w:w="0" w:type="auto"/>
            <w:shd w:val="clear" w:color="auto" w:fill="FFFFFF"/>
            <w:tcMar>
              <w:top w:w="30" w:type="dxa"/>
              <w:left w:w="0" w:type="dxa"/>
              <w:bottom w:w="30" w:type="dxa"/>
              <w:right w:w="20" w:type="dxa"/>
            </w:tcMar>
            <w:vAlign w:val="bottom"/>
            <w:hideMark/>
          </w:tcPr>
          <w:p w14:paraId="7D64B7F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3022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5A632" w14:textId="77777777" w:rsidR="00000000" w:rsidRDefault="001D0688">
            <w:pPr>
              <w:jc w:val="right"/>
              <w:rPr>
                <w:rFonts w:eastAsia="Times New Roman"/>
              </w:rPr>
            </w:pPr>
            <w:r>
              <w:rPr>
                <w:rFonts w:ascii="Arial" w:eastAsia="Times New Roman" w:hAnsi="Arial" w:cs="Arial"/>
                <w:color w:val="000000"/>
                <w:sz w:val="16"/>
                <w:szCs w:val="16"/>
              </w:rPr>
              <w:t>3.2 </w:t>
            </w:r>
          </w:p>
        </w:tc>
        <w:tc>
          <w:tcPr>
            <w:tcW w:w="0" w:type="auto"/>
            <w:shd w:val="clear" w:color="auto" w:fill="FFFFFF"/>
            <w:tcMar>
              <w:top w:w="30" w:type="dxa"/>
              <w:left w:w="0" w:type="dxa"/>
              <w:bottom w:w="30" w:type="dxa"/>
              <w:right w:w="20" w:type="dxa"/>
            </w:tcMar>
            <w:vAlign w:val="bottom"/>
            <w:hideMark/>
          </w:tcPr>
          <w:p w14:paraId="71E5AFD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6D51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9D06A" w14:textId="77777777" w:rsidR="00000000" w:rsidRDefault="001D0688">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083D2C0E" w14:textId="77777777" w:rsidR="00000000" w:rsidRDefault="001D0688">
            <w:pPr>
              <w:jc w:val="right"/>
              <w:rPr>
                <w:rFonts w:eastAsia="Times New Roman"/>
              </w:rPr>
            </w:pPr>
          </w:p>
        </w:tc>
      </w:tr>
      <w:tr w:rsidR="00000000" w14:paraId="51C2EC45" w14:textId="77777777">
        <w:trPr>
          <w:divId w:val="1951008450"/>
          <w:jc w:val="center"/>
        </w:trPr>
        <w:tc>
          <w:tcPr>
            <w:tcW w:w="0" w:type="auto"/>
            <w:gridSpan w:val="3"/>
            <w:shd w:val="clear" w:color="auto" w:fill="DCE2EF"/>
            <w:tcMar>
              <w:top w:w="30" w:type="dxa"/>
              <w:left w:w="380" w:type="dxa"/>
              <w:bottom w:w="30" w:type="dxa"/>
              <w:right w:w="20" w:type="dxa"/>
            </w:tcMar>
            <w:vAlign w:val="bottom"/>
            <w:hideMark/>
          </w:tcPr>
          <w:p w14:paraId="1A2DECE1" w14:textId="77777777" w:rsidR="00000000" w:rsidRDefault="001D0688">
            <w:pPr>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DCE2EF"/>
            <w:tcMar>
              <w:top w:w="30" w:type="dxa"/>
              <w:left w:w="20" w:type="dxa"/>
              <w:bottom w:w="30" w:type="dxa"/>
              <w:right w:w="0" w:type="dxa"/>
            </w:tcMar>
            <w:vAlign w:val="bottom"/>
            <w:hideMark/>
          </w:tcPr>
          <w:p w14:paraId="6EE539F2" w14:textId="77777777" w:rsidR="00000000" w:rsidRDefault="001D0688">
            <w:pPr>
              <w:jc w:val="right"/>
              <w:rPr>
                <w:rFonts w:eastAsia="Times New Roman"/>
              </w:rPr>
            </w:pPr>
            <w:r>
              <w:rPr>
                <w:rFonts w:ascii="Arial" w:eastAsia="Times New Roman" w:hAnsi="Arial" w:cs="Arial"/>
                <w:color w:val="000000"/>
                <w:sz w:val="16"/>
                <w:szCs w:val="16"/>
              </w:rPr>
              <w:t>96.2 </w:t>
            </w:r>
          </w:p>
        </w:tc>
        <w:tc>
          <w:tcPr>
            <w:tcW w:w="0" w:type="auto"/>
            <w:shd w:val="clear" w:color="auto" w:fill="DCE2EF"/>
            <w:tcMar>
              <w:top w:w="30" w:type="dxa"/>
              <w:left w:w="0" w:type="dxa"/>
              <w:bottom w:w="30" w:type="dxa"/>
              <w:right w:w="20" w:type="dxa"/>
            </w:tcMar>
            <w:vAlign w:val="bottom"/>
            <w:hideMark/>
          </w:tcPr>
          <w:p w14:paraId="6AECDA5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805AB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254A71" w14:textId="77777777" w:rsidR="00000000" w:rsidRDefault="001D0688">
            <w:pPr>
              <w:jc w:val="right"/>
              <w:rPr>
                <w:rFonts w:eastAsia="Times New Roman"/>
              </w:rPr>
            </w:pPr>
            <w:r>
              <w:rPr>
                <w:rFonts w:ascii="Arial" w:eastAsia="Times New Roman" w:hAnsi="Arial" w:cs="Arial"/>
                <w:color w:val="000000"/>
                <w:sz w:val="16"/>
                <w:szCs w:val="16"/>
              </w:rPr>
              <w:t>(8.7)</w:t>
            </w:r>
          </w:p>
        </w:tc>
        <w:tc>
          <w:tcPr>
            <w:tcW w:w="0" w:type="auto"/>
            <w:shd w:val="clear" w:color="auto" w:fill="DCE2EF"/>
            <w:tcMar>
              <w:top w:w="30" w:type="dxa"/>
              <w:left w:w="0" w:type="dxa"/>
              <w:bottom w:w="30" w:type="dxa"/>
              <w:right w:w="20" w:type="dxa"/>
            </w:tcMar>
            <w:vAlign w:val="bottom"/>
            <w:hideMark/>
          </w:tcPr>
          <w:p w14:paraId="7FA5A5B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D3676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338383" w14:textId="77777777" w:rsidR="00000000" w:rsidRDefault="001D0688">
            <w:pPr>
              <w:jc w:val="right"/>
              <w:rPr>
                <w:rFonts w:eastAsia="Times New Roman"/>
              </w:rPr>
            </w:pPr>
            <w:r>
              <w:rPr>
                <w:rFonts w:ascii="Arial" w:eastAsia="Times New Roman" w:hAnsi="Arial" w:cs="Arial"/>
                <w:color w:val="000000"/>
                <w:sz w:val="16"/>
                <w:szCs w:val="16"/>
              </w:rPr>
              <w:t>(1.2)</w:t>
            </w:r>
          </w:p>
        </w:tc>
        <w:tc>
          <w:tcPr>
            <w:tcW w:w="0" w:type="auto"/>
            <w:shd w:val="clear" w:color="auto" w:fill="DCE2EF"/>
            <w:tcMar>
              <w:top w:w="30" w:type="dxa"/>
              <w:left w:w="0" w:type="dxa"/>
              <w:bottom w:w="30" w:type="dxa"/>
              <w:right w:w="20" w:type="dxa"/>
            </w:tcMar>
            <w:vAlign w:val="bottom"/>
            <w:hideMark/>
          </w:tcPr>
          <w:p w14:paraId="6848F3EE" w14:textId="77777777" w:rsidR="00000000" w:rsidRDefault="001D0688">
            <w:pPr>
              <w:jc w:val="right"/>
              <w:rPr>
                <w:rFonts w:eastAsia="Times New Roman"/>
              </w:rPr>
            </w:pPr>
          </w:p>
        </w:tc>
      </w:tr>
      <w:tr w:rsidR="00000000" w14:paraId="190FAD2E"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3DEEE1BE" w14:textId="77777777" w:rsidR="00000000" w:rsidRDefault="001D0688">
            <w:pPr>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57053A" w14:textId="77777777" w:rsidR="00000000" w:rsidRDefault="001D0688">
            <w:pPr>
              <w:jc w:val="right"/>
              <w:rPr>
                <w:rFonts w:eastAsia="Times New Roman"/>
              </w:rPr>
            </w:pPr>
            <w:r>
              <w:rPr>
                <w:rFonts w:ascii="Arial" w:eastAsia="Times New Roman" w:hAnsi="Arial" w:cs="Arial"/>
                <w:color w:val="000000"/>
                <w:sz w:val="16"/>
                <w:szCs w:val="16"/>
              </w:rPr>
              <w:t>457.2 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70355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A6DEB"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17B633" w14:textId="77777777" w:rsidR="00000000" w:rsidRDefault="001D0688">
            <w:pPr>
              <w:jc w:val="right"/>
              <w:rPr>
                <w:rFonts w:eastAsia="Times New Roman"/>
              </w:rPr>
            </w:pPr>
            <w:r>
              <w:rPr>
                <w:rFonts w:ascii="Arial" w:eastAsia="Times New Roman" w:hAnsi="Arial" w:cs="Arial"/>
                <w:color w:val="000000"/>
                <w:sz w:val="16"/>
                <w:szCs w:val="16"/>
              </w:rPr>
              <w:t>135.3 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B596A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21DA7"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184924" w14:textId="77777777" w:rsidR="00000000" w:rsidRDefault="001D0688">
            <w:pPr>
              <w:jc w:val="right"/>
              <w:rPr>
                <w:rFonts w:eastAsia="Times New Roman"/>
              </w:rPr>
            </w:pPr>
            <w:r>
              <w:rPr>
                <w:rFonts w:ascii="Arial" w:eastAsia="Times New Roman" w:hAnsi="Arial" w:cs="Arial"/>
                <w:color w:val="000000"/>
                <w:sz w:val="16"/>
                <w:szCs w:val="16"/>
              </w:rPr>
              <w:t>203.7 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BAA9C4" w14:textId="77777777" w:rsidR="00000000" w:rsidRDefault="001D0688">
            <w:pPr>
              <w:jc w:val="right"/>
              <w:rPr>
                <w:rFonts w:eastAsia="Times New Roman"/>
              </w:rPr>
            </w:pPr>
          </w:p>
        </w:tc>
      </w:tr>
      <w:tr w:rsidR="00000000" w14:paraId="191BC997"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0973838C" w14:textId="77777777" w:rsidR="00000000" w:rsidRDefault="001D0688">
            <w:pPr>
              <w:rPr>
                <w:rFonts w:eastAsia="Times New Roman"/>
              </w:rPr>
            </w:pPr>
            <w:r>
              <w:rPr>
                <w:rFonts w:ascii="Arial" w:eastAsia="Times New Roman" w:hAnsi="Arial" w:cs="Arial"/>
                <w:color w:val="000000"/>
                <w:sz w:val="16"/>
                <w:szCs w:val="16"/>
              </w:rPr>
              <w:t>Net cash provided by operating activities of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F8A506D" w14:textId="77777777" w:rsidR="00000000" w:rsidRDefault="001D0688">
            <w:pPr>
              <w:jc w:val="right"/>
              <w:rPr>
                <w:rFonts w:eastAsia="Times New Roman"/>
              </w:rPr>
            </w:pPr>
            <w:r>
              <w:rPr>
                <w:rFonts w:ascii="Arial" w:eastAsia="Times New Roman" w:hAnsi="Arial" w:cs="Arial"/>
                <w:color w:val="000000"/>
                <w:sz w:val="16"/>
                <w:szCs w:val="16"/>
              </w:rPr>
              <w:t>457.4 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3C32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74B337"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00C244A" w14:textId="77777777" w:rsidR="00000000" w:rsidRDefault="001D0688">
            <w:pPr>
              <w:jc w:val="right"/>
              <w:rPr>
                <w:rFonts w:eastAsia="Times New Roman"/>
              </w:rPr>
            </w:pPr>
            <w:r>
              <w:rPr>
                <w:rFonts w:ascii="Arial" w:eastAsia="Times New Roman" w:hAnsi="Arial" w:cs="Arial"/>
                <w:color w:val="000000"/>
                <w:sz w:val="16"/>
                <w:szCs w:val="16"/>
              </w:rPr>
              <w:t>262.8 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D906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DBFBC7"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E56C481" w14:textId="77777777" w:rsidR="00000000" w:rsidRDefault="001D0688">
            <w:pPr>
              <w:jc w:val="right"/>
              <w:rPr>
                <w:rFonts w:eastAsia="Times New Roman"/>
              </w:rPr>
            </w:pPr>
            <w:r>
              <w:rPr>
                <w:rFonts w:ascii="Arial" w:eastAsia="Times New Roman" w:hAnsi="Arial" w:cs="Arial"/>
                <w:color w:val="000000"/>
                <w:sz w:val="16"/>
                <w:szCs w:val="16"/>
              </w:rPr>
              <w:t>299.7 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BD6014" w14:textId="77777777" w:rsidR="00000000" w:rsidRDefault="001D0688">
            <w:pPr>
              <w:jc w:val="right"/>
              <w:rPr>
                <w:rFonts w:eastAsia="Times New Roman"/>
              </w:rPr>
            </w:pPr>
          </w:p>
        </w:tc>
      </w:tr>
      <w:tr w:rsidR="00000000" w14:paraId="5EDF5543"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5A117607" w14:textId="77777777" w:rsidR="00000000" w:rsidRDefault="001D0688">
            <w:pPr>
              <w:rPr>
                <w:rFonts w:eastAsia="Times New Roman"/>
              </w:rPr>
            </w:pPr>
            <w:r>
              <w:rPr>
                <w:rFonts w:ascii="Arial" w:eastAsia="Times New Roman" w:hAnsi="Arial" w:cs="Arial"/>
                <w:color w:val="000000"/>
                <w:sz w:val="16"/>
                <w:szCs w:val="16"/>
              </w:rPr>
              <w:t>Net cash provided by (used in) operating activities of discontinued operations</w:t>
            </w:r>
          </w:p>
        </w:tc>
        <w:tc>
          <w:tcPr>
            <w:tcW w:w="0" w:type="auto"/>
            <w:gridSpan w:val="2"/>
            <w:shd w:val="clear" w:color="auto" w:fill="FFFFFF"/>
            <w:tcMar>
              <w:top w:w="30" w:type="dxa"/>
              <w:left w:w="20" w:type="dxa"/>
              <w:bottom w:w="30" w:type="dxa"/>
              <w:right w:w="0" w:type="dxa"/>
            </w:tcMar>
            <w:vAlign w:val="bottom"/>
            <w:hideMark/>
          </w:tcPr>
          <w:p w14:paraId="6AE9D204" w14:textId="77777777" w:rsidR="00000000" w:rsidRDefault="001D0688">
            <w:pPr>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14:paraId="272ADDB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95FE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1A66B" w14:textId="77777777" w:rsidR="00000000" w:rsidRDefault="001D0688">
            <w:pPr>
              <w:jc w:val="right"/>
              <w:rPr>
                <w:rFonts w:eastAsia="Times New Roman"/>
              </w:rPr>
            </w:pPr>
            <w:r>
              <w:rPr>
                <w:rFonts w:ascii="Arial" w:eastAsia="Times New Roman" w:hAnsi="Arial" w:cs="Arial"/>
                <w:color w:val="000000"/>
                <w:sz w:val="16"/>
                <w:szCs w:val="16"/>
              </w:rPr>
              <w:t>(0.1)</w:t>
            </w:r>
          </w:p>
        </w:tc>
        <w:tc>
          <w:tcPr>
            <w:tcW w:w="0" w:type="auto"/>
            <w:shd w:val="clear" w:color="auto" w:fill="FFFFFF"/>
            <w:tcMar>
              <w:top w:w="30" w:type="dxa"/>
              <w:left w:w="0" w:type="dxa"/>
              <w:bottom w:w="30" w:type="dxa"/>
              <w:right w:w="20" w:type="dxa"/>
            </w:tcMar>
            <w:vAlign w:val="bottom"/>
            <w:hideMark/>
          </w:tcPr>
          <w:p w14:paraId="1ACA2DD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E4CB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E171EE" w14:textId="77777777" w:rsidR="00000000" w:rsidRDefault="001D0688">
            <w:pPr>
              <w:jc w:val="right"/>
              <w:rPr>
                <w:rFonts w:eastAsia="Times New Roman"/>
              </w:rPr>
            </w:pPr>
            <w:r>
              <w:rPr>
                <w:rFonts w:ascii="Arial" w:eastAsia="Times New Roman" w:hAnsi="Arial" w:cs="Arial"/>
                <w:color w:val="000000"/>
                <w:sz w:val="16"/>
                <w:szCs w:val="16"/>
              </w:rPr>
              <w:t>21.2 </w:t>
            </w:r>
          </w:p>
        </w:tc>
        <w:tc>
          <w:tcPr>
            <w:tcW w:w="0" w:type="auto"/>
            <w:shd w:val="clear" w:color="auto" w:fill="FFFFFF"/>
            <w:tcMar>
              <w:top w:w="30" w:type="dxa"/>
              <w:left w:w="0" w:type="dxa"/>
              <w:bottom w:w="30" w:type="dxa"/>
              <w:right w:w="20" w:type="dxa"/>
            </w:tcMar>
            <w:vAlign w:val="bottom"/>
            <w:hideMark/>
          </w:tcPr>
          <w:p w14:paraId="02DC7774" w14:textId="77777777" w:rsidR="00000000" w:rsidRDefault="001D0688">
            <w:pPr>
              <w:jc w:val="right"/>
              <w:rPr>
                <w:rFonts w:eastAsia="Times New Roman"/>
              </w:rPr>
            </w:pPr>
          </w:p>
        </w:tc>
      </w:tr>
      <w:tr w:rsidR="00000000" w14:paraId="2896231C"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38D6C70E" w14:textId="77777777" w:rsidR="00000000" w:rsidRDefault="001D0688">
            <w:pPr>
              <w:rPr>
                <w:rFonts w:eastAsia="Times New Roman"/>
              </w:rPr>
            </w:pPr>
            <w:r>
              <w:rPr>
                <w:rFonts w:ascii="Arial" w:eastAsia="Times New Roman" w:hAnsi="Arial" w:cs="Arial"/>
                <w:b/>
                <w:bCs/>
                <w:color w:val="000000"/>
                <w:sz w:val="16"/>
                <w:szCs w:val="16"/>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29F3B28" w14:textId="77777777" w:rsidR="00000000" w:rsidRDefault="001D0688">
            <w:pPr>
              <w:jc w:val="right"/>
              <w:rPr>
                <w:rFonts w:eastAsia="Times New Roman"/>
              </w:rPr>
            </w:pPr>
            <w:r>
              <w:rPr>
                <w:rFonts w:ascii="Arial" w:eastAsia="Times New Roman" w:hAnsi="Arial" w:cs="Arial"/>
                <w:color w:val="000000"/>
                <w:sz w:val="16"/>
                <w:szCs w:val="16"/>
              </w:rPr>
              <w:t>457.5 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1AD238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39D700"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7FA01BB" w14:textId="77777777" w:rsidR="00000000" w:rsidRDefault="001D0688">
            <w:pPr>
              <w:jc w:val="right"/>
              <w:rPr>
                <w:rFonts w:eastAsia="Times New Roman"/>
              </w:rPr>
            </w:pPr>
            <w:r>
              <w:rPr>
                <w:rFonts w:ascii="Arial" w:eastAsia="Times New Roman" w:hAnsi="Arial" w:cs="Arial"/>
                <w:color w:val="000000"/>
                <w:sz w:val="16"/>
                <w:szCs w:val="16"/>
              </w:rPr>
              <w:t>262.7 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21179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9389C0"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C1848B8" w14:textId="77777777" w:rsidR="00000000" w:rsidRDefault="001D0688">
            <w:pPr>
              <w:jc w:val="right"/>
              <w:rPr>
                <w:rFonts w:eastAsia="Times New Roman"/>
              </w:rPr>
            </w:pPr>
            <w:r>
              <w:rPr>
                <w:rFonts w:ascii="Arial" w:eastAsia="Times New Roman" w:hAnsi="Arial" w:cs="Arial"/>
                <w:color w:val="000000"/>
                <w:sz w:val="16"/>
                <w:szCs w:val="16"/>
              </w:rPr>
              <w:t>320.9 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AA76A2" w14:textId="77777777" w:rsidR="00000000" w:rsidRDefault="001D0688">
            <w:pPr>
              <w:jc w:val="right"/>
              <w:rPr>
                <w:rFonts w:eastAsia="Times New Roman"/>
              </w:rPr>
            </w:pPr>
          </w:p>
        </w:tc>
      </w:tr>
      <w:tr w:rsidR="00000000" w14:paraId="2918F98E"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22CD9F1F" w14:textId="77777777" w:rsidR="00000000" w:rsidRDefault="001D0688">
            <w:pPr>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5E39B5"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8BF9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3B518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B3BF67"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C2829A" w14:textId="77777777" w:rsidR="00000000" w:rsidRDefault="001D0688">
            <w:pPr>
              <w:rPr>
                <w:rFonts w:eastAsia="Times New Roman"/>
                <w:sz w:val="20"/>
                <w:szCs w:val="20"/>
              </w:rPr>
            </w:pPr>
          </w:p>
        </w:tc>
      </w:tr>
      <w:tr w:rsidR="00000000" w14:paraId="174628BB"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3E2A8B7C" w14:textId="77777777" w:rsidR="00000000" w:rsidRDefault="001D0688">
            <w:pPr>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DCE2EF"/>
            <w:tcMar>
              <w:top w:w="30" w:type="dxa"/>
              <w:left w:w="20" w:type="dxa"/>
              <w:bottom w:w="30" w:type="dxa"/>
              <w:right w:w="0" w:type="dxa"/>
            </w:tcMar>
            <w:vAlign w:val="bottom"/>
            <w:hideMark/>
          </w:tcPr>
          <w:p w14:paraId="0135F828" w14:textId="77777777" w:rsidR="00000000" w:rsidRDefault="001D0688">
            <w:pPr>
              <w:jc w:val="right"/>
              <w:rPr>
                <w:rFonts w:eastAsia="Times New Roman"/>
              </w:rPr>
            </w:pPr>
            <w:r>
              <w:rPr>
                <w:rFonts w:ascii="Arial" w:eastAsia="Times New Roman" w:hAnsi="Arial" w:cs="Arial"/>
                <w:color w:val="000000"/>
                <w:sz w:val="16"/>
                <w:szCs w:val="16"/>
              </w:rPr>
              <w:t>(38.0)</w:t>
            </w:r>
          </w:p>
        </w:tc>
        <w:tc>
          <w:tcPr>
            <w:tcW w:w="0" w:type="auto"/>
            <w:shd w:val="clear" w:color="auto" w:fill="DCE2EF"/>
            <w:tcMar>
              <w:top w:w="30" w:type="dxa"/>
              <w:left w:w="0" w:type="dxa"/>
              <w:bottom w:w="30" w:type="dxa"/>
              <w:right w:w="20" w:type="dxa"/>
            </w:tcMar>
            <w:vAlign w:val="bottom"/>
            <w:hideMark/>
          </w:tcPr>
          <w:p w14:paraId="0E7DBD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D8962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043050" w14:textId="77777777" w:rsidR="00000000" w:rsidRDefault="001D0688">
            <w:pPr>
              <w:jc w:val="right"/>
              <w:rPr>
                <w:rFonts w:eastAsia="Times New Roman"/>
              </w:rPr>
            </w:pPr>
            <w:r>
              <w:rPr>
                <w:rFonts w:ascii="Arial" w:eastAsia="Times New Roman" w:hAnsi="Arial" w:cs="Arial"/>
                <w:color w:val="000000"/>
                <w:sz w:val="16"/>
                <w:szCs w:val="16"/>
              </w:rPr>
              <w:t>(59.6)</w:t>
            </w:r>
          </w:p>
        </w:tc>
        <w:tc>
          <w:tcPr>
            <w:tcW w:w="0" w:type="auto"/>
            <w:shd w:val="clear" w:color="auto" w:fill="DCE2EF"/>
            <w:tcMar>
              <w:top w:w="30" w:type="dxa"/>
              <w:left w:w="0" w:type="dxa"/>
              <w:bottom w:w="30" w:type="dxa"/>
              <w:right w:w="20" w:type="dxa"/>
            </w:tcMar>
            <w:vAlign w:val="bottom"/>
            <w:hideMark/>
          </w:tcPr>
          <w:p w14:paraId="53BE57B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38309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AD0FA3" w14:textId="77777777" w:rsidR="00000000" w:rsidRDefault="001D0688">
            <w:pPr>
              <w:jc w:val="right"/>
              <w:rPr>
                <w:rFonts w:eastAsia="Times New Roman"/>
              </w:rPr>
            </w:pPr>
            <w:r>
              <w:rPr>
                <w:rFonts w:ascii="Arial" w:eastAsia="Times New Roman" w:hAnsi="Arial" w:cs="Arial"/>
                <w:color w:val="000000"/>
                <w:sz w:val="16"/>
                <w:szCs w:val="16"/>
              </w:rPr>
              <w:t>(50.9)</w:t>
            </w:r>
          </w:p>
        </w:tc>
        <w:tc>
          <w:tcPr>
            <w:tcW w:w="0" w:type="auto"/>
            <w:shd w:val="clear" w:color="auto" w:fill="DCE2EF"/>
            <w:tcMar>
              <w:top w:w="30" w:type="dxa"/>
              <w:left w:w="0" w:type="dxa"/>
              <w:bottom w:w="30" w:type="dxa"/>
              <w:right w:w="20" w:type="dxa"/>
            </w:tcMar>
            <w:vAlign w:val="bottom"/>
            <w:hideMark/>
          </w:tcPr>
          <w:p w14:paraId="403DA094" w14:textId="77777777" w:rsidR="00000000" w:rsidRDefault="001D0688">
            <w:pPr>
              <w:jc w:val="right"/>
              <w:rPr>
                <w:rFonts w:eastAsia="Times New Roman"/>
              </w:rPr>
            </w:pPr>
          </w:p>
        </w:tc>
      </w:tr>
      <w:tr w:rsidR="00000000" w14:paraId="1B6CF1DD"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7995550A" w14:textId="77777777" w:rsidR="00000000" w:rsidRDefault="001D0688">
            <w:pPr>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14:paraId="70EC48EE" w14:textId="77777777" w:rsidR="00000000" w:rsidRDefault="001D0688">
            <w:pPr>
              <w:jc w:val="right"/>
              <w:rPr>
                <w:rFonts w:eastAsia="Times New Roman"/>
              </w:rPr>
            </w:pPr>
            <w:r>
              <w:rPr>
                <w:rFonts w:ascii="Arial" w:eastAsia="Times New Roman" w:hAnsi="Arial" w:cs="Arial"/>
                <w:color w:val="000000"/>
                <w:sz w:val="16"/>
                <w:szCs w:val="16"/>
              </w:rPr>
              <w:t>5.5 </w:t>
            </w:r>
          </w:p>
        </w:tc>
        <w:tc>
          <w:tcPr>
            <w:tcW w:w="0" w:type="auto"/>
            <w:shd w:val="clear" w:color="auto" w:fill="FFFFFF"/>
            <w:tcMar>
              <w:top w:w="30" w:type="dxa"/>
              <w:left w:w="0" w:type="dxa"/>
              <w:bottom w:w="30" w:type="dxa"/>
              <w:right w:w="20" w:type="dxa"/>
            </w:tcMar>
            <w:vAlign w:val="bottom"/>
            <w:hideMark/>
          </w:tcPr>
          <w:p w14:paraId="33B6CCA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69FD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F3EF7" w14:textId="77777777" w:rsidR="00000000" w:rsidRDefault="001D0688">
            <w:pPr>
              <w:jc w:val="right"/>
              <w:rPr>
                <w:rFonts w:eastAsia="Times New Roman"/>
              </w:rPr>
            </w:pPr>
            <w:r>
              <w:rPr>
                <w:rFonts w:ascii="Arial" w:eastAsia="Times New Roman" w:hAnsi="Arial" w:cs="Arial"/>
                <w:color w:val="000000"/>
                <w:sz w:val="16"/>
                <w:szCs w:val="16"/>
              </w:rPr>
              <w:t>1.3 </w:t>
            </w:r>
          </w:p>
        </w:tc>
        <w:tc>
          <w:tcPr>
            <w:tcW w:w="0" w:type="auto"/>
            <w:shd w:val="clear" w:color="auto" w:fill="FFFFFF"/>
            <w:tcMar>
              <w:top w:w="30" w:type="dxa"/>
              <w:left w:w="0" w:type="dxa"/>
              <w:bottom w:w="30" w:type="dxa"/>
              <w:right w:w="20" w:type="dxa"/>
            </w:tcMar>
            <w:vAlign w:val="bottom"/>
            <w:hideMark/>
          </w:tcPr>
          <w:p w14:paraId="2DDF829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1B43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8CA31D" w14:textId="77777777" w:rsidR="00000000" w:rsidRDefault="001D0688">
            <w:pPr>
              <w:jc w:val="right"/>
              <w:rPr>
                <w:rFonts w:eastAsia="Times New Roman"/>
              </w:rPr>
            </w:pPr>
            <w:r>
              <w:rPr>
                <w:rFonts w:ascii="Arial" w:eastAsia="Times New Roman" w:hAnsi="Arial" w:cs="Arial"/>
                <w:color w:val="000000"/>
                <w:sz w:val="16"/>
                <w:szCs w:val="16"/>
              </w:rPr>
              <w:t>2.3 </w:t>
            </w:r>
          </w:p>
        </w:tc>
        <w:tc>
          <w:tcPr>
            <w:tcW w:w="0" w:type="auto"/>
            <w:shd w:val="clear" w:color="auto" w:fill="FFFFFF"/>
            <w:tcMar>
              <w:top w:w="30" w:type="dxa"/>
              <w:left w:w="0" w:type="dxa"/>
              <w:bottom w:w="30" w:type="dxa"/>
              <w:right w:w="20" w:type="dxa"/>
            </w:tcMar>
            <w:vAlign w:val="bottom"/>
            <w:hideMark/>
          </w:tcPr>
          <w:p w14:paraId="6E5A5B49" w14:textId="77777777" w:rsidR="00000000" w:rsidRDefault="001D0688">
            <w:pPr>
              <w:jc w:val="right"/>
              <w:rPr>
                <w:rFonts w:eastAsia="Times New Roman"/>
              </w:rPr>
            </w:pPr>
          </w:p>
        </w:tc>
      </w:tr>
      <w:tr w:rsidR="00000000" w14:paraId="7220C81D" w14:textId="77777777">
        <w:trPr>
          <w:divId w:val="1951008450"/>
          <w:jc w:val="center"/>
        </w:trPr>
        <w:tc>
          <w:tcPr>
            <w:tcW w:w="0" w:type="auto"/>
            <w:gridSpan w:val="3"/>
            <w:vAlign w:val="center"/>
            <w:hideMark/>
          </w:tcPr>
          <w:p w14:paraId="3D8765F4" w14:textId="77777777" w:rsidR="00000000" w:rsidRDefault="001D0688">
            <w:pPr>
              <w:jc w:val="right"/>
              <w:rPr>
                <w:rFonts w:eastAsia="Times New Roman"/>
                <w:sz w:val="20"/>
                <w:szCs w:val="20"/>
              </w:rPr>
            </w:pPr>
          </w:p>
        </w:tc>
        <w:tc>
          <w:tcPr>
            <w:tcW w:w="0" w:type="auto"/>
            <w:gridSpan w:val="3"/>
            <w:vAlign w:val="center"/>
            <w:hideMark/>
          </w:tcPr>
          <w:p w14:paraId="0E5F241A" w14:textId="77777777" w:rsidR="00000000" w:rsidRDefault="001D0688">
            <w:pPr>
              <w:rPr>
                <w:rFonts w:eastAsia="Times New Roman"/>
                <w:sz w:val="20"/>
                <w:szCs w:val="20"/>
              </w:rPr>
            </w:pPr>
          </w:p>
        </w:tc>
        <w:tc>
          <w:tcPr>
            <w:tcW w:w="0" w:type="auto"/>
            <w:gridSpan w:val="3"/>
            <w:vAlign w:val="center"/>
            <w:hideMark/>
          </w:tcPr>
          <w:p w14:paraId="72F8A07B" w14:textId="77777777" w:rsidR="00000000" w:rsidRDefault="001D0688">
            <w:pPr>
              <w:rPr>
                <w:rFonts w:eastAsia="Times New Roman"/>
                <w:sz w:val="20"/>
                <w:szCs w:val="20"/>
              </w:rPr>
            </w:pPr>
          </w:p>
        </w:tc>
        <w:tc>
          <w:tcPr>
            <w:tcW w:w="0" w:type="auto"/>
            <w:gridSpan w:val="3"/>
            <w:vAlign w:val="center"/>
            <w:hideMark/>
          </w:tcPr>
          <w:p w14:paraId="473180E0" w14:textId="77777777" w:rsidR="00000000" w:rsidRDefault="001D0688">
            <w:pPr>
              <w:rPr>
                <w:rFonts w:eastAsia="Times New Roman"/>
                <w:sz w:val="20"/>
                <w:szCs w:val="20"/>
              </w:rPr>
            </w:pPr>
          </w:p>
        </w:tc>
        <w:tc>
          <w:tcPr>
            <w:tcW w:w="0" w:type="auto"/>
            <w:gridSpan w:val="3"/>
            <w:vAlign w:val="center"/>
            <w:hideMark/>
          </w:tcPr>
          <w:p w14:paraId="5129E452" w14:textId="77777777" w:rsidR="00000000" w:rsidRDefault="001D0688">
            <w:pPr>
              <w:rPr>
                <w:rFonts w:eastAsia="Times New Roman"/>
                <w:sz w:val="20"/>
                <w:szCs w:val="20"/>
              </w:rPr>
            </w:pPr>
          </w:p>
        </w:tc>
        <w:tc>
          <w:tcPr>
            <w:tcW w:w="0" w:type="auto"/>
            <w:gridSpan w:val="3"/>
            <w:vAlign w:val="center"/>
            <w:hideMark/>
          </w:tcPr>
          <w:p w14:paraId="4F28FA8D" w14:textId="77777777" w:rsidR="00000000" w:rsidRDefault="001D0688">
            <w:pPr>
              <w:rPr>
                <w:rFonts w:eastAsia="Times New Roman"/>
                <w:sz w:val="20"/>
                <w:szCs w:val="20"/>
              </w:rPr>
            </w:pPr>
          </w:p>
        </w:tc>
      </w:tr>
      <w:tr w:rsidR="00000000" w14:paraId="36B12849"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6EA9F904" w14:textId="77777777" w:rsidR="00000000" w:rsidRDefault="001D0688">
            <w:pPr>
              <w:rPr>
                <w:rFonts w:eastAsia="Times New Roman"/>
              </w:rPr>
            </w:pPr>
            <w:r>
              <w:rPr>
                <w:rFonts w:ascii="Arial" w:eastAsia="Times New Roman" w:hAnsi="Arial" w:cs="Arial"/>
                <w:color w:val="000000"/>
                <w:sz w:val="16"/>
                <w:szCs w:val="16"/>
              </w:rPr>
              <w:t>Adjustments to sale of business</w:t>
            </w:r>
          </w:p>
        </w:tc>
        <w:tc>
          <w:tcPr>
            <w:tcW w:w="0" w:type="auto"/>
            <w:gridSpan w:val="2"/>
            <w:shd w:val="clear" w:color="auto" w:fill="DCE2EF"/>
            <w:tcMar>
              <w:top w:w="30" w:type="dxa"/>
              <w:left w:w="20" w:type="dxa"/>
              <w:bottom w:w="30" w:type="dxa"/>
              <w:right w:w="0" w:type="dxa"/>
            </w:tcMar>
            <w:vAlign w:val="bottom"/>
            <w:hideMark/>
          </w:tcPr>
          <w:p w14:paraId="09C311A8"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1B890F9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28824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1AB6E2"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08E6D4E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82120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FAA9A1" w14:textId="77777777" w:rsidR="00000000" w:rsidRDefault="001D0688">
            <w:pPr>
              <w:jc w:val="right"/>
              <w:rPr>
                <w:rFonts w:eastAsia="Times New Roman"/>
              </w:rPr>
            </w:pPr>
            <w:r>
              <w:rPr>
                <w:rFonts w:ascii="Arial" w:eastAsia="Times New Roman" w:hAnsi="Arial" w:cs="Arial"/>
                <w:color w:val="000000"/>
                <w:sz w:val="16"/>
                <w:szCs w:val="16"/>
              </w:rPr>
              <w:t>(1.9)</w:t>
            </w:r>
          </w:p>
        </w:tc>
        <w:tc>
          <w:tcPr>
            <w:tcW w:w="0" w:type="auto"/>
            <w:shd w:val="clear" w:color="auto" w:fill="DCE2EF"/>
            <w:tcMar>
              <w:top w:w="30" w:type="dxa"/>
              <w:left w:w="0" w:type="dxa"/>
              <w:bottom w:w="30" w:type="dxa"/>
              <w:right w:w="20" w:type="dxa"/>
            </w:tcMar>
            <w:vAlign w:val="bottom"/>
            <w:hideMark/>
          </w:tcPr>
          <w:p w14:paraId="4D4A4E78" w14:textId="77777777" w:rsidR="00000000" w:rsidRDefault="001D0688">
            <w:pPr>
              <w:jc w:val="right"/>
              <w:rPr>
                <w:rFonts w:eastAsia="Times New Roman"/>
              </w:rPr>
            </w:pPr>
          </w:p>
        </w:tc>
      </w:tr>
      <w:tr w:rsidR="00000000" w14:paraId="30CD9FD1" w14:textId="77777777">
        <w:trPr>
          <w:divId w:val="1951008450"/>
          <w:jc w:val="center"/>
        </w:trPr>
        <w:tc>
          <w:tcPr>
            <w:tcW w:w="0" w:type="auto"/>
            <w:gridSpan w:val="3"/>
            <w:vAlign w:val="center"/>
            <w:hideMark/>
          </w:tcPr>
          <w:p w14:paraId="4563586E" w14:textId="77777777" w:rsidR="00000000" w:rsidRDefault="001D0688">
            <w:pPr>
              <w:jc w:val="right"/>
              <w:rPr>
                <w:rFonts w:eastAsia="Times New Roman"/>
                <w:sz w:val="20"/>
                <w:szCs w:val="20"/>
              </w:rPr>
            </w:pPr>
          </w:p>
        </w:tc>
        <w:tc>
          <w:tcPr>
            <w:tcW w:w="0" w:type="auto"/>
            <w:gridSpan w:val="3"/>
            <w:vAlign w:val="center"/>
            <w:hideMark/>
          </w:tcPr>
          <w:p w14:paraId="0F443A9F" w14:textId="77777777" w:rsidR="00000000" w:rsidRDefault="001D0688">
            <w:pPr>
              <w:rPr>
                <w:rFonts w:eastAsia="Times New Roman"/>
                <w:sz w:val="20"/>
                <w:szCs w:val="20"/>
              </w:rPr>
            </w:pPr>
          </w:p>
        </w:tc>
        <w:tc>
          <w:tcPr>
            <w:tcW w:w="0" w:type="auto"/>
            <w:gridSpan w:val="3"/>
            <w:vAlign w:val="center"/>
            <w:hideMark/>
          </w:tcPr>
          <w:p w14:paraId="4789A440" w14:textId="77777777" w:rsidR="00000000" w:rsidRDefault="001D0688">
            <w:pPr>
              <w:rPr>
                <w:rFonts w:eastAsia="Times New Roman"/>
                <w:sz w:val="20"/>
                <w:szCs w:val="20"/>
              </w:rPr>
            </w:pPr>
          </w:p>
        </w:tc>
        <w:tc>
          <w:tcPr>
            <w:tcW w:w="0" w:type="auto"/>
            <w:gridSpan w:val="3"/>
            <w:vAlign w:val="center"/>
            <w:hideMark/>
          </w:tcPr>
          <w:p w14:paraId="066F17D3" w14:textId="77777777" w:rsidR="00000000" w:rsidRDefault="001D0688">
            <w:pPr>
              <w:rPr>
                <w:rFonts w:eastAsia="Times New Roman"/>
                <w:sz w:val="20"/>
                <w:szCs w:val="20"/>
              </w:rPr>
            </w:pPr>
          </w:p>
        </w:tc>
        <w:tc>
          <w:tcPr>
            <w:tcW w:w="0" w:type="auto"/>
            <w:gridSpan w:val="3"/>
            <w:vAlign w:val="center"/>
            <w:hideMark/>
          </w:tcPr>
          <w:p w14:paraId="6EF1B4B1" w14:textId="77777777" w:rsidR="00000000" w:rsidRDefault="001D0688">
            <w:pPr>
              <w:rPr>
                <w:rFonts w:eastAsia="Times New Roman"/>
                <w:sz w:val="20"/>
                <w:szCs w:val="20"/>
              </w:rPr>
            </w:pPr>
          </w:p>
        </w:tc>
        <w:tc>
          <w:tcPr>
            <w:tcW w:w="0" w:type="auto"/>
            <w:gridSpan w:val="3"/>
            <w:vAlign w:val="center"/>
            <w:hideMark/>
          </w:tcPr>
          <w:p w14:paraId="49ADEF99" w14:textId="77777777" w:rsidR="00000000" w:rsidRDefault="001D0688">
            <w:pPr>
              <w:rPr>
                <w:rFonts w:eastAsia="Times New Roman"/>
                <w:sz w:val="20"/>
                <w:szCs w:val="20"/>
              </w:rPr>
            </w:pPr>
          </w:p>
        </w:tc>
      </w:tr>
      <w:tr w:rsidR="00000000" w14:paraId="75200D72"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5B78E998" w14:textId="77777777" w:rsidR="00000000" w:rsidRDefault="001D0688">
            <w:pPr>
              <w:rPr>
                <w:rFonts w:eastAsia="Times New Roman"/>
              </w:rPr>
            </w:pPr>
            <w:r>
              <w:rPr>
                <w:rFonts w:ascii="Arial" w:eastAsia="Times New Roman" w:hAnsi="Arial" w:cs="Arial"/>
                <w:color w:val="000000"/>
                <w:sz w:val="16"/>
                <w:szCs w:val="16"/>
              </w:rPr>
              <w:t>Proceeds from redemption of auction rate security</w:t>
            </w:r>
          </w:p>
        </w:tc>
        <w:tc>
          <w:tcPr>
            <w:tcW w:w="0" w:type="auto"/>
            <w:gridSpan w:val="2"/>
            <w:shd w:val="clear" w:color="auto" w:fill="FFFFFF"/>
            <w:tcMar>
              <w:top w:w="30" w:type="dxa"/>
              <w:left w:w="20" w:type="dxa"/>
              <w:bottom w:w="30" w:type="dxa"/>
              <w:right w:w="0" w:type="dxa"/>
            </w:tcMar>
            <w:vAlign w:val="bottom"/>
            <w:hideMark/>
          </w:tcPr>
          <w:p w14:paraId="48A64FCC" w14:textId="77777777" w:rsidR="00000000" w:rsidRDefault="001D0688">
            <w:pPr>
              <w:jc w:val="right"/>
              <w:rPr>
                <w:rFonts w:eastAsia="Times New Roman"/>
              </w:rPr>
            </w:pPr>
            <w:r>
              <w:rPr>
                <w:rFonts w:ascii="Arial" w:eastAsia="Times New Roman" w:hAnsi="Arial" w:cs="Arial"/>
                <w:color w:val="000000"/>
                <w:sz w:val="16"/>
                <w:szCs w:val="16"/>
              </w:rPr>
              <w:t>5.0 </w:t>
            </w:r>
          </w:p>
        </w:tc>
        <w:tc>
          <w:tcPr>
            <w:tcW w:w="0" w:type="auto"/>
            <w:shd w:val="clear" w:color="auto" w:fill="FFFFFF"/>
            <w:tcMar>
              <w:top w:w="30" w:type="dxa"/>
              <w:left w:w="0" w:type="dxa"/>
              <w:bottom w:w="30" w:type="dxa"/>
              <w:right w:w="20" w:type="dxa"/>
            </w:tcMar>
            <w:vAlign w:val="bottom"/>
            <w:hideMark/>
          </w:tcPr>
          <w:p w14:paraId="2F502E4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D677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460C41"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550E7E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DCEB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0A3CA" w14:textId="77777777" w:rsidR="00000000" w:rsidRDefault="001D0688">
            <w:pPr>
              <w:jc w:val="right"/>
              <w:rPr>
                <w:rFonts w:eastAsia="Times New Roman"/>
              </w:rPr>
            </w:pPr>
            <w:r>
              <w:rPr>
                <w:rFonts w:ascii="Arial" w:eastAsia="Times New Roman" w:hAnsi="Arial" w:cs="Arial"/>
                <w:color w:val="000000"/>
                <w:sz w:val="16"/>
                <w:szCs w:val="16"/>
              </w:rPr>
              <w:t>2.9 </w:t>
            </w:r>
          </w:p>
        </w:tc>
        <w:tc>
          <w:tcPr>
            <w:tcW w:w="0" w:type="auto"/>
            <w:shd w:val="clear" w:color="auto" w:fill="FFFFFF"/>
            <w:tcMar>
              <w:top w:w="30" w:type="dxa"/>
              <w:left w:w="0" w:type="dxa"/>
              <w:bottom w:w="30" w:type="dxa"/>
              <w:right w:w="20" w:type="dxa"/>
            </w:tcMar>
            <w:vAlign w:val="bottom"/>
            <w:hideMark/>
          </w:tcPr>
          <w:p w14:paraId="2BA85DB7" w14:textId="77777777" w:rsidR="00000000" w:rsidRDefault="001D0688">
            <w:pPr>
              <w:jc w:val="right"/>
              <w:rPr>
                <w:rFonts w:eastAsia="Times New Roman"/>
              </w:rPr>
            </w:pPr>
          </w:p>
        </w:tc>
      </w:tr>
      <w:tr w:rsidR="00000000" w14:paraId="505D9E43"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69B0B1B1" w14:textId="77777777" w:rsidR="00000000" w:rsidRDefault="001D0688">
            <w:pPr>
              <w:rPr>
                <w:rFonts w:eastAsia="Times New Roman"/>
              </w:rPr>
            </w:pPr>
            <w:r>
              <w:rPr>
                <w:rFonts w:ascii="Arial" w:eastAsia="Times New Roman" w:hAnsi="Arial" w:cs="Arial"/>
                <w:color w:val="000000"/>
                <w:sz w:val="16"/>
                <w:szCs w:val="16"/>
              </w:rPr>
              <w:t>Investments in unconsolidated affiliates</w:t>
            </w:r>
          </w:p>
        </w:tc>
        <w:tc>
          <w:tcPr>
            <w:tcW w:w="0" w:type="auto"/>
            <w:gridSpan w:val="2"/>
            <w:shd w:val="clear" w:color="auto" w:fill="DCE2EF"/>
            <w:tcMar>
              <w:top w:w="30" w:type="dxa"/>
              <w:left w:w="20" w:type="dxa"/>
              <w:bottom w:w="30" w:type="dxa"/>
              <w:right w:w="0" w:type="dxa"/>
            </w:tcMar>
            <w:vAlign w:val="bottom"/>
            <w:hideMark/>
          </w:tcPr>
          <w:p w14:paraId="3A9DC711"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51EAA3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7C304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562377"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779B3AC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2A1CF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A5E633" w14:textId="77777777" w:rsidR="00000000" w:rsidRDefault="001D0688">
            <w:pPr>
              <w:jc w:val="right"/>
              <w:rPr>
                <w:rFonts w:eastAsia="Times New Roman"/>
              </w:rPr>
            </w:pPr>
            <w:r>
              <w:rPr>
                <w:rFonts w:ascii="Arial" w:eastAsia="Times New Roman" w:hAnsi="Arial" w:cs="Arial"/>
                <w:color w:val="000000"/>
                <w:sz w:val="16"/>
                <w:szCs w:val="16"/>
              </w:rPr>
              <w:t>(0.4)</w:t>
            </w:r>
          </w:p>
        </w:tc>
        <w:tc>
          <w:tcPr>
            <w:tcW w:w="0" w:type="auto"/>
            <w:shd w:val="clear" w:color="auto" w:fill="DCE2EF"/>
            <w:tcMar>
              <w:top w:w="30" w:type="dxa"/>
              <w:left w:w="0" w:type="dxa"/>
              <w:bottom w:w="30" w:type="dxa"/>
              <w:right w:w="20" w:type="dxa"/>
            </w:tcMar>
            <w:vAlign w:val="bottom"/>
            <w:hideMark/>
          </w:tcPr>
          <w:p w14:paraId="1A7D34C1" w14:textId="77777777" w:rsidR="00000000" w:rsidRDefault="001D0688">
            <w:pPr>
              <w:jc w:val="right"/>
              <w:rPr>
                <w:rFonts w:eastAsia="Times New Roman"/>
              </w:rPr>
            </w:pPr>
          </w:p>
        </w:tc>
      </w:tr>
      <w:tr w:rsidR="00000000" w14:paraId="2989CA29" w14:textId="77777777">
        <w:trPr>
          <w:divId w:val="1951008450"/>
          <w:jc w:val="center"/>
        </w:trPr>
        <w:tc>
          <w:tcPr>
            <w:tcW w:w="0" w:type="auto"/>
            <w:gridSpan w:val="3"/>
            <w:vAlign w:val="center"/>
            <w:hideMark/>
          </w:tcPr>
          <w:p w14:paraId="328D5B7D" w14:textId="77777777" w:rsidR="00000000" w:rsidRDefault="001D0688">
            <w:pPr>
              <w:jc w:val="right"/>
              <w:rPr>
                <w:rFonts w:eastAsia="Times New Roman"/>
                <w:sz w:val="20"/>
                <w:szCs w:val="20"/>
              </w:rPr>
            </w:pPr>
          </w:p>
        </w:tc>
        <w:tc>
          <w:tcPr>
            <w:tcW w:w="0" w:type="auto"/>
            <w:gridSpan w:val="3"/>
            <w:vAlign w:val="center"/>
            <w:hideMark/>
          </w:tcPr>
          <w:p w14:paraId="73FB9A81" w14:textId="77777777" w:rsidR="00000000" w:rsidRDefault="001D0688">
            <w:pPr>
              <w:rPr>
                <w:rFonts w:eastAsia="Times New Roman"/>
                <w:sz w:val="20"/>
                <w:szCs w:val="20"/>
              </w:rPr>
            </w:pPr>
          </w:p>
        </w:tc>
        <w:tc>
          <w:tcPr>
            <w:tcW w:w="0" w:type="auto"/>
            <w:gridSpan w:val="3"/>
            <w:vAlign w:val="center"/>
            <w:hideMark/>
          </w:tcPr>
          <w:p w14:paraId="16634DBD" w14:textId="77777777" w:rsidR="00000000" w:rsidRDefault="001D0688">
            <w:pPr>
              <w:rPr>
                <w:rFonts w:eastAsia="Times New Roman"/>
                <w:sz w:val="20"/>
                <w:szCs w:val="20"/>
              </w:rPr>
            </w:pPr>
          </w:p>
        </w:tc>
        <w:tc>
          <w:tcPr>
            <w:tcW w:w="0" w:type="auto"/>
            <w:gridSpan w:val="3"/>
            <w:vAlign w:val="center"/>
            <w:hideMark/>
          </w:tcPr>
          <w:p w14:paraId="7AA9FD56" w14:textId="77777777" w:rsidR="00000000" w:rsidRDefault="001D0688">
            <w:pPr>
              <w:rPr>
                <w:rFonts w:eastAsia="Times New Roman"/>
                <w:sz w:val="20"/>
                <w:szCs w:val="20"/>
              </w:rPr>
            </w:pPr>
          </w:p>
        </w:tc>
        <w:tc>
          <w:tcPr>
            <w:tcW w:w="0" w:type="auto"/>
            <w:gridSpan w:val="3"/>
            <w:vAlign w:val="center"/>
            <w:hideMark/>
          </w:tcPr>
          <w:p w14:paraId="6668B67D" w14:textId="77777777" w:rsidR="00000000" w:rsidRDefault="001D0688">
            <w:pPr>
              <w:rPr>
                <w:rFonts w:eastAsia="Times New Roman"/>
                <w:sz w:val="20"/>
                <w:szCs w:val="20"/>
              </w:rPr>
            </w:pPr>
          </w:p>
        </w:tc>
        <w:tc>
          <w:tcPr>
            <w:tcW w:w="0" w:type="auto"/>
            <w:gridSpan w:val="3"/>
            <w:vAlign w:val="center"/>
            <w:hideMark/>
          </w:tcPr>
          <w:p w14:paraId="5A2DC921" w14:textId="77777777" w:rsidR="00000000" w:rsidRDefault="001D0688">
            <w:pPr>
              <w:rPr>
                <w:rFonts w:eastAsia="Times New Roman"/>
                <w:sz w:val="20"/>
                <w:szCs w:val="20"/>
              </w:rPr>
            </w:pPr>
          </w:p>
        </w:tc>
      </w:tr>
      <w:tr w:rsidR="00000000" w14:paraId="0F3C9CA5" w14:textId="77777777">
        <w:trPr>
          <w:divId w:val="1951008450"/>
          <w:jc w:val="center"/>
        </w:trPr>
        <w:tc>
          <w:tcPr>
            <w:tcW w:w="0" w:type="auto"/>
            <w:gridSpan w:val="3"/>
            <w:vAlign w:val="center"/>
            <w:hideMark/>
          </w:tcPr>
          <w:p w14:paraId="261D5233" w14:textId="77777777" w:rsidR="00000000" w:rsidRDefault="001D0688">
            <w:pPr>
              <w:rPr>
                <w:rFonts w:eastAsia="Times New Roman"/>
                <w:sz w:val="20"/>
                <w:szCs w:val="20"/>
              </w:rPr>
            </w:pPr>
          </w:p>
        </w:tc>
        <w:tc>
          <w:tcPr>
            <w:tcW w:w="0" w:type="auto"/>
            <w:gridSpan w:val="3"/>
            <w:vAlign w:val="center"/>
            <w:hideMark/>
          </w:tcPr>
          <w:p w14:paraId="4DE7370F" w14:textId="77777777" w:rsidR="00000000" w:rsidRDefault="001D0688">
            <w:pPr>
              <w:rPr>
                <w:rFonts w:eastAsia="Times New Roman"/>
                <w:sz w:val="20"/>
                <w:szCs w:val="20"/>
              </w:rPr>
            </w:pPr>
          </w:p>
        </w:tc>
        <w:tc>
          <w:tcPr>
            <w:tcW w:w="0" w:type="auto"/>
            <w:gridSpan w:val="3"/>
            <w:vAlign w:val="center"/>
            <w:hideMark/>
          </w:tcPr>
          <w:p w14:paraId="3A380DB2" w14:textId="77777777" w:rsidR="00000000" w:rsidRDefault="001D0688">
            <w:pPr>
              <w:rPr>
                <w:rFonts w:eastAsia="Times New Roman"/>
                <w:sz w:val="20"/>
                <w:szCs w:val="20"/>
              </w:rPr>
            </w:pPr>
          </w:p>
        </w:tc>
        <w:tc>
          <w:tcPr>
            <w:tcW w:w="0" w:type="auto"/>
            <w:gridSpan w:val="3"/>
            <w:vAlign w:val="center"/>
            <w:hideMark/>
          </w:tcPr>
          <w:p w14:paraId="137237F0" w14:textId="77777777" w:rsidR="00000000" w:rsidRDefault="001D0688">
            <w:pPr>
              <w:rPr>
                <w:rFonts w:eastAsia="Times New Roman"/>
                <w:sz w:val="20"/>
                <w:szCs w:val="20"/>
              </w:rPr>
            </w:pPr>
          </w:p>
        </w:tc>
        <w:tc>
          <w:tcPr>
            <w:tcW w:w="0" w:type="auto"/>
            <w:gridSpan w:val="3"/>
            <w:vAlign w:val="center"/>
            <w:hideMark/>
          </w:tcPr>
          <w:p w14:paraId="1FD8B699" w14:textId="77777777" w:rsidR="00000000" w:rsidRDefault="001D0688">
            <w:pPr>
              <w:rPr>
                <w:rFonts w:eastAsia="Times New Roman"/>
                <w:sz w:val="20"/>
                <w:szCs w:val="20"/>
              </w:rPr>
            </w:pPr>
          </w:p>
        </w:tc>
        <w:tc>
          <w:tcPr>
            <w:tcW w:w="0" w:type="auto"/>
            <w:gridSpan w:val="3"/>
            <w:vAlign w:val="center"/>
            <w:hideMark/>
          </w:tcPr>
          <w:p w14:paraId="57E1DF33" w14:textId="77777777" w:rsidR="00000000" w:rsidRDefault="001D0688">
            <w:pPr>
              <w:rPr>
                <w:rFonts w:eastAsia="Times New Roman"/>
                <w:sz w:val="20"/>
                <w:szCs w:val="20"/>
              </w:rPr>
            </w:pPr>
          </w:p>
        </w:tc>
      </w:tr>
      <w:tr w:rsidR="00000000" w14:paraId="434F498F"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235215BF" w14:textId="77777777" w:rsidR="00000000" w:rsidRDefault="001D0688">
            <w:pPr>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1915E2" w14:textId="77777777" w:rsidR="00000000" w:rsidRDefault="001D0688">
            <w:pPr>
              <w:jc w:val="right"/>
              <w:rPr>
                <w:rFonts w:eastAsia="Times New Roman"/>
              </w:rPr>
            </w:pPr>
            <w:r>
              <w:rPr>
                <w:rFonts w:ascii="Arial" w:eastAsia="Times New Roman" w:hAnsi="Arial" w:cs="Arial"/>
                <w:color w:val="000000"/>
                <w:sz w:val="16"/>
                <w:szCs w:val="16"/>
              </w:rPr>
              <w:t>(27.5)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693C3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8F8C2"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ABE2F9" w14:textId="77777777" w:rsidR="00000000" w:rsidRDefault="001D0688">
            <w:pPr>
              <w:jc w:val="right"/>
              <w:rPr>
                <w:rFonts w:eastAsia="Times New Roman"/>
              </w:rPr>
            </w:pPr>
            <w:r>
              <w:rPr>
                <w:rFonts w:ascii="Arial" w:eastAsia="Times New Roman" w:hAnsi="Arial" w:cs="Arial"/>
                <w:color w:val="000000"/>
                <w:sz w:val="16"/>
                <w:szCs w:val="16"/>
              </w:rPr>
              <w:t>(58.3)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2F42A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CBA83"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2C1620" w14:textId="77777777" w:rsidR="00000000" w:rsidRDefault="001D0688">
            <w:pPr>
              <w:jc w:val="right"/>
              <w:rPr>
                <w:rFonts w:eastAsia="Times New Roman"/>
              </w:rPr>
            </w:pPr>
            <w:r>
              <w:rPr>
                <w:rFonts w:ascii="Arial" w:eastAsia="Times New Roman" w:hAnsi="Arial" w:cs="Arial"/>
                <w:color w:val="000000"/>
                <w:sz w:val="16"/>
                <w:szCs w:val="16"/>
              </w:rPr>
              <w:t>(48.1)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5977A2" w14:textId="77777777" w:rsidR="00000000" w:rsidRDefault="001D0688">
            <w:pPr>
              <w:jc w:val="right"/>
              <w:rPr>
                <w:rFonts w:eastAsia="Times New Roman"/>
              </w:rPr>
            </w:pPr>
          </w:p>
        </w:tc>
      </w:tr>
      <w:tr w:rsidR="00000000" w14:paraId="196CDA89"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53C5C645" w14:textId="77777777" w:rsidR="00000000" w:rsidRDefault="001D0688">
            <w:pPr>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5541E4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1B7CFC"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496C9E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CC9482"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E6A2728" w14:textId="77777777" w:rsidR="00000000" w:rsidRDefault="001D0688">
            <w:pPr>
              <w:rPr>
                <w:rFonts w:eastAsia="Times New Roman"/>
                <w:sz w:val="20"/>
                <w:szCs w:val="20"/>
              </w:rPr>
            </w:pPr>
          </w:p>
        </w:tc>
      </w:tr>
      <w:tr w:rsidR="00000000" w14:paraId="3A64F9A4"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00088BAC" w14:textId="77777777" w:rsidR="00000000" w:rsidRDefault="001D0688">
            <w:pPr>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14:paraId="62E2E70D" w14:textId="77777777" w:rsidR="00000000" w:rsidRDefault="001D0688">
            <w:pPr>
              <w:jc w:val="right"/>
              <w:rPr>
                <w:rFonts w:eastAsia="Times New Roman"/>
              </w:rPr>
            </w:pPr>
            <w:r>
              <w:rPr>
                <w:rFonts w:ascii="Arial" w:eastAsia="Times New Roman" w:hAnsi="Arial" w:cs="Arial"/>
                <w:color w:val="000000"/>
                <w:sz w:val="16"/>
                <w:szCs w:val="16"/>
              </w:rPr>
              <w:t>(0.9)</w:t>
            </w:r>
          </w:p>
        </w:tc>
        <w:tc>
          <w:tcPr>
            <w:tcW w:w="0" w:type="auto"/>
            <w:shd w:val="clear" w:color="auto" w:fill="FFFFFF"/>
            <w:tcMar>
              <w:top w:w="30" w:type="dxa"/>
              <w:left w:w="0" w:type="dxa"/>
              <w:bottom w:w="30" w:type="dxa"/>
              <w:right w:w="20" w:type="dxa"/>
            </w:tcMar>
            <w:vAlign w:val="bottom"/>
            <w:hideMark/>
          </w:tcPr>
          <w:p w14:paraId="35C6C5F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4D5C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AA9068" w14:textId="77777777" w:rsidR="00000000" w:rsidRDefault="001D0688">
            <w:pPr>
              <w:jc w:val="right"/>
              <w:rPr>
                <w:rFonts w:eastAsia="Times New Roman"/>
              </w:rPr>
            </w:pPr>
            <w:r>
              <w:rPr>
                <w:rFonts w:ascii="Arial" w:eastAsia="Times New Roman" w:hAnsi="Arial" w:cs="Arial"/>
                <w:color w:val="000000"/>
                <w:sz w:val="16"/>
                <w:szCs w:val="16"/>
              </w:rPr>
              <w:t>(1.3)</w:t>
            </w:r>
          </w:p>
        </w:tc>
        <w:tc>
          <w:tcPr>
            <w:tcW w:w="0" w:type="auto"/>
            <w:shd w:val="clear" w:color="auto" w:fill="FFFFFF"/>
            <w:tcMar>
              <w:top w:w="30" w:type="dxa"/>
              <w:left w:w="0" w:type="dxa"/>
              <w:bottom w:w="30" w:type="dxa"/>
              <w:right w:w="20" w:type="dxa"/>
            </w:tcMar>
            <w:vAlign w:val="bottom"/>
            <w:hideMark/>
          </w:tcPr>
          <w:p w14:paraId="0D72C07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DA70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CF082" w14:textId="77777777" w:rsidR="00000000" w:rsidRDefault="001D0688">
            <w:pPr>
              <w:jc w:val="right"/>
              <w:rPr>
                <w:rFonts w:eastAsia="Times New Roman"/>
              </w:rPr>
            </w:pPr>
            <w:r>
              <w:rPr>
                <w:rFonts w:ascii="Arial" w:eastAsia="Times New Roman" w:hAnsi="Arial" w:cs="Arial"/>
                <w:color w:val="000000"/>
                <w:sz w:val="16"/>
                <w:szCs w:val="16"/>
              </w:rPr>
              <w:t>(1.0)</w:t>
            </w:r>
          </w:p>
        </w:tc>
        <w:tc>
          <w:tcPr>
            <w:tcW w:w="0" w:type="auto"/>
            <w:shd w:val="clear" w:color="auto" w:fill="FFFFFF"/>
            <w:tcMar>
              <w:top w:w="30" w:type="dxa"/>
              <w:left w:w="0" w:type="dxa"/>
              <w:bottom w:w="30" w:type="dxa"/>
              <w:right w:w="20" w:type="dxa"/>
            </w:tcMar>
            <w:vAlign w:val="bottom"/>
            <w:hideMark/>
          </w:tcPr>
          <w:p w14:paraId="4773A3F0" w14:textId="77777777" w:rsidR="00000000" w:rsidRDefault="001D0688">
            <w:pPr>
              <w:jc w:val="right"/>
              <w:rPr>
                <w:rFonts w:eastAsia="Times New Roman"/>
              </w:rPr>
            </w:pPr>
          </w:p>
        </w:tc>
      </w:tr>
      <w:tr w:rsidR="00000000" w14:paraId="28724DBF" w14:textId="77777777">
        <w:trPr>
          <w:divId w:val="1951008450"/>
          <w:jc w:val="center"/>
        </w:trPr>
        <w:tc>
          <w:tcPr>
            <w:tcW w:w="0" w:type="auto"/>
            <w:gridSpan w:val="3"/>
            <w:vAlign w:val="center"/>
            <w:hideMark/>
          </w:tcPr>
          <w:p w14:paraId="4EC9DF0B" w14:textId="77777777" w:rsidR="00000000" w:rsidRDefault="001D0688">
            <w:pPr>
              <w:jc w:val="right"/>
              <w:rPr>
                <w:rFonts w:eastAsia="Times New Roman"/>
                <w:sz w:val="20"/>
                <w:szCs w:val="20"/>
              </w:rPr>
            </w:pPr>
          </w:p>
        </w:tc>
        <w:tc>
          <w:tcPr>
            <w:tcW w:w="0" w:type="auto"/>
            <w:gridSpan w:val="3"/>
            <w:vAlign w:val="center"/>
            <w:hideMark/>
          </w:tcPr>
          <w:p w14:paraId="317E9A5D" w14:textId="77777777" w:rsidR="00000000" w:rsidRDefault="001D0688">
            <w:pPr>
              <w:rPr>
                <w:rFonts w:eastAsia="Times New Roman"/>
                <w:sz w:val="20"/>
                <w:szCs w:val="20"/>
              </w:rPr>
            </w:pPr>
          </w:p>
        </w:tc>
        <w:tc>
          <w:tcPr>
            <w:tcW w:w="0" w:type="auto"/>
            <w:gridSpan w:val="3"/>
            <w:vAlign w:val="center"/>
            <w:hideMark/>
          </w:tcPr>
          <w:p w14:paraId="60F4B4CE" w14:textId="77777777" w:rsidR="00000000" w:rsidRDefault="001D0688">
            <w:pPr>
              <w:rPr>
                <w:rFonts w:eastAsia="Times New Roman"/>
                <w:sz w:val="20"/>
                <w:szCs w:val="20"/>
              </w:rPr>
            </w:pPr>
          </w:p>
        </w:tc>
        <w:tc>
          <w:tcPr>
            <w:tcW w:w="0" w:type="auto"/>
            <w:gridSpan w:val="3"/>
            <w:vAlign w:val="center"/>
            <w:hideMark/>
          </w:tcPr>
          <w:p w14:paraId="26C92691" w14:textId="77777777" w:rsidR="00000000" w:rsidRDefault="001D0688">
            <w:pPr>
              <w:rPr>
                <w:rFonts w:eastAsia="Times New Roman"/>
                <w:sz w:val="20"/>
                <w:szCs w:val="20"/>
              </w:rPr>
            </w:pPr>
          </w:p>
        </w:tc>
        <w:tc>
          <w:tcPr>
            <w:tcW w:w="0" w:type="auto"/>
            <w:gridSpan w:val="3"/>
            <w:vAlign w:val="center"/>
            <w:hideMark/>
          </w:tcPr>
          <w:p w14:paraId="0DD95974" w14:textId="77777777" w:rsidR="00000000" w:rsidRDefault="001D0688">
            <w:pPr>
              <w:rPr>
                <w:rFonts w:eastAsia="Times New Roman"/>
                <w:sz w:val="20"/>
                <w:szCs w:val="20"/>
              </w:rPr>
            </w:pPr>
          </w:p>
        </w:tc>
        <w:tc>
          <w:tcPr>
            <w:tcW w:w="0" w:type="auto"/>
            <w:gridSpan w:val="3"/>
            <w:vAlign w:val="center"/>
            <w:hideMark/>
          </w:tcPr>
          <w:p w14:paraId="66496345" w14:textId="77777777" w:rsidR="00000000" w:rsidRDefault="001D0688">
            <w:pPr>
              <w:rPr>
                <w:rFonts w:eastAsia="Times New Roman"/>
                <w:sz w:val="20"/>
                <w:szCs w:val="20"/>
              </w:rPr>
            </w:pPr>
          </w:p>
        </w:tc>
      </w:tr>
      <w:tr w:rsidR="00000000" w14:paraId="33FA1580"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441D5FA5" w14:textId="77777777" w:rsidR="00000000" w:rsidRDefault="001D0688">
            <w:pPr>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DCE2EF"/>
            <w:tcMar>
              <w:top w:w="30" w:type="dxa"/>
              <w:left w:w="20" w:type="dxa"/>
              <w:bottom w:w="30" w:type="dxa"/>
              <w:right w:w="0" w:type="dxa"/>
            </w:tcMar>
            <w:vAlign w:val="bottom"/>
            <w:hideMark/>
          </w:tcPr>
          <w:p w14:paraId="35EB0CD1" w14:textId="77777777" w:rsidR="00000000" w:rsidRDefault="001D0688">
            <w:pPr>
              <w:jc w:val="right"/>
              <w:rPr>
                <w:rFonts w:eastAsia="Times New Roman"/>
              </w:rPr>
            </w:pPr>
            <w:r>
              <w:rPr>
                <w:rFonts w:ascii="Arial" w:eastAsia="Times New Roman" w:hAnsi="Arial" w:cs="Arial"/>
                <w:color w:val="000000"/>
                <w:sz w:val="16"/>
                <w:szCs w:val="16"/>
              </w:rPr>
              <w:t>(5.1)</w:t>
            </w:r>
          </w:p>
        </w:tc>
        <w:tc>
          <w:tcPr>
            <w:tcW w:w="0" w:type="auto"/>
            <w:shd w:val="clear" w:color="auto" w:fill="DCE2EF"/>
            <w:tcMar>
              <w:top w:w="30" w:type="dxa"/>
              <w:left w:w="0" w:type="dxa"/>
              <w:bottom w:w="30" w:type="dxa"/>
              <w:right w:w="20" w:type="dxa"/>
            </w:tcMar>
            <w:vAlign w:val="bottom"/>
            <w:hideMark/>
          </w:tcPr>
          <w:p w14:paraId="1557798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DE147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DC34289"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46DC7BE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8A29C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70ACFA"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1BA8C0D3" w14:textId="77777777" w:rsidR="00000000" w:rsidRDefault="001D0688">
            <w:pPr>
              <w:jc w:val="right"/>
              <w:rPr>
                <w:rFonts w:eastAsia="Times New Roman"/>
              </w:rPr>
            </w:pPr>
          </w:p>
        </w:tc>
      </w:tr>
      <w:tr w:rsidR="00000000" w14:paraId="4C08B2A6"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1C17A7D8" w14:textId="77777777" w:rsidR="00000000" w:rsidRDefault="001D0688">
            <w:pPr>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14:paraId="528EC2DD" w14:textId="77777777" w:rsidR="00000000" w:rsidRDefault="001D0688">
            <w:pPr>
              <w:jc w:val="right"/>
              <w:rPr>
                <w:rFonts w:eastAsia="Times New Roman"/>
              </w:rPr>
            </w:pPr>
            <w:r>
              <w:rPr>
                <w:rFonts w:ascii="Arial" w:eastAsia="Times New Roman" w:hAnsi="Arial" w:cs="Arial"/>
                <w:color w:val="000000"/>
                <w:sz w:val="16"/>
                <w:szCs w:val="16"/>
              </w:rPr>
              <w:t>(49.3)</w:t>
            </w:r>
          </w:p>
        </w:tc>
        <w:tc>
          <w:tcPr>
            <w:tcW w:w="0" w:type="auto"/>
            <w:shd w:val="clear" w:color="auto" w:fill="FFFFFF"/>
            <w:tcMar>
              <w:top w:w="30" w:type="dxa"/>
              <w:left w:w="0" w:type="dxa"/>
              <w:bottom w:w="30" w:type="dxa"/>
              <w:right w:w="20" w:type="dxa"/>
            </w:tcMar>
            <w:vAlign w:val="bottom"/>
            <w:hideMark/>
          </w:tcPr>
          <w:p w14:paraId="49D6775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E3E3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96BC59" w14:textId="77777777" w:rsidR="00000000" w:rsidRDefault="001D0688">
            <w:pPr>
              <w:jc w:val="right"/>
              <w:rPr>
                <w:rFonts w:eastAsia="Times New Roman"/>
              </w:rPr>
            </w:pPr>
            <w:r>
              <w:rPr>
                <w:rFonts w:ascii="Arial" w:eastAsia="Times New Roman" w:hAnsi="Arial" w:cs="Arial"/>
                <w:color w:val="000000"/>
                <w:sz w:val="16"/>
                <w:szCs w:val="16"/>
              </w:rPr>
              <w:t>(47.7)</w:t>
            </w:r>
          </w:p>
        </w:tc>
        <w:tc>
          <w:tcPr>
            <w:tcW w:w="0" w:type="auto"/>
            <w:shd w:val="clear" w:color="auto" w:fill="FFFFFF"/>
            <w:tcMar>
              <w:top w:w="30" w:type="dxa"/>
              <w:left w:w="0" w:type="dxa"/>
              <w:bottom w:w="30" w:type="dxa"/>
              <w:right w:w="20" w:type="dxa"/>
            </w:tcMar>
            <w:vAlign w:val="bottom"/>
            <w:hideMark/>
          </w:tcPr>
          <w:p w14:paraId="47C4646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D3EA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96815" w14:textId="77777777" w:rsidR="00000000" w:rsidRDefault="001D0688">
            <w:pPr>
              <w:jc w:val="right"/>
              <w:rPr>
                <w:rFonts w:eastAsia="Times New Roman"/>
              </w:rPr>
            </w:pPr>
            <w:r>
              <w:rPr>
                <w:rFonts w:ascii="Arial" w:eastAsia="Times New Roman" w:hAnsi="Arial" w:cs="Arial"/>
                <w:color w:val="000000"/>
                <w:sz w:val="16"/>
                <w:szCs w:val="16"/>
              </w:rPr>
              <w:t>(46.0)</w:t>
            </w:r>
          </w:p>
        </w:tc>
        <w:tc>
          <w:tcPr>
            <w:tcW w:w="0" w:type="auto"/>
            <w:shd w:val="clear" w:color="auto" w:fill="FFFFFF"/>
            <w:tcMar>
              <w:top w:w="30" w:type="dxa"/>
              <w:left w:w="0" w:type="dxa"/>
              <w:bottom w:w="30" w:type="dxa"/>
              <w:right w:w="20" w:type="dxa"/>
            </w:tcMar>
            <w:vAlign w:val="bottom"/>
            <w:hideMark/>
          </w:tcPr>
          <w:p w14:paraId="10CAB830" w14:textId="77777777" w:rsidR="00000000" w:rsidRDefault="001D0688">
            <w:pPr>
              <w:jc w:val="right"/>
              <w:rPr>
                <w:rFonts w:eastAsia="Times New Roman"/>
              </w:rPr>
            </w:pPr>
          </w:p>
        </w:tc>
      </w:tr>
      <w:tr w:rsidR="00000000" w14:paraId="49150320"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04BA6067" w14:textId="77777777" w:rsidR="00000000" w:rsidRDefault="001D0688">
            <w:pPr>
              <w:rPr>
                <w:rFonts w:eastAsia="Times New Roman"/>
              </w:rPr>
            </w:pPr>
            <w:r>
              <w:rPr>
                <w:rFonts w:ascii="Arial" w:eastAsia="Times New Roman" w:hAnsi="Arial" w:cs="Arial"/>
                <w:color w:val="000000"/>
                <w:sz w:val="16"/>
                <w:szCs w:val="16"/>
              </w:rPr>
              <w:t>Deferred financing costs paid</w:t>
            </w:r>
          </w:p>
        </w:tc>
        <w:tc>
          <w:tcPr>
            <w:tcW w:w="0" w:type="auto"/>
            <w:gridSpan w:val="2"/>
            <w:shd w:val="clear" w:color="auto" w:fill="DCE2EF"/>
            <w:tcMar>
              <w:top w:w="30" w:type="dxa"/>
              <w:left w:w="20" w:type="dxa"/>
              <w:bottom w:w="30" w:type="dxa"/>
              <w:right w:w="0" w:type="dxa"/>
            </w:tcMar>
            <w:vAlign w:val="bottom"/>
            <w:hideMark/>
          </w:tcPr>
          <w:p w14:paraId="7D10F793" w14:textId="77777777" w:rsidR="00000000" w:rsidRDefault="001D0688">
            <w:pPr>
              <w:jc w:val="right"/>
              <w:rPr>
                <w:rFonts w:eastAsia="Times New Roman"/>
              </w:rPr>
            </w:pPr>
            <w:r>
              <w:rPr>
                <w:rFonts w:ascii="Arial" w:eastAsia="Times New Roman" w:hAnsi="Arial" w:cs="Arial"/>
                <w:color w:val="000000"/>
                <w:sz w:val="16"/>
                <w:szCs w:val="16"/>
              </w:rPr>
              <w:t>(4.4)</w:t>
            </w:r>
          </w:p>
        </w:tc>
        <w:tc>
          <w:tcPr>
            <w:tcW w:w="0" w:type="auto"/>
            <w:shd w:val="clear" w:color="auto" w:fill="DCE2EF"/>
            <w:tcMar>
              <w:top w:w="30" w:type="dxa"/>
              <w:left w:w="0" w:type="dxa"/>
              <w:bottom w:w="30" w:type="dxa"/>
              <w:right w:w="20" w:type="dxa"/>
            </w:tcMar>
            <w:vAlign w:val="bottom"/>
            <w:hideMark/>
          </w:tcPr>
          <w:p w14:paraId="0EF6D06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A56E4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E83C353" w14:textId="77777777" w:rsidR="00000000" w:rsidRDefault="001D0688">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5FE92FD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DCA85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F32E0A8" w14:textId="77777777" w:rsidR="00000000" w:rsidRDefault="001D0688">
            <w:pPr>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14:paraId="7DE158B5" w14:textId="77777777" w:rsidR="00000000" w:rsidRDefault="001D0688">
            <w:pPr>
              <w:jc w:val="right"/>
              <w:rPr>
                <w:rFonts w:eastAsia="Times New Roman"/>
              </w:rPr>
            </w:pPr>
          </w:p>
        </w:tc>
      </w:tr>
      <w:tr w:rsidR="00000000" w14:paraId="4A98D218"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4625C7B4" w14:textId="77777777" w:rsidR="00000000" w:rsidRDefault="001D0688">
            <w:pPr>
              <w:rPr>
                <w:rFonts w:eastAsia="Times New Roman"/>
              </w:rPr>
            </w:pPr>
            <w:r>
              <w:rPr>
                <w:rFonts w:ascii="Arial" w:eastAsia="Times New Roman" w:hAnsi="Arial" w:cs="Arial"/>
                <w:color w:val="000000"/>
                <w:sz w:val="16"/>
                <w:szCs w:val="16"/>
              </w:rPr>
              <w:t>Borrowings from credit facility</w:t>
            </w:r>
          </w:p>
        </w:tc>
        <w:tc>
          <w:tcPr>
            <w:tcW w:w="0" w:type="auto"/>
            <w:gridSpan w:val="2"/>
            <w:shd w:val="clear" w:color="auto" w:fill="FFFFFF"/>
            <w:tcMar>
              <w:top w:w="30" w:type="dxa"/>
              <w:left w:w="20" w:type="dxa"/>
              <w:bottom w:w="30" w:type="dxa"/>
              <w:right w:w="0" w:type="dxa"/>
            </w:tcMar>
            <w:vAlign w:val="bottom"/>
            <w:hideMark/>
          </w:tcPr>
          <w:p w14:paraId="326B1F81" w14:textId="77777777" w:rsidR="00000000" w:rsidRDefault="001D0688">
            <w:pPr>
              <w:jc w:val="right"/>
              <w:rPr>
                <w:rFonts w:eastAsia="Times New Roman"/>
              </w:rPr>
            </w:pPr>
            <w:r>
              <w:rPr>
                <w:rFonts w:ascii="Arial" w:eastAsia="Times New Roman" w:hAnsi="Arial" w:cs="Arial"/>
                <w:color w:val="000000"/>
                <w:sz w:val="16"/>
                <w:szCs w:val="16"/>
              </w:rPr>
              <w:t>1,058.5 </w:t>
            </w:r>
          </w:p>
        </w:tc>
        <w:tc>
          <w:tcPr>
            <w:tcW w:w="0" w:type="auto"/>
            <w:shd w:val="clear" w:color="auto" w:fill="FFFFFF"/>
            <w:tcMar>
              <w:top w:w="30" w:type="dxa"/>
              <w:left w:w="0" w:type="dxa"/>
              <w:bottom w:w="30" w:type="dxa"/>
              <w:right w:w="20" w:type="dxa"/>
            </w:tcMar>
            <w:vAlign w:val="bottom"/>
            <w:hideMark/>
          </w:tcPr>
          <w:p w14:paraId="52A46CE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2E05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53E33" w14:textId="77777777" w:rsidR="00000000" w:rsidRDefault="001D0688">
            <w:pPr>
              <w:jc w:val="right"/>
              <w:rPr>
                <w:rFonts w:eastAsia="Times New Roman"/>
              </w:rPr>
            </w:pPr>
            <w:r>
              <w:rPr>
                <w:rFonts w:ascii="Arial" w:eastAsia="Times New Roman" w:hAnsi="Arial" w:cs="Arial"/>
                <w:color w:val="000000"/>
                <w:sz w:val="16"/>
                <w:szCs w:val="16"/>
              </w:rPr>
              <w:t>1,755.9 </w:t>
            </w:r>
          </w:p>
        </w:tc>
        <w:tc>
          <w:tcPr>
            <w:tcW w:w="0" w:type="auto"/>
            <w:shd w:val="clear" w:color="auto" w:fill="FFFFFF"/>
            <w:tcMar>
              <w:top w:w="30" w:type="dxa"/>
              <w:left w:w="0" w:type="dxa"/>
              <w:bottom w:w="30" w:type="dxa"/>
              <w:right w:w="20" w:type="dxa"/>
            </w:tcMar>
            <w:vAlign w:val="bottom"/>
            <w:hideMark/>
          </w:tcPr>
          <w:p w14:paraId="4080072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9EB70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E0AEA3" w14:textId="77777777" w:rsidR="00000000" w:rsidRDefault="001D0688">
            <w:pPr>
              <w:jc w:val="right"/>
              <w:rPr>
                <w:rFonts w:eastAsia="Times New Roman"/>
              </w:rPr>
            </w:pPr>
            <w:r>
              <w:rPr>
                <w:rFonts w:ascii="Arial" w:eastAsia="Times New Roman" w:hAnsi="Arial" w:cs="Arial"/>
                <w:color w:val="000000"/>
                <w:sz w:val="16"/>
                <w:szCs w:val="16"/>
              </w:rPr>
              <w:t>1,184.2 </w:t>
            </w:r>
          </w:p>
        </w:tc>
        <w:tc>
          <w:tcPr>
            <w:tcW w:w="0" w:type="auto"/>
            <w:shd w:val="clear" w:color="auto" w:fill="FFFFFF"/>
            <w:tcMar>
              <w:top w:w="30" w:type="dxa"/>
              <w:left w:w="0" w:type="dxa"/>
              <w:bottom w:w="30" w:type="dxa"/>
              <w:right w:w="20" w:type="dxa"/>
            </w:tcMar>
            <w:vAlign w:val="bottom"/>
            <w:hideMark/>
          </w:tcPr>
          <w:p w14:paraId="179858F1" w14:textId="77777777" w:rsidR="00000000" w:rsidRDefault="001D0688">
            <w:pPr>
              <w:jc w:val="right"/>
              <w:rPr>
                <w:rFonts w:eastAsia="Times New Roman"/>
              </w:rPr>
            </w:pPr>
          </w:p>
        </w:tc>
      </w:tr>
      <w:tr w:rsidR="00000000" w14:paraId="5BA1359B"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63C0B391" w14:textId="77777777" w:rsidR="00000000" w:rsidRDefault="001D0688">
            <w:pPr>
              <w:rPr>
                <w:rFonts w:eastAsia="Times New Roman"/>
              </w:rPr>
            </w:pPr>
            <w:r>
              <w:rPr>
                <w:rFonts w:ascii="Arial" w:eastAsia="Times New Roman" w:hAnsi="Arial" w:cs="Arial"/>
                <w:color w:val="000000"/>
                <w:sz w:val="16"/>
                <w:szCs w:val="16"/>
              </w:rPr>
              <w:t>Repayment of borrowings from credit facility</w:t>
            </w:r>
          </w:p>
        </w:tc>
        <w:tc>
          <w:tcPr>
            <w:tcW w:w="0" w:type="auto"/>
            <w:gridSpan w:val="2"/>
            <w:shd w:val="clear" w:color="auto" w:fill="DCE2EF"/>
            <w:tcMar>
              <w:top w:w="30" w:type="dxa"/>
              <w:left w:w="20" w:type="dxa"/>
              <w:bottom w:w="30" w:type="dxa"/>
              <w:right w:w="0" w:type="dxa"/>
            </w:tcMar>
            <w:vAlign w:val="bottom"/>
            <w:hideMark/>
          </w:tcPr>
          <w:p w14:paraId="72B59B23" w14:textId="77777777" w:rsidR="00000000" w:rsidRDefault="001D0688">
            <w:pPr>
              <w:jc w:val="right"/>
              <w:rPr>
                <w:rFonts w:eastAsia="Times New Roman"/>
              </w:rPr>
            </w:pPr>
            <w:r>
              <w:rPr>
                <w:rFonts w:ascii="Arial" w:eastAsia="Times New Roman" w:hAnsi="Arial" w:cs="Arial"/>
                <w:color w:val="000000"/>
                <w:sz w:val="16"/>
                <w:szCs w:val="16"/>
              </w:rPr>
              <w:t>(1,141.6)</w:t>
            </w:r>
          </w:p>
        </w:tc>
        <w:tc>
          <w:tcPr>
            <w:tcW w:w="0" w:type="auto"/>
            <w:shd w:val="clear" w:color="auto" w:fill="DCE2EF"/>
            <w:tcMar>
              <w:top w:w="30" w:type="dxa"/>
              <w:left w:w="0" w:type="dxa"/>
              <w:bottom w:w="30" w:type="dxa"/>
              <w:right w:w="20" w:type="dxa"/>
            </w:tcMar>
            <w:vAlign w:val="bottom"/>
            <w:hideMark/>
          </w:tcPr>
          <w:p w14:paraId="3C0D894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E580A2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89B409" w14:textId="77777777" w:rsidR="00000000" w:rsidRDefault="001D0688">
            <w:pPr>
              <w:jc w:val="right"/>
              <w:rPr>
                <w:rFonts w:eastAsia="Times New Roman"/>
              </w:rPr>
            </w:pPr>
            <w:r>
              <w:rPr>
                <w:rFonts w:ascii="Arial" w:eastAsia="Times New Roman" w:hAnsi="Arial" w:cs="Arial"/>
                <w:color w:val="000000"/>
                <w:sz w:val="16"/>
                <w:szCs w:val="16"/>
              </w:rPr>
              <w:t>(1,896.5)</w:t>
            </w:r>
          </w:p>
        </w:tc>
        <w:tc>
          <w:tcPr>
            <w:tcW w:w="0" w:type="auto"/>
            <w:shd w:val="clear" w:color="auto" w:fill="DCE2EF"/>
            <w:tcMar>
              <w:top w:w="30" w:type="dxa"/>
              <w:left w:w="0" w:type="dxa"/>
              <w:bottom w:w="30" w:type="dxa"/>
              <w:right w:w="20" w:type="dxa"/>
            </w:tcMar>
            <w:vAlign w:val="bottom"/>
            <w:hideMark/>
          </w:tcPr>
          <w:p w14:paraId="37CC968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B6DFE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B78EBD" w14:textId="77777777" w:rsidR="00000000" w:rsidRDefault="001D0688">
            <w:pPr>
              <w:jc w:val="right"/>
              <w:rPr>
                <w:rFonts w:eastAsia="Times New Roman"/>
              </w:rPr>
            </w:pPr>
            <w:r>
              <w:rPr>
                <w:rFonts w:ascii="Arial" w:eastAsia="Times New Roman" w:hAnsi="Arial" w:cs="Arial"/>
                <w:color w:val="000000"/>
                <w:sz w:val="16"/>
                <w:szCs w:val="16"/>
              </w:rPr>
              <w:t>(1,426.4)</w:t>
            </w:r>
          </w:p>
        </w:tc>
        <w:tc>
          <w:tcPr>
            <w:tcW w:w="0" w:type="auto"/>
            <w:shd w:val="clear" w:color="auto" w:fill="DCE2EF"/>
            <w:tcMar>
              <w:top w:w="30" w:type="dxa"/>
              <w:left w:w="0" w:type="dxa"/>
              <w:bottom w:w="30" w:type="dxa"/>
              <w:right w:w="20" w:type="dxa"/>
            </w:tcMar>
            <w:vAlign w:val="bottom"/>
            <w:hideMark/>
          </w:tcPr>
          <w:p w14:paraId="04EB8D87" w14:textId="77777777" w:rsidR="00000000" w:rsidRDefault="001D0688">
            <w:pPr>
              <w:jc w:val="right"/>
              <w:rPr>
                <w:rFonts w:eastAsia="Times New Roman"/>
              </w:rPr>
            </w:pPr>
          </w:p>
        </w:tc>
      </w:tr>
      <w:tr w:rsidR="00000000" w14:paraId="485D73DC" w14:textId="77777777">
        <w:trPr>
          <w:divId w:val="1951008450"/>
          <w:jc w:val="center"/>
        </w:trPr>
        <w:tc>
          <w:tcPr>
            <w:tcW w:w="0" w:type="auto"/>
            <w:gridSpan w:val="3"/>
            <w:vAlign w:val="center"/>
            <w:hideMark/>
          </w:tcPr>
          <w:p w14:paraId="529252AD" w14:textId="77777777" w:rsidR="00000000" w:rsidRDefault="001D0688">
            <w:pPr>
              <w:jc w:val="right"/>
              <w:rPr>
                <w:rFonts w:eastAsia="Times New Roman"/>
                <w:sz w:val="20"/>
                <w:szCs w:val="20"/>
              </w:rPr>
            </w:pPr>
          </w:p>
        </w:tc>
        <w:tc>
          <w:tcPr>
            <w:tcW w:w="0" w:type="auto"/>
            <w:gridSpan w:val="3"/>
            <w:vAlign w:val="center"/>
            <w:hideMark/>
          </w:tcPr>
          <w:p w14:paraId="527A88BE" w14:textId="77777777" w:rsidR="00000000" w:rsidRDefault="001D0688">
            <w:pPr>
              <w:rPr>
                <w:rFonts w:eastAsia="Times New Roman"/>
                <w:sz w:val="20"/>
                <w:szCs w:val="20"/>
              </w:rPr>
            </w:pPr>
          </w:p>
        </w:tc>
        <w:tc>
          <w:tcPr>
            <w:tcW w:w="0" w:type="auto"/>
            <w:gridSpan w:val="3"/>
            <w:vAlign w:val="center"/>
            <w:hideMark/>
          </w:tcPr>
          <w:p w14:paraId="41DCCF51" w14:textId="77777777" w:rsidR="00000000" w:rsidRDefault="001D0688">
            <w:pPr>
              <w:rPr>
                <w:rFonts w:eastAsia="Times New Roman"/>
                <w:sz w:val="20"/>
                <w:szCs w:val="20"/>
              </w:rPr>
            </w:pPr>
          </w:p>
        </w:tc>
        <w:tc>
          <w:tcPr>
            <w:tcW w:w="0" w:type="auto"/>
            <w:gridSpan w:val="3"/>
            <w:vAlign w:val="center"/>
            <w:hideMark/>
          </w:tcPr>
          <w:p w14:paraId="4F0A3EA7" w14:textId="77777777" w:rsidR="00000000" w:rsidRDefault="001D0688">
            <w:pPr>
              <w:rPr>
                <w:rFonts w:eastAsia="Times New Roman"/>
                <w:sz w:val="20"/>
                <w:szCs w:val="20"/>
              </w:rPr>
            </w:pPr>
          </w:p>
        </w:tc>
        <w:tc>
          <w:tcPr>
            <w:tcW w:w="0" w:type="auto"/>
            <w:gridSpan w:val="3"/>
            <w:vAlign w:val="center"/>
            <w:hideMark/>
          </w:tcPr>
          <w:p w14:paraId="5712598B" w14:textId="77777777" w:rsidR="00000000" w:rsidRDefault="001D0688">
            <w:pPr>
              <w:rPr>
                <w:rFonts w:eastAsia="Times New Roman"/>
                <w:sz w:val="20"/>
                <w:szCs w:val="20"/>
              </w:rPr>
            </w:pPr>
          </w:p>
        </w:tc>
        <w:tc>
          <w:tcPr>
            <w:tcW w:w="0" w:type="auto"/>
            <w:gridSpan w:val="3"/>
            <w:vAlign w:val="center"/>
            <w:hideMark/>
          </w:tcPr>
          <w:p w14:paraId="76021145" w14:textId="77777777" w:rsidR="00000000" w:rsidRDefault="001D0688">
            <w:pPr>
              <w:rPr>
                <w:rFonts w:eastAsia="Times New Roman"/>
                <w:sz w:val="20"/>
                <w:szCs w:val="20"/>
              </w:rPr>
            </w:pPr>
          </w:p>
        </w:tc>
      </w:tr>
      <w:tr w:rsidR="00000000" w14:paraId="2296E5CB"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44329910" w14:textId="77777777" w:rsidR="00000000" w:rsidRDefault="001D0688">
            <w:pPr>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FFFFFF"/>
            <w:tcMar>
              <w:top w:w="30" w:type="dxa"/>
              <w:left w:w="20" w:type="dxa"/>
              <w:bottom w:w="30" w:type="dxa"/>
              <w:right w:w="0" w:type="dxa"/>
            </w:tcMar>
            <w:vAlign w:val="bottom"/>
            <w:hideMark/>
          </w:tcPr>
          <w:p w14:paraId="6426C1FE" w14:textId="77777777" w:rsidR="00000000" w:rsidRDefault="001D0688">
            <w:pPr>
              <w:jc w:val="right"/>
              <w:rPr>
                <w:rFonts w:eastAsia="Times New Roman"/>
              </w:rPr>
            </w:pPr>
            <w:r>
              <w:rPr>
                <w:rFonts w:ascii="Arial" w:eastAsia="Times New Roman" w:hAnsi="Arial" w:cs="Arial"/>
                <w:color w:val="000000"/>
                <w:sz w:val="16"/>
                <w:szCs w:val="16"/>
              </w:rPr>
              <w:t>41.2 </w:t>
            </w:r>
          </w:p>
        </w:tc>
        <w:tc>
          <w:tcPr>
            <w:tcW w:w="0" w:type="auto"/>
            <w:shd w:val="clear" w:color="auto" w:fill="FFFFFF"/>
            <w:tcMar>
              <w:top w:w="30" w:type="dxa"/>
              <w:left w:w="0" w:type="dxa"/>
              <w:bottom w:w="30" w:type="dxa"/>
              <w:right w:w="20" w:type="dxa"/>
            </w:tcMar>
            <w:vAlign w:val="bottom"/>
            <w:hideMark/>
          </w:tcPr>
          <w:p w14:paraId="3DED1C8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CD03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CD860" w14:textId="77777777" w:rsidR="00000000" w:rsidRDefault="001D0688">
            <w:pPr>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14:paraId="2185A12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463E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F99618" w14:textId="77777777" w:rsidR="00000000" w:rsidRDefault="001D0688">
            <w:pPr>
              <w:jc w:val="right"/>
              <w:rPr>
                <w:rFonts w:eastAsia="Times New Roman"/>
              </w:rPr>
            </w:pPr>
            <w:r>
              <w:rPr>
                <w:rFonts w:ascii="Arial" w:eastAsia="Times New Roman" w:hAnsi="Arial" w:cs="Arial"/>
                <w:color w:val="000000"/>
                <w:sz w:val="16"/>
                <w:szCs w:val="16"/>
              </w:rPr>
              <w:t>(8.5)</w:t>
            </w:r>
          </w:p>
        </w:tc>
        <w:tc>
          <w:tcPr>
            <w:tcW w:w="0" w:type="auto"/>
            <w:shd w:val="clear" w:color="auto" w:fill="FFFFFF"/>
            <w:tcMar>
              <w:top w:w="30" w:type="dxa"/>
              <w:left w:w="0" w:type="dxa"/>
              <w:bottom w:w="30" w:type="dxa"/>
              <w:right w:w="20" w:type="dxa"/>
            </w:tcMar>
            <w:vAlign w:val="bottom"/>
            <w:hideMark/>
          </w:tcPr>
          <w:p w14:paraId="1CFFF641" w14:textId="77777777" w:rsidR="00000000" w:rsidRDefault="001D0688">
            <w:pPr>
              <w:jc w:val="right"/>
              <w:rPr>
                <w:rFonts w:eastAsia="Times New Roman"/>
              </w:rPr>
            </w:pPr>
          </w:p>
        </w:tc>
      </w:tr>
      <w:tr w:rsidR="00000000" w14:paraId="020E178E"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11FA6FD8" w14:textId="77777777" w:rsidR="00000000" w:rsidRDefault="001D0688">
            <w:pPr>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DCE2EF"/>
            <w:tcMar>
              <w:top w:w="30" w:type="dxa"/>
              <w:left w:w="20" w:type="dxa"/>
              <w:bottom w:w="30" w:type="dxa"/>
              <w:right w:w="0" w:type="dxa"/>
            </w:tcMar>
            <w:vAlign w:val="bottom"/>
            <w:hideMark/>
          </w:tcPr>
          <w:p w14:paraId="4FA175CD" w14:textId="77777777" w:rsidR="00000000" w:rsidRDefault="001D0688">
            <w:pPr>
              <w:jc w:val="right"/>
              <w:rPr>
                <w:rFonts w:eastAsia="Times New Roman"/>
              </w:rPr>
            </w:pPr>
            <w:r>
              <w:rPr>
                <w:rFonts w:ascii="Arial" w:eastAsia="Times New Roman" w:hAnsi="Arial" w:cs="Arial"/>
                <w:color w:val="000000"/>
                <w:sz w:val="16"/>
                <w:szCs w:val="16"/>
              </w:rPr>
              <w:t>11.1 </w:t>
            </w:r>
          </w:p>
        </w:tc>
        <w:tc>
          <w:tcPr>
            <w:tcW w:w="0" w:type="auto"/>
            <w:shd w:val="clear" w:color="auto" w:fill="DCE2EF"/>
            <w:tcMar>
              <w:top w:w="30" w:type="dxa"/>
              <w:left w:w="0" w:type="dxa"/>
              <w:bottom w:w="30" w:type="dxa"/>
              <w:right w:w="20" w:type="dxa"/>
            </w:tcMar>
            <w:vAlign w:val="bottom"/>
            <w:hideMark/>
          </w:tcPr>
          <w:p w14:paraId="00312C7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848A4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B9C1F3" w14:textId="77777777" w:rsidR="00000000" w:rsidRDefault="001D0688">
            <w:pPr>
              <w:jc w:val="right"/>
              <w:rPr>
                <w:rFonts w:eastAsia="Times New Roman"/>
              </w:rPr>
            </w:pPr>
            <w:r>
              <w:rPr>
                <w:rFonts w:ascii="Arial" w:eastAsia="Times New Roman" w:hAnsi="Arial" w:cs="Arial"/>
                <w:color w:val="000000"/>
                <w:sz w:val="16"/>
                <w:szCs w:val="16"/>
              </w:rPr>
              <w:t>8.1 </w:t>
            </w:r>
          </w:p>
        </w:tc>
        <w:tc>
          <w:tcPr>
            <w:tcW w:w="0" w:type="auto"/>
            <w:shd w:val="clear" w:color="auto" w:fill="DCE2EF"/>
            <w:tcMar>
              <w:top w:w="30" w:type="dxa"/>
              <w:left w:w="0" w:type="dxa"/>
              <w:bottom w:w="30" w:type="dxa"/>
              <w:right w:w="20" w:type="dxa"/>
            </w:tcMar>
            <w:vAlign w:val="bottom"/>
            <w:hideMark/>
          </w:tcPr>
          <w:p w14:paraId="2D526EC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6FB61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AA1B67" w14:textId="77777777" w:rsidR="00000000" w:rsidRDefault="001D0688">
            <w:pPr>
              <w:jc w:val="right"/>
              <w:rPr>
                <w:rFonts w:eastAsia="Times New Roman"/>
              </w:rPr>
            </w:pPr>
            <w:r>
              <w:rPr>
                <w:rFonts w:ascii="Arial" w:eastAsia="Times New Roman" w:hAnsi="Arial" w:cs="Arial"/>
                <w:color w:val="000000"/>
                <w:sz w:val="16"/>
                <w:szCs w:val="16"/>
              </w:rPr>
              <w:t>5.4 </w:t>
            </w:r>
          </w:p>
        </w:tc>
        <w:tc>
          <w:tcPr>
            <w:tcW w:w="0" w:type="auto"/>
            <w:shd w:val="clear" w:color="auto" w:fill="DCE2EF"/>
            <w:tcMar>
              <w:top w:w="30" w:type="dxa"/>
              <w:left w:w="0" w:type="dxa"/>
              <w:bottom w:w="30" w:type="dxa"/>
              <w:right w:w="20" w:type="dxa"/>
            </w:tcMar>
            <w:vAlign w:val="bottom"/>
            <w:hideMark/>
          </w:tcPr>
          <w:p w14:paraId="4EE9FFFB" w14:textId="77777777" w:rsidR="00000000" w:rsidRDefault="001D0688">
            <w:pPr>
              <w:jc w:val="right"/>
              <w:rPr>
                <w:rFonts w:eastAsia="Times New Roman"/>
              </w:rPr>
            </w:pPr>
          </w:p>
        </w:tc>
      </w:tr>
      <w:tr w:rsidR="00000000" w14:paraId="1C8E13C8"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71AA4E1E" w14:textId="77777777" w:rsidR="00000000" w:rsidRDefault="001D0688">
            <w:pPr>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FFFFFF"/>
            <w:tcMar>
              <w:top w:w="30" w:type="dxa"/>
              <w:left w:w="20" w:type="dxa"/>
              <w:bottom w:w="30" w:type="dxa"/>
              <w:right w:w="0" w:type="dxa"/>
            </w:tcMar>
            <w:vAlign w:val="bottom"/>
            <w:hideMark/>
          </w:tcPr>
          <w:p w14:paraId="2D83C332" w14:textId="77777777" w:rsidR="00000000" w:rsidRDefault="001D0688">
            <w:pPr>
              <w:jc w:val="right"/>
              <w:rPr>
                <w:rFonts w:eastAsia="Times New Roman"/>
              </w:rPr>
            </w:pPr>
            <w:r>
              <w:rPr>
                <w:rFonts w:ascii="Arial" w:eastAsia="Times New Roman" w:hAnsi="Arial" w:cs="Arial"/>
                <w:color w:val="000000"/>
                <w:sz w:val="16"/>
                <w:szCs w:val="16"/>
              </w:rPr>
              <w:t>(3.4)</w:t>
            </w:r>
          </w:p>
        </w:tc>
        <w:tc>
          <w:tcPr>
            <w:tcW w:w="0" w:type="auto"/>
            <w:shd w:val="clear" w:color="auto" w:fill="FFFFFF"/>
            <w:tcMar>
              <w:top w:w="30" w:type="dxa"/>
              <w:left w:w="0" w:type="dxa"/>
              <w:bottom w:w="30" w:type="dxa"/>
              <w:right w:w="20" w:type="dxa"/>
            </w:tcMar>
            <w:vAlign w:val="bottom"/>
            <w:hideMark/>
          </w:tcPr>
          <w:p w14:paraId="32E42E1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98C9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233AF9" w14:textId="77777777" w:rsidR="00000000" w:rsidRDefault="001D0688">
            <w:pPr>
              <w:jc w:val="right"/>
              <w:rPr>
                <w:rFonts w:eastAsia="Times New Roman"/>
              </w:rPr>
            </w:pPr>
            <w:r>
              <w:rPr>
                <w:rFonts w:ascii="Arial" w:eastAsia="Times New Roman" w:hAnsi="Arial" w:cs="Arial"/>
                <w:color w:val="000000"/>
                <w:sz w:val="16"/>
                <w:szCs w:val="16"/>
              </w:rPr>
              <w:t>(3.1)</w:t>
            </w:r>
          </w:p>
        </w:tc>
        <w:tc>
          <w:tcPr>
            <w:tcW w:w="0" w:type="auto"/>
            <w:shd w:val="clear" w:color="auto" w:fill="FFFFFF"/>
            <w:tcMar>
              <w:top w:w="30" w:type="dxa"/>
              <w:left w:w="0" w:type="dxa"/>
              <w:bottom w:w="30" w:type="dxa"/>
              <w:right w:w="20" w:type="dxa"/>
            </w:tcMar>
            <w:vAlign w:val="bottom"/>
            <w:hideMark/>
          </w:tcPr>
          <w:p w14:paraId="3B9A2C4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0DCF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497BF2" w14:textId="77777777" w:rsidR="00000000" w:rsidRDefault="001D0688">
            <w:pPr>
              <w:jc w:val="right"/>
              <w:rPr>
                <w:rFonts w:eastAsia="Times New Roman"/>
              </w:rPr>
            </w:pPr>
            <w:r>
              <w:rPr>
                <w:rFonts w:ascii="Arial" w:eastAsia="Times New Roman" w:hAnsi="Arial" w:cs="Arial"/>
                <w:color w:val="000000"/>
                <w:sz w:val="16"/>
                <w:szCs w:val="16"/>
              </w:rPr>
              <w:t>(3.3)</w:t>
            </w:r>
          </w:p>
        </w:tc>
        <w:tc>
          <w:tcPr>
            <w:tcW w:w="0" w:type="auto"/>
            <w:shd w:val="clear" w:color="auto" w:fill="FFFFFF"/>
            <w:tcMar>
              <w:top w:w="30" w:type="dxa"/>
              <w:left w:w="0" w:type="dxa"/>
              <w:bottom w:w="30" w:type="dxa"/>
              <w:right w:w="20" w:type="dxa"/>
            </w:tcMar>
            <w:vAlign w:val="bottom"/>
            <w:hideMark/>
          </w:tcPr>
          <w:p w14:paraId="0024BDB2" w14:textId="77777777" w:rsidR="00000000" w:rsidRDefault="001D0688">
            <w:pPr>
              <w:jc w:val="right"/>
              <w:rPr>
                <w:rFonts w:eastAsia="Times New Roman"/>
              </w:rPr>
            </w:pPr>
          </w:p>
        </w:tc>
      </w:tr>
      <w:tr w:rsidR="00000000" w14:paraId="3A138C5E" w14:textId="77777777">
        <w:trPr>
          <w:divId w:val="1951008450"/>
          <w:jc w:val="center"/>
        </w:trPr>
        <w:tc>
          <w:tcPr>
            <w:tcW w:w="0" w:type="auto"/>
            <w:gridSpan w:val="3"/>
            <w:vAlign w:val="center"/>
            <w:hideMark/>
          </w:tcPr>
          <w:p w14:paraId="1199A964" w14:textId="77777777" w:rsidR="00000000" w:rsidRDefault="001D0688">
            <w:pPr>
              <w:jc w:val="right"/>
              <w:rPr>
                <w:rFonts w:eastAsia="Times New Roman"/>
                <w:sz w:val="20"/>
                <w:szCs w:val="20"/>
              </w:rPr>
            </w:pPr>
          </w:p>
        </w:tc>
        <w:tc>
          <w:tcPr>
            <w:tcW w:w="0" w:type="auto"/>
            <w:gridSpan w:val="3"/>
            <w:vAlign w:val="center"/>
            <w:hideMark/>
          </w:tcPr>
          <w:p w14:paraId="4F041900" w14:textId="77777777" w:rsidR="00000000" w:rsidRDefault="001D0688">
            <w:pPr>
              <w:rPr>
                <w:rFonts w:eastAsia="Times New Roman"/>
                <w:sz w:val="20"/>
                <w:szCs w:val="20"/>
              </w:rPr>
            </w:pPr>
          </w:p>
        </w:tc>
        <w:tc>
          <w:tcPr>
            <w:tcW w:w="0" w:type="auto"/>
            <w:gridSpan w:val="3"/>
            <w:vAlign w:val="center"/>
            <w:hideMark/>
          </w:tcPr>
          <w:p w14:paraId="6B3FED43" w14:textId="77777777" w:rsidR="00000000" w:rsidRDefault="001D0688">
            <w:pPr>
              <w:rPr>
                <w:rFonts w:eastAsia="Times New Roman"/>
                <w:sz w:val="20"/>
                <w:szCs w:val="20"/>
              </w:rPr>
            </w:pPr>
          </w:p>
        </w:tc>
        <w:tc>
          <w:tcPr>
            <w:tcW w:w="0" w:type="auto"/>
            <w:gridSpan w:val="3"/>
            <w:vAlign w:val="center"/>
            <w:hideMark/>
          </w:tcPr>
          <w:p w14:paraId="0E7E227F" w14:textId="77777777" w:rsidR="00000000" w:rsidRDefault="001D0688">
            <w:pPr>
              <w:rPr>
                <w:rFonts w:eastAsia="Times New Roman"/>
                <w:sz w:val="20"/>
                <w:szCs w:val="20"/>
              </w:rPr>
            </w:pPr>
          </w:p>
        </w:tc>
        <w:tc>
          <w:tcPr>
            <w:tcW w:w="0" w:type="auto"/>
            <w:gridSpan w:val="3"/>
            <w:vAlign w:val="center"/>
            <w:hideMark/>
          </w:tcPr>
          <w:p w14:paraId="17FE1F0E" w14:textId="77777777" w:rsidR="00000000" w:rsidRDefault="001D0688">
            <w:pPr>
              <w:rPr>
                <w:rFonts w:eastAsia="Times New Roman"/>
                <w:sz w:val="20"/>
                <w:szCs w:val="20"/>
              </w:rPr>
            </w:pPr>
          </w:p>
        </w:tc>
        <w:tc>
          <w:tcPr>
            <w:tcW w:w="0" w:type="auto"/>
            <w:gridSpan w:val="3"/>
            <w:vAlign w:val="center"/>
            <w:hideMark/>
          </w:tcPr>
          <w:p w14:paraId="0AFA296A" w14:textId="77777777" w:rsidR="00000000" w:rsidRDefault="001D0688">
            <w:pPr>
              <w:rPr>
                <w:rFonts w:eastAsia="Times New Roman"/>
                <w:sz w:val="20"/>
                <w:szCs w:val="20"/>
              </w:rPr>
            </w:pPr>
          </w:p>
        </w:tc>
      </w:tr>
      <w:tr w:rsidR="00000000" w14:paraId="5C86A515"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1AFCC938" w14:textId="77777777" w:rsidR="00000000" w:rsidRDefault="001D0688">
            <w:pPr>
              <w:rPr>
                <w:rFonts w:eastAsia="Times New Roman"/>
              </w:rPr>
            </w:pPr>
            <w:r>
              <w:rPr>
                <w:rFonts w:ascii="Arial" w:eastAsia="Times New Roman" w:hAnsi="Arial" w:cs="Arial"/>
                <w:b/>
                <w:bCs/>
                <w:color w:val="000000"/>
                <w:sz w:val="16"/>
                <w:szCs w:val="16"/>
              </w:rPr>
              <w:t>Net cash used in financing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EC01F5D" w14:textId="77777777" w:rsidR="00000000" w:rsidRDefault="001D0688">
            <w:pPr>
              <w:jc w:val="right"/>
              <w:rPr>
                <w:rFonts w:eastAsia="Times New Roman"/>
              </w:rPr>
            </w:pPr>
            <w:r>
              <w:rPr>
                <w:rFonts w:ascii="Arial" w:eastAsia="Times New Roman" w:hAnsi="Arial" w:cs="Arial"/>
                <w:color w:val="000000"/>
                <w:sz w:val="16"/>
                <w:szCs w:val="16"/>
              </w:rPr>
              <w:t>(94.1)</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80319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FA480A"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FAA8299" w14:textId="77777777" w:rsidR="00000000" w:rsidRDefault="001D0688">
            <w:pPr>
              <w:jc w:val="right"/>
              <w:rPr>
                <w:rFonts w:eastAsia="Times New Roman"/>
              </w:rPr>
            </w:pPr>
            <w:r>
              <w:rPr>
                <w:rFonts w:ascii="Arial" w:eastAsia="Times New Roman" w:hAnsi="Arial" w:cs="Arial"/>
                <w:color w:val="000000"/>
                <w:sz w:val="16"/>
                <w:szCs w:val="16"/>
              </w:rPr>
              <w:t>(184.8)</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60EEB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B1BE3E"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DDBFE01" w14:textId="77777777" w:rsidR="00000000" w:rsidRDefault="001D0688">
            <w:pPr>
              <w:jc w:val="right"/>
              <w:rPr>
                <w:rFonts w:eastAsia="Times New Roman"/>
              </w:rPr>
            </w:pPr>
            <w:r>
              <w:rPr>
                <w:rFonts w:ascii="Arial" w:eastAsia="Times New Roman" w:hAnsi="Arial" w:cs="Arial"/>
                <w:color w:val="000000"/>
                <w:sz w:val="16"/>
                <w:szCs w:val="16"/>
              </w:rPr>
              <w:t>(295.8)</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AC5005" w14:textId="77777777" w:rsidR="00000000" w:rsidRDefault="001D0688">
            <w:pPr>
              <w:jc w:val="right"/>
              <w:rPr>
                <w:rFonts w:eastAsia="Times New Roman"/>
              </w:rPr>
            </w:pPr>
          </w:p>
        </w:tc>
      </w:tr>
      <w:tr w:rsidR="00000000" w14:paraId="1A81E386"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34780B98" w14:textId="77777777" w:rsidR="00000000" w:rsidRDefault="001D0688">
            <w:pPr>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618E72" w14:textId="77777777" w:rsidR="00000000" w:rsidRDefault="001D0688">
            <w:pPr>
              <w:jc w:val="right"/>
              <w:rPr>
                <w:rFonts w:eastAsia="Times New Roman"/>
              </w:rPr>
            </w:pPr>
            <w:r>
              <w:rPr>
                <w:rFonts w:ascii="Arial" w:eastAsia="Times New Roman" w:hAnsi="Arial" w:cs="Arial"/>
                <w:color w:val="000000"/>
                <w:sz w:val="16"/>
                <w:szCs w:val="16"/>
              </w:rPr>
              <w:t>(0.2)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A2AF8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4176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73541E" w14:textId="77777777" w:rsidR="00000000" w:rsidRDefault="001D0688">
            <w:pPr>
              <w:jc w:val="right"/>
              <w:rPr>
                <w:rFonts w:eastAsia="Times New Roman"/>
              </w:rPr>
            </w:pPr>
            <w:r>
              <w:rPr>
                <w:rFonts w:ascii="Arial" w:eastAsia="Times New Roman" w:hAnsi="Arial" w:cs="Arial"/>
                <w:color w:val="000000"/>
                <w:sz w:val="16"/>
                <w:szCs w:val="16"/>
              </w:rPr>
              <w:t>(0.2)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6EBA1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70C14"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C74CC8" w14:textId="77777777" w:rsidR="00000000" w:rsidRDefault="001D0688">
            <w:pPr>
              <w:jc w:val="right"/>
              <w:rPr>
                <w:rFonts w:eastAsia="Times New Roman"/>
              </w:rPr>
            </w:pPr>
            <w:r>
              <w:rPr>
                <w:rFonts w:ascii="Arial" w:eastAsia="Times New Roman" w:hAnsi="Arial" w:cs="Arial"/>
                <w:color w:val="000000"/>
                <w:sz w:val="16"/>
                <w:szCs w:val="16"/>
              </w:rPr>
              <w:t>(0.7)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D9759C" w14:textId="77777777" w:rsidR="00000000" w:rsidRDefault="001D0688">
            <w:pPr>
              <w:jc w:val="right"/>
              <w:rPr>
                <w:rFonts w:eastAsia="Times New Roman"/>
              </w:rPr>
            </w:pPr>
          </w:p>
        </w:tc>
      </w:tr>
      <w:tr w:rsidR="00000000" w14:paraId="32DC6C37"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04025D48" w14:textId="77777777" w:rsidR="00000000" w:rsidRDefault="001D0688">
            <w:pPr>
              <w:rPr>
                <w:rFonts w:eastAsia="Times New Roman"/>
              </w:rPr>
            </w:pPr>
            <w:r>
              <w:rPr>
                <w:rFonts w:ascii="Arial" w:eastAsia="Times New Roman" w:hAnsi="Arial" w:cs="Arial"/>
                <w:b/>
                <w:bCs/>
                <w:color w:val="000000"/>
                <w:sz w:val="16"/>
                <w:szCs w:val="16"/>
              </w:rPr>
              <w:t>Net increase (decrease) in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9C13F36" w14:textId="77777777" w:rsidR="00000000" w:rsidRDefault="001D0688">
            <w:pPr>
              <w:jc w:val="right"/>
              <w:rPr>
                <w:rFonts w:eastAsia="Times New Roman"/>
              </w:rPr>
            </w:pPr>
            <w:r>
              <w:rPr>
                <w:rFonts w:ascii="Arial" w:eastAsia="Times New Roman" w:hAnsi="Arial" w:cs="Arial"/>
                <w:color w:val="000000"/>
                <w:sz w:val="16"/>
                <w:szCs w:val="16"/>
              </w:rPr>
              <w:t>335.7 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A2F35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5DA8E5"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F2528B0" w14:textId="77777777" w:rsidR="00000000" w:rsidRDefault="001D0688">
            <w:pPr>
              <w:jc w:val="right"/>
              <w:rPr>
                <w:rFonts w:eastAsia="Times New Roman"/>
              </w:rPr>
            </w:pPr>
            <w:r>
              <w:rPr>
                <w:rFonts w:ascii="Arial" w:eastAsia="Times New Roman" w:hAnsi="Arial" w:cs="Arial"/>
                <w:color w:val="000000"/>
                <w:sz w:val="16"/>
                <w:szCs w:val="16"/>
              </w:rPr>
              <w:t>19.4 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96DD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B9713E"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A3A3EDA" w14:textId="77777777" w:rsidR="00000000" w:rsidRDefault="001D0688">
            <w:pPr>
              <w:jc w:val="right"/>
              <w:rPr>
                <w:rFonts w:eastAsia="Times New Roman"/>
              </w:rPr>
            </w:pPr>
            <w:r>
              <w:rPr>
                <w:rFonts w:ascii="Arial" w:eastAsia="Times New Roman" w:hAnsi="Arial" w:cs="Arial"/>
                <w:color w:val="000000"/>
                <w:sz w:val="16"/>
                <w:szCs w:val="16"/>
              </w:rPr>
              <w:t>(23.7)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789F72D" w14:textId="77777777" w:rsidR="00000000" w:rsidRDefault="001D0688">
            <w:pPr>
              <w:jc w:val="right"/>
              <w:rPr>
                <w:rFonts w:eastAsia="Times New Roman"/>
              </w:rPr>
            </w:pPr>
          </w:p>
        </w:tc>
      </w:tr>
      <w:tr w:rsidR="00000000" w14:paraId="38C269C7" w14:textId="77777777">
        <w:trPr>
          <w:divId w:val="1951008450"/>
          <w:jc w:val="center"/>
        </w:trPr>
        <w:tc>
          <w:tcPr>
            <w:tcW w:w="0" w:type="auto"/>
            <w:gridSpan w:val="3"/>
            <w:shd w:val="clear" w:color="auto" w:fill="FFFFFF"/>
            <w:tcMar>
              <w:top w:w="30" w:type="dxa"/>
              <w:left w:w="20" w:type="dxa"/>
              <w:bottom w:w="30" w:type="dxa"/>
              <w:right w:w="20" w:type="dxa"/>
            </w:tcMar>
            <w:vAlign w:val="bottom"/>
            <w:hideMark/>
          </w:tcPr>
          <w:p w14:paraId="4D303EEA" w14:textId="77777777" w:rsidR="00000000" w:rsidRDefault="001D0688">
            <w:pPr>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14:paraId="4EEA750B" w14:textId="77777777" w:rsidR="00000000" w:rsidRDefault="001D0688">
            <w:pPr>
              <w:jc w:val="right"/>
              <w:rPr>
                <w:rFonts w:eastAsia="Times New Roman"/>
              </w:rPr>
            </w:pPr>
            <w:r>
              <w:rPr>
                <w:rFonts w:ascii="Arial" w:eastAsia="Times New Roman" w:hAnsi="Arial" w:cs="Arial"/>
                <w:color w:val="000000"/>
                <w:sz w:val="16"/>
                <w:szCs w:val="16"/>
              </w:rPr>
              <w:t>58.5 </w:t>
            </w:r>
          </w:p>
        </w:tc>
        <w:tc>
          <w:tcPr>
            <w:tcW w:w="0" w:type="auto"/>
            <w:shd w:val="clear" w:color="auto" w:fill="FFFFFF"/>
            <w:tcMar>
              <w:top w:w="30" w:type="dxa"/>
              <w:left w:w="0" w:type="dxa"/>
              <w:bottom w:w="30" w:type="dxa"/>
              <w:right w:w="20" w:type="dxa"/>
            </w:tcMar>
            <w:vAlign w:val="bottom"/>
            <w:hideMark/>
          </w:tcPr>
          <w:p w14:paraId="1398FF4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5862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778331" w14:textId="77777777" w:rsidR="00000000" w:rsidRDefault="001D0688">
            <w:pPr>
              <w:jc w:val="right"/>
              <w:rPr>
                <w:rFonts w:eastAsia="Times New Roman"/>
              </w:rPr>
            </w:pPr>
            <w:r>
              <w:rPr>
                <w:rFonts w:ascii="Arial" w:eastAsia="Times New Roman" w:hAnsi="Arial" w:cs="Arial"/>
                <w:color w:val="000000"/>
                <w:sz w:val="16"/>
                <w:szCs w:val="16"/>
              </w:rPr>
              <w:t>39.1 </w:t>
            </w:r>
          </w:p>
        </w:tc>
        <w:tc>
          <w:tcPr>
            <w:tcW w:w="0" w:type="auto"/>
            <w:shd w:val="clear" w:color="auto" w:fill="FFFFFF"/>
            <w:tcMar>
              <w:top w:w="30" w:type="dxa"/>
              <w:left w:w="0" w:type="dxa"/>
              <w:bottom w:w="30" w:type="dxa"/>
              <w:right w:w="20" w:type="dxa"/>
            </w:tcMar>
            <w:vAlign w:val="bottom"/>
            <w:hideMark/>
          </w:tcPr>
          <w:p w14:paraId="33F0DB8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26CB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245F5" w14:textId="77777777" w:rsidR="00000000" w:rsidRDefault="001D0688">
            <w:pPr>
              <w:jc w:val="right"/>
              <w:rPr>
                <w:rFonts w:eastAsia="Times New Roman"/>
              </w:rPr>
            </w:pPr>
            <w:r>
              <w:rPr>
                <w:rFonts w:ascii="Arial" w:eastAsia="Times New Roman" w:hAnsi="Arial" w:cs="Arial"/>
                <w:color w:val="000000"/>
                <w:sz w:val="16"/>
                <w:szCs w:val="16"/>
              </w:rPr>
              <w:t>62.8 </w:t>
            </w:r>
          </w:p>
        </w:tc>
        <w:tc>
          <w:tcPr>
            <w:tcW w:w="0" w:type="auto"/>
            <w:shd w:val="clear" w:color="auto" w:fill="FFFFFF"/>
            <w:tcMar>
              <w:top w:w="30" w:type="dxa"/>
              <w:left w:w="0" w:type="dxa"/>
              <w:bottom w:w="30" w:type="dxa"/>
              <w:right w:w="20" w:type="dxa"/>
            </w:tcMar>
            <w:vAlign w:val="bottom"/>
            <w:hideMark/>
          </w:tcPr>
          <w:p w14:paraId="3332A3CB" w14:textId="77777777" w:rsidR="00000000" w:rsidRDefault="001D0688">
            <w:pPr>
              <w:jc w:val="right"/>
              <w:rPr>
                <w:rFonts w:eastAsia="Times New Roman"/>
              </w:rPr>
            </w:pPr>
          </w:p>
        </w:tc>
      </w:tr>
      <w:tr w:rsidR="00000000" w14:paraId="7CD3821D" w14:textId="77777777">
        <w:trPr>
          <w:divId w:val="1951008450"/>
          <w:jc w:val="center"/>
        </w:trPr>
        <w:tc>
          <w:tcPr>
            <w:tcW w:w="0" w:type="auto"/>
            <w:gridSpan w:val="3"/>
            <w:shd w:val="clear" w:color="auto" w:fill="DCE2EF"/>
            <w:tcMar>
              <w:top w:w="30" w:type="dxa"/>
              <w:left w:w="20" w:type="dxa"/>
              <w:bottom w:w="30" w:type="dxa"/>
              <w:right w:w="20" w:type="dxa"/>
            </w:tcMar>
            <w:vAlign w:val="bottom"/>
            <w:hideMark/>
          </w:tcPr>
          <w:p w14:paraId="1560D8A1" w14:textId="77777777" w:rsidR="00000000" w:rsidRDefault="001D0688">
            <w:pPr>
              <w:rPr>
                <w:rFonts w:eastAsia="Times New Roman"/>
              </w:rPr>
            </w:pPr>
            <w:r>
              <w:rPr>
                <w:rFonts w:ascii="Arial" w:eastAsia="Times New Roman" w:hAnsi="Arial" w:cs="Arial"/>
                <w:b/>
                <w:bCs/>
                <w:color w:val="000000"/>
                <w:sz w:val="16"/>
                <w:szCs w:val="16"/>
              </w:rPr>
              <w:t>Cash and cash equivalents at end of year</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F634A17" w14:textId="77777777" w:rsidR="00000000" w:rsidRDefault="001D0688">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F1E37A2" w14:textId="77777777" w:rsidR="00000000" w:rsidRDefault="001D0688">
            <w:pPr>
              <w:jc w:val="right"/>
              <w:rPr>
                <w:rFonts w:eastAsia="Times New Roman"/>
              </w:rPr>
            </w:pPr>
            <w:r>
              <w:rPr>
                <w:rFonts w:ascii="Arial" w:eastAsia="Times New Roman" w:hAnsi="Arial" w:cs="Arial"/>
                <w:color w:val="000000"/>
                <w:sz w:val="16"/>
                <w:szCs w:val="16"/>
              </w:rPr>
              <w:t>394.2 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549358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97DA5C"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0A0AC20" w14:textId="77777777" w:rsidR="00000000" w:rsidRDefault="001D0688">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EF82403" w14:textId="77777777" w:rsidR="00000000" w:rsidRDefault="001D0688">
            <w:pPr>
              <w:jc w:val="right"/>
              <w:rPr>
                <w:rFonts w:eastAsia="Times New Roman"/>
              </w:rPr>
            </w:pPr>
            <w:r>
              <w:rPr>
                <w:rFonts w:ascii="Arial" w:eastAsia="Times New Roman" w:hAnsi="Arial" w:cs="Arial"/>
                <w:color w:val="000000"/>
                <w:sz w:val="16"/>
                <w:szCs w:val="16"/>
              </w:rPr>
              <w:t>58.5 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08A5F8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7EBE96"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46281D3" w14:textId="77777777" w:rsidR="00000000" w:rsidRDefault="001D0688">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21B1C65" w14:textId="77777777" w:rsidR="00000000" w:rsidRDefault="001D0688">
            <w:pPr>
              <w:jc w:val="right"/>
              <w:rPr>
                <w:rFonts w:eastAsia="Times New Roman"/>
              </w:rPr>
            </w:pPr>
            <w:r>
              <w:rPr>
                <w:rFonts w:ascii="Arial" w:eastAsia="Times New Roman" w:hAnsi="Arial" w:cs="Arial"/>
                <w:color w:val="000000"/>
                <w:sz w:val="16"/>
                <w:szCs w:val="16"/>
              </w:rPr>
              <w:t>39.1 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51D36FD" w14:textId="77777777" w:rsidR="00000000" w:rsidRDefault="001D0688">
            <w:pPr>
              <w:jc w:val="right"/>
              <w:rPr>
                <w:rFonts w:eastAsia="Times New Roman"/>
              </w:rPr>
            </w:pPr>
          </w:p>
        </w:tc>
      </w:tr>
    </w:tbl>
    <w:p w14:paraId="59339CA0" w14:textId="77777777" w:rsidR="00000000" w:rsidRDefault="001D0688">
      <w:pPr>
        <w:jc w:val="center"/>
        <w:divId w:val="1438450874"/>
        <w:rPr>
          <w:rFonts w:eastAsia="Times New Roman"/>
        </w:rPr>
      </w:pPr>
      <w:r>
        <w:rPr>
          <w:rFonts w:ascii="Arial" w:eastAsia="Times New Roman" w:hAnsi="Arial" w:cs="Arial"/>
          <w:color w:val="000000"/>
          <w:sz w:val="20"/>
          <w:szCs w:val="20"/>
        </w:rPr>
        <w:t>53</w:t>
      </w:r>
    </w:p>
    <w:p w14:paraId="2C0C9D56" w14:textId="77777777" w:rsidR="00000000" w:rsidRDefault="001D0688">
      <w:pPr>
        <w:rPr>
          <w:rFonts w:eastAsia="Times New Roman"/>
        </w:rPr>
      </w:pPr>
      <w:r>
        <w:rPr>
          <w:rFonts w:eastAsia="Times New Roman"/>
        </w:rPr>
        <w:pict w14:anchorId="208231D9">
          <v:rect id="_x0000_i1089" style="width:0;height:1.5pt" o:hralign="center" o:hrstd="t" o:hr="t" fillcolor="#a0a0a0" stroked="f"/>
        </w:pict>
      </w:r>
    </w:p>
    <w:p w14:paraId="7AFCC5B4" w14:textId="77777777" w:rsidR="00000000" w:rsidRDefault="001D0688">
      <w:pPr>
        <w:divId w:val="1317144446"/>
        <w:rPr>
          <w:rFonts w:eastAsia="Times New Roman"/>
        </w:rPr>
      </w:pPr>
    </w:p>
    <w:p w14:paraId="4E3985F2" w14:textId="77777777" w:rsidR="00000000" w:rsidRDefault="001D0688">
      <w:pPr>
        <w:jc w:val="center"/>
        <w:divId w:val="1008211212"/>
        <w:rPr>
          <w:rFonts w:eastAsia="Times New Roman"/>
        </w:rPr>
      </w:pPr>
      <w:r>
        <w:rPr>
          <w:rFonts w:ascii="Arial" w:eastAsia="Times New Roman" w:hAnsi="Arial" w:cs="Arial"/>
          <w:b/>
          <w:bCs/>
          <w:color w:val="0046AD"/>
          <w:sz w:val="20"/>
          <w:szCs w:val="20"/>
        </w:rPr>
        <w:t>ABM INDUSTRIES INCORPORATED AND SUBSIDIARIES</w:t>
      </w:r>
    </w:p>
    <w:p w14:paraId="0FD482FD" w14:textId="77777777" w:rsidR="00000000" w:rsidRDefault="001D0688">
      <w:pPr>
        <w:jc w:val="center"/>
        <w:divId w:val="103311336"/>
        <w:rPr>
          <w:rFonts w:eastAsia="Times New Roman"/>
        </w:rPr>
      </w:pPr>
      <w:r>
        <w:rPr>
          <w:rFonts w:ascii="Arial" w:eastAsia="Times New Roman" w:hAnsi="Arial" w:cs="Arial"/>
          <w:b/>
          <w:bCs/>
          <w:color w:val="0046AD"/>
          <w:sz w:val="20"/>
          <w:szCs w:val="20"/>
        </w:rPr>
        <w:t>CONSOLIDATED STATEMENTS OF CASH FLOWS</w:t>
      </w:r>
    </w:p>
    <w:p w14:paraId="66B1D0DD" w14:textId="77777777" w:rsidR="00000000" w:rsidRDefault="001D0688">
      <w:pPr>
        <w:jc w:val="center"/>
        <w:divId w:val="1766918443"/>
        <w:rPr>
          <w:rFonts w:eastAsia="Times New Roman"/>
        </w:rPr>
      </w:pPr>
      <w:r>
        <w:rPr>
          <w:rFonts w:ascii="Arial" w:eastAsia="Times New Roman" w:hAnsi="Arial" w:cs="Arial"/>
          <w:b/>
          <w:bCs/>
          <w:color w:val="0046AD"/>
          <w:sz w:val="20"/>
          <w:szCs w:val="20"/>
        </w:rPr>
        <w:t>(continued)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139"/>
        <w:gridCol w:w="36"/>
        <w:gridCol w:w="109"/>
        <w:gridCol w:w="835"/>
        <w:gridCol w:w="36"/>
        <w:gridCol w:w="36"/>
        <w:gridCol w:w="36"/>
        <w:gridCol w:w="36"/>
        <w:gridCol w:w="109"/>
        <w:gridCol w:w="796"/>
        <w:gridCol w:w="36"/>
        <w:gridCol w:w="36"/>
        <w:gridCol w:w="36"/>
        <w:gridCol w:w="36"/>
        <w:gridCol w:w="109"/>
        <w:gridCol w:w="797"/>
        <w:gridCol w:w="36"/>
      </w:tblGrid>
      <w:tr w:rsidR="00000000" w14:paraId="328F5787" w14:textId="77777777">
        <w:trPr>
          <w:divId w:val="160388013"/>
          <w:jc w:val="center"/>
        </w:trPr>
        <w:tc>
          <w:tcPr>
            <w:tcW w:w="50" w:type="pct"/>
            <w:vAlign w:val="center"/>
            <w:hideMark/>
          </w:tcPr>
          <w:p w14:paraId="4EA6ADE3" w14:textId="77777777" w:rsidR="00000000" w:rsidRDefault="001D0688">
            <w:pPr>
              <w:jc w:val="center"/>
              <w:rPr>
                <w:rFonts w:eastAsia="Times New Roman"/>
              </w:rPr>
            </w:pPr>
          </w:p>
        </w:tc>
        <w:tc>
          <w:tcPr>
            <w:tcW w:w="3123" w:type="pct"/>
            <w:vAlign w:val="center"/>
            <w:hideMark/>
          </w:tcPr>
          <w:p w14:paraId="6B69C41D" w14:textId="77777777" w:rsidR="00000000" w:rsidRDefault="001D0688">
            <w:pPr>
              <w:rPr>
                <w:rFonts w:eastAsia="Times New Roman"/>
                <w:sz w:val="20"/>
                <w:szCs w:val="20"/>
              </w:rPr>
            </w:pPr>
          </w:p>
        </w:tc>
        <w:tc>
          <w:tcPr>
            <w:tcW w:w="5" w:type="pct"/>
            <w:vAlign w:val="center"/>
            <w:hideMark/>
          </w:tcPr>
          <w:p w14:paraId="539586E4" w14:textId="77777777" w:rsidR="00000000" w:rsidRDefault="001D0688">
            <w:pPr>
              <w:rPr>
                <w:rFonts w:eastAsia="Times New Roman"/>
                <w:sz w:val="20"/>
                <w:szCs w:val="20"/>
              </w:rPr>
            </w:pPr>
          </w:p>
        </w:tc>
        <w:tc>
          <w:tcPr>
            <w:tcW w:w="50" w:type="pct"/>
            <w:vAlign w:val="center"/>
            <w:hideMark/>
          </w:tcPr>
          <w:p w14:paraId="2A64CA7F" w14:textId="77777777" w:rsidR="00000000" w:rsidRDefault="001D0688">
            <w:pPr>
              <w:rPr>
                <w:rFonts w:eastAsia="Times New Roman"/>
                <w:sz w:val="20"/>
                <w:szCs w:val="20"/>
              </w:rPr>
            </w:pPr>
          </w:p>
        </w:tc>
        <w:tc>
          <w:tcPr>
            <w:tcW w:w="529" w:type="pct"/>
            <w:vAlign w:val="center"/>
            <w:hideMark/>
          </w:tcPr>
          <w:p w14:paraId="77B932AA" w14:textId="77777777" w:rsidR="00000000" w:rsidRDefault="001D0688">
            <w:pPr>
              <w:rPr>
                <w:rFonts w:eastAsia="Times New Roman"/>
                <w:sz w:val="20"/>
                <w:szCs w:val="20"/>
              </w:rPr>
            </w:pPr>
          </w:p>
        </w:tc>
        <w:tc>
          <w:tcPr>
            <w:tcW w:w="5" w:type="pct"/>
            <w:vAlign w:val="center"/>
            <w:hideMark/>
          </w:tcPr>
          <w:p w14:paraId="16D99D5F" w14:textId="77777777" w:rsidR="00000000" w:rsidRDefault="001D0688">
            <w:pPr>
              <w:rPr>
                <w:rFonts w:eastAsia="Times New Roman"/>
                <w:sz w:val="20"/>
                <w:szCs w:val="20"/>
              </w:rPr>
            </w:pPr>
          </w:p>
        </w:tc>
        <w:tc>
          <w:tcPr>
            <w:tcW w:w="5" w:type="pct"/>
            <w:vAlign w:val="center"/>
            <w:hideMark/>
          </w:tcPr>
          <w:p w14:paraId="3576F17F" w14:textId="77777777" w:rsidR="00000000" w:rsidRDefault="001D0688">
            <w:pPr>
              <w:rPr>
                <w:rFonts w:eastAsia="Times New Roman"/>
                <w:sz w:val="20"/>
                <w:szCs w:val="20"/>
              </w:rPr>
            </w:pPr>
          </w:p>
        </w:tc>
        <w:tc>
          <w:tcPr>
            <w:tcW w:w="24" w:type="pct"/>
            <w:vAlign w:val="center"/>
            <w:hideMark/>
          </w:tcPr>
          <w:p w14:paraId="2F1B6084" w14:textId="77777777" w:rsidR="00000000" w:rsidRDefault="001D0688">
            <w:pPr>
              <w:rPr>
                <w:rFonts w:eastAsia="Times New Roman"/>
                <w:sz w:val="20"/>
                <w:szCs w:val="20"/>
              </w:rPr>
            </w:pPr>
          </w:p>
        </w:tc>
        <w:tc>
          <w:tcPr>
            <w:tcW w:w="5" w:type="pct"/>
            <w:vAlign w:val="center"/>
            <w:hideMark/>
          </w:tcPr>
          <w:p w14:paraId="48527774" w14:textId="77777777" w:rsidR="00000000" w:rsidRDefault="001D0688">
            <w:pPr>
              <w:rPr>
                <w:rFonts w:eastAsia="Times New Roman"/>
                <w:sz w:val="20"/>
                <w:szCs w:val="20"/>
              </w:rPr>
            </w:pPr>
          </w:p>
        </w:tc>
        <w:tc>
          <w:tcPr>
            <w:tcW w:w="50" w:type="pct"/>
            <w:vAlign w:val="center"/>
            <w:hideMark/>
          </w:tcPr>
          <w:p w14:paraId="1EBD6C44" w14:textId="77777777" w:rsidR="00000000" w:rsidRDefault="001D0688">
            <w:pPr>
              <w:rPr>
                <w:rFonts w:eastAsia="Times New Roman"/>
                <w:sz w:val="20"/>
                <w:szCs w:val="20"/>
              </w:rPr>
            </w:pPr>
          </w:p>
        </w:tc>
        <w:tc>
          <w:tcPr>
            <w:tcW w:w="529" w:type="pct"/>
            <w:vAlign w:val="center"/>
            <w:hideMark/>
          </w:tcPr>
          <w:p w14:paraId="63EF3F59" w14:textId="77777777" w:rsidR="00000000" w:rsidRDefault="001D0688">
            <w:pPr>
              <w:rPr>
                <w:rFonts w:eastAsia="Times New Roman"/>
                <w:sz w:val="20"/>
                <w:szCs w:val="20"/>
              </w:rPr>
            </w:pPr>
          </w:p>
        </w:tc>
        <w:tc>
          <w:tcPr>
            <w:tcW w:w="5" w:type="pct"/>
            <w:vAlign w:val="center"/>
            <w:hideMark/>
          </w:tcPr>
          <w:p w14:paraId="6C5E2095" w14:textId="77777777" w:rsidR="00000000" w:rsidRDefault="001D0688">
            <w:pPr>
              <w:rPr>
                <w:rFonts w:eastAsia="Times New Roman"/>
                <w:sz w:val="20"/>
                <w:szCs w:val="20"/>
              </w:rPr>
            </w:pPr>
          </w:p>
        </w:tc>
        <w:tc>
          <w:tcPr>
            <w:tcW w:w="5" w:type="pct"/>
            <w:vAlign w:val="center"/>
            <w:hideMark/>
          </w:tcPr>
          <w:p w14:paraId="7214D981" w14:textId="77777777" w:rsidR="00000000" w:rsidRDefault="001D0688">
            <w:pPr>
              <w:rPr>
                <w:rFonts w:eastAsia="Times New Roman"/>
                <w:sz w:val="20"/>
                <w:szCs w:val="20"/>
              </w:rPr>
            </w:pPr>
          </w:p>
        </w:tc>
        <w:tc>
          <w:tcPr>
            <w:tcW w:w="24" w:type="pct"/>
            <w:vAlign w:val="center"/>
            <w:hideMark/>
          </w:tcPr>
          <w:p w14:paraId="24E920ED" w14:textId="77777777" w:rsidR="00000000" w:rsidRDefault="001D0688">
            <w:pPr>
              <w:rPr>
                <w:rFonts w:eastAsia="Times New Roman"/>
                <w:sz w:val="20"/>
                <w:szCs w:val="20"/>
              </w:rPr>
            </w:pPr>
          </w:p>
        </w:tc>
        <w:tc>
          <w:tcPr>
            <w:tcW w:w="5" w:type="pct"/>
            <w:vAlign w:val="center"/>
            <w:hideMark/>
          </w:tcPr>
          <w:p w14:paraId="1EA0EFB4" w14:textId="77777777" w:rsidR="00000000" w:rsidRDefault="001D0688">
            <w:pPr>
              <w:rPr>
                <w:rFonts w:eastAsia="Times New Roman"/>
                <w:sz w:val="20"/>
                <w:szCs w:val="20"/>
              </w:rPr>
            </w:pPr>
          </w:p>
        </w:tc>
        <w:tc>
          <w:tcPr>
            <w:tcW w:w="50" w:type="pct"/>
            <w:vAlign w:val="center"/>
            <w:hideMark/>
          </w:tcPr>
          <w:p w14:paraId="1F188A6F" w14:textId="77777777" w:rsidR="00000000" w:rsidRDefault="001D0688">
            <w:pPr>
              <w:rPr>
                <w:rFonts w:eastAsia="Times New Roman"/>
                <w:sz w:val="20"/>
                <w:szCs w:val="20"/>
              </w:rPr>
            </w:pPr>
          </w:p>
        </w:tc>
        <w:tc>
          <w:tcPr>
            <w:tcW w:w="529" w:type="pct"/>
            <w:vAlign w:val="center"/>
            <w:hideMark/>
          </w:tcPr>
          <w:p w14:paraId="0B838717" w14:textId="77777777" w:rsidR="00000000" w:rsidRDefault="001D0688">
            <w:pPr>
              <w:rPr>
                <w:rFonts w:eastAsia="Times New Roman"/>
                <w:sz w:val="20"/>
                <w:szCs w:val="20"/>
              </w:rPr>
            </w:pPr>
          </w:p>
        </w:tc>
        <w:tc>
          <w:tcPr>
            <w:tcW w:w="5" w:type="pct"/>
            <w:vAlign w:val="center"/>
            <w:hideMark/>
          </w:tcPr>
          <w:p w14:paraId="4FE22AC3" w14:textId="77777777" w:rsidR="00000000" w:rsidRDefault="001D0688">
            <w:pPr>
              <w:rPr>
                <w:rFonts w:eastAsia="Times New Roman"/>
                <w:sz w:val="20"/>
                <w:szCs w:val="20"/>
              </w:rPr>
            </w:pPr>
          </w:p>
        </w:tc>
      </w:tr>
      <w:tr w:rsidR="00000000" w14:paraId="3DDFBAB4" w14:textId="77777777">
        <w:trPr>
          <w:divId w:val="160388013"/>
          <w:jc w:val="center"/>
        </w:trPr>
        <w:tc>
          <w:tcPr>
            <w:tcW w:w="0" w:type="auto"/>
            <w:gridSpan w:val="3"/>
            <w:tcMar>
              <w:top w:w="0" w:type="dxa"/>
              <w:left w:w="20" w:type="dxa"/>
              <w:bottom w:w="0" w:type="dxa"/>
              <w:right w:w="20" w:type="dxa"/>
            </w:tcMar>
            <w:vAlign w:val="center"/>
            <w:hideMark/>
          </w:tcPr>
          <w:p w14:paraId="401DA3F8"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4C283756" w14:textId="77777777" w:rsidR="00000000" w:rsidRDefault="001D0688">
            <w:pPr>
              <w:jc w:val="center"/>
              <w:rPr>
                <w:rFonts w:eastAsia="Times New Roman"/>
              </w:rPr>
            </w:pPr>
            <w:r>
              <w:rPr>
                <w:rFonts w:ascii="Arial" w:eastAsia="Times New Roman" w:hAnsi="Arial" w:cs="Arial"/>
                <w:b/>
                <w:bCs/>
                <w:color w:val="000000"/>
                <w:sz w:val="16"/>
                <w:szCs w:val="16"/>
              </w:rPr>
              <w:t>Years Ended October 31,</w:t>
            </w:r>
          </w:p>
        </w:tc>
      </w:tr>
      <w:tr w:rsidR="00000000" w14:paraId="7E4A3A37" w14:textId="77777777">
        <w:trPr>
          <w:divId w:val="160388013"/>
          <w:jc w:val="center"/>
        </w:trPr>
        <w:tc>
          <w:tcPr>
            <w:tcW w:w="0" w:type="auto"/>
            <w:gridSpan w:val="3"/>
            <w:tcMar>
              <w:top w:w="30" w:type="dxa"/>
              <w:left w:w="20" w:type="dxa"/>
              <w:bottom w:w="30" w:type="dxa"/>
              <w:right w:w="20" w:type="dxa"/>
            </w:tcMar>
            <w:vAlign w:val="bottom"/>
            <w:hideMark/>
          </w:tcPr>
          <w:p w14:paraId="4B0A6AC6" w14:textId="77777777" w:rsidR="00000000" w:rsidRDefault="001D0688">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AF1088" w14:textId="77777777" w:rsidR="00000000" w:rsidRDefault="001D0688">
            <w:pPr>
              <w:jc w:val="center"/>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7C1A331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277CC3" w14:textId="77777777" w:rsidR="00000000" w:rsidRDefault="001D0688">
            <w:pPr>
              <w:jc w:val="center"/>
              <w:rPr>
                <w:rFonts w:eastAsia="Times New Roman"/>
              </w:rPr>
            </w:pPr>
            <w:r>
              <w:rPr>
                <w:rFonts w:ascii="Arial" w:eastAsia="Times New Roman" w:hAnsi="Arial" w:cs="Arial"/>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14:paraId="49E9F25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021772" w14:textId="77777777" w:rsidR="00000000" w:rsidRDefault="001D0688">
            <w:pPr>
              <w:jc w:val="center"/>
              <w:rPr>
                <w:rFonts w:eastAsia="Times New Roman"/>
              </w:rPr>
            </w:pPr>
            <w:r>
              <w:rPr>
                <w:rFonts w:ascii="Arial" w:eastAsia="Times New Roman" w:hAnsi="Arial" w:cs="Arial"/>
                <w:b/>
                <w:bCs/>
                <w:color w:val="000000"/>
                <w:sz w:val="16"/>
                <w:szCs w:val="16"/>
              </w:rPr>
              <w:t>2018</w:t>
            </w:r>
          </w:p>
        </w:tc>
      </w:tr>
      <w:tr w:rsidR="00000000" w14:paraId="65F3B537" w14:textId="77777777">
        <w:trPr>
          <w:divId w:val="160388013"/>
          <w:jc w:val="center"/>
        </w:trPr>
        <w:tc>
          <w:tcPr>
            <w:tcW w:w="0" w:type="auto"/>
            <w:gridSpan w:val="3"/>
            <w:shd w:val="clear" w:color="auto" w:fill="DCE2EF"/>
            <w:tcMar>
              <w:top w:w="30" w:type="dxa"/>
              <w:left w:w="20" w:type="dxa"/>
              <w:bottom w:w="30" w:type="dxa"/>
              <w:right w:w="20" w:type="dxa"/>
            </w:tcMar>
            <w:vAlign w:val="bottom"/>
            <w:hideMark/>
          </w:tcPr>
          <w:p w14:paraId="00A84CF7" w14:textId="77777777" w:rsidR="00000000" w:rsidRDefault="001D0688">
            <w:pPr>
              <w:rPr>
                <w:rFonts w:eastAsia="Times New Roman"/>
              </w:rPr>
            </w:pPr>
            <w:r>
              <w:rPr>
                <w:rFonts w:ascii="Arial" w:eastAsia="Times New Roman" w:hAnsi="Arial" w:cs="Arial"/>
                <w:b/>
                <w:bCs/>
                <w:color w:val="000000"/>
                <w:sz w:val="16"/>
                <w:szCs w:val="16"/>
              </w:rPr>
              <w:t>Supplemental cash flow information</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39D524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6B6B7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507174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C144D6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1EAC0D0" w14:textId="77777777" w:rsidR="00000000" w:rsidRDefault="001D0688">
            <w:pPr>
              <w:rPr>
                <w:rFonts w:eastAsia="Times New Roman"/>
                <w:sz w:val="20"/>
                <w:szCs w:val="20"/>
              </w:rPr>
            </w:pPr>
          </w:p>
        </w:tc>
      </w:tr>
      <w:tr w:rsidR="00000000" w14:paraId="29A246C8" w14:textId="77777777">
        <w:trPr>
          <w:divId w:val="160388013"/>
          <w:jc w:val="center"/>
        </w:trPr>
        <w:tc>
          <w:tcPr>
            <w:tcW w:w="0" w:type="auto"/>
            <w:gridSpan w:val="3"/>
            <w:tcMar>
              <w:top w:w="30" w:type="dxa"/>
              <w:left w:w="20" w:type="dxa"/>
              <w:bottom w:w="30" w:type="dxa"/>
              <w:right w:w="20" w:type="dxa"/>
            </w:tcMar>
            <w:vAlign w:val="bottom"/>
            <w:hideMark/>
          </w:tcPr>
          <w:p w14:paraId="517BEE06" w14:textId="77777777" w:rsidR="00000000" w:rsidRDefault="001D0688">
            <w:pPr>
              <w:rPr>
                <w:rFonts w:eastAsia="Times New Roman"/>
              </w:rPr>
            </w:pPr>
            <w:r>
              <w:rPr>
                <w:rFonts w:ascii="Arial" w:eastAsia="Times New Roman" w:hAnsi="Arial" w:cs="Arial"/>
                <w:color w:val="000000"/>
                <w:sz w:val="16"/>
                <w:szCs w:val="16"/>
              </w:rPr>
              <w:t>Income tax payments (refunds), net</w:t>
            </w:r>
          </w:p>
        </w:tc>
        <w:tc>
          <w:tcPr>
            <w:tcW w:w="0" w:type="auto"/>
            <w:shd w:val="clear" w:color="auto" w:fill="FFFFFF"/>
            <w:tcMar>
              <w:top w:w="30" w:type="dxa"/>
              <w:left w:w="20" w:type="dxa"/>
              <w:bottom w:w="30" w:type="dxa"/>
              <w:right w:w="0" w:type="dxa"/>
            </w:tcMar>
            <w:vAlign w:val="bottom"/>
            <w:hideMark/>
          </w:tcPr>
          <w:p w14:paraId="1A673D5D"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5A9E2D1" w14:textId="77777777" w:rsidR="00000000" w:rsidRDefault="001D0688">
            <w:pPr>
              <w:jc w:val="right"/>
              <w:rPr>
                <w:rFonts w:eastAsia="Times New Roman"/>
              </w:rPr>
            </w:pPr>
            <w:r>
              <w:rPr>
                <w:rFonts w:ascii="Arial" w:eastAsia="Times New Roman" w:hAnsi="Arial" w:cs="Arial"/>
                <w:color w:val="000000"/>
                <w:sz w:val="16"/>
                <w:szCs w:val="16"/>
              </w:rPr>
              <w:t>82.2 </w:t>
            </w:r>
          </w:p>
        </w:tc>
        <w:tc>
          <w:tcPr>
            <w:tcW w:w="0" w:type="auto"/>
            <w:shd w:val="clear" w:color="auto" w:fill="FFFFFF"/>
            <w:tcMar>
              <w:top w:w="30" w:type="dxa"/>
              <w:left w:w="0" w:type="dxa"/>
              <w:bottom w:w="30" w:type="dxa"/>
              <w:right w:w="20" w:type="dxa"/>
            </w:tcMar>
            <w:vAlign w:val="bottom"/>
            <w:hideMark/>
          </w:tcPr>
          <w:p w14:paraId="616F311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AE593"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05DDF0"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4E204077" w14:textId="77777777" w:rsidR="00000000" w:rsidRDefault="001D0688">
            <w:pPr>
              <w:jc w:val="right"/>
              <w:rPr>
                <w:rFonts w:eastAsia="Times New Roman"/>
              </w:rPr>
            </w:pPr>
            <w:r>
              <w:rPr>
                <w:rFonts w:ascii="Arial" w:eastAsia="Times New Roman" w:hAnsi="Arial" w:cs="Arial"/>
                <w:color w:val="000000"/>
                <w:sz w:val="16"/>
                <w:szCs w:val="16"/>
              </w:rPr>
              <w:t>20.6 </w:t>
            </w:r>
          </w:p>
        </w:tc>
        <w:tc>
          <w:tcPr>
            <w:tcW w:w="0" w:type="auto"/>
            <w:shd w:val="clear" w:color="auto" w:fill="FFFFFF"/>
            <w:tcMar>
              <w:top w:w="30" w:type="dxa"/>
              <w:left w:w="0" w:type="dxa"/>
              <w:bottom w:w="30" w:type="dxa"/>
              <w:right w:w="20" w:type="dxa"/>
            </w:tcMar>
            <w:vAlign w:val="bottom"/>
            <w:hideMark/>
          </w:tcPr>
          <w:p w14:paraId="465604F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8B172"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8C5416" w14:textId="77777777" w:rsidR="00000000" w:rsidRDefault="001D0688">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7F82723B" w14:textId="77777777" w:rsidR="00000000" w:rsidRDefault="001D0688">
            <w:pPr>
              <w:jc w:val="right"/>
              <w:rPr>
                <w:rFonts w:eastAsia="Times New Roman"/>
              </w:rPr>
            </w:pPr>
            <w:r>
              <w:rPr>
                <w:rFonts w:ascii="Arial" w:eastAsia="Times New Roman" w:hAnsi="Arial" w:cs="Arial"/>
                <w:color w:val="000000"/>
                <w:sz w:val="16"/>
                <w:szCs w:val="16"/>
              </w:rPr>
              <w:t>(1.0)</w:t>
            </w:r>
          </w:p>
        </w:tc>
        <w:tc>
          <w:tcPr>
            <w:tcW w:w="0" w:type="auto"/>
            <w:shd w:val="clear" w:color="auto" w:fill="FFFFFF"/>
            <w:tcMar>
              <w:top w:w="30" w:type="dxa"/>
              <w:left w:w="0" w:type="dxa"/>
              <w:bottom w:w="30" w:type="dxa"/>
              <w:right w:w="20" w:type="dxa"/>
            </w:tcMar>
            <w:vAlign w:val="bottom"/>
            <w:hideMark/>
          </w:tcPr>
          <w:p w14:paraId="4A654203" w14:textId="77777777" w:rsidR="00000000" w:rsidRDefault="001D0688">
            <w:pPr>
              <w:jc w:val="right"/>
              <w:rPr>
                <w:rFonts w:eastAsia="Times New Roman"/>
              </w:rPr>
            </w:pPr>
          </w:p>
        </w:tc>
      </w:tr>
      <w:tr w:rsidR="00000000" w14:paraId="6A6F9A70" w14:textId="77777777">
        <w:trPr>
          <w:divId w:val="160388013"/>
          <w:jc w:val="center"/>
        </w:trPr>
        <w:tc>
          <w:tcPr>
            <w:tcW w:w="0" w:type="auto"/>
            <w:gridSpan w:val="3"/>
            <w:shd w:val="clear" w:color="auto" w:fill="DCE2EF"/>
            <w:tcMar>
              <w:top w:w="30" w:type="dxa"/>
              <w:left w:w="20" w:type="dxa"/>
              <w:bottom w:w="30" w:type="dxa"/>
              <w:right w:w="20" w:type="dxa"/>
            </w:tcMar>
            <w:vAlign w:val="bottom"/>
            <w:hideMark/>
          </w:tcPr>
          <w:p w14:paraId="51822A64" w14:textId="77777777" w:rsidR="00000000" w:rsidRDefault="001D0688">
            <w:pPr>
              <w:rPr>
                <w:rFonts w:eastAsia="Times New Roman"/>
              </w:rPr>
            </w:pPr>
            <w:r>
              <w:rPr>
                <w:rFonts w:ascii="Arial" w:eastAsia="Times New Roman" w:hAnsi="Arial" w:cs="Arial"/>
                <w:color w:val="000000"/>
                <w:sz w:val="16"/>
                <w:szCs w:val="16"/>
              </w:rPr>
              <w:t>Interest paid on credit facility</w:t>
            </w:r>
          </w:p>
        </w:tc>
        <w:tc>
          <w:tcPr>
            <w:tcW w:w="0" w:type="auto"/>
            <w:gridSpan w:val="2"/>
            <w:shd w:val="clear" w:color="auto" w:fill="DCE2EF"/>
            <w:tcMar>
              <w:top w:w="30" w:type="dxa"/>
              <w:left w:w="20" w:type="dxa"/>
              <w:bottom w:w="30" w:type="dxa"/>
              <w:right w:w="0" w:type="dxa"/>
            </w:tcMar>
            <w:vAlign w:val="bottom"/>
            <w:hideMark/>
          </w:tcPr>
          <w:p w14:paraId="09A11FF7" w14:textId="77777777" w:rsidR="00000000" w:rsidRDefault="001D0688">
            <w:pPr>
              <w:jc w:val="right"/>
              <w:rPr>
                <w:rFonts w:eastAsia="Times New Roman"/>
              </w:rPr>
            </w:pPr>
            <w:r>
              <w:rPr>
                <w:rFonts w:ascii="Arial" w:eastAsia="Times New Roman" w:hAnsi="Arial" w:cs="Arial"/>
                <w:color w:val="000000"/>
                <w:sz w:val="16"/>
                <w:szCs w:val="16"/>
              </w:rPr>
              <w:t>32.9 </w:t>
            </w:r>
          </w:p>
        </w:tc>
        <w:tc>
          <w:tcPr>
            <w:tcW w:w="0" w:type="auto"/>
            <w:shd w:val="clear" w:color="auto" w:fill="DCE2EF"/>
            <w:tcMar>
              <w:top w:w="30" w:type="dxa"/>
              <w:left w:w="0" w:type="dxa"/>
              <w:bottom w:w="30" w:type="dxa"/>
              <w:right w:w="20" w:type="dxa"/>
            </w:tcMar>
            <w:vAlign w:val="bottom"/>
            <w:hideMark/>
          </w:tcPr>
          <w:p w14:paraId="0553EDD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D84A4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A5E188" w14:textId="77777777" w:rsidR="00000000" w:rsidRDefault="001D0688">
            <w:pPr>
              <w:jc w:val="right"/>
              <w:rPr>
                <w:rFonts w:eastAsia="Times New Roman"/>
              </w:rPr>
            </w:pPr>
            <w:r>
              <w:rPr>
                <w:rFonts w:ascii="Arial" w:eastAsia="Times New Roman" w:hAnsi="Arial" w:cs="Arial"/>
                <w:color w:val="000000"/>
                <w:sz w:val="16"/>
                <w:szCs w:val="16"/>
              </w:rPr>
              <w:t>39.9 </w:t>
            </w:r>
          </w:p>
        </w:tc>
        <w:tc>
          <w:tcPr>
            <w:tcW w:w="0" w:type="auto"/>
            <w:shd w:val="clear" w:color="auto" w:fill="DCE2EF"/>
            <w:tcMar>
              <w:top w:w="30" w:type="dxa"/>
              <w:left w:w="0" w:type="dxa"/>
              <w:bottom w:w="30" w:type="dxa"/>
              <w:right w:w="20" w:type="dxa"/>
            </w:tcMar>
            <w:vAlign w:val="bottom"/>
            <w:hideMark/>
          </w:tcPr>
          <w:p w14:paraId="21C9D52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04171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2F66482" w14:textId="77777777" w:rsidR="00000000" w:rsidRDefault="001D0688">
            <w:pPr>
              <w:jc w:val="right"/>
              <w:rPr>
                <w:rFonts w:eastAsia="Times New Roman"/>
              </w:rPr>
            </w:pPr>
            <w:r>
              <w:rPr>
                <w:rFonts w:ascii="Arial" w:eastAsia="Times New Roman" w:hAnsi="Arial" w:cs="Arial"/>
                <w:color w:val="000000"/>
                <w:sz w:val="16"/>
                <w:szCs w:val="16"/>
              </w:rPr>
              <w:t>49.6 </w:t>
            </w:r>
          </w:p>
        </w:tc>
        <w:tc>
          <w:tcPr>
            <w:tcW w:w="0" w:type="auto"/>
            <w:shd w:val="clear" w:color="auto" w:fill="DCE2EF"/>
            <w:tcMar>
              <w:top w:w="30" w:type="dxa"/>
              <w:left w:w="0" w:type="dxa"/>
              <w:bottom w:w="30" w:type="dxa"/>
              <w:right w:w="20" w:type="dxa"/>
            </w:tcMar>
            <w:vAlign w:val="bottom"/>
            <w:hideMark/>
          </w:tcPr>
          <w:p w14:paraId="517AADEF" w14:textId="77777777" w:rsidR="00000000" w:rsidRDefault="001D0688">
            <w:pPr>
              <w:jc w:val="right"/>
              <w:rPr>
                <w:rFonts w:eastAsia="Times New Roman"/>
              </w:rPr>
            </w:pPr>
          </w:p>
        </w:tc>
      </w:tr>
      <w:tr w:rsidR="00000000" w14:paraId="1E9E12D0" w14:textId="77777777">
        <w:trPr>
          <w:divId w:val="160388013"/>
          <w:jc w:val="center"/>
        </w:trPr>
        <w:tc>
          <w:tcPr>
            <w:tcW w:w="0" w:type="auto"/>
            <w:gridSpan w:val="3"/>
            <w:vAlign w:val="center"/>
            <w:hideMark/>
          </w:tcPr>
          <w:p w14:paraId="5684BB1D" w14:textId="77777777" w:rsidR="00000000" w:rsidRDefault="001D0688">
            <w:pPr>
              <w:jc w:val="right"/>
              <w:rPr>
                <w:rFonts w:eastAsia="Times New Roman"/>
                <w:sz w:val="20"/>
                <w:szCs w:val="20"/>
              </w:rPr>
            </w:pPr>
          </w:p>
        </w:tc>
        <w:tc>
          <w:tcPr>
            <w:tcW w:w="0" w:type="auto"/>
            <w:gridSpan w:val="3"/>
            <w:vAlign w:val="center"/>
            <w:hideMark/>
          </w:tcPr>
          <w:p w14:paraId="3D0B2E1D" w14:textId="77777777" w:rsidR="00000000" w:rsidRDefault="001D0688">
            <w:pPr>
              <w:rPr>
                <w:rFonts w:eastAsia="Times New Roman"/>
                <w:sz w:val="20"/>
                <w:szCs w:val="20"/>
              </w:rPr>
            </w:pPr>
          </w:p>
        </w:tc>
        <w:tc>
          <w:tcPr>
            <w:tcW w:w="0" w:type="auto"/>
            <w:gridSpan w:val="3"/>
            <w:vAlign w:val="center"/>
            <w:hideMark/>
          </w:tcPr>
          <w:p w14:paraId="70F4DB8F" w14:textId="77777777" w:rsidR="00000000" w:rsidRDefault="001D0688">
            <w:pPr>
              <w:rPr>
                <w:rFonts w:eastAsia="Times New Roman"/>
                <w:sz w:val="20"/>
                <w:szCs w:val="20"/>
              </w:rPr>
            </w:pPr>
          </w:p>
        </w:tc>
        <w:tc>
          <w:tcPr>
            <w:tcW w:w="0" w:type="auto"/>
            <w:gridSpan w:val="3"/>
            <w:vAlign w:val="center"/>
            <w:hideMark/>
          </w:tcPr>
          <w:p w14:paraId="7C97F2A8" w14:textId="77777777" w:rsidR="00000000" w:rsidRDefault="001D0688">
            <w:pPr>
              <w:rPr>
                <w:rFonts w:eastAsia="Times New Roman"/>
                <w:sz w:val="20"/>
                <w:szCs w:val="20"/>
              </w:rPr>
            </w:pPr>
          </w:p>
        </w:tc>
        <w:tc>
          <w:tcPr>
            <w:tcW w:w="0" w:type="auto"/>
            <w:gridSpan w:val="3"/>
            <w:vAlign w:val="center"/>
            <w:hideMark/>
          </w:tcPr>
          <w:p w14:paraId="6C452505" w14:textId="77777777" w:rsidR="00000000" w:rsidRDefault="001D0688">
            <w:pPr>
              <w:rPr>
                <w:rFonts w:eastAsia="Times New Roman"/>
                <w:sz w:val="20"/>
                <w:szCs w:val="20"/>
              </w:rPr>
            </w:pPr>
          </w:p>
        </w:tc>
        <w:tc>
          <w:tcPr>
            <w:tcW w:w="0" w:type="auto"/>
            <w:gridSpan w:val="3"/>
            <w:vAlign w:val="center"/>
            <w:hideMark/>
          </w:tcPr>
          <w:p w14:paraId="33AA12C0" w14:textId="77777777" w:rsidR="00000000" w:rsidRDefault="001D0688">
            <w:pPr>
              <w:rPr>
                <w:rFonts w:eastAsia="Times New Roman"/>
                <w:sz w:val="20"/>
                <w:szCs w:val="20"/>
              </w:rPr>
            </w:pPr>
          </w:p>
        </w:tc>
      </w:tr>
      <w:tr w:rsidR="00000000" w14:paraId="71E84135" w14:textId="77777777">
        <w:trPr>
          <w:divId w:val="160388013"/>
          <w:jc w:val="center"/>
        </w:trPr>
        <w:tc>
          <w:tcPr>
            <w:tcW w:w="0" w:type="auto"/>
            <w:gridSpan w:val="3"/>
            <w:vAlign w:val="center"/>
            <w:hideMark/>
          </w:tcPr>
          <w:p w14:paraId="31447ED8" w14:textId="77777777" w:rsidR="00000000" w:rsidRDefault="001D0688">
            <w:pPr>
              <w:rPr>
                <w:rFonts w:eastAsia="Times New Roman"/>
                <w:sz w:val="20"/>
                <w:szCs w:val="20"/>
              </w:rPr>
            </w:pPr>
          </w:p>
        </w:tc>
        <w:tc>
          <w:tcPr>
            <w:tcW w:w="0" w:type="auto"/>
            <w:gridSpan w:val="3"/>
            <w:vAlign w:val="center"/>
            <w:hideMark/>
          </w:tcPr>
          <w:p w14:paraId="2BC2F0AC" w14:textId="77777777" w:rsidR="00000000" w:rsidRDefault="001D0688">
            <w:pPr>
              <w:rPr>
                <w:rFonts w:eastAsia="Times New Roman"/>
                <w:sz w:val="20"/>
                <w:szCs w:val="20"/>
              </w:rPr>
            </w:pPr>
          </w:p>
        </w:tc>
        <w:tc>
          <w:tcPr>
            <w:tcW w:w="0" w:type="auto"/>
            <w:gridSpan w:val="3"/>
            <w:vAlign w:val="center"/>
            <w:hideMark/>
          </w:tcPr>
          <w:p w14:paraId="7097C5E8" w14:textId="77777777" w:rsidR="00000000" w:rsidRDefault="001D0688">
            <w:pPr>
              <w:rPr>
                <w:rFonts w:eastAsia="Times New Roman"/>
                <w:sz w:val="20"/>
                <w:szCs w:val="20"/>
              </w:rPr>
            </w:pPr>
          </w:p>
        </w:tc>
        <w:tc>
          <w:tcPr>
            <w:tcW w:w="0" w:type="auto"/>
            <w:gridSpan w:val="3"/>
            <w:vAlign w:val="center"/>
            <w:hideMark/>
          </w:tcPr>
          <w:p w14:paraId="099043CE" w14:textId="77777777" w:rsidR="00000000" w:rsidRDefault="001D0688">
            <w:pPr>
              <w:rPr>
                <w:rFonts w:eastAsia="Times New Roman"/>
                <w:sz w:val="20"/>
                <w:szCs w:val="20"/>
              </w:rPr>
            </w:pPr>
          </w:p>
        </w:tc>
        <w:tc>
          <w:tcPr>
            <w:tcW w:w="0" w:type="auto"/>
            <w:gridSpan w:val="3"/>
            <w:vAlign w:val="center"/>
            <w:hideMark/>
          </w:tcPr>
          <w:p w14:paraId="7E85E650" w14:textId="77777777" w:rsidR="00000000" w:rsidRDefault="001D0688">
            <w:pPr>
              <w:rPr>
                <w:rFonts w:eastAsia="Times New Roman"/>
                <w:sz w:val="20"/>
                <w:szCs w:val="20"/>
              </w:rPr>
            </w:pPr>
          </w:p>
        </w:tc>
        <w:tc>
          <w:tcPr>
            <w:tcW w:w="0" w:type="auto"/>
            <w:gridSpan w:val="3"/>
            <w:vAlign w:val="center"/>
            <w:hideMark/>
          </w:tcPr>
          <w:p w14:paraId="71E178E8" w14:textId="77777777" w:rsidR="00000000" w:rsidRDefault="001D0688">
            <w:pPr>
              <w:rPr>
                <w:rFonts w:eastAsia="Times New Roman"/>
                <w:sz w:val="20"/>
                <w:szCs w:val="20"/>
              </w:rPr>
            </w:pPr>
          </w:p>
        </w:tc>
      </w:tr>
      <w:tr w:rsidR="00000000" w14:paraId="13A85234" w14:textId="77777777">
        <w:trPr>
          <w:divId w:val="160388013"/>
          <w:jc w:val="center"/>
        </w:trPr>
        <w:tc>
          <w:tcPr>
            <w:tcW w:w="0" w:type="auto"/>
            <w:gridSpan w:val="3"/>
            <w:vAlign w:val="center"/>
            <w:hideMark/>
          </w:tcPr>
          <w:p w14:paraId="761A81DE" w14:textId="77777777" w:rsidR="00000000" w:rsidRDefault="001D0688">
            <w:pPr>
              <w:rPr>
                <w:rFonts w:eastAsia="Times New Roman"/>
                <w:sz w:val="20"/>
                <w:szCs w:val="20"/>
              </w:rPr>
            </w:pPr>
          </w:p>
        </w:tc>
        <w:tc>
          <w:tcPr>
            <w:tcW w:w="0" w:type="auto"/>
            <w:gridSpan w:val="3"/>
            <w:vAlign w:val="center"/>
            <w:hideMark/>
          </w:tcPr>
          <w:p w14:paraId="71F505FA" w14:textId="77777777" w:rsidR="00000000" w:rsidRDefault="001D0688">
            <w:pPr>
              <w:rPr>
                <w:rFonts w:eastAsia="Times New Roman"/>
                <w:sz w:val="20"/>
                <w:szCs w:val="20"/>
              </w:rPr>
            </w:pPr>
          </w:p>
        </w:tc>
        <w:tc>
          <w:tcPr>
            <w:tcW w:w="0" w:type="auto"/>
            <w:gridSpan w:val="3"/>
            <w:vAlign w:val="center"/>
            <w:hideMark/>
          </w:tcPr>
          <w:p w14:paraId="5FF32A0D" w14:textId="77777777" w:rsidR="00000000" w:rsidRDefault="001D0688">
            <w:pPr>
              <w:rPr>
                <w:rFonts w:eastAsia="Times New Roman"/>
                <w:sz w:val="20"/>
                <w:szCs w:val="20"/>
              </w:rPr>
            </w:pPr>
          </w:p>
        </w:tc>
        <w:tc>
          <w:tcPr>
            <w:tcW w:w="0" w:type="auto"/>
            <w:gridSpan w:val="3"/>
            <w:vAlign w:val="center"/>
            <w:hideMark/>
          </w:tcPr>
          <w:p w14:paraId="0EA113A9" w14:textId="77777777" w:rsidR="00000000" w:rsidRDefault="001D0688">
            <w:pPr>
              <w:rPr>
                <w:rFonts w:eastAsia="Times New Roman"/>
                <w:sz w:val="20"/>
                <w:szCs w:val="20"/>
              </w:rPr>
            </w:pPr>
          </w:p>
        </w:tc>
        <w:tc>
          <w:tcPr>
            <w:tcW w:w="0" w:type="auto"/>
            <w:gridSpan w:val="3"/>
            <w:vAlign w:val="center"/>
            <w:hideMark/>
          </w:tcPr>
          <w:p w14:paraId="547BF330" w14:textId="77777777" w:rsidR="00000000" w:rsidRDefault="001D0688">
            <w:pPr>
              <w:rPr>
                <w:rFonts w:eastAsia="Times New Roman"/>
                <w:sz w:val="20"/>
                <w:szCs w:val="20"/>
              </w:rPr>
            </w:pPr>
          </w:p>
        </w:tc>
        <w:tc>
          <w:tcPr>
            <w:tcW w:w="0" w:type="auto"/>
            <w:gridSpan w:val="3"/>
            <w:vAlign w:val="center"/>
            <w:hideMark/>
          </w:tcPr>
          <w:p w14:paraId="322D6C81" w14:textId="77777777" w:rsidR="00000000" w:rsidRDefault="001D0688">
            <w:pPr>
              <w:rPr>
                <w:rFonts w:eastAsia="Times New Roman"/>
                <w:sz w:val="20"/>
                <w:szCs w:val="20"/>
              </w:rPr>
            </w:pPr>
          </w:p>
        </w:tc>
      </w:tr>
      <w:tr w:rsidR="00000000" w14:paraId="3CA89878" w14:textId="77777777">
        <w:trPr>
          <w:divId w:val="160388013"/>
          <w:jc w:val="center"/>
        </w:trPr>
        <w:tc>
          <w:tcPr>
            <w:tcW w:w="0" w:type="auto"/>
            <w:gridSpan w:val="3"/>
            <w:vAlign w:val="center"/>
            <w:hideMark/>
          </w:tcPr>
          <w:p w14:paraId="3B66575A" w14:textId="77777777" w:rsidR="00000000" w:rsidRDefault="001D0688">
            <w:pPr>
              <w:rPr>
                <w:rFonts w:eastAsia="Times New Roman"/>
                <w:sz w:val="20"/>
                <w:szCs w:val="20"/>
              </w:rPr>
            </w:pPr>
          </w:p>
        </w:tc>
        <w:tc>
          <w:tcPr>
            <w:tcW w:w="0" w:type="auto"/>
            <w:gridSpan w:val="3"/>
            <w:vAlign w:val="center"/>
            <w:hideMark/>
          </w:tcPr>
          <w:p w14:paraId="6031F5F4" w14:textId="77777777" w:rsidR="00000000" w:rsidRDefault="001D0688">
            <w:pPr>
              <w:rPr>
                <w:rFonts w:eastAsia="Times New Roman"/>
                <w:sz w:val="20"/>
                <w:szCs w:val="20"/>
              </w:rPr>
            </w:pPr>
          </w:p>
        </w:tc>
        <w:tc>
          <w:tcPr>
            <w:tcW w:w="0" w:type="auto"/>
            <w:gridSpan w:val="3"/>
            <w:vAlign w:val="center"/>
            <w:hideMark/>
          </w:tcPr>
          <w:p w14:paraId="77B57ECF" w14:textId="77777777" w:rsidR="00000000" w:rsidRDefault="001D0688">
            <w:pPr>
              <w:rPr>
                <w:rFonts w:eastAsia="Times New Roman"/>
                <w:sz w:val="20"/>
                <w:szCs w:val="20"/>
              </w:rPr>
            </w:pPr>
          </w:p>
        </w:tc>
        <w:tc>
          <w:tcPr>
            <w:tcW w:w="0" w:type="auto"/>
            <w:gridSpan w:val="3"/>
            <w:vAlign w:val="center"/>
            <w:hideMark/>
          </w:tcPr>
          <w:p w14:paraId="08CEBDFE" w14:textId="77777777" w:rsidR="00000000" w:rsidRDefault="001D0688">
            <w:pPr>
              <w:rPr>
                <w:rFonts w:eastAsia="Times New Roman"/>
                <w:sz w:val="20"/>
                <w:szCs w:val="20"/>
              </w:rPr>
            </w:pPr>
          </w:p>
        </w:tc>
        <w:tc>
          <w:tcPr>
            <w:tcW w:w="0" w:type="auto"/>
            <w:gridSpan w:val="3"/>
            <w:vAlign w:val="center"/>
            <w:hideMark/>
          </w:tcPr>
          <w:p w14:paraId="7E5B773C" w14:textId="77777777" w:rsidR="00000000" w:rsidRDefault="001D0688">
            <w:pPr>
              <w:rPr>
                <w:rFonts w:eastAsia="Times New Roman"/>
                <w:sz w:val="20"/>
                <w:szCs w:val="20"/>
              </w:rPr>
            </w:pPr>
          </w:p>
        </w:tc>
        <w:tc>
          <w:tcPr>
            <w:tcW w:w="0" w:type="auto"/>
            <w:gridSpan w:val="3"/>
            <w:vAlign w:val="center"/>
            <w:hideMark/>
          </w:tcPr>
          <w:p w14:paraId="15FA4152" w14:textId="77777777" w:rsidR="00000000" w:rsidRDefault="001D0688">
            <w:pPr>
              <w:rPr>
                <w:rFonts w:eastAsia="Times New Roman"/>
                <w:sz w:val="20"/>
                <w:szCs w:val="20"/>
              </w:rPr>
            </w:pPr>
          </w:p>
        </w:tc>
      </w:tr>
      <w:tr w:rsidR="00000000" w14:paraId="57E79AD4" w14:textId="77777777">
        <w:trPr>
          <w:divId w:val="160388013"/>
          <w:jc w:val="center"/>
        </w:trPr>
        <w:tc>
          <w:tcPr>
            <w:tcW w:w="0" w:type="auto"/>
            <w:gridSpan w:val="3"/>
            <w:vAlign w:val="center"/>
            <w:hideMark/>
          </w:tcPr>
          <w:p w14:paraId="2AEDF77B" w14:textId="77777777" w:rsidR="00000000" w:rsidRDefault="001D0688">
            <w:pPr>
              <w:rPr>
                <w:rFonts w:eastAsia="Times New Roman"/>
                <w:sz w:val="20"/>
                <w:szCs w:val="20"/>
              </w:rPr>
            </w:pPr>
          </w:p>
        </w:tc>
        <w:tc>
          <w:tcPr>
            <w:tcW w:w="0" w:type="auto"/>
            <w:gridSpan w:val="3"/>
            <w:vAlign w:val="center"/>
            <w:hideMark/>
          </w:tcPr>
          <w:p w14:paraId="063BF2E4" w14:textId="77777777" w:rsidR="00000000" w:rsidRDefault="001D0688">
            <w:pPr>
              <w:rPr>
                <w:rFonts w:eastAsia="Times New Roman"/>
                <w:sz w:val="20"/>
                <w:szCs w:val="20"/>
              </w:rPr>
            </w:pPr>
          </w:p>
        </w:tc>
        <w:tc>
          <w:tcPr>
            <w:tcW w:w="0" w:type="auto"/>
            <w:gridSpan w:val="3"/>
            <w:vAlign w:val="center"/>
            <w:hideMark/>
          </w:tcPr>
          <w:p w14:paraId="44E1DA10" w14:textId="77777777" w:rsidR="00000000" w:rsidRDefault="001D0688">
            <w:pPr>
              <w:rPr>
                <w:rFonts w:eastAsia="Times New Roman"/>
                <w:sz w:val="20"/>
                <w:szCs w:val="20"/>
              </w:rPr>
            </w:pPr>
          </w:p>
        </w:tc>
        <w:tc>
          <w:tcPr>
            <w:tcW w:w="0" w:type="auto"/>
            <w:gridSpan w:val="3"/>
            <w:vAlign w:val="center"/>
            <w:hideMark/>
          </w:tcPr>
          <w:p w14:paraId="27776B5C" w14:textId="77777777" w:rsidR="00000000" w:rsidRDefault="001D0688">
            <w:pPr>
              <w:rPr>
                <w:rFonts w:eastAsia="Times New Roman"/>
                <w:sz w:val="20"/>
                <w:szCs w:val="20"/>
              </w:rPr>
            </w:pPr>
          </w:p>
        </w:tc>
        <w:tc>
          <w:tcPr>
            <w:tcW w:w="0" w:type="auto"/>
            <w:gridSpan w:val="3"/>
            <w:vAlign w:val="center"/>
            <w:hideMark/>
          </w:tcPr>
          <w:p w14:paraId="2B5E7034" w14:textId="77777777" w:rsidR="00000000" w:rsidRDefault="001D0688">
            <w:pPr>
              <w:rPr>
                <w:rFonts w:eastAsia="Times New Roman"/>
                <w:sz w:val="20"/>
                <w:szCs w:val="20"/>
              </w:rPr>
            </w:pPr>
          </w:p>
        </w:tc>
        <w:tc>
          <w:tcPr>
            <w:tcW w:w="0" w:type="auto"/>
            <w:gridSpan w:val="3"/>
            <w:vAlign w:val="center"/>
            <w:hideMark/>
          </w:tcPr>
          <w:p w14:paraId="6103552D" w14:textId="77777777" w:rsidR="00000000" w:rsidRDefault="001D0688">
            <w:pPr>
              <w:rPr>
                <w:rFonts w:eastAsia="Times New Roman"/>
                <w:sz w:val="20"/>
                <w:szCs w:val="20"/>
              </w:rPr>
            </w:pPr>
          </w:p>
        </w:tc>
      </w:tr>
      <w:tr w:rsidR="00000000" w14:paraId="7A12E78D" w14:textId="77777777">
        <w:trPr>
          <w:divId w:val="160388013"/>
          <w:jc w:val="center"/>
        </w:trPr>
        <w:tc>
          <w:tcPr>
            <w:tcW w:w="0" w:type="auto"/>
            <w:gridSpan w:val="3"/>
            <w:vAlign w:val="center"/>
            <w:hideMark/>
          </w:tcPr>
          <w:p w14:paraId="6B2B9E0A" w14:textId="77777777" w:rsidR="00000000" w:rsidRDefault="001D0688">
            <w:pPr>
              <w:rPr>
                <w:rFonts w:eastAsia="Times New Roman"/>
                <w:sz w:val="20"/>
                <w:szCs w:val="20"/>
              </w:rPr>
            </w:pPr>
          </w:p>
        </w:tc>
        <w:tc>
          <w:tcPr>
            <w:tcW w:w="0" w:type="auto"/>
            <w:gridSpan w:val="3"/>
            <w:vAlign w:val="center"/>
            <w:hideMark/>
          </w:tcPr>
          <w:p w14:paraId="035ADC79" w14:textId="77777777" w:rsidR="00000000" w:rsidRDefault="001D0688">
            <w:pPr>
              <w:rPr>
                <w:rFonts w:eastAsia="Times New Roman"/>
                <w:sz w:val="20"/>
                <w:szCs w:val="20"/>
              </w:rPr>
            </w:pPr>
          </w:p>
        </w:tc>
        <w:tc>
          <w:tcPr>
            <w:tcW w:w="0" w:type="auto"/>
            <w:gridSpan w:val="3"/>
            <w:vAlign w:val="center"/>
            <w:hideMark/>
          </w:tcPr>
          <w:p w14:paraId="4FC8C4BB" w14:textId="77777777" w:rsidR="00000000" w:rsidRDefault="001D0688">
            <w:pPr>
              <w:rPr>
                <w:rFonts w:eastAsia="Times New Roman"/>
                <w:sz w:val="20"/>
                <w:szCs w:val="20"/>
              </w:rPr>
            </w:pPr>
          </w:p>
        </w:tc>
        <w:tc>
          <w:tcPr>
            <w:tcW w:w="0" w:type="auto"/>
            <w:gridSpan w:val="3"/>
            <w:vAlign w:val="center"/>
            <w:hideMark/>
          </w:tcPr>
          <w:p w14:paraId="64300B4E" w14:textId="77777777" w:rsidR="00000000" w:rsidRDefault="001D0688">
            <w:pPr>
              <w:rPr>
                <w:rFonts w:eastAsia="Times New Roman"/>
                <w:sz w:val="20"/>
                <w:szCs w:val="20"/>
              </w:rPr>
            </w:pPr>
          </w:p>
        </w:tc>
        <w:tc>
          <w:tcPr>
            <w:tcW w:w="0" w:type="auto"/>
            <w:gridSpan w:val="3"/>
            <w:vAlign w:val="center"/>
            <w:hideMark/>
          </w:tcPr>
          <w:p w14:paraId="222E9338" w14:textId="77777777" w:rsidR="00000000" w:rsidRDefault="001D0688">
            <w:pPr>
              <w:rPr>
                <w:rFonts w:eastAsia="Times New Roman"/>
                <w:sz w:val="20"/>
                <w:szCs w:val="20"/>
              </w:rPr>
            </w:pPr>
          </w:p>
        </w:tc>
        <w:tc>
          <w:tcPr>
            <w:tcW w:w="0" w:type="auto"/>
            <w:gridSpan w:val="3"/>
            <w:vAlign w:val="center"/>
            <w:hideMark/>
          </w:tcPr>
          <w:p w14:paraId="6FD283B0" w14:textId="77777777" w:rsidR="00000000" w:rsidRDefault="001D0688">
            <w:pPr>
              <w:rPr>
                <w:rFonts w:eastAsia="Times New Roman"/>
                <w:sz w:val="20"/>
                <w:szCs w:val="20"/>
              </w:rPr>
            </w:pPr>
          </w:p>
        </w:tc>
      </w:tr>
    </w:tbl>
    <w:p w14:paraId="424A0CBA" w14:textId="77777777" w:rsidR="00000000" w:rsidRDefault="001D0688">
      <w:pPr>
        <w:jc w:val="center"/>
        <w:divId w:val="918906228"/>
        <w:rPr>
          <w:rFonts w:eastAsia="Times New Roman"/>
        </w:rPr>
      </w:pPr>
      <w:r>
        <w:rPr>
          <w:rFonts w:ascii="Arial" w:eastAsia="Times New Roman" w:hAnsi="Arial" w:cs="Arial"/>
          <w:color w:val="000000"/>
          <w:sz w:val="20"/>
          <w:szCs w:val="20"/>
        </w:rPr>
        <w:t>See accompanying notes to consolidated financial statements.</w:t>
      </w:r>
    </w:p>
    <w:p w14:paraId="2DD702D4" w14:textId="77777777" w:rsidR="00000000" w:rsidRDefault="001D0688">
      <w:pPr>
        <w:jc w:val="center"/>
        <w:divId w:val="1247956526"/>
        <w:rPr>
          <w:rFonts w:eastAsia="Times New Roman"/>
        </w:rPr>
      </w:pPr>
      <w:r>
        <w:rPr>
          <w:rFonts w:ascii="Arial" w:eastAsia="Times New Roman" w:hAnsi="Arial" w:cs="Arial"/>
          <w:color w:val="000000"/>
          <w:sz w:val="20"/>
          <w:szCs w:val="20"/>
        </w:rPr>
        <w:t>54</w:t>
      </w:r>
    </w:p>
    <w:p w14:paraId="2C944EE4" w14:textId="77777777" w:rsidR="00000000" w:rsidRDefault="001D0688">
      <w:pPr>
        <w:rPr>
          <w:rFonts w:eastAsia="Times New Roman"/>
        </w:rPr>
      </w:pPr>
      <w:r>
        <w:rPr>
          <w:rFonts w:eastAsia="Times New Roman"/>
        </w:rPr>
        <w:pict w14:anchorId="3DBF1558">
          <v:rect id="_x0000_i1090" style="width:0;height:1.5pt" o:hralign="center" o:hrstd="t" o:hr="t" fillcolor="#a0a0a0" stroked="f"/>
        </w:pict>
      </w:r>
    </w:p>
    <w:p w14:paraId="50A34C6E" w14:textId="77777777" w:rsidR="00000000" w:rsidRDefault="001D0688">
      <w:pPr>
        <w:divId w:val="808017588"/>
        <w:rPr>
          <w:rFonts w:eastAsia="Times New Roman"/>
        </w:rPr>
      </w:pPr>
    </w:p>
    <w:p w14:paraId="23B7FC5E" w14:textId="77777777" w:rsidR="00000000" w:rsidRDefault="001D0688">
      <w:pPr>
        <w:jc w:val="center"/>
        <w:divId w:val="947930238"/>
        <w:rPr>
          <w:rFonts w:eastAsia="Times New Roman"/>
        </w:rPr>
      </w:pPr>
      <w:r>
        <w:rPr>
          <w:rFonts w:ascii="Arial" w:eastAsia="Times New Roman" w:hAnsi="Arial" w:cs="Arial"/>
          <w:b/>
          <w:bCs/>
          <w:color w:val="0046AD"/>
          <w:sz w:val="20"/>
          <w:szCs w:val="20"/>
        </w:rPr>
        <w:t>ABM INDUSTRIES INCORPORATED AND SUBSIDIARIES</w:t>
      </w:r>
    </w:p>
    <w:p w14:paraId="645964E8" w14:textId="77777777" w:rsidR="00000000" w:rsidRDefault="001D0688">
      <w:pPr>
        <w:jc w:val="center"/>
        <w:divId w:val="968588955"/>
        <w:rPr>
          <w:rFonts w:eastAsia="Times New Roman"/>
        </w:rPr>
      </w:pPr>
      <w:r>
        <w:rPr>
          <w:rFonts w:ascii="Arial" w:eastAsia="Times New Roman" w:hAnsi="Arial" w:cs="Arial"/>
          <w:b/>
          <w:bCs/>
          <w:color w:val="0046AD"/>
          <w:sz w:val="20"/>
          <w:szCs w:val="20"/>
        </w:rPr>
        <w:t>NOTES TO CONSOLIDATED FINANCIAL STATEMENTS</w:t>
      </w:r>
    </w:p>
    <w:p w14:paraId="5481126A" w14:textId="77777777" w:rsidR="00000000" w:rsidRDefault="001D0688">
      <w:pPr>
        <w:divId w:val="791051151"/>
        <w:rPr>
          <w:rFonts w:eastAsia="Times New Roman"/>
        </w:rPr>
      </w:pPr>
      <w:r>
        <w:rPr>
          <w:rFonts w:ascii="Arial" w:eastAsia="Times New Roman" w:hAnsi="Arial" w:cs="Arial"/>
          <w:b/>
          <w:bCs/>
          <w:color w:val="0046AD"/>
          <w:sz w:val="20"/>
          <w:szCs w:val="20"/>
        </w:rPr>
        <w:t>1. THE COMPANY AND NATURE OF OPERATIONS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791FBCCE" w14:textId="77777777">
        <w:trPr>
          <w:divId w:val="1896306893"/>
        </w:trPr>
        <w:tc>
          <w:tcPr>
            <w:tcW w:w="5" w:type="pct"/>
            <w:vAlign w:val="center"/>
            <w:hideMark/>
          </w:tcPr>
          <w:p w14:paraId="76AC4931" w14:textId="77777777" w:rsidR="00000000" w:rsidRDefault="001D0688">
            <w:pPr>
              <w:rPr>
                <w:rFonts w:eastAsia="Times New Roman"/>
              </w:rPr>
            </w:pPr>
          </w:p>
        </w:tc>
        <w:tc>
          <w:tcPr>
            <w:tcW w:w="129" w:type="pct"/>
            <w:vAlign w:val="center"/>
            <w:hideMark/>
          </w:tcPr>
          <w:p w14:paraId="4A80D117" w14:textId="77777777" w:rsidR="00000000" w:rsidRDefault="001D0688">
            <w:pPr>
              <w:rPr>
                <w:rFonts w:eastAsia="Times New Roman"/>
                <w:sz w:val="20"/>
                <w:szCs w:val="20"/>
              </w:rPr>
            </w:pPr>
          </w:p>
        </w:tc>
        <w:tc>
          <w:tcPr>
            <w:tcW w:w="5" w:type="pct"/>
            <w:vAlign w:val="center"/>
            <w:hideMark/>
          </w:tcPr>
          <w:p w14:paraId="4AE23599" w14:textId="77777777" w:rsidR="00000000" w:rsidRDefault="001D0688">
            <w:pPr>
              <w:rPr>
                <w:rFonts w:eastAsia="Times New Roman"/>
                <w:sz w:val="20"/>
                <w:szCs w:val="20"/>
              </w:rPr>
            </w:pPr>
          </w:p>
        </w:tc>
        <w:tc>
          <w:tcPr>
            <w:tcW w:w="50" w:type="pct"/>
            <w:vAlign w:val="center"/>
            <w:hideMark/>
          </w:tcPr>
          <w:p w14:paraId="632F0B0B" w14:textId="77777777" w:rsidR="00000000" w:rsidRDefault="001D0688">
            <w:pPr>
              <w:rPr>
                <w:rFonts w:eastAsia="Times New Roman"/>
                <w:sz w:val="20"/>
                <w:szCs w:val="20"/>
              </w:rPr>
            </w:pPr>
          </w:p>
        </w:tc>
        <w:tc>
          <w:tcPr>
            <w:tcW w:w="4805" w:type="pct"/>
            <w:vAlign w:val="center"/>
            <w:hideMark/>
          </w:tcPr>
          <w:p w14:paraId="1EC78462" w14:textId="77777777" w:rsidR="00000000" w:rsidRDefault="001D0688">
            <w:pPr>
              <w:rPr>
                <w:rFonts w:eastAsia="Times New Roman"/>
                <w:sz w:val="20"/>
                <w:szCs w:val="20"/>
              </w:rPr>
            </w:pPr>
          </w:p>
        </w:tc>
        <w:tc>
          <w:tcPr>
            <w:tcW w:w="5" w:type="pct"/>
            <w:vAlign w:val="center"/>
            <w:hideMark/>
          </w:tcPr>
          <w:p w14:paraId="672E5FD8" w14:textId="77777777" w:rsidR="00000000" w:rsidRDefault="001D0688">
            <w:pPr>
              <w:rPr>
                <w:rFonts w:eastAsia="Times New Roman"/>
                <w:sz w:val="20"/>
                <w:szCs w:val="20"/>
              </w:rPr>
            </w:pPr>
          </w:p>
        </w:tc>
      </w:tr>
      <w:tr w:rsidR="00000000" w14:paraId="563A9FF0" w14:textId="77777777">
        <w:trPr>
          <w:divId w:val="1896306893"/>
          <w:trHeight w:val="60"/>
        </w:trPr>
        <w:tc>
          <w:tcPr>
            <w:tcW w:w="0" w:type="auto"/>
            <w:gridSpan w:val="3"/>
            <w:tcBorders>
              <w:top w:val="single" w:sz="8" w:space="0" w:color="E98300"/>
            </w:tcBorders>
            <w:tcMar>
              <w:top w:w="0" w:type="dxa"/>
              <w:left w:w="20" w:type="dxa"/>
              <w:bottom w:w="0" w:type="dxa"/>
              <w:right w:w="20" w:type="dxa"/>
            </w:tcMar>
            <w:vAlign w:val="center"/>
            <w:hideMark/>
          </w:tcPr>
          <w:p w14:paraId="519B14C9"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457936DD" w14:textId="77777777" w:rsidR="00000000" w:rsidRDefault="001D0688">
            <w:pPr>
              <w:rPr>
                <w:rFonts w:eastAsia="Times New Roman"/>
                <w:sz w:val="20"/>
                <w:szCs w:val="20"/>
              </w:rPr>
            </w:pPr>
          </w:p>
        </w:tc>
      </w:tr>
    </w:tbl>
    <w:p w14:paraId="2216AA5B" w14:textId="77777777" w:rsidR="00000000" w:rsidRDefault="001D0688">
      <w:pPr>
        <w:ind w:firstLine="720"/>
        <w:jc w:val="both"/>
        <w:divId w:val="1652059458"/>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14:paraId="5A923BAD" w14:textId="77777777" w:rsidR="00000000" w:rsidRDefault="001D0688">
      <w:pPr>
        <w:jc w:val="both"/>
        <w:divId w:val="492794599"/>
        <w:rPr>
          <w:rFonts w:eastAsia="Times New Roman"/>
        </w:rPr>
      </w:pPr>
    </w:p>
    <w:p w14:paraId="370834CA" w14:textId="77777777" w:rsidR="00000000" w:rsidRDefault="001D0688">
      <w:pPr>
        <w:spacing w:before="60" w:after="180"/>
        <w:jc w:val="center"/>
        <w:divId w:val="668022901"/>
        <w:rPr>
          <w:rFonts w:eastAsia="Times New Roman"/>
        </w:rPr>
      </w:pPr>
      <w:r>
        <w:rPr>
          <w:rFonts w:eastAsia="Times New Roman"/>
          <w:noProof/>
        </w:rPr>
        <w:drawing>
          <wp:inline distT="0" distB="0" distL="0" distR="0" wp14:anchorId="66A29DB1" wp14:editId="07888F82">
            <wp:extent cx="304800" cy="3048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0DDF429" w14:textId="77777777" w:rsidR="00000000" w:rsidRDefault="001D0688">
      <w:pPr>
        <w:ind w:firstLine="720"/>
        <w:jc w:val="both"/>
        <w:divId w:val="1955020363"/>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combination with other services.</w:t>
      </w:r>
    </w:p>
    <w:p w14:paraId="6DECAD5F" w14:textId="77777777" w:rsidR="00000000" w:rsidRDefault="001D0688">
      <w:pPr>
        <w:divId w:val="1411540022"/>
        <w:rPr>
          <w:rFonts w:eastAsia="Times New Roman"/>
        </w:rPr>
      </w:pPr>
    </w:p>
    <w:p w14:paraId="2BC4059B" w14:textId="77777777" w:rsidR="00000000" w:rsidRDefault="001D0688">
      <w:pPr>
        <w:divId w:val="360741626"/>
        <w:rPr>
          <w:rFonts w:eastAsia="Times New Roman"/>
        </w:rPr>
      </w:pPr>
      <w:r>
        <w:rPr>
          <w:rFonts w:ascii="Arial" w:eastAsia="Times New Roman" w:hAnsi="Arial" w:cs="Arial"/>
          <w:b/>
          <w:bCs/>
          <w:color w:val="0046AD"/>
          <w:sz w:val="20"/>
          <w:szCs w:val="20"/>
        </w:rPr>
        <w:t>2. BASIS OF PRESENTATION AND SIGNIFICANT ACCOUNTING PO</w:t>
      </w:r>
      <w:r>
        <w:rPr>
          <w:rFonts w:ascii="Arial" w:eastAsia="Times New Roman" w:hAnsi="Arial" w:cs="Arial"/>
          <w:b/>
          <w:bCs/>
          <w:color w:val="0046AD"/>
          <w:sz w:val="20"/>
          <w:szCs w:val="20"/>
        </w:rPr>
        <w:t>LICIES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14:paraId="140F33F4" w14:textId="77777777">
        <w:trPr>
          <w:divId w:val="1702901885"/>
        </w:trPr>
        <w:tc>
          <w:tcPr>
            <w:tcW w:w="5" w:type="pct"/>
            <w:vAlign w:val="center"/>
            <w:hideMark/>
          </w:tcPr>
          <w:p w14:paraId="1A17DAF6" w14:textId="77777777" w:rsidR="00000000" w:rsidRDefault="001D0688">
            <w:pPr>
              <w:rPr>
                <w:rFonts w:eastAsia="Times New Roman"/>
              </w:rPr>
            </w:pPr>
          </w:p>
        </w:tc>
        <w:tc>
          <w:tcPr>
            <w:tcW w:w="130" w:type="pct"/>
            <w:vAlign w:val="center"/>
            <w:hideMark/>
          </w:tcPr>
          <w:p w14:paraId="2037C611" w14:textId="77777777" w:rsidR="00000000" w:rsidRDefault="001D0688">
            <w:pPr>
              <w:rPr>
                <w:rFonts w:eastAsia="Times New Roman"/>
                <w:sz w:val="20"/>
                <w:szCs w:val="20"/>
              </w:rPr>
            </w:pPr>
          </w:p>
        </w:tc>
        <w:tc>
          <w:tcPr>
            <w:tcW w:w="5" w:type="pct"/>
            <w:vAlign w:val="center"/>
            <w:hideMark/>
          </w:tcPr>
          <w:p w14:paraId="16B64495" w14:textId="77777777" w:rsidR="00000000" w:rsidRDefault="001D0688">
            <w:pPr>
              <w:rPr>
                <w:rFonts w:eastAsia="Times New Roman"/>
                <w:sz w:val="20"/>
                <w:szCs w:val="20"/>
              </w:rPr>
            </w:pPr>
          </w:p>
        </w:tc>
        <w:tc>
          <w:tcPr>
            <w:tcW w:w="50" w:type="pct"/>
            <w:vAlign w:val="center"/>
            <w:hideMark/>
          </w:tcPr>
          <w:p w14:paraId="6971C9C4" w14:textId="77777777" w:rsidR="00000000" w:rsidRDefault="001D0688">
            <w:pPr>
              <w:rPr>
                <w:rFonts w:eastAsia="Times New Roman"/>
                <w:sz w:val="20"/>
                <w:szCs w:val="20"/>
              </w:rPr>
            </w:pPr>
          </w:p>
        </w:tc>
        <w:tc>
          <w:tcPr>
            <w:tcW w:w="4804" w:type="pct"/>
            <w:vAlign w:val="center"/>
            <w:hideMark/>
          </w:tcPr>
          <w:p w14:paraId="4D56428A" w14:textId="77777777" w:rsidR="00000000" w:rsidRDefault="001D0688">
            <w:pPr>
              <w:rPr>
                <w:rFonts w:eastAsia="Times New Roman"/>
                <w:sz w:val="20"/>
                <w:szCs w:val="20"/>
              </w:rPr>
            </w:pPr>
          </w:p>
        </w:tc>
        <w:tc>
          <w:tcPr>
            <w:tcW w:w="5" w:type="pct"/>
            <w:vAlign w:val="center"/>
            <w:hideMark/>
          </w:tcPr>
          <w:p w14:paraId="014375EA" w14:textId="77777777" w:rsidR="00000000" w:rsidRDefault="001D0688">
            <w:pPr>
              <w:rPr>
                <w:rFonts w:eastAsia="Times New Roman"/>
                <w:sz w:val="20"/>
                <w:szCs w:val="20"/>
              </w:rPr>
            </w:pPr>
          </w:p>
        </w:tc>
      </w:tr>
      <w:tr w:rsidR="00000000" w14:paraId="3BEE63B9" w14:textId="77777777">
        <w:trPr>
          <w:divId w:val="1702901885"/>
          <w:trHeight w:val="60"/>
        </w:trPr>
        <w:tc>
          <w:tcPr>
            <w:tcW w:w="0" w:type="auto"/>
            <w:gridSpan w:val="3"/>
            <w:tcBorders>
              <w:top w:val="single" w:sz="8" w:space="0" w:color="E98300"/>
            </w:tcBorders>
            <w:tcMar>
              <w:top w:w="0" w:type="dxa"/>
              <w:left w:w="20" w:type="dxa"/>
              <w:bottom w:w="0" w:type="dxa"/>
              <w:right w:w="20" w:type="dxa"/>
            </w:tcMar>
            <w:vAlign w:val="center"/>
            <w:hideMark/>
          </w:tcPr>
          <w:p w14:paraId="2648D5FC"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345E852" w14:textId="77777777" w:rsidR="00000000" w:rsidRDefault="001D0688">
            <w:pPr>
              <w:rPr>
                <w:rFonts w:eastAsia="Times New Roman"/>
                <w:sz w:val="20"/>
                <w:szCs w:val="20"/>
              </w:rPr>
            </w:pPr>
          </w:p>
        </w:tc>
      </w:tr>
    </w:tbl>
    <w:p w14:paraId="43748EC4" w14:textId="77777777" w:rsidR="00000000" w:rsidRDefault="001D0688">
      <w:pPr>
        <w:jc w:val="both"/>
        <w:divId w:val="691732826"/>
        <w:rPr>
          <w:rFonts w:eastAsia="Times New Roman"/>
        </w:rPr>
      </w:pPr>
      <w:r>
        <w:rPr>
          <w:rFonts w:ascii="Arial" w:eastAsia="Times New Roman" w:hAnsi="Arial" w:cs="Arial"/>
          <w:b/>
          <w:bCs/>
          <w:color w:val="0046AD"/>
          <w:sz w:val="20"/>
          <w:szCs w:val="20"/>
        </w:rPr>
        <w:t>Basis of Presentation and Principles of Consolidation</w:t>
      </w:r>
    </w:p>
    <w:p w14:paraId="6995D7E2" w14:textId="77777777" w:rsidR="00000000" w:rsidRDefault="001D0688">
      <w:pPr>
        <w:ind w:firstLine="720"/>
        <w:jc w:val="both"/>
        <w:divId w:val="1692802942"/>
        <w:rPr>
          <w:rFonts w:eastAsia="Times New Roman"/>
        </w:rPr>
      </w:pPr>
      <w:r>
        <w:rPr>
          <w:rFonts w:ascii="Arial" w:eastAsia="Times New Roman" w:hAnsi="Arial" w:cs="Arial"/>
          <w:color w:val="000000"/>
          <w:sz w:val="20"/>
          <w:szCs w:val="20"/>
        </w:rPr>
        <w:t>The Financial Statements have been prepared in accordance with United States generally accepted accounting principles (“U.S. GAAP”) and with the rules and regulations of the SEC, specifically Regulation S-X and the instructions to Form 10-K. Unless otherwi</w:t>
      </w:r>
      <w:r>
        <w:rPr>
          <w:rFonts w:ascii="Arial" w:eastAsia="Times New Roman" w:hAnsi="Arial" w:cs="Arial"/>
          <w:color w:val="000000"/>
          <w:sz w:val="20"/>
          <w:szCs w:val="20"/>
        </w:rPr>
        <w:t>se indicated, all references to years are to our fiscal year, which ends on October 31.</w:t>
      </w:r>
    </w:p>
    <w:p w14:paraId="3487DB69" w14:textId="77777777" w:rsidR="00000000" w:rsidRDefault="001D0688">
      <w:pPr>
        <w:ind w:firstLine="720"/>
        <w:jc w:val="both"/>
        <w:divId w:val="1017005228"/>
        <w:rPr>
          <w:rFonts w:eastAsia="Times New Roman"/>
        </w:rPr>
      </w:pPr>
      <w:r>
        <w:rPr>
          <w:rFonts w:ascii="Arial" w:eastAsia="Times New Roman" w:hAnsi="Arial" w:cs="Arial"/>
          <w:color w:val="000000"/>
          <w:sz w:val="20"/>
          <w:szCs w:val="20"/>
        </w:rPr>
        <w:t>The Financial Statements include the accounts of ABM and all of our consolidated subsidiaries. We account for ABM’s investments in unconsolidated affiliates under the e</w:t>
      </w:r>
      <w:r>
        <w:rPr>
          <w:rFonts w:ascii="Arial" w:eastAsia="Times New Roman" w:hAnsi="Arial" w:cs="Arial"/>
          <w:color w:val="000000"/>
          <w:sz w:val="20"/>
          <w:szCs w:val="20"/>
        </w:rPr>
        <w:t>quity method of accounting. We include the results of acquired businesses in the Consolidated Statements of Comprehensive (Loss) Income from their respective acquisition dates. All intercompany accounts and transactions have been eliminated in consolidatio</w:t>
      </w:r>
      <w:r>
        <w:rPr>
          <w:rFonts w:ascii="Arial" w:eastAsia="Times New Roman" w:hAnsi="Arial" w:cs="Arial"/>
          <w:color w:val="000000"/>
          <w:sz w:val="20"/>
          <w:szCs w:val="20"/>
        </w:rPr>
        <w:t xml:space="preserve">n. </w:t>
      </w:r>
    </w:p>
    <w:p w14:paraId="5AF90A9C" w14:textId="77777777" w:rsidR="00000000" w:rsidRDefault="001D0688">
      <w:pPr>
        <w:ind w:firstLine="720"/>
        <w:jc w:val="both"/>
        <w:divId w:val="110630141"/>
        <w:rPr>
          <w:rFonts w:eastAsia="Times New Roman"/>
        </w:rPr>
      </w:pPr>
      <w:r>
        <w:rPr>
          <w:rFonts w:ascii="Arial" w:eastAsia="Times New Roman" w:hAnsi="Arial" w:cs="Arial"/>
          <w:color w:val="000000"/>
          <w:sz w:val="20"/>
          <w:szCs w:val="20"/>
        </w:rPr>
        <w:t>The preparation of consolidated financial statements in accordance with U.S. GAAP requires our management to make certain estimates that affect reported amounts. We base our estimates on historical experience, known or expected trends, independent valu</w:t>
      </w:r>
      <w:r>
        <w:rPr>
          <w:rFonts w:ascii="Arial" w:eastAsia="Times New Roman" w:hAnsi="Arial" w:cs="Arial"/>
          <w:color w:val="000000"/>
          <w:sz w:val="20"/>
          <w:szCs w:val="20"/>
        </w:rPr>
        <w:t xml:space="preserve">ations, and various other assumptions that we believe to be reasonable under the circumstances. As future events and their effects cannot be determined with precision, actual results could differ significantly from these estimates. </w:t>
      </w:r>
    </w:p>
    <w:p w14:paraId="1F18D6BE" w14:textId="77777777" w:rsidR="00000000" w:rsidRDefault="001D0688">
      <w:pPr>
        <w:ind w:firstLine="720"/>
        <w:jc w:val="both"/>
        <w:divId w:val="714161470"/>
        <w:rPr>
          <w:rFonts w:eastAsia="Times New Roman"/>
        </w:rPr>
      </w:pPr>
      <w:r>
        <w:rPr>
          <w:rFonts w:ascii="Arial" w:eastAsia="Times New Roman" w:hAnsi="Arial" w:cs="Arial"/>
          <w:color w:val="000000"/>
          <w:sz w:val="20"/>
          <w:szCs w:val="20"/>
        </w:rPr>
        <w:t>We round amounts in the</w:t>
      </w:r>
      <w:r>
        <w:rPr>
          <w:rFonts w:ascii="Arial" w:eastAsia="Times New Roman" w:hAnsi="Arial" w:cs="Arial"/>
          <w:color w:val="000000"/>
          <w:sz w:val="20"/>
          <w:szCs w:val="20"/>
        </w:rPr>
        <w:t xml:space="preserve"> Financial Statements to millions and calculate all percentages and per-share data from the underlying whole-dollar amounts. Thus, certain amounts may not foot, crossfoot, or recalculate based on reported numbers due to rounding.</w:t>
      </w:r>
    </w:p>
    <w:p w14:paraId="16F30939" w14:textId="77777777" w:rsidR="00000000" w:rsidRDefault="001D0688">
      <w:pPr>
        <w:jc w:val="both"/>
        <w:divId w:val="2082754204"/>
        <w:rPr>
          <w:rFonts w:eastAsia="Times New Roman"/>
        </w:rPr>
      </w:pPr>
      <w:r>
        <w:rPr>
          <w:rFonts w:ascii="Arial" w:eastAsia="Times New Roman" w:hAnsi="Arial" w:cs="Arial"/>
          <w:b/>
          <w:bCs/>
          <w:color w:val="0046AD"/>
          <w:sz w:val="20"/>
          <w:szCs w:val="20"/>
        </w:rPr>
        <w:t>Impact of the Pandemic</w:t>
      </w:r>
    </w:p>
    <w:p w14:paraId="04B58D27" w14:textId="77777777" w:rsidR="00000000" w:rsidRDefault="001D0688">
      <w:pPr>
        <w:ind w:firstLine="720"/>
        <w:jc w:val="both"/>
        <w:divId w:val="1350914330"/>
        <w:rPr>
          <w:rFonts w:eastAsia="Times New Roman"/>
        </w:rPr>
      </w:pPr>
      <w:r>
        <w:rPr>
          <w:rFonts w:ascii="Arial" w:eastAsia="Times New Roman" w:hAnsi="Arial" w:cs="Arial"/>
          <w:color w:val="000000"/>
          <w:sz w:val="20"/>
          <w:szCs w:val="20"/>
        </w:rPr>
        <w:t>A n</w:t>
      </w:r>
      <w:r>
        <w:rPr>
          <w:rFonts w:ascii="Arial" w:eastAsia="Times New Roman" w:hAnsi="Arial" w:cs="Arial"/>
          <w:color w:val="000000"/>
          <w:sz w:val="20"/>
          <w:szCs w:val="20"/>
        </w:rPr>
        <w:t>ovel strain of COVID-19 has resulted in a worldwide health Pandemic. To date, the Pandemic has surfaced in nearly all regions around the world and resulted in business slowdowns and shutdowns, as well as global travel restrictions. In these Financial State</w:t>
      </w:r>
      <w:r>
        <w:rPr>
          <w:rFonts w:ascii="Arial" w:eastAsia="Times New Roman" w:hAnsi="Arial" w:cs="Arial"/>
          <w:color w:val="000000"/>
          <w:sz w:val="20"/>
          <w:szCs w:val="20"/>
        </w:rPr>
        <w:t>ments and related disclosures we have assessed the current impact of the Pandemic on our financial condition, results of operations, and cash flows as well as on our estimates, forecasts, and accounting policies. We have made additional disclosures of thes</w:t>
      </w:r>
      <w:r>
        <w:rPr>
          <w:rFonts w:ascii="Arial" w:eastAsia="Times New Roman" w:hAnsi="Arial" w:cs="Arial"/>
          <w:color w:val="000000"/>
          <w:sz w:val="20"/>
          <w:szCs w:val="20"/>
        </w:rPr>
        <w:t>e assessments as necessary. Given the unprecedented nature of this situation, we cannot reasonably estimate the full impact the Pandemic will have on our financial condition, results of operations, or cash flows in the foreseeable future. The ultimate impa</w:t>
      </w:r>
      <w:r>
        <w:rPr>
          <w:rFonts w:ascii="Arial" w:eastAsia="Times New Roman" w:hAnsi="Arial" w:cs="Arial"/>
          <w:color w:val="000000"/>
          <w:sz w:val="20"/>
          <w:szCs w:val="20"/>
        </w:rPr>
        <w:t>ct of the Pandemic on our company is highly uncertain and will depend on future developments, and such impacts could exist for an extended period of time, even after the Pandemic subsides.</w:t>
      </w:r>
    </w:p>
    <w:p w14:paraId="43F4C28C" w14:textId="77777777" w:rsidR="00000000" w:rsidRDefault="001D0688">
      <w:pPr>
        <w:ind w:firstLine="720"/>
        <w:jc w:val="both"/>
        <w:divId w:val="1651594096"/>
        <w:rPr>
          <w:rFonts w:eastAsia="Times New Roman"/>
        </w:rPr>
      </w:pPr>
      <w:r>
        <w:rPr>
          <w:rFonts w:ascii="Arial" w:eastAsia="Times New Roman" w:hAnsi="Arial" w:cs="Arial"/>
          <w:color w:val="000000"/>
          <w:sz w:val="20"/>
          <w:szCs w:val="20"/>
        </w:rPr>
        <w:t xml:space="preserve">The Pandemic continues to create a dynamic client environment, and </w:t>
      </w:r>
      <w:r>
        <w:rPr>
          <w:rFonts w:ascii="Arial" w:eastAsia="Times New Roman" w:hAnsi="Arial" w:cs="Arial"/>
          <w:color w:val="000000"/>
          <w:sz w:val="20"/>
          <w:szCs w:val="20"/>
        </w:rPr>
        <w:t xml:space="preserve">we are working diligently to ensure our clients’ changing staffing and service needs are met while actively managing direct labor and related personnel </w:t>
      </w:r>
    </w:p>
    <w:p w14:paraId="1FD8433D" w14:textId="77777777" w:rsidR="00000000" w:rsidRDefault="001D0688">
      <w:pPr>
        <w:jc w:val="center"/>
        <w:divId w:val="51393423"/>
        <w:rPr>
          <w:rFonts w:eastAsia="Times New Roman"/>
        </w:rPr>
      </w:pPr>
      <w:r>
        <w:rPr>
          <w:rFonts w:ascii="Arial" w:eastAsia="Times New Roman" w:hAnsi="Arial" w:cs="Arial"/>
          <w:color w:val="000000"/>
          <w:sz w:val="20"/>
          <w:szCs w:val="20"/>
        </w:rPr>
        <w:t>55</w:t>
      </w:r>
    </w:p>
    <w:p w14:paraId="46982E7C" w14:textId="77777777" w:rsidR="00000000" w:rsidRDefault="001D0688">
      <w:pPr>
        <w:rPr>
          <w:rFonts w:eastAsia="Times New Roman"/>
        </w:rPr>
      </w:pPr>
      <w:r>
        <w:rPr>
          <w:rFonts w:eastAsia="Times New Roman"/>
        </w:rPr>
        <w:pict w14:anchorId="1CF6198A">
          <v:rect id="_x0000_i1092" style="width:0;height:1.5pt" o:hralign="center" o:hrstd="t" o:hr="t" fillcolor="#a0a0a0" stroked="f"/>
        </w:pict>
      </w:r>
    </w:p>
    <w:p w14:paraId="573C3525" w14:textId="77777777" w:rsidR="00000000" w:rsidRDefault="001D0688">
      <w:pPr>
        <w:divId w:val="130562784"/>
        <w:rPr>
          <w:rFonts w:eastAsia="Times New Roman"/>
        </w:rPr>
      </w:pPr>
    </w:p>
    <w:p w14:paraId="3BCFAE13" w14:textId="77777777" w:rsidR="00000000" w:rsidRDefault="001D0688">
      <w:pPr>
        <w:jc w:val="both"/>
        <w:divId w:val="531043071"/>
        <w:rPr>
          <w:rFonts w:eastAsia="Times New Roman"/>
        </w:rPr>
      </w:pPr>
      <w:r>
        <w:rPr>
          <w:rFonts w:ascii="Arial" w:eastAsia="Times New Roman" w:hAnsi="Arial" w:cs="Arial"/>
          <w:color w:val="000000"/>
          <w:sz w:val="20"/>
          <w:szCs w:val="20"/>
        </w:rPr>
        <w:t>costs, including furlo</w:t>
      </w:r>
      <w:r>
        <w:rPr>
          <w:rFonts w:ascii="Arial" w:eastAsia="Times New Roman" w:hAnsi="Arial" w:cs="Arial"/>
          <w:color w:val="000000"/>
          <w:sz w:val="20"/>
          <w:szCs w:val="20"/>
        </w:rPr>
        <w:t xml:space="preserve">ughs or reduced hours for certain service employees in markets significantly impacted by business slowdowns and shutdowns. </w:t>
      </w:r>
    </w:p>
    <w:p w14:paraId="2955DC61" w14:textId="77777777" w:rsidR="00000000" w:rsidRDefault="001D0688">
      <w:pPr>
        <w:ind w:firstLine="720"/>
        <w:jc w:val="both"/>
        <w:divId w:val="1025325372"/>
        <w:rPr>
          <w:rFonts w:eastAsia="Times New Roman"/>
        </w:rPr>
      </w:pPr>
      <w:r>
        <w:rPr>
          <w:rFonts w:ascii="Arial" w:eastAsia="Times New Roman" w:hAnsi="Arial" w:cs="Arial"/>
          <w:color w:val="000000"/>
          <w:sz w:val="20"/>
          <w:szCs w:val="20"/>
        </w:rPr>
        <w:t>In addition, during the second and third quarters of 2020, we took several human capital management actions to align our organizatio</w:t>
      </w:r>
      <w:r>
        <w:rPr>
          <w:rFonts w:ascii="Arial" w:eastAsia="Times New Roman" w:hAnsi="Arial" w:cs="Arial"/>
          <w:color w:val="000000"/>
          <w:sz w:val="20"/>
          <w:szCs w:val="20"/>
        </w:rPr>
        <w:t>n operationally and help mitigate the financial impact of the Pandemic on our business, one of which included temporary furloughs for certain staff and management employees. To continue supporting furloughed staff and management employees during the Pandem</w:t>
      </w:r>
      <w:r>
        <w:rPr>
          <w:rFonts w:ascii="Arial" w:eastAsia="Times New Roman" w:hAnsi="Arial" w:cs="Arial"/>
          <w:color w:val="000000"/>
          <w:sz w:val="20"/>
          <w:szCs w:val="20"/>
        </w:rPr>
        <w:t>ic, we paid 100% of health insurance premiums during the furlough period for those enrolled in health benefit plans. Most of the furloughed staff and management employees returned to work effective August 1, 2020, and we have not accrued any additional exp</w:t>
      </w:r>
      <w:r>
        <w:rPr>
          <w:rFonts w:ascii="Arial" w:eastAsia="Times New Roman" w:hAnsi="Arial" w:cs="Arial"/>
          <w:color w:val="000000"/>
          <w:sz w:val="20"/>
          <w:szCs w:val="20"/>
        </w:rPr>
        <w:t xml:space="preserve">enses associated with these employees as of October 31, 2020. </w:t>
      </w:r>
    </w:p>
    <w:p w14:paraId="5DF44808" w14:textId="77777777" w:rsidR="00000000" w:rsidRDefault="001D0688">
      <w:pPr>
        <w:ind w:firstLine="720"/>
        <w:jc w:val="both"/>
        <w:divId w:val="1588726693"/>
        <w:rPr>
          <w:rFonts w:eastAsia="Times New Roman"/>
        </w:rPr>
      </w:pPr>
      <w:r>
        <w:rPr>
          <w:rFonts w:ascii="Arial" w:eastAsia="Times New Roman" w:hAnsi="Arial" w:cs="Arial"/>
          <w:color w:val="000000"/>
          <w:sz w:val="20"/>
          <w:szCs w:val="20"/>
        </w:rPr>
        <w:t>In response to the Pandemic, Congress enacted the CARES Act on March 27, 2020. The CARES Act provides various stimulus measures, including several income tax and payroll tax provisions. Among t</w:t>
      </w:r>
      <w:r>
        <w:rPr>
          <w:rFonts w:ascii="Arial" w:eastAsia="Times New Roman" w:hAnsi="Arial" w:cs="Arial"/>
          <w:color w:val="000000"/>
          <w:sz w:val="20"/>
          <w:szCs w:val="20"/>
        </w:rPr>
        <w:t>he payroll tax provisions is the creation of a refundable credit for employee retention and the deferral of certain payroll tax remittances through December 31, 2020, to future years (with 50% of the deferred amount due by December 31, 2021, and the remain</w:t>
      </w:r>
      <w:r>
        <w:rPr>
          <w:rFonts w:ascii="Arial" w:eastAsia="Times New Roman" w:hAnsi="Arial" w:cs="Arial"/>
          <w:color w:val="000000"/>
          <w:sz w:val="20"/>
          <w:szCs w:val="20"/>
        </w:rPr>
        <w:t xml:space="preserve">ing 50% due by December 31, 2022). We evaluated the impact of business tax provisions in the CARES Act. The impact of the income tax provisions was not material. The impact of the payroll tax provisions was the deferral of approximately </w:t>
      </w:r>
      <w:r>
        <w:rPr>
          <w:rFonts w:ascii="Arial" w:eastAsia="Times New Roman" w:hAnsi="Arial" w:cs="Arial"/>
          <w:color w:val="000000"/>
          <w:sz w:val="20"/>
          <w:szCs w:val="20"/>
          <w:shd w:val="clear" w:color="auto" w:fill="FFFFFF"/>
        </w:rPr>
        <w:t xml:space="preserve">$101 million </w:t>
      </w:r>
      <w:r>
        <w:rPr>
          <w:rFonts w:ascii="Arial" w:eastAsia="Times New Roman" w:hAnsi="Arial" w:cs="Arial"/>
          <w:color w:val="000000"/>
          <w:sz w:val="20"/>
          <w:szCs w:val="20"/>
        </w:rPr>
        <w:t>of pay</w:t>
      </w:r>
      <w:r>
        <w:rPr>
          <w:rFonts w:ascii="Arial" w:eastAsia="Times New Roman" w:hAnsi="Arial" w:cs="Arial"/>
          <w:color w:val="000000"/>
          <w:sz w:val="20"/>
          <w:szCs w:val="20"/>
        </w:rPr>
        <w:t xml:space="preserve">roll tax as of October 31, 2020. </w:t>
      </w:r>
    </w:p>
    <w:p w14:paraId="7F7C5017" w14:textId="77777777" w:rsidR="00000000" w:rsidRDefault="001D0688">
      <w:pPr>
        <w:ind w:firstLine="720"/>
        <w:jc w:val="both"/>
        <w:divId w:val="1118601121"/>
        <w:rPr>
          <w:rFonts w:eastAsia="Times New Roman"/>
        </w:rPr>
      </w:pPr>
      <w:r>
        <w:rPr>
          <w:rFonts w:ascii="Arial" w:eastAsia="Times New Roman" w:hAnsi="Arial" w:cs="Arial"/>
          <w:color w:val="000000"/>
          <w:sz w:val="20"/>
          <w:szCs w:val="20"/>
        </w:rPr>
        <w:t>Refer to additional discussion regarding the Pandemic and the impact on our business throughout this document, including Note 7, “Fair Value of Financial Instruments,” Note 9, “Goodwill and Other Intangible Assets,” and No</w:t>
      </w:r>
      <w:r>
        <w:rPr>
          <w:rFonts w:ascii="Arial" w:eastAsia="Times New Roman" w:hAnsi="Arial" w:cs="Arial"/>
          <w:color w:val="000000"/>
          <w:sz w:val="20"/>
          <w:szCs w:val="20"/>
        </w:rPr>
        <w:t>te 11, “Credit Facility.”</w:t>
      </w:r>
    </w:p>
    <w:p w14:paraId="5F1985DA" w14:textId="77777777" w:rsidR="00000000" w:rsidRDefault="001D0688">
      <w:pPr>
        <w:jc w:val="both"/>
        <w:divId w:val="1780493456"/>
        <w:rPr>
          <w:rFonts w:eastAsia="Times New Roman"/>
        </w:rPr>
      </w:pPr>
      <w:r>
        <w:rPr>
          <w:rFonts w:ascii="Arial" w:eastAsia="Times New Roman" w:hAnsi="Arial" w:cs="Arial"/>
          <w:b/>
          <w:bCs/>
          <w:color w:val="0046AD"/>
          <w:sz w:val="20"/>
          <w:szCs w:val="20"/>
        </w:rPr>
        <w:t>Cash and Cash Equivalents</w:t>
      </w:r>
    </w:p>
    <w:p w14:paraId="7130F401" w14:textId="77777777" w:rsidR="00000000" w:rsidRDefault="001D0688">
      <w:pPr>
        <w:ind w:firstLine="720"/>
        <w:jc w:val="both"/>
        <w:divId w:val="892734100"/>
        <w:rPr>
          <w:rFonts w:eastAsia="Times New Roman"/>
        </w:rPr>
      </w:pPr>
      <w:r>
        <w:rPr>
          <w:rFonts w:ascii="Arial" w:eastAsia="Times New Roman" w:hAnsi="Arial" w:cs="Arial"/>
          <w:color w:val="000000"/>
          <w:sz w:val="20"/>
          <w:szCs w:val="20"/>
        </w:rPr>
        <w:t>We consider all highly liquid securities with an original maturity of three months or less to be cash and cash equivalents. As part of our cash management system, we use “zero balance” accounts to fund ou</w:t>
      </w:r>
      <w:r>
        <w:rPr>
          <w:rFonts w:ascii="Arial" w:eastAsia="Times New Roman" w:hAnsi="Arial" w:cs="Arial"/>
          <w:color w:val="000000"/>
          <w:sz w:val="20"/>
          <w:szCs w:val="20"/>
        </w:rPr>
        <w:t>r disbursements. Under this system, at the end of each day the bank balance is zero, while the book balance is usually a negative amount due to reconciling items, such as outstanding checks. We report the changes in these book cash overdrafts as cash flows</w:t>
      </w:r>
      <w:r>
        <w:rPr>
          <w:rFonts w:ascii="Arial" w:eastAsia="Times New Roman" w:hAnsi="Arial" w:cs="Arial"/>
          <w:color w:val="000000"/>
          <w:sz w:val="20"/>
          <w:szCs w:val="20"/>
        </w:rPr>
        <w:t xml:space="preserve"> from financing activities. </w:t>
      </w:r>
    </w:p>
    <w:p w14:paraId="7E0DB535" w14:textId="77777777" w:rsidR="00000000" w:rsidRDefault="001D0688">
      <w:pPr>
        <w:jc w:val="both"/>
        <w:divId w:val="1452893620"/>
        <w:rPr>
          <w:rFonts w:eastAsia="Times New Roman"/>
        </w:rPr>
      </w:pPr>
      <w:r>
        <w:rPr>
          <w:rFonts w:ascii="Arial" w:eastAsia="Times New Roman" w:hAnsi="Arial" w:cs="Arial"/>
          <w:b/>
          <w:bCs/>
          <w:color w:val="0046AD"/>
          <w:sz w:val="20"/>
          <w:szCs w:val="20"/>
        </w:rPr>
        <w:t>Trade Accounts Receivable and Costs Incurred in Excess of Amounts Billed</w:t>
      </w:r>
    </w:p>
    <w:p w14:paraId="6EEDB35A" w14:textId="77777777" w:rsidR="00000000" w:rsidRDefault="001D0688">
      <w:pPr>
        <w:ind w:firstLine="720"/>
        <w:jc w:val="both"/>
        <w:divId w:val="1063143119"/>
        <w:rPr>
          <w:rFonts w:eastAsia="Times New Roman"/>
        </w:rPr>
      </w:pPr>
      <w:r>
        <w:rPr>
          <w:rFonts w:ascii="Arial" w:eastAsia="Times New Roman" w:hAnsi="Arial" w:cs="Arial"/>
          <w:color w:val="000000"/>
          <w:sz w:val="20"/>
          <w:szCs w:val="20"/>
        </w:rPr>
        <w:t xml:space="preserve">Trade accounts receivable arise from services provided to our clients and are usually due and payable on varying terms from receipt of the invoice to net </w:t>
      </w:r>
      <w:r>
        <w:rPr>
          <w:rFonts w:ascii="Arial" w:eastAsia="Times New Roman" w:hAnsi="Arial" w:cs="Arial"/>
          <w:color w:val="000000"/>
          <w:sz w:val="20"/>
          <w:szCs w:val="20"/>
        </w:rPr>
        <w:t xml:space="preserve">ninety days, with the exception of certain Technical Solutions project receivables that may have longer collection periods. These receivables are recorded at the invoiced amount and normally do not bear interest. In addition, our trade accounts receivable </w:t>
      </w:r>
      <w:r>
        <w:rPr>
          <w:rFonts w:ascii="Arial" w:eastAsia="Times New Roman" w:hAnsi="Arial" w:cs="Arial"/>
          <w:color w:val="000000"/>
          <w:sz w:val="20"/>
          <w:szCs w:val="20"/>
        </w:rPr>
        <w:t>include unbilled receivables, such as invoices for services that have been provided but are not yet billed.</w:t>
      </w:r>
    </w:p>
    <w:p w14:paraId="300682B3" w14:textId="77777777" w:rsidR="00000000" w:rsidRDefault="001D0688">
      <w:pPr>
        <w:ind w:firstLine="720"/>
        <w:jc w:val="both"/>
        <w:divId w:val="164173024"/>
        <w:rPr>
          <w:rFonts w:eastAsia="Times New Roman"/>
        </w:rPr>
      </w:pPr>
      <w:r>
        <w:rPr>
          <w:rFonts w:ascii="Arial" w:eastAsia="Times New Roman" w:hAnsi="Arial" w:cs="Arial"/>
          <w:color w:val="000000"/>
          <w:sz w:val="20"/>
          <w:szCs w:val="20"/>
        </w:rPr>
        <w:t>Costs incurred in excess of amounts billed arise from Technical Solutions project contracts that typically provide for a schedule of billings or invoices to the client based on our performance to date of specific tasks inherent in the fulfillment of our pe</w:t>
      </w:r>
      <w:r>
        <w:rPr>
          <w:rFonts w:ascii="Arial" w:eastAsia="Times New Roman" w:hAnsi="Arial" w:cs="Arial"/>
          <w:color w:val="000000"/>
          <w:sz w:val="20"/>
          <w:szCs w:val="20"/>
        </w:rPr>
        <w:t>rformance obligation(s). The schedules for such billings usually do not precisely match the schedule on which costs are incurred. As a result, revenues generally differ from amounts that can be billed or invoiced to the client at any point during the contr</w:t>
      </w:r>
      <w:r>
        <w:rPr>
          <w:rFonts w:ascii="Arial" w:eastAsia="Times New Roman" w:hAnsi="Arial" w:cs="Arial"/>
          <w:color w:val="000000"/>
          <w:sz w:val="20"/>
          <w:szCs w:val="20"/>
        </w:rPr>
        <w:t>act.</w:t>
      </w:r>
    </w:p>
    <w:p w14:paraId="04D0E260" w14:textId="77777777" w:rsidR="00000000" w:rsidRDefault="001D0688">
      <w:pPr>
        <w:jc w:val="both"/>
        <w:divId w:val="1770000842"/>
        <w:rPr>
          <w:rFonts w:eastAsia="Times New Roman"/>
        </w:rPr>
      </w:pPr>
      <w:r>
        <w:rPr>
          <w:rFonts w:ascii="Arial" w:eastAsia="Times New Roman" w:hAnsi="Arial" w:cs="Arial"/>
          <w:b/>
          <w:bCs/>
          <w:i/>
          <w:iCs/>
          <w:color w:val="0046AD"/>
          <w:sz w:val="20"/>
          <w:szCs w:val="20"/>
        </w:rPr>
        <w:t>Allowance for Doubtful Accounts</w:t>
      </w:r>
    </w:p>
    <w:p w14:paraId="5C892C14" w14:textId="77777777" w:rsidR="00000000" w:rsidRDefault="001D0688">
      <w:pPr>
        <w:ind w:firstLine="720"/>
        <w:jc w:val="both"/>
        <w:divId w:val="1949434382"/>
        <w:rPr>
          <w:rFonts w:eastAsia="Times New Roman"/>
        </w:rPr>
      </w:pPr>
      <w:r>
        <w:rPr>
          <w:rFonts w:ascii="Arial" w:eastAsia="Times New Roman" w:hAnsi="Arial" w:cs="Arial"/>
          <w:color w:val="000000"/>
          <w:sz w:val="20"/>
          <w:szCs w:val="20"/>
        </w:rPr>
        <w:t>We determine the allowance for doubtful accounts based on historical write-offs, known or expected trends, and the identification of specific balances deemed uncollectible. For the specifically identified balances, we e</w:t>
      </w:r>
      <w:r>
        <w:rPr>
          <w:rFonts w:ascii="Arial" w:eastAsia="Times New Roman" w:hAnsi="Arial" w:cs="Arial"/>
          <w:color w:val="000000"/>
          <w:sz w:val="20"/>
          <w:szCs w:val="20"/>
        </w:rPr>
        <w:t xml:space="preserve">stablish the reserve upon the earlier of a client’s inability to meet its financial obligations or after a period of twelve months, unless our management believes such amounts will ultimately be collectible. </w:t>
      </w:r>
    </w:p>
    <w:p w14:paraId="156CE5BE" w14:textId="77777777" w:rsidR="00000000" w:rsidRDefault="001D0688">
      <w:pPr>
        <w:jc w:val="both"/>
        <w:divId w:val="1234122246"/>
        <w:rPr>
          <w:rFonts w:eastAsia="Times New Roman"/>
        </w:rPr>
      </w:pPr>
      <w:r>
        <w:rPr>
          <w:rFonts w:ascii="Arial" w:eastAsia="Times New Roman" w:hAnsi="Arial" w:cs="Arial"/>
          <w:b/>
          <w:bCs/>
          <w:i/>
          <w:iCs/>
          <w:color w:val="0046AD"/>
          <w:sz w:val="20"/>
          <w:szCs w:val="20"/>
        </w:rPr>
        <w:t>Sales Allowance</w:t>
      </w:r>
    </w:p>
    <w:p w14:paraId="0DB661C6" w14:textId="77777777" w:rsidR="00000000" w:rsidRDefault="001D0688">
      <w:pPr>
        <w:ind w:firstLine="720"/>
        <w:jc w:val="both"/>
        <w:divId w:val="222958752"/>
        <w:rPr>
          <w:rFonts w:eastAsia="Times New Roman"/>
        </w:rPr>
      </w:pPr>
      <w:r>
        <w:rPr>
          <w:rFonts w:ascii="Arial" w:eastAsia="Times New Roman" w:hAnsi="Arial" w:cs="Arial"/>
          <w:color w:val="000000"/>
          <w:sz w:val="20"/>
          <w:szCs w:val="20"/>
        </w:rPr>
        <w:t xml:space="preserve">In connection with our service </w:t>
      </w:r>
      <w:r>
        <w:rPr>
          <w:rFonts w:ascii="Arial" w:eastAsia="Times New Roman" w:hAnsi="Arial" w:cs="Arial"/>
          <w:color w:val="000000"/>
          <w:sz w:val="20"/>
          <w:szCs w:val="20"/>
        </w:rPr>
        <w:t xml:space="preserve">contracts, we periodically issue credit memos to our clients that are recorded as a reduction in revenues and an increase to the allowance for billing adjustments. These credits can result from client vacancy discounts, job cancellations, property damage, </w:t>
      </w:r>
      <w:r>
        <w:rPr>
          <w:rFonts w:ascii="Arial" w:eastAsia="Times New Roman" w:hAnsi="Arial" w:cs="Arial"/>
          <w:color w:val="000000"/>
          <w:sz w:val="20"/>
          <w:szCs w:val="20"/>
        </w:rPr>
        <w:t xml:space="preserve">and other items. We estimate our potential future losses on these client receivables based on an analysis of the historical rate of sales adjustments (credit memos, net of re-bills) and known or expected trends. </w:t>
      </w:r>
    </w:p>
    <w:p w14:paraId="28D1A1CD" w14:textId="77777777" w:rsidR="00000000" w:rsidRDefault="001D0688">
      <w:pPr>
        <w:jc w:val="center"/>
        <w:divId w:val="1565986641"/>
        <w:rPr>
          <w:rFonts w:eastAsia="Times New Roman"/>
        </w:rPr>
      </w:pPr>
      <w:r>
        <w:rPr>
          <w:rFonts w:ascii="Arial" w:eastAsia="Times New Roman" w:hAnsi="Arial" w:cs="Arial"/>
          <w:color w:val="000000"/>
          <w:sz w:val="20"/>
          <w:szCs w:val="20"/>
        </w:rPr>
        <w:t>56</w:t>
      </w:r>
    </w:p>
    <w:p w14:paraId="0D390A25" w14:textId="77777777" w:rsidR="00000000" w:rsidRDefault="001D0688">
      <w:pPr>
        <w:rPr>
          <w:rFonts w:eastAsia="Times New Roman"/>
        </w:rPr>
      </w:pPr>
      <w:r>
        <w:rPr>
          <w:rFonts w:eastAsia="Times New Roman"/>
        </w:rPr>
        <w:pict w14:anchorId="283E7629">
          <v:rect id="_x0000_i1093" style="width:0;height:1.5pt" o:hralign="center" o:hrstd="t" o:hr="t" fillcolor="#a0a0a0" stroked="f"/>
        </w:pict>
      </w:r>
    </w:p>
    <w:p w14:paraId="6046EAA8" w14:textId="77777777" w:rsidR="00000000" w:rsidRDefault="001D0688">
      <w:pPr>
        <w:divId w:val="1907497516"/>
        <w:rPr>
          <w:rFonts w:eastAsia="Times New Roman"/>
        </w:rPr>
      </w:pPr>
    </w:p>
    <w:p w14:paraId="1BA5183C" w14:textId="77777777" w:rsidR="00000000" w:rsidRDefault="001D0688">
      <w:pPr>
        <w:jc w:val="both"/>
        <w:divId w:val="644244135"/>
        <w:rPr>
          <w:rFonts w:eastAsia="Times New Roman"/>
        </w:rPr>
      </w:pPr>
      <w:r>
        <w:rPr>
          <w:rFonts w:ascii="Arial" w:eastAsia="Times New Roman" w:hAnsi="Arial" w:cs="Arial"/>
          <w:b/>
          <w:bCs/>
          <w:color w:val="0046AD"/>
          <w:sz w:val="20"/>
          <w:szCs w:val="20"/>
        </w:rPr>
        <w:t>Ot</w:t>
      </w:r>
      <w:r>
        <w:rPr>
          <w:rFonts w:ascii="Arial" w:eastAsia="Times New Roman" w:hAnsi="Arial" w:cs="Arial"/>
          <w:b/>
          <w:bCs/>
          <w:color w:val="0046AD"/>
          <w:sz w:val="20"/>
          <w:szCs w:val="20"/>
        </w:rPr>
        <w:t>her Current Assets</w:t>
      </w:r>
    </w:p>
    <w:p w14:paraId="279F6A2C" w14:textId="77777777" w:rsidR="00000000" w:rsidRDefault="001D0688">
      <w:pPr>
        <w:ind w:firstLine="720"/>
        <w:jc w:val="both"/>
        <w:divId w:val="1369331045"/>
        <w:rPr>
          <w:rFonts w:eastAsia="Times New Roman"/>
        </w:rPr>
      </w:pPr>
      <w:r>
        <w:rPr>
          <w:rFonts w:ascii="Arial" w:eastAsia="Times New Roman" w:hAnsi="Arial" w:cs="Arial"/>
          <w:color w:val="000000"/>
          <w:sz w:val="20"/>
          <w:szCs w:val="20"/>
        </w:rPr>
        <w:t xml:space="preserve">At October 31, 2020 and 2019, other current assets primarily consisted of other receivables, short-term insurance recoverables, and capitalized commissions. </w:t>
      </w:r>
    </w:p>
    <w:p w14:paraId="29B8F28D" w14:textId="77777777" w:rsidR="00000000" w:rsidRDefault="001D0688">
      <w:pPr>
        <w:jc w:val="both"/>
        <w:divId w:val="673993464"/>
        <w:rPr>
          <w:rFonts w:eastAsia="Times New Roman"/>
        </w:rPr>
      </w:pPr>
      <w:r>
        <w:rPr>
          <w:rFonts w:ascii="Arial" w:eastAsia="Times New Roman" w:hAnsi="Arial" w:cs="Arial"/>
          <w:b/>
          <w:bCs/>
          <w:color w:val="0046AD"/>
          <w:sz w:val="20"/>
          <w:szCs w:val="20"/>
        </w:rPr>
        <w:t>Other Investments</w:t>
      </w:r>
    </w:p>
    <w:p w14:paraId="373DD986" w14:textId="77777777" w:rsidR="00000000" w:rsidRDefault="001D0688">
      <w:pPr>
        <w:ind w:firstLine="720"/>
        <w:jc w:val="both"/>
        <w:divId w:val="82530549"/>
        <w:rPr>
          <w:rFonts w:eastAsia="Times New Roman"/>
        </w:rPr>
      </w:pPr>
      <w:r>
        <w:rPr>
          <w:rFonts w:ascii="Arial" w:eastAsia="Times New Roman" w:hAnsi="Arial" w:cs="Arial"/>
          <w:color w:val="000000"/>
          <w:sz w:val="20"/>
          <w:szCs w:val="20"/>
        </w:rPr>
        <w:t>At October 31, 2020 and 2019, other investments primarily con</w:t>
      </w:r>
      <w:r>
        <w:rPr>
          <w:rFonts w:ascii="Arial" w:eastAsia="Times New Roman" w:hAnsi="Arial" w:cs="Arial"/>
          <w:color w:val="000000"/>
          <w:sz w:val="20"/>
          <w:szCs w:val="20"/>
        </w:rPr>
        <w:t>sisted of investments in unconsolidated affiliates, as well as auction rate securities at October 31, 2019.</w:t>
      </w:r>
    </w:p>
    <w:p w14:paraId="5ACEBC66" w14:textId="77777777" w:rsidR="00000000" w:rsidRDefault="001D0688">
      <w:pPr>
        <w:jc w:val="both"/>
        <w:divId w:val="1834639245"/>
        <w:rPr>
          <w:rFonts w:eastAsia="Times New Roman"/>
        </w:rPr>
      </w:pPr>
      <w:r>
        <w:rPr>
          <w:rFonts w:ascii="Arial" w:eastAsia="Times New Roman" w:hAnsi="Arial" w:cs="Arial"/>
          <w:b/>
          <w:bCs/>
          <w:i/>
          <w:iCs/>
          <w:color w:val="0046AD"/>
          <w:sz w:val="20"/>
          <w:szCs w:val="20"/>
        </w:rPr>
        <w:t>Investments in Unconsolidated Affiliates</w:t>
      </w:r>
    </w:p>
    <w:p w14:paraId="481E8346" w14:textId="77777777" w:rsidR="00000000" w:rsidRDefault="001D0688">
      <w:pPr>
        <w:ind w:firstLine="720"/>
        <w:jc w:val="both"/>
        <w:divId w:val="1176461395"/>
        <w:rPr>
          <w:rFonts w:eastAsia="Times New Roman"/>
        </w:rPr>
      </w:pPr>
      <w:r>
        <w:rPr>
          <w:rFonts w:ascii="Arial" w:eastAsia="Times New Roman" w:hAnsi="Arial" w:cs="Arial"/>
          <w:color w:val="000000"/>
          <w:sz w:val="20"/>
          <w:szCs w:val="20"/>
        </w:rPr>
        <w:t>We own non-controlling interests (generally 20% to 50%) in certain affiliated entities that predominantly p</w:t>
      </w:r>
      <w:r>
        <w:rPr>
          <w:rFonts w:ascii="Arial" w:eastAsia="Times New Roman" w:hAnsi="Arial" w:cs="Arial"/>
          <w:color w:val="000000"/>
          <w:sz w:val="20"/>
          <w:szCs w:val="20"/>
        </w:rPr>
        <w:t>rovide facility solutions to governmental and commercial clients, primarily in the United States and the Middle East. We account for such investments under the equity method of accounting. We evaluate our equity method investments for impairment whenever e</w:t>
      </w:r>
      <w:r>
        <w:rPr>
          <w:rFonts w:ascii="Arial" w:eastAsia="Times New Roman" w:hAnsi="Arial" w:cs="Arial"/>
          <w:color w:val="000000"/>
          <w:sz w:val="20"/>
          <w:szCs w:val="20"/>
        </w:rPr>
        <w:t>vents or changes in circumstances indicate that the carrying amounts of such investments may not be recoverable. An impairment loss is recognized to the extent that the estimated fair value of the investment is less than its carrying amount and we determin</w:t>
      </w:r>
      <w:r>
        <w:rPr>
          <w:rFonts w:ascii="Arial" w:eastAsia="Times New Roman" w:hAnsi="Arial" w:cs="Arial"/>
          <w:color w:val="000000"/>
          <w:sz w:val="20"/>
          <w:szCs w:val="20"/>
        </w:rPr>
        <w:t>e that the impairment is other-than-temporary. At October 31, 2020, 2019, and 2018, our investments in unconsolidated affiliates were $11.0 million, $8.9 million, and $11.3 million, respectively. We did not recognize any impairment charges on these investm</w:t>
      </w:r>
      <w:r>
        <w:rPr>
          <w:rFonts w:ascii="Arial" w:eastAsia="Times New Roman" w:hAnsi="Arial" w:cs="Arial"/>
          <w:color w:val="000000"/>
          <w:sz w:val="20"/>
          <w:szCs w:val="20"/>
        </w:rPr>
        <w:t xml:space="preserve">ents in 2020, 2019, or 2018. </w:t>
      </w:r>
    </w:p>
    <w:p w14:paraId="559EF5B0" w14:textId="77777777" w:rsidR="00000000" w:rsidRDefault="001D0688">
      <w:pPr>
        <w:jc w:val="both"/>
        <w:divId w:val="97062867"/>
        <w:rPr>
          <w:rFonts w:eastAsia="Times New Roman"/>
        </w:rPr>
      </w:pPr>
      <w:r>
        <w:rPr>
          <w:rFonts w:ascii="Arial" w:eastAsia="Times New Roman" w:hAnsi="Arial" w:cs="Arial"/>
          <w:b/>
          <w:bCs/>
          <w:i/>
          <w:iCs/>
          <w:color w:val="0046AD"/>
          <w:sz w:val="20"/>
          <w:szCs w:val="20"/>
          <w:shd w:val="clear" w:color="auto" w:fill="FFFFFF"/>
        </w:rPr>
        <w:t xml:space="preserve">Investments in Auction Rate Securities </w:t>
      </w:r>
    </w:p>
    <w:p w14:paraId="4E4431EF" w14:textId="77777777" w:rsidR="00000000" w:rsidRDefault="001D0688">
      <w:pPr>
        <w:ind w:firstLine="720"/>
        <w:jc w:val="both"/>
        <w:divId w:val="589659983"/>
        <w:rPr>
          <w:rFonts w:eastAsia="Times New Roman"/>
        </w:rPr>
      </w:pPr>
      <w:r>
        <w:rPr>
          <w:rFonts w:ascii="Arial" w:eastAsia="Times New Roman" w:hAnsi="Arial" w:cs="Arial"/>
          <w:color w:val="000000"/>
          <w:sz w:val="20"/>
          <w:szCs w:val="20"/>
        </w:rPr>
        <w:t>Our investments in auction rate securities are classified as available-for-sale. Accordingly, auction rate securities are presented at fair value with unrealized gains and losses recorded in accumulated other comprehensive (loss) income, net of tax</w:t>
      </w:r>
      <w:r>
        <w:rPr>
          <w:rFonts w:ascii="Arial" w:eastAsia="Times New Roman" w:hAnsi="Arial" w:cs="Arial"/>
          <w:color w:val="000000"/>
          <w:sz w:val="20"/>
          <w:szCs w:val="20"/>
          <w:shd w:val="clear" w:color="auto" w:fill="FFFFFF"/>
        </w:rPr>
        <w:t>es (“AOC</w:t>
      </w:r>
      <w:r>
        <w:rPr>
          <w:rFonts w:ascii="Arial" w:eastAsia="Times New Roman" w:hAnsi="Arial" w:cs="Arial"/>
          <w:color w:val="000000"/>
          <w:sz w:val="20"/>
          <w:szCs w:val="20"/>
          <w:shd w:val="clear" w:color="auto" w:fill="FFFFFF"/>
        </w:rPr>
        <w:t>L”). On a quarterly basis, we analyze all auction rate securities that have unrealized losses for impairment consideration and assess the intent to sell such securities. If such intent exists, impaired securities are considered other-than-temporarily impai</w:t>
      </w:r>
      <w:r>
        <w:rPr>
          <w:rFonts w:ascii="Arial" w:eastAsia="Times New Roman" w:hAnsi="Arial" w:cs="Arial"/>
          <w:color w:val="000000"/>
          <w:sz w:val="20"/>
          <w:szCs w:val="20"/>
          <w:shd w:val="clear" w:color="auto" w:fill="FFFFFF"/>
        </w:rPr>
        <w:t>red and we recognize the entire difference between the auction rate security’s amortized cost and its fair value in earnings. We also consider if we may be required to sell the securities prior to the recovery of amortized cost, which may trigger an impair</w:t>
      </w:r>
      <w:r>
        <w:rPr>
          <w:rFonts w:ascii="Arial" w:eastAsia="Times New Roman" w:hAnsi="Arial" w:cs="Arial"/>
          <w:color w:val="000000"/>
          <w:sz w:val="20"/>
          <w:szCs w:val="20"/>
          <w:shd w:val="clear" w:color="auto" w:fill="FFFFFF"/>
        </w:rPr>
        <w:t>ment charge. If these securities are considered impaired, we assess whether the amortized costs of the securities can be recovered by reviewing several factors, including credit risks associated with the issuer. If we do not expect to recover the entire am</w:t>
      </w:r>
      <w:r>
        <w:rPr>
          <w:rFonts w:ascii="Arial" w:eastAsia="Times New Roman" w:hAnsi="Arial" w:cs="Arial"/>
          <w:color w:val="000000"/>
          <w:sz w:val="20"/>
          <w:szCs w:val="20"/>
          <w:shd w:val="clear" w:color="auto" w:fill="FFFFFF"/>
        </w:rPr>
        <w:t>ortized cost of the security, we consider the security to be other-than-temporarily impaired and record the difference between the security’s amortized costs and its recoverable amount in earnings and the difference between the security’s amortized cost an</w:t>
      </w:r>
      <w:r>
        <w:rPr>
          <w:rFonts w:ascii="Arial" w:eastAsia="Times New Roman" w:hAnsi="Arial" w:cs="Arial"/>
          <w:color w:val="000000"/>
          <w:sz w:val="20"/>
          <w:szCs w:val="20"/>
          <w:shd w:val="clear" w:color="auto" w:fill="FFFFFF"/>
        </w:rPr>
        <w:t>d fair value in AOCL</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 xml:space="preserve">During the first quarter of 2020, our last remaining auction rate security was called by the issuer, and we received proceeds for the fair value of the debt instrument of $5.0 million. As of October 31, 2020, we had no investments in </w:t>
      </w:r>
      <w:r>
        <w:rPr>
          <w:rFonts w:ascii="Arial" w:eastAsia="Times New Roman" w:hAnsi="Arial" w:cs="Arial"/>
          <w:color w:val="000000"/>
          <w:sz w:val="20"/>
          <w:szCs w:val="20"/>
          <w:shd w:val="clear" w:color="auto" w:fill="FFFFFF"/>
        </w:rPr>
        <w:t xml:space="preserve">auction rate securities. </w:t>
      </w:r>
    </w:p>
    <w:p w14:paraId="293C853A" w14:textId="77777777" w:rsidR="00000000" w:rsidRDefault="001D0688">
      <w:pPr>
        <w:jc w:val="both"/>
        <w:divId w:val="413744703"/>
        <w:rPr>
          <w:rFonts w:eastAsia="Times New Roman"/>
        </w:rPr>
      </w:pPr>
      <w:r>
        <w:rPr>
          <w:rFonts w:ascii="Arial" w:eastAsia="Times New Roman" w:hAnsi="Arial" w:cs="Arial"/>
          <w:b/>
          <w:bCs/>
          <w:color w:val="0046AD"/>
          <w:sz w:val="20"/>
          <w:szCs w:val="20"/>
        </w:rPr>
        <w:t>Property, Plant and Equipment</w:t>
      </w:r>
      <w:r>
        <w:rPr>
          <w:rFonts w:ascii="Arial" w:eastAsia="Times New Roman" w:hAnsi="Arial" w:cs="Arial"/>
          <w:b/>
          <w:bCs/>
          <w:color w:val="000000"/>
          <w:sz w:val="20"/>
          <w:szCs w:val="20"/>
        </w:rPr>
        <w:t xml:space="preserve"> </w:t>
      </w:r>
    </w:p>
    <w:p w14:paraId="11CFCF06" w14:textId="77777777" w:rsidR="00000000" w:rsidRDefault="001D0688">
      <w:pPr>
        <w:ind w:firstLine="720"/>
        <w:jc w:val="both"/>
        <w:divId w:val="346640192"/>
        <w:rPr>
          <w:rFonts w:eastAsia="Times New Roman"/>
        </w:rPr>
      </w:pPr>
      <w:r>
        <w:rPr>
          <w:rFonts w:ascii="Arial" w:eastAsia="Times New Roman" w:hAnsi="Arial" w:cs="Arial"/>
          <w:color w:val="000000"/>
          <w:sz w:val="20"/>
          <w:szCs w:val="20"/>
        </w:rPr>
        <w:t>We record property, plant and equipment at cost. Repairs and maintenance expenditures are expensed as incurred. In contrast, we capitalize major renewals or replacements that substantially extend the</w:t>
      </w:r>
      <w:r>
        <w:rPr>
          <w:rFonts w:ascii="Arial" w:eastAsia="Times New Roman" w:hAnsi="Arial" w:cs="Arial"/>
          <w:color w:val="000000"/>
          <w:sz w:val="20"/>
          <w:szCs w:val="20"/>
        </w:rPr>
        <w:t xml:space="preserve"> useful life of an asset. We determine depreciation for financial reporting purposes using the straight-line method over the following estimated useful lives:</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4023"/>
        <w:gridCol w:w="37"/>
        <w:gridCol w:w="69"/>
        <w:gridCol w:w="4023"/>
        <w:gridCol w:w="36"/>
      </w:tblGrid>
      <w:tr w:rsidR="00000000" w14:paraId="5272C743" w14:textId="77777777">
        <w:trPr>
          <w:divId w:val="1053576911"/>
          <w:jc w:val="center"/>
        </w:trPr>
        <w:tc>
          <w:tcPr>
            <w:tcW w:w="50" w:type="pct"/>
            <w:vAlign w:val="center"/>
            <w:hideMark/>
          </w:tcPr>
          <w:p w14:paraId="6C45E18F" w14:textId="77777777" w:rsidR="00000000" w:rsidRDefault="001D0688">
            <w:pPr>
              <w:ind w:firstLine="720"/>
              <w:jc w:val="both"/>
              <w:rPr>
                <w:rFonts w:eastAsia="Times New Roman"/>
              </w:rPr>
            </w:pPr>
          </w:p>
        </w:tc>
        <w:tc>
          <w:tcPr>
            <w:tcW w:w="2445" w:type="pct"/>
            <w:vAlign w:val="center"/>
            <w:hideMark/>
          </w:tcPr>
          <w:p w14:paraId="4FEB169F" w14:textId="77777777" w:rsidR="00000000" w:rsidRDefault="001D0688">
            <w:pPr>
              <w:rPr>
                <w:rFonts w:eastAsia="Times New Roman"/>
                <w:sz w:val="20"/>
                <w:szCs w:val="20"/>
              </w:rPr>
            </w:pPr>
          </w:p>
        </w:tc>
        <w:tc>
          <w:tcPr>
            <w:tcW w:w="5" w:type="pct"/>
            <w:vAlign w:val="center"/>
            <w:hideMark/>
          </w:tcPr>
          <w:p w14:paraId="08CFAC5B" w14:textId="77777777" w:rsidR="00000000" w:rsidRDefault="001D0688">
            <w:pPr>
              <w:rPr>
                <w:rFonts w:eastAsia="Times New Roman"/>
                <w:sz w:val="20"/>
                <w:szCs w:val="20"/>
              </w:rPr>
            </w:pPr>
          </w:p>
        </w:tc>
        <w:tc>
          <w:tcPr>
            <w:tcW w:w="50" w:type="pct"/>
            <w:vAlign w:val="center"/>
            <w:hideMark/>
          </w:tcPr>
          <w:p w14:paraId="2213C353" w14:textId="77777777" w:rsidR="00000000" w:rsidRDefault="001D0688">
            <w:pPr>
              <w:rPr>
                <w:rFonts w:eastAsia="Times New Roman"/>
                <w:sz w:val="20"/>
                <w:szCs w:val="20"/>
              </w:rPr>
            </w:pPr>
          </w:p>
        </w:tc>
        <w:tc>
          <w:tcPr>
            <w:tcW w:w="2445" w:type="pct"/>
            <w:vAlign w:val="center"/>
            <w:hideMark/>
          </w:tcPr>
          <w:p w14:paraId="6B391DB1" w14:textId="77777777" w:rsidR="00000000" w:rsidRDefault="001D0688">
            <w:pPr>
              <w:rPr>
                <w:rFonts w:eastAsia="Times New Roman"/>
                <w:sz w:val="20"/>
                <w:szCs w:val="20"/>
              </w:rPr>
            </w:pPr>
          </w:p>
        </w:tc>
        <w:tc>
          <w:tcPr>
            <w:tcW w:w="5" w:type="pct"/>
            <w:vAlign w:val="center"/>
            <w:hideMark/>
          </w:tcPr>
          <w:p w14:paraId="093507A4" w14:textId="77777777" w:rsidR="00000000" w:rsidRDefault="001D0688">
            <w:pPr>
              <w:rPr>
                <w:rFonts w:eastAsia="Times New Roman"/>
                <w:sz w:val="20"/>
                <w:szCs w:val="20"/>
              </w:rPr>
            </w:pPr>
          </w:p>
        </w:tc>
      </w:tr>
      <w:tr w:rsidR="00000000" w14:paraId="152328AE" w14:textId="77777777">
        <w:trPr>
          <w:divId w:val="1053576911"/>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8534762" w14:textId="77777777" w:rsidR="00000000" w:rsidRDefault="001D0688">
            <w:pPr>
              <w:rPr>
                <w:rFonts w:eastAsia="Times New Roman"/>
              </w:rPr>
            </w:pPr>
            <w:r>
              <w:rPr>
                <w:rFonts w:ascii="Arial" w:eastAsia="Times New Roman" w:hAnsi="Arial" w:cs="Arial"/>
                <w:b/>
                <w:bCs/>
                <w:color w:val="000000"/>
                <w:sz w:val="20"/>
                <w:szCs w:val="20"/>
                <w:u w:val="single"/>
              </w:rPr>
              <w:t>Category</w:t>
            </w:r>
          </w:p>
        </w:tc>
        <w:tc>
          <w:tcPr>
            <w:tcW w:w="0" w:type="auto"/>
            <w:gridSpan w:val="3"/>
            <w:tcBorders>
              <w:top w:val="single" w:sz="8" w:space="0" w:color="000000"/>
              <w:right w:val="single" w:sz="8" w:space="0" w:color="000000"/>
            </w:tcBorders>
            <w:tcMar>
              <w:top w:w="30" w:type="dxa"/>
              <w:left w:w="20" w:type="dxa"/>
              <w:bottom w:w="30" w:type="dxa"/>
              <w:right w:w="20" w:type="dxa"/>
            </w:tcMar>
            <w:vAlign w:val="bottom"/>
            <w:hideMark/>
          </w:tcPr>
          <w:p w14:paraId="4DE63F9C" w14:textId="77777777" w:rsidR="00000000" w:rsidRDefault="001D0688">
            <w:pPr>
              <w:jc w:val="center"/>
              <w:rPr>
                <w:rFonts w:eastAsia="Times New Roman"/>
              </w:rPr>
            </w:pPr>
            <w:r>
              <w:rPr>
                <w:rFonts w:ascii="Arial" w:eastAsia="Times New Roman" w:hAnsi="Arial" w:cs="Arial"/>
                <w:b/>
                <w:bCs/>
                <w:color w:val="000000"/>
                <w:sz w:val="20"/>
                <w:szCs w:val="20"/>
                <w:u w:val="single"/>
              </w:rPr>
              <w:t>Years</w:t>
            </w:r>
          </w:p>
        </w:tc>
      </w:tr>
      <w:tr w:rsidR="00000000" w14:paraId="114ED560" w14:textId="77777777">
        <w:trPr>
          <w:divId w:val="1053576911"/>
          <w:jc w:val="center"/>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14:paraId="00DC48FF" w14:textId="77777777" w:rsidR="00000000" w:rsidRDefault="001D0688">
            <w:pPr>
              <w:rPr>
                <w:rFonts w:eastAsia="Times New Roman"/>
              </w:rPr>
            </w:pPr>
            <w:r>
              <w:rPr>
                <w:rFonts w:ascii="Arial" w:eastAsia="Times New Roman" w:hAnsi="Arial" w:cs="Arial"/>
                <w:color w:val="000000"/>
                <w:sz w:val="20"/>
                <w:szCs w:val="20"/>
              </w:rPr>
              <w:t>Computer equipment and software</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14:paraId="1DE91171" w14:textId="77777777" w:rsidR="00000000" w:rsidRDefault="001D0688">
            <w:pPr>
              <w:jc w:val="center"/>
              <w:rPr>
                <w:rFonts w:eastAsia="Times New Roman"/>
              </w:rPr>
            </w:pPr>
            <w:r>
              <w:rPr>
                <w:rFonts w:ascii="Arial" w:eastAsia="Times New Roman" w:hAnsi="Arial" w:cs="Arial"/>
                <w:color w:val="000000"/>
                <w:sz w:val="20"/>
                <w:szCs w:val="20"/>
              </w:rPr>
              <w:t>3–5</w:t>
            </w:r>
          </w:p>
        </w:tc>
      </w:tr>
      <w:tr w:rsidR="00000000" w14:paraId="3F96AF45" w14:textId="77777777">
        <w:trPr>
          <w:divId w:val="1053576911"/>
          <w:jc w:val="center"/>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14:paraId="185C8122" w14:textId="77777777" w:rsidR="00000000" w:rsidRDefault="001D0688">
            <w:pPr>
              <w:rPr>
                <w:rFonts w:eastAsia="Times New Roman"/>
              </w:rPr>
            </w:pPr>
            <w:r>
              <w:rPr>
                <w:rFonts w:ascii="Arial" w:eastAsia="Times New Roman" w:hAnsi="Arial" w:cs="Arial"/>
                <w:color w:val="000000"/>
                <w:sz w:val="20"/>
                <w:szCs w:val="20"/>
              </w:rPr>
              <w:t>Machinery and other equipment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14:paraId="2FD2A87E" w14:textId="77777777" w:rsidR="00000000" w:rsidRDefault="001D0688">
            <w:pPr>
              <w:jc w:val="center"/>
              <w:rPr>
                <w:rFonts w:eastAsia="Times New Roman"/>
              </w:rPr>
            </w:pPr>
            <w:r>
              <w:rPr>
                <w:rFonts w:ascii="Arial" w:eastAsia="Times New Roman" w:hAnsi="Arial" w:cs="Arial"/>
                <w:color w:val="000000"/>
                <w:sz w:val="20"/>
                <w:szCs w:val="20"/>
              </w:rPr>
              <w:t>3–5</w:t>
            </w:r>
          </w:p>
        </w:tc>
      </w:tr>
      <w:tr w:rsidR="00000000" w14:paraId="33EB168D" w14:textId="77777777">
        <w:trPr>
          <w:divId w:val="1053576911"/>
          <w:jc w:val="center"/>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14:paraId="12CEC2D2" w14:textId="77777777" w:rsidR="00000000" w:rsidRDefault="001D0688">
            <w:pPr>
              <w:rPr>
                <w:rFonts w:eastAsia="Times New Roman"/>
              </w:rPr>
            </w:pPr>
            <w:r>
              <w:rPr>
                <w:rFonts w:ascii="Arial" w:eastAsia="Times New Roman" w:hAnsi="Arial" w:cs="Arial"/>
                <w:color w:val="000000"/>
                <w:sz w:val="20"/>
                <w:szCs w:val="20"/>
              </w:rPr>
              <w:t>Transportation equipment</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14:paraId="2114BEDE" w14:textId="77777777" w:rsidR="00000000" w:rsidRDefault="001D0688">
            <w:pPr>
              <w:jc w:val="center"/>
              <w:rPr>
                <w:rFonts w:eastAsia="Times New Roman"/>
              </w:rPr>
            </w:pPr>
            <w:r>
              <w:rPr>
                <w:rFonts w:ascii="Arial" w:eastAsia="Times New Roman" w:hAnsi="Arial" w:cs="Arial"/>
                <w:color w:val="000000"/>
                <w:sz w:val="20"/>
                <w:szCs w:val="20"/>
              </w:rPr>
              <w:t>1.5–10</w:t>
            </w:r>
          </w:p>
        </w:tc>
      </w:tr>
      <w:tr w:rsidR="00000000" w14:paraId="17DB5454" w14:textId="77777777">
        <w:trPr>
          <w:divId w:val="1053576911"/>
          <w:jc w:val="center"/>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14:paraId="5CCCF923" w14:textId="77777777" w:rsidR="00000000" w:rsidRDefault="001D0688">
            <w:pPr>
              <w:rPr>
                <w:rFonts w:eastAsia="Times New Roman"/>
              </w:rPr>
            </w:pPr>
            <w:r>
              <w:rPr>
                <w:rFonts w:ascii="Arial" w:eastAsia="Times New Roman" w:hAnsi="Arial" w:cs="Arial"/>
                <w:color w:val="000000"/>
                <w:sz w:val="20"/>
                <w:szCs w:val="20"/>
              </w:rPr>
              <w:t>Buildings</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14:paraId="3E7E8C5B" w14:textId="77777777" w:rsidR="00000000" w:rsidRDefault="001D0688">
            <w:pPr>
              <w:jc w:val="center"/>
              <w:rPr>
                <w:rFonts w:eastAsia="Times New Roman"/>
              </w:rPr>
            </w:pPr>
            <w:r>
              <w:rPr>
                <w:rFonts w:ascii="Arial" w:eastAsia="Times New Roman" w:hAnsi="Arial" w:cs="Arial"/>
                <w:color w:val="000000"/>
                <w:sz w:val="20"/>
                <w:szCs w:val="20"/>
              </w:rPr>
              <w:t>10–40</w:t>
            </w:r>
          </w:p>
        </w:tc>
      </w:tr>
      <w:tr w:rsidR="00000000" w14:paraId="6F4C8BB9" w14:textId="77777777">
        <w:trPr>
          <w:divId w:val="1053576911"/>
          <w:jc w:val="center"/>
        </w:trPr>
        <w:tc>
          <w:tcPr>
            <w:tcW w:w="0" w:type="auto"/>
            <w:gridSpan w:val="3"/>
            <w:tcBorders>
              <w:left w:val="single" w:sz="8" w:space="0" w:color="000000"/>
              <w:bottom w:val="single" w:sz="8" w:space="0" w:color="000000"/>
            </w:tcBorders>
            <w:shd w:val="clear" w:color="auto" w:fill="DCE2EF"/>
            <w:tcMar>
              <w:top w:w="30" w:type="dxa"/>
              <w:left w:w="20" w:type="dxa"/>
              <w:bottom w:w="30" w:type="dxa"/>
              <w:right w:w="20" w:type="dxa"/>
            </w:tcMar>
            <w:vAlign w:val="bottom"/>
            <w:hideMark/>
          </w:tcPr>
          <w:p w14:paraId="543EE91D" w14:textId="77777777" w:rsidR="00000000" w:rsidRDefault="001D0688">
            <w:pPr>
              <w:rPr>
                <w:rFonts w:eastAsia="Times New Roman"/>
              </w:rPr>
            </w:pPr>
            <w:r>
              <w:rPr>
                <w:rFonts w:ascii="Arial" w:eastAsia="Times New Roman" w:hAnsi="Arial" w:cs="Arial"/>
                <w:color w:val="000000"/>
                <w:sz w:val="20"/>
                <w:szCs w:val="20"/>
              </w:rPr>
              <w:t>Furniture and fixtures</w:t>
            </w:r>
          </w:p>
        </w:tc>
        <w:tc>
          <w:tcPr>
            <w:tcW w:w="0" w:type="auto"/>
            <w:gridSpan w:val="3"/>
            <w:tcBorders>
              <w:bottom w:val="single" w:sz="8" w:space="0" w:color="000000"/>
              <w:right w:val="single" w:sz="8" w:space="0" w:color="000000"/>
            </w:tcBorders>
            <w:shd w:val="clear" w:color="auto" w:fill="DCE2EF"/>
            <w:tcMar>
              <w:top w:w="30" w:type="dxa"/>
              <w:left w:w="20" w:type="dxa"/>
              <w:bottom w:w="30" w:type="dxa"/>
              <w:right w:w="20" w:type="dxa"/>
            </w:tcMar>
            <w:vAlign w:val="bottom"/>
            <w:hideMark/>
          </w:tcPr>
          <w:p w14:paraId="0C81EC22" w14:textId="77777777" w:rsidR="00000000" w:rsidRDefault="001D0688">
            <w:pPr>
              <w:jc w:val="center"/>
              <w:rPr>
                <w:rFonts w:eastAsia="Times New Roman"/>
              </w:rPr>
            </w:pPr>
            <w:r>
              <w:rPr>
                <w:rFonts w:ascii="Arial" w:eastAsia="Times New Roman" w:hAnsi="Arial" w:cs="Arial"/>
                <w:color w:val="000000"/>
                <w:sz w:val="20"/>
                <w:szCs w:val="20"/>
              </w:rPr>
              <w:t>5</w:t>
            </w:r>
          </w:p>
        </w:tc>
      </w:tr>
    </w:tbl>
    <w:p w14:paraId="66991AF6" w14:textId="77777777" w:rsidR="00000000" w:rsidRDefault="001D0688">
      <w:pPr>
        <w:ind w:firstLine="720"/>
        <w:jc w:val="both"/>
        <w:divId w:val="201943487"/>
        <w:rPr>
          <w:rFonts w:eastAsia="Times New Roman"/>
        </w:rPr>
      </w:pPr>
      <w:r>
        <w:rPr>
          <w:rFonts w:ascii="Arial" w:eastAsia="Times New Roman" w:hAnsi="Arial" w:cs="Arial"/>
          <w:color w:val="000000"/>
          <w:sz w:val="20"/>
          <w:szCs w:val="20"/>
        </w:rPr>
        <w:t>In addition, we depreciate assets under finance leases and leasehold improvements over the shorter of their estimated useful lives or the remaining lease term. Upon retirement or sale of an asset, we remove the cost and accumulated depreciation from our Co</w:t>
      </w:r>
      <w:r>
        <w:rPr>
          <w:rFonts w:ascii="Arial" w:eastAsia="Times New Roman" w:hAnsi="Arial" w:cs="Arial"/>
          <w:color w:val="000000"/>
          <w:sz w:val="20"/>
          <w:szCs w:val="20"/>
        </w:rPr>
        <w:t>nsolidated Balance Sheets. When applicable, we record corresponding gains or losses within the accompanying Consolidated Statements of Comprehensive (Loss) Income.</w:t>
      </w:r>
    </w:p>
    <w:p w14:paraId="1AAC38CB" w14:textId="77777777" w:rsidR="00000000" w:rsidRDefault="001D0688">
      <w:pPr>
        <w:jc w:val="center"/>
        <w:divId w:val="1821917312"/>
        <w:rPr>
          <w:rFonts w:eastAsia="Times New Roman"/>
        </w:rPr>
      </w:pPr>
      <w:r>
        <w:rPr>
          <w:rFonts w:ascii="Arial" w:eastAsia="Times New Roman" w:hAnsi="Arial" w:cs="Arial"/>
          <w:color w:val="000000"/>
          <w:sz w:val="20"/>
          <w:szCs w:val="20"/>
        </w:rPr>
        <w:t>57</w:t>
      </w:r>
    </w:p>
    <w:p w14:paraId="5C0B8D06" w14:textId="77777777" w:rsidR="00000000" w:rsidRDefault="001D0688">
      <w:pPr>
        <w:rPr>
          <w:rFonts w:eastAsia="Times New Roman"/>
        </w:rPr>
      </w:pPr>
      <w:r>
        <w:rPr>
          <w:rFonts w:eastAsia="Times New Roman"/>
        </w:rPr>
        <w:pict w14:anchorId="7F47D11E">
          <v:rect id="_x0000_i1094" style="width:0;height:1.5pt" o:hralign="center" o:hrstd="t" o:hr="t" fillcolor="#a0a0a0" stroked="f"/>
        </w:pict>
      </w:r>
    </w:p>
    <w:p w14:paraId="422E11BF" w14:textId="77777777" w:rsidR="00000000" w:rsidRDefault="001D0688">
      <w:pPr>
        <w:divId w:val="1299073316"/>
        <w:rPr>
          <w:rFonts w:eastAsia="Times New Roman"/>
        </w:rPr>
      </w:pPr>
    </w:p>
    <w:p w14:paraId="7C6B9BCF" w14:textId="77777777" w:rsidR="00000000" w:rsidRDefault="001D0688">
      <w:pPr>
        <w:divId w:val="852689085"/>
        <w:rPr>
          <w:rFonts w:eastAsia="Times New Roman"/>
        </w:rPr>
      </w:pPr>
      <w:r>
        <w:rPr>
          <w:rFonts w:ascii="Arial" w:eastAsia="Times New Roman" w:hAnsi="Arial" w:cs="Arial"/>
          <w:b/>
          <w:bCs/>
          <w:color w:val="0046AD"/>
          <w:sz w:val="20"/>
          <w:szCs w:val="20"/>
        </w:rPr>
        <w:t>Leases</w:t>
      </w:r>
    </w:p>
    <w:p w14:paraId="474542B8" w14:textId="77777777" w:rsidR="00000000" w:rsidRDefault="001D0688">
      <w:pPr>
        <w:ind w:firstLine="720"/>
        <w:jc w:val="both"/>
        <w:divId w:val="1254044657"/>
        <w:rPr>
          <w:rFonts w:eastAsia="Times New Roman"/>
        </w:rPr>
      </w:pPr>
      <w:r>
        <w:rPr>
          <w:rFonts w:ascii="Arial" w:eastAsia="Times New Roman" w:hAnsi="Arial" w:cs="Arial"/>
          <w:color w:val="000000"/>
          <w:sz w:val="20"/>
          <w:szCs w:val="20"/>
          <w:shd w:val="clear" w:color="auto" w:fill="FFFFFF"/>
        </w:rPr>
        <w:t xml:space="preserve">We enter into various noncancelable lease agreements for office space, parking facilities, warehouses, vehicles, and equipment used in the normal course of business. </w:t>
      </w:r>
      <w:r>
        <w:rPr>
          <w:rFonts w:ascii="Arial" w:eastAsia="Times New Roman" w:hAnsi="Arial" w:cs="Arial"/>
          <w:color w:val="000000"/>
          <w:sz w:val="20"/>
          <w:szCs w:val="20"/>
        </w:rPr>
        <w:t xml:space="preserve">We determine if an arrangement is a lease at inception and begin recording lease activity </w:t>
      </w:r>
      <w:r>
        <w:rPr>
          <w:rFonts w:ascii="Arial" w:eastAsia="Times New Roman" w:hAnsi="Arial" w:cs="Arial"/>
          <w:color w:val="000000"/>
          <w:sz w:val="20"/>
          <w:szCs w:val="20"/>
        </w:rPr>
        <w:t>at the commencement date, which is generally the date in which we take possession of or control the physical use of the asset. Right-of-use (“ROU”) assets and lease liabilities are recognized based on the present value of lease payments over the lease term</w:t>
      </w:r>
      <w:r>
        <w:rPr>
          <w:rFonts w:ascii="Arial" w:eastAsia="Times New Roman" w:hAnsi="Arial" w:cs="Arial"/>
          <w:color w:val="000000"/>
          <w:sz w:val="20"/>
          <w:szCs w:val="20"/>
        </w:rPr>
        <w:t xml:space="preserve"> with lease expense recognized on a straight-line basis. We use our incremental borrowing rate to determine the present value of future lease payments unless the implicit rate in a lease is readily determinable. Our incremental borrowing rate is the rate o</w:t>
      </w:r>
      <w:r>
        <w:rPr>
          <w:rFonts w:ascii="Arial" w:eastAsia="Times New Roman" w:hAnsi="Arial" w:cs="Arial"/>
          <w:color w:val="000000"/>
          <w:sz w:val="20"/>
          <w:szCs w:val="20"/>
        </w:rPr>
        <w:t>f interest we would have to pay to borrow on a collateralized basis over a similar term at an amount equal to the lease payments in a similar economic environment. This incremental borrowing rate is applied to the minimum lease payments within each lease a</w:t>
      </w:r>
      <w:r>
        <w:rPr>
          <w:rFonts w:ascii="Arial" w:eastAsia="Times New Roman" w:hAnsi="Arial" w:cs="Arial"/>
          <w:color w:val="000000"/>
          <w:sz w:val="20"/>
          <w:szCs w:val="20"/>
        </w:rPr>
        <w:t xml:space="preserve">greement to determine the amounts of our ROU assets and lease liabilities. Our incremental borrowing rate as of November 1, 2019, was utilized for the initial measurement of operating lease liabilities upon adoption of Topic 842, </w:t>
      </w:r>
      <w:r>
        <w:rPr>
          <w:rFonts w:ascii="Arial" w:eastAsia="Times New Roman" w:hAnsi="Arial" w:cs="Arial"/>
          <w:color w:val="000000"/>
          <w:sz w:val="20"/>
          <w:szCs w:val="20"/>
          <w:shd w:val="clear" w:color="auto" w:fill="FFFFFF"/>
        </w:rPr>
        <w:t>as described below in “Rec</w:t>
      </w:r>
      <w:r>
        <w:rPr>
          <w:rFonts w:ascii="Arial" w:eastAsia="Times New Roman" w:hAnsi="Arial" w:cs="Arial"/>
          <w:color w:val="000000"/>
          <w:sz w:val="20"/>
          <w:szCs w:val="20"/>
          <w:shd w:val="clear" w:color="auto" w:fill="FFFFFF"/>
        </w:rPr>
        <w:t>ently Adopted Accounting Standards.”</w:t>
      </w:r>
    </w:p>
    <w:p w14:paraId="471D63AF" w14:textId="77777777" w:rsidR="00000000" w:rsidRDefault="001D0688">
      <w:pPr>
        <w:ind w:firstLine="720"/>
        <w:jc w:val="both"/>
        <w:divId w:val="1269391196"/>
        <w:rPr>
          <w:rFonts w:eastAsia="Times New Roman"/>
        </w:rPr>
      </w:pPr>
      <w:r>
        <w:rPr>
          <w:rFonts w:ascii="Arial" w:eastAsia="Times New Roman" w:hAnsi="Arial" w:cs="Arial"/>
          <w:color w:val="000000"/>
          <w:sz w:val="20"/>
          <w:szCs w:val="20"/>
        </w:rPr>
        <w:t xml:space="preserve">Our lease terms range from 1 to 30 years. Some leases include one or more options to renew, with renewal terms that can extend the lease term. We typically include options to extend the lease in a lease term when it is </w:t>
      </w:r>
      <w:r>
        <w:rPr>
          <w:rFonts w:ascii="Arial" w:eastAsia="Times New Roman" w:hAnsi="Arial" w:cs="Arial"/>
          <w:color w:val="000000"/>
          <w:sz w:val="20"/>
          <w:szCs w:val="20"/>
        </w:rPr>
        <w:t>reasonably certain that we will exercise that option and when doing so is at our sole discretion. Certain equipment and vehicle leases may also include options to purchase the leased property. The depreciable life of assets and leasehold improvements are l</w:t>
      </w:r>
      <w:r>
        <w:rPr>
          <w:rFonts w:ascii="Arial" w:eastAsia="Times New Roman" w:hAnsi="Arial" w:cs="Arial"/>
          <w:color w:val="000000"/>
          <w:sz w:val="20"/>
          <w:szCs w:val="20"/>
        </w:rPr>
        <w:t>imited by the expected lease term unless there is a transfer of title or purchase option reasonably certain of exercise. Typically, if we decide to cancel or terminate a lease before the end of its term, we would owe the lessor the remaining lease payments</w:t>
      </w:r>
      <w:r>
        <w:rPr>
          <w:rFonts w:ascii="Arial" w:eastAsia="Times New Roman" w:hAnsi="Arial" w:cs="Arial"/>
          <w:color w:val="000000"/>
          <w:sz w:val="20"/>
          <w:szCs w:val="20"/>
        </w:rPr>
        <w:t xml:space="preserve"> under the term of such lease. Our lease agreements generally do not contain any material residual value guarantees or material restrictive covenants. We may rent or sublease certain real estate assets that we no longer use to third parties.</w:t>
      </w:r>
    </w:p>
    <w:p w14:paraId="4D861E6B" w14:textId="77777777" w:rsidR="00000000" w:rsidRDefault="001D0688">
      <w:pPr>
        <w:ind w:firstLine="720"/>
        <w:jc w:val="both"/>
        <w:divId w:val="1877305621"/>
        <w:rPr>
          <w:rFonts w:eastAsia="Times New Roman"/>
        </w:rPr>
      </w:pPr>
      <w:r>
        <w:rPr>
          <w:rFonts w:ascii="Arial" w:eastAsia="Times New Roman" w:hAnsi="Arial" w:cs="Arial"/>
          <w:color w:val="000000"/>
          <w:sz w:val="20"/>
          <w:szCs w:val="20"/>
        </w:rPr>
        <w:t>Lease agreemen</w:t>
      </w:r>
      <w:r>
        <w:rPr>
          <w:rFonts w:ascii="Arial" w:eastAsia="Times New Roman" w:hAnsi="Arial" w:cs="Arial"/>
          <w:color w:val="000000"/>
          <w:sz w:val="20"/>
          <w:szCs w:val="20"/>
        </w:rPr>
        <w:t>ts may contain rent escalation clauses, rent holidays, or certain landlord incentives, including tenant improvement allowances. Prior to November 1, 2019, we recognized lease expense related to operating leases on a straight-line basis over the terms of th</w:t>
      </w:r>
      <w:r>
        <w:rPr>
          <w:rFonts w:ascii="Arial" w:eastAsia="Times New Roman" w:hAnsi="Arial" w:cs="Arial"/>
          <w:color w:val="000000"/>
          <w:sz w:val="20"/>
          <w:szCs w:val="20"/>
        </w:rPr>
        <w:t>e leases and, accordingly, recorded the difference between cash rent payments and recognition of rent expense as a deferred rent liability or prepaid rent. Landlord-funded leasehold improvements were also recorded as deferred rent liabilities and were amor</w:t>
      </w:r>
      <w:r>
        <w:rPr>
          <w:rFonts w:ascii="Arial" w:eastAsia="Times New Roman" w:hAnsi="Arial" w:cs="Arial"/>
          <w:color w:val="000000"/>
          <w:sz w:val="20"/>
          <w:szCs w:val="20"/>
        </w:rPr>
        <w:t>tized as a reduction of rent expense over the noncancelable term of the related operating lease. The ROU assets recognized upon adoption of Topic 842 include: cumulative prepaid or accrued rent on the adoption date, unamortized lease incentives, and unamor</w:t>
      </w:r>
      <w:r>
        <w:rPr>
          <w:rFonts w:ascii="Arial" w:eastAsia="Times New Roman" w:hAnsi="Arial" w:cs="Arial"/>
          <w:color w:val="000000"/>
          <w:sz w:val="20"/>
          <w:szCs w:val="20"/>
        </w:rPr>
        <w:t xml:space="preserve">tized initial direct costs initially recognized prior to adoption of Topic 842. Following adoption of Topic 842, ROU assets include amounts for scheduled rent increases and are reduced by lease incentive amounts. </w:t>
      </w:r>
    </w:p>
    <w:p w14:paraId="2D49D3A7" w14:textId="77777777" w:rsidR="00000000" w:rsidRDefault="001D0688">
      <w:pPr>
        <w:ind w:firstLine="720"/>
        <w:jc w:val="both"/>
        <w:divId w:val="1856769807"/>
        <w:rPr>
          <w:rFonts w:eastAsia="Times New Roman"/>
        </w:rPr>
      </w:pPr>
      <w:r>
        <w:rPr>
          <w:rFonts w:ascii="Arial" w:eastAsia="Times New Roman" w:hAnsi="Arial" w:cs="Arial"/>
          <w:color w:val="000000"/>
          <w:sz w:val="20"/>
          <w:szCs w:val="20"/>
        </w:rPr>
        <w:t>Certain of our lease agreements include va</w:t>
      </w:r>
      <w:r>
        <w:rPr>
          <w:rFonts w:ascii="Arial" w:eastAsia="Times New Roman" w:hAnsi="Arial" w:cs="Arial"/>
          <w:color w:val="000000"/>
          <w:sz w:val="20"/>
          <w:szCs w:val="20"/>
        </w:rPr>
        <w:t>riable rent payments, consisting primarily of rental payments adjusted periodically for inflation and amounts paid to the lessor based on cost or consumption, such as maintenance and utilities</w:t>
      </w:r>
      <w:r>
        <w:rPr>
          <w:rFonts w:ascii="Arial" w:eastAsia="Times New Roman" w:hAnsi="Arial" w:cs="Arial"/>
          <w:color w:val="000000"/>
          <w:sz w:val="20"/>
          <w:szCs w:val="20"/>
          <w:shd w:val="clear" w:color="auto" w:fill="FFFFFF"/>
        </w:rPr>
        <w:t>. These costs are expensed as incurred. Certain of our parking a</w:t>
      </w:r>
      <w:r>
        <w:rPr>
          <w:rFonts w:ascii="Arial" w:eastAsia="Times New Roman" w:hAnsi="Arial" w:cs="Arial"/>
          <w:color w:val="000000"/>
          <w:sz w:val="20"/>
          <w:szCs w:val="20"/>
          <w:shd w:val="clear" w:color="auto" w:fill="FFFFFF"/>
        </w:rPr>
        <w:t>rrangements also contain variable rent payments that are a percentage of parking services revenue based on contractual levels. We record contingent rent as it becomes probable that specified targets will be met. Vari</w:t>
      </w:r>
      <w:r>
        <w:rPr>
          <w:rFonts w:ascii="Arial" w:eastAsia="Times New Roman" w:hAnsi="Arial" w:cs="Arial"/>
          <w:color w:val="000000"/>
          <w:sz w:val="20"/>
          <w:szCs w:val="20"/>
        </w:rPr>
        <w:t>able rent lease components are not inclu</w:t>
      </w:r>
      <w:r>
        <w:rPr>
          <w:rFonts w:ascii="Arial" w:eastAsia="Times New Roman" w:hAnsi="Arial" w:cs="Arial"/>
          <w:color w:val="000000"/>
          <w:sz w:val="20"/>
          <w:szCs w:val="20"/>
        </w:rPr>
        <w:t xml:space="preserve">ded in the lease liability. </w:t>
      </w:r>
    </w:p>
    <w:p w14:paraId="04496CE9" w14:textId="77777777" w:rsidR="00000000" w:rsidRDefault="001D0688">
      <w:pPr>
        <w:ind w:firstLine="720"/>
        <w:jc w:val="both"/>
        <w:divId w:val="897126921"/>
        <w:rPr>
          <w:rFonts w:eastAsia="Times New Roman"/>
        </w:rPr>
      </w:pPr>
      <w:r>
        <w:rPr>
          <w:rFonts w:ascii="Arial" w:eastAsia="Times New Roman" w:hAnsi="Arial" w:cs="Arial"/>
          <w:color w:val="000000"/>
          <w:sz w:val="20"/>
          <w:szCs w:val="20"/>
        </w:rPr>
        <w:t xml:space="preserve">Service concession arrangements within the scope of ASU No. 2017-10, </w:t>
      </w:r>
      <w:r>
        <w:rPr>
          <w:rFonts w:ascii="Arial" w:eastAsia="Times New Roman" w:hAnsi="Arial" w:cs="Arial"/>
          <w:i/>
          <w:iCs/>
          <w:color w:val="000000"/>
          <w:sz w:val="20"/>
          <w:szCs w:val="20"/>
        </w:rPr>
        <w:t>Service Concession Arrangements (Topic 853)</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Determining the Customer of the Operation Services</w:t>
      </w:r>
      <w:r>
        <w:rPr>
          <w:rFonts w:ascii="Arial" w:eastAsia="Times New Roman" w:hAnsi="Arial" w:cs="Arial"/>
          <w:color w:val="000000"/>
          <w:sz w:val="20"/>
          <w:szCs w:val="20"/>
        </w:rPr>
        <w:t>, are excluded from the scope of Topic 842. Lease costs associa</w:t>
      </w:r>
      <w:r>
        <w:rPr>
          <w:rFonts w:ascii="Arial" w:eastAsia="Times New Roman" w:hAnsi="Arial" w:cs="Arial"/>
          <w:color w:val="000000"/>
          <w:sz w:val="20"/>
          <w:szCs w:val="20"/>
        </w:rPr>
        <w:t xml:space="preserve">ted with these arrangements are recorded as a reduction of revenues. See Note 3, “Revenues,” for further discussion. </w:t>
      </w:r>
    </w:p>
    <w:p w14:paraId="0FE3E5D0" w14:textId="77777777" w:rsidR="00000000" w:rsidRDefault="001D0688">
      <w:pPr>
        <w:jc w:val="both"/>
        <w:divId w:val="1674603943"/>
        <w:rPr>
          <w:rFonts w:eastAsia="Times New Roman"/>
        </w:rPr>
      </w:pPr>
      <w:r>
        <w:rPr>
          <w:rFonts w:ascii="Arial" w:eastAsia="Times New Roman" w:hAnsi="Arial" w:cs="Arial"/>
          <w:b/>
          <w:bCs/>
          <w:color w:val="0046AD"/>
          <w:sz w:val="20"/>
          <w:szCs w:val="20"/>
        </w:rPr>
        <w:t>Goodwill and Other Intangible Assets</w:t>
      </w:r>
    </w:p>
    <w:p w14:paraId="34F414C2" w14:textId="77777777" w:rsidR="00000000" w:rsidRDefault="001D0688">
      <w:pPr>
        <w:ind w:firstLine="720"/>
        <w:jc w:val="both"/>
        <w:divId w:val="1503622643"/>
        <w:rPr>
          <w:rFonts w:eastAsia="Times New Roman"/>
        </w:rPr>
      </w:pPr>
      <w:r>
        <w:rPr>
          <w:rFonts w:ascii="Arial" w:eastAsia="Times New Roman" w:hAnsi="Arial" w:cs="Arial"/>
          <w:color w:val="000000"/>
          <w:sz w:val="20"/>
          <w:szCs w:val="20"/>
        </w:rPr>
        <w:t>Goodwill represents the excess purchase price of acquired businesses over the fair value of the asset</w:t>
      </w:r>
      <w:r>
        <w:rPr>
          <w:rFonts w:ascii="Arial" w:eastAsia="Times New Roman" w:hAnsi="Arial" w:cs="Arial"/>
          <w:color w:val="000000"/>
          <w:sz w:val="20"/>
          <w:szCs w:val="20"/>
        </w:rPr>
        <w:t>s acquired and liabilities assumed. We have elected to make the first day of our fourth quarter, August 1st, the annual impairment assessment date for goodwill. However, we could be required to evaluate the recoverability of goodwill more often if impairme</w:t>
      </w:r>
      <w:r>
        <w:rPr>
          <w:rFonts w:ascii="Arial" w:eastAsia="Times New Roman" w:hAnsi="Arial" w:cs="Arial"/>
          <w:color w:val="000000"/>
          <w:sz w:val="20"/>
          <w:szCs w:val="20"/>
        </w:rPr>
        <w:t xml:space="preserve">nt indicators exist. Goodwill is tested for impairment at a “reporting unit” level by performing either a qualitative evaluation or a quantitative test. The qualitative evaluation is an assessment of factors to determine whether it is more likely than not </w:t>
      </w:r>
      <w:r>
        <w:rPr>
          <w:rFonts w:ascii="Arial" w:eastAsia="Times New Roman" w:hAnsi="Arial" w:cs="Arial"/>
          <w:color w:val="000000"/>
          <w:sz w:val="20"/>
          <w:szCs w:val="20"/>
        </w:rPr>
        <w:t>that the fair value of a reporting unit is less than its carrying amount. We may elect not to perform the qualitative assessment for some or all reporting units and instead perform a quantitative test under which we estimate the fair value using a weightin</w:t>
      </w:r>
      <w:r>
        <w:rPr>
          <w:rFonts w:ascii="Arial" w:eastAsia="Times New Roman" w:hAnsi="Arial" w:cs="Arial"/>
          <w:color w:val="000000"/>
          <w:sz w:val="20"/>
          <w:szCs w:val="20"/>
        </w:rPr>
        <w:t xml:space="preserve">g of fair values derived from an income approach and a market approach. The discounted estimates of future cash flows include significant management </w:t>
      </w:r>
    </w:p>
    <w:p w14:paraId="12CD3929" w14:textId="77777777" w:rsidR="00000000" w:rsidRDefault="001D0688">
      <w:pPr>
        <w:jc w:val="center"/>
        <w:divId w:val="433402339"/>
        <w:rPr>
          <w:rFonts w:eastAsia="Times New Roman"/>
        </w:rPr>
      </w:pPr>
      <w:r>
        <w:rPr>
          <w:rFonts w:ascii="Arial" w:eastAsia="Times New Roman" w:hAnsi="Arial" w:cs="Arial"/>
          <w:color w:val="000000"/>
          <w:sz w:val="20"/>
          <w:szCs w:val="20"/>
        </w:rPr>
        <w:t>58</w:t>
      </w:r>
    </w:p>
    <w:p w14:paraId="661695D6" w14:textId="77777777" w:rsidR="00000000" w:rsidRDefault="001D0688">
      <w:pPr>
        <w:rPr>
          <w:rFonts w:eastAsia="Times New Roman"/>
        </w:rPr>
      </w:pPr>
      <w:r>
        <w:rPr>
          <w:rFonts w:eastAsia="Times New Roman"/>
        </w:rPr>
        <w:pict w14:anchorId="012E5E05">
          <v:rect id="_x0000_i1095" style="width:0;height:1.5pt" o:hralign="center" o:hrstd="t" o:hr="t" fillcolor="#a0a0a0" stroked="f"/>
        </w:pict>
      </w:r>
    </w:p>
    <w:p w14:paraId="0B7F1893" w14:textId="77777777" w:rsidR="00000000" w:rsidRDefault="001D0688">
      <w:pPr>
        <w:divId w:val="1446849922"/>
        <w:rPr>
          <w:rFonts w:eastAsia="Times New Roman"/>
        </w:rPr>
      </w:pPr>
    </w:p>
    <w:p w14:paraId="25DE6D1C" w14:textId="77777777" w:rsidR="00000000" w:rsidRDefault="001D0688">
      <w:pPr>
        <w:jc w:val="both"/>
        <w:divId w:val="112137974"/>
        <w:rPr>
          <w:rFonts w:eastAsia="Times New Roman"/>
        </w:rPr>
      </w:pPr>
      <w:r>
        <w:rPr>
          <w:rFonts w:ascii="Arial" w:eastAsia="Times New Roman" w:hAnsi="Arial" w:cs="Arial"/>
          <w:color w:val="000000"/>
          <w:sz w:val="20"/>
          <w:szCs w:val="20"/>
        </w:rPr>
        <w:t>assumptions, such as revenue growth rates, operating margins, we</w:t>
      </w:r>
      <w:r>
        <w:rPr>
          <w:rFonts w:ascii="Arial" w:eastAsia="Times New Roman" w:hAnsi="Arial" w:cs="Arial"/>
          <w:color w:val="000000"/>
          <w:sz w:val="20"/>
          <w:szCs w:val="20"/>
        </w:rPr>
        <w:t xml:space="preserve">ighted average cost of capital, and future economic and market conditions. </w:t>
      </w:r>
    </w:p>
    <w:p w14:paraId="610C9D5E" w14:textId="77777777" w:rsidR="00000000" w:rsidRDefault="001D0688">
      <w:pPr>
        <w:ind w:firstLine="720"/>
        <w:jc w:val="both"/>
        <w:divId w:val="1460759824"/>
        <w:rPr>
          <w:rFonts w:eastAsia="Times New Roman"/>
        </w:rPr>
      </w:pPr>
      <w:r>
        <w:rPr>
          <w:rFonts w:ascii="Arial" w:eastAsia="Times New Roman" w:hAnsi="Arial" w:cs="Arial"/>
          <w:color w:val="000000"/>
          <w:sz w:val="20"/>
          <w:szCs w:val="20"/>
        </w:rPr>
        <w:t>Other intangible assets primarily consist of acquired customer contracts and relationships that are amortized using the sum-of-the-years’-digits method over their useful lives, con</w:t>
      </w:r>
      <w:r>
        <w:rPr>
          <w:rFonts w:ascii="Arial" w:eastAsia="Times New Roman" w:hAnsi="Arial" w:cs="Arial"/>
          <w:color w:val="000000"/>
          <w:sz w:val="20"/>
          <w:szCs w:val="20"/>
        </w:rPr>
        <w:t>sistent with the estimated useful life considerations used in the determination of their fair values. This accelerated method of amortization reflects the pattern in which the economic benefits from the intangible assets of customer contracts and relations</w:t>
      </w:r>
      <w:r>
        <w:rPr>
          <w:rFonts w:ascii="Arial" w:eastAsia="Times New Roman" w:hAnsi="Arial" w:cs="Arial"/>
          <w:color w:val="000000"/>
          <w:sz w:val="20"/>
          <w:szCs w:val="20"/>
        </w:rPr>
        <w:t>hips are expected to be realized. We amortize other non-customer acquired intangibles using a straight-line method of amortization. We evaluate other intangible assets, as well as our long-lived assets, for impairment whenever events or changes in circumst</w:t>
      </w:r>
      <w:r>
        <w:rPr>
          <w:rFonts w:ascii="Arial" w:eastAsia="Times New Roman" w:hAnsi="Arial" w:cs="Arial"/>
          <w:color w:val="000000"/>
          <w:sz w:val="20"/>
          <w:szCs w:val="20"/>
        </w:rPr>
        <w:t xml:space="preserve">ances indicate that the carrying amount of such assets may not be recoverable. When this occurs, a recoverability test is performed that compares the projected undiscounted cash flows from the use and eventual disposition of an asset or asset group to its </w:t>
      </w:r>
      <w:r>
        <w:rPr>
          <w:rFonts w:ascii="Arial" w:eastAsia="Times New Roman" w:hAnsi="Arial" w:cs="Arial"/>
          <w:color w:val="000000"/>
          <w:sz w:val="20"/>
          <w:szCs w:val="20"/>
        </w:rPr>
        <w:t>carrying amount. If the projected undiscounted cash flows are less than the carrying amount, we calculate an impairment loss. The impairment loss calculation compares the fair value, which is based on projected discounted cash flows, to the carrying value.</w:t>
      </w:r>
    </w:p>
    <w:p w14:paraId="3BFE02F4" w14:textId="77777777" w:rsidR="00000000" w:rsidRDefault="001D0688">
      <w:pPr>
        <w:ind w:firstLine="720"/>
        <w:jc w:val="both"/>
        <w:divId w:val="610212743"/>
        <w:rPr>
          <w:rFonts w:eastAsia="Times New Roman"/>
        </w:rPr>
      </w:pPr>
      <w:r>
        <w:rPr>
          <w:rFonts w:ascii="Arial" w:eastAsia="Times New Roman" w:hAnsi="Arial" w:cs="Arial"/>
          <w:color w:val="000000"/>
          <w:sz w:val="20"/>
          <w:szCs w:val="20"/>
        </w:rPr>
        <w:t>See Note 9, “Goodwill and Other Intangible Assets,” for further information on goodwill, other intangible assets, and impairment charges.</w:t>
      </w:r>
    </w:p>
    <w:p w14:paraId="1AC42262" w14:textId="77777777" w:rsidR="00000000" w:rsidRDefault="001D0688">
      <w:pPr>
        <w:jc w:val="both"/>
        <w:divId w:val="640159890"/>
        <w:rPr>
          <w:rFonts w:eastAsia="Times New Roman"/>
        </w:rPr>
      </w:pPr>
      <w:r>
        <w:rPr>
          <w:rFonts w:ascii="Arial" w:eastAsia="Times New Roman" w:hAnsi="Arial" w:cs="Arial"/>
          <w:b/>
          <w:bCs/>
          <w:color w:val="0046AD"/>
          <w:sz w:val="20"/>
          <w:szCs w:val="20"/>
        </w:rPr>
        <w:t>Other Noncurrent Assets</w:t>
      </w:r>
    </w:p>
    <w:p w14:paraId="7167D7F9" w14:textId="77777777" w:rsidR="00000000" w:rsidRDefault="001D0688">
      <w:pPr>
        <w:ind w:firstLine="720"/>
        <w:jc w:val="both"/>
        <w:divId w:val="1227060943"/>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2020 and 2019, other noncurrent assets primarily consisted of long-term insurance recoverables, deferred charges, insurance and other long-term deposits, ESPC receivables, capitalized commissions, and prepayments to carriers for future insurance claims</w:t>
      </w:r>
      <w:r>
        <w:rPr>
          <w:rFonts w:ascii="Arial" w:eastAsia="Times New Roman" w:hAnsi="Arial" w:cs="Arial"/>
          <w:color w:val="000000"/>
          <w:sz w:val="20"/>
          <w:szCs w:val="20"/>
        </w:rPr>
        <w:t>.</w:t>
      </w:r>
    </w:p>
    <w:p w14:paraId="37D56B83" w14:textId="77777777" w:rsidR="00000000" w:rsidRDefault="001D0688">
      <w:pPr>
        <w:jc w:val="both"/>
        <w:divId w:val="458836989"/>
        <w:rPr>
          <w:rFonts w:eastAsia="Times New Roman"/>
        </w:rPr>
      </w:pPr>
      <w:r>
        <w:rPr>
          <w:rFonts w:ascii="Arial" w:eastAsia="Times New Roman" w:hAnsi="Arial" w:cs="Arial"/>
          <w:b/>
          <w:bCs/>
          <w:i/>
          <w:iCs/>
          <w:color w:val="0046AD"/>
          <w:sz w:val="20"/>
          <w:szCs w:val="20"/>
        </w:rPr>
        <w:t>Federal Energy Savings Performance Contract Receivables</w:t>
      </w:r>
    </w:p>
    <w:p w14:paraId="118A4467" w14:textId="77777777" w:rsidR="00000000" w:rsidRDefault="001D0688">
      <w:pPr>
        <w:ind w:firstLine="720"/>
        <w:jc w:val="both"/>
        <w:divId w:val="1318535177"/>
        <w:rPr>
          <w:rFonts w:eastAsia="Times New Roman"/>
        </w:rPr>
      </w:pPr>
      <w:r>
        <w:rPr>
          <w:rFonts w:ascii="Arial" w:eastAsia="Times New Roman" w:hAnsi="Arial" w:cs="Arial"/>
          <w:color w:val="000000"/>
          <w:sz w:val="20"/>
          <w:szCs w:val="20"/>
        </w:rPr>
        <w:t>As part of our Technical Solutions business, we enter into ESPCs with the federal government pursuant to which we agree to develop, design, engineer, and construct a project and to guarantee that th</w:t>
      </w:r>
      <w:r>
        <w:rPr>
          <w:rFonts w:ascii="Arial" w:eastAsia="Times New Roman" w:hAnsi="Arial" w:cs="Arial"/>
          <w:color w:val="000000"/>
          <w:sz w:val="20"/>
          <w:szCs w:val="20"/>
        </w:rPr>
        <w:t>e project will satisfy agreed-upon performance standards. ESPC receivables represent the amount to be paid by various federal government agencies for work we have satisfactorily performed under specific ESPCs. We assign certain of our rights to receive tho</w:t>
      </w:r>
      <w:r>
        <w:rPr>
          <w:rFonts w:ascii="Arial" w:eastAsia="Times New Roman" w:hAnsi="Arial" w:cs="Arial"/>
          <w:color w:val="000000"/>
          <w:sz w:val="20"/>
          <w:szCs w:val="20"/>
        </w:rPr>
        <w:t>se payments to unaffiliated third parties that provide construction financing, which we record as a liability, for such contracts. This construction financing is recorded as cash flows from financing activities, while the use of the cash received to pay pr</w:t>
      </w:r>
      <w:r>
        <w:rPr>
          <w:rFonts w:ascii="Arial" w:eastAsia="Times New Roman" w:hAnsi="Arial" w:cs="Arial"/>
          <w:color w:val="000000"/>
          <w:sz w:val="20"/>
          <w:szCs w:val="20"/>
        </w:rPr>
        <w:t>oject costs under these arrangements is classified as operating cash flows. The ESPC receivable is recognized as revenue as each project is constructed. Upon completion and acceptance of the project by the government and upon satisfaction of true sale crit</w:t>
      </w:r>
      <w:r>
        <w:rPr>
          <w:rFonts w:ascii="Arial" w:eastAsia="Times New Roman" w:hAnsi="Arial" w:cs="Arial"/>
          <w:color w:val="000000"/>
          <w:sz w:val="20"/>
          <w:szCs w:val="20"/>
        </w:rPr>
        <w:t xml:space="preserve">eria, the assigned ESPC receivable from the government and corresponding ESPC liability are eliminated from our consolidated financial statements. </w:t>
      </w:r>
    </w:p>
    <w:p w14:paraId="006EE5A9" w14:textId="77777777" w:rsidR="00000000" w:rsidRDefault="001D0688">
      <w:pPr>
        <w:jc w:val="both"/>
        <w:divId w:val="703555079"/>
        <w:rPr>
          <w:rFonts w:eastAsia="Times New Roman"/>
        </w:rPr>
      </w:pPr>
      <w:r>
        <w:rPr>
          <w:rFonts w:ascii="Arial" w:eastAsia="Times New Roman" w:hAnsi="Arial" w:cs="Arial"/>
          <w:b/>
          <w:bCs/>
          <w:color w:val="0046AD"/>
          <w:sz w:val="20"/>
          <w:szCs w:val="20"/>
        </w:rPr>
        <w:t>Fair Value of Financial Instruments</w:t>
      </w:r>
    </w:p>
    <w:p w14:paraId="396D2763" w14:textId="77777777" w:rsidR="00000000" w:rsidRDefault="001D0688">
      <w:pPr>
        <w:ind w:firstLine="720"/>
        <w:jc w:val="both"/>
        <w:divId w:val="1193689204"/>
        <w:rPr>
          <w:rFonts w:eastAsia="Times New Roman"/>
        </w:rPr>
      </w:pPr>
      <w:r>
        <w:rPr>
          <w:rFonts w:ascii="Arial" w:eastAsia="Times New Roman" w:hAnsi="Arial" w:cs="Arial"/>
          <w:color w:val="000000"/>
          <w:sz w:val="20"/>
          <w:szCs w:val="20"/>
        </w:rPr>
        <w:t>Fair value is the price we would receive to sell an asset or pay to tran</w:t>
      </w:r>
      <w:r>
        <w:rPr>
          <w:rFonts w:ascii="Arial" w:eastAsia="Times New Roman" w:hAnsi="Arial" w:cs="Arial"/>
          <w:color w:val="000000"/>
          <w:sz w:val="20"/>
          <w:szCs w:val="20"/>
        </w:rPr>
        <w:t>sfer a liability in an orderly transaction with a market participant at the measurement date. In the absence of active markets for identical assets or liabilities, such measurements involve developing assumptions based on market observable data and, in the</w:t>
      </w:r>
      <w:r>
        <w:rPr>
          <w:rFonts w:ascii="Arial" w:eastAsia="Times New Roman" w:hAnsi="Arial" w:cs="Arial"/>
          <w:color w:val="000000"/>
          <w:sz w:val="20"/>
          <w:szCs w:val="20"/>
        </w:rPr>
        <w:t xml:space="preserve"> absence of such data, internal information that is consistent with what market participants would use in a hypothetical transaction that occurs at the measurement date. </w:t>
      </w:r>
    </w:p>
    <w:p w14:paraId="2B8CD423" w14:textId="77777777" w:rsidR="00000000" w:rsidRDefault="001D0688">
      <w:pPr>
        <w:ind w:firstLine="720"/>
        <w:jc w:val="both"/>
        <w:divId w:val="1212154968"/>
        <w:rPr>
          <w:rFonts w:eastAsia="Times New Roman"/>
        </w:rPr>
      </w:pPr>
      <w:r>
        <w:rPr>
          <w:rFonts w:ascii="Arial" w:eastAsia="Times New Roman" w:hAnsi="Arial" w:cs="Arial"/>
          <w:color w:val="000000"/>
          <w:sz w:val="20"/>
          <w:szCs w:val="20"/>
        </w:rPr>
        <w:t>Observable inputs reflect market data obtained from independent sources, while unobse</w:t>
      </w:r>
      <w:r>
        <w:rPr>
          <w:rFonts w:ascii="Arial" w:eastAsia="Times New Roman" w:hAnsi="Arial" w:cs="Arial"/>
          <w:color w:val="000000"/>
          <w:sz w:val="20"/>
          <w:szCs w:val="20"/>
        </w:rPr>
        <w:t>rvable inputs reflect our market assumptions. Preference is given to observable inputs. These two types of inputs create the following fair value hierarchy:</w:t>
      </w:r>
    </w:p>
    <w:p w14:paraId="54B3197B" w14:textId="77777777" w:rsidR="00000000" w:rsidRDefault="001D0688">
      <w:pPr>
        <w:jc w:val="both"/>
        <w:divId w:val="609092340"/>
        <w:rPr>
          <w:rFonts w:eastAsia="Times New Roman"/>
        </w:rPr>
      </w:pPr>
      <w:r>
        <w:rPr>
          <w:rFonts w:ascii="Arial" w:eastAsia="Times New Roman" w:hAnsi="Arial" w:cs="Arial"/>
          <w:b/>
          <w:bCs/>
          <w:color w:val="000000"/>
          <w:sz w:val="20"/>
          <w:szCs w:val="20"/>
        </w:rPr>
        <w:t xml:space="preserve">Level 1 </w:t>
      </w:r>
      <w:r>
        <w:rPr>
          <w:rFonts w:ascii="Arial" w:eastAsia="Times New Roman" w:hAnsi="Arial" w:cs="Arial"/>
          <w:color w:val="000000"/>
          <w:sz w:val="20"/>
          <w:szCs w:val="20"/>
        </w:rPr>
        <w:t xml:space="preserve">– </w:t>
      </w:r>
      <w:r>
        <w:rPr>
          <w:rFonts w:ascii="Arial" w:eastAsia="Times New Roman" w:hAnsi="Arial" w:cs="Arial"/>
          <w:color w:val="000000"/>
          <w:sz w:val="20"/>
          <w:szCs w:val="20"/>
        </w:rPr>
        <w:t>Quoted prices for identical instruments in active markets;</w:t>
      </w:r>
    </w:p>
    <w:p w14:paraId="75E56A8F" w14:textId="77777777" w:rsidR="00000000" w:rsidRDefault="001D0688">
      <w:pPr>
        <w:jc w:val="both"/>
        <w:divId w:val="1525636487"/>
        <w:rPr>
          <w:rFonts w:eastAsia="Times New Roman"/>
        </w:rPr>
      </w:pPr>
      <w:r>
        <w:rPr>
          <w:rFonts w:ascii="Arial" w:eastAsia="Times New Roman" w:hAnsi="Arial" w:cs="Arial"/>
          <w:b/>
          <w:bCs/>
          <w:color w:val="000000"/>
          <w:sz w:val="20"/>
          <w:szCs w:val="20"/>
        </w:rPr>
        <w:t xml:space="preserve">Level 2 </w:t>
      </w:r>
      <w:r>
        <w:rPr>
          <w:rFonts w:ascii="Arial" w:eastAsia="Times New Roman" w:hAnsi="Arial" w:cs="Arial"/>
          <w:color w:val="000000"/>
          <w:sz w:val="20"/>
          <w:szCs w:val="20"/>
        </w:rPr>
        <w:t>– Quoted prices for similar instruments in active markets; quoted prices for identical or similar instruments in markets that are not active; and model-derived valuations whose inputs are o</w:t>
      </w:r>
      <w:r>
        <w:rPr>
          <w:rFonts w:ascii="Arial" w:eastAsia="Times New Roman" w:hAnsi="Arial" w:cs="Arial"/>
          <w:color w:val="000000"/>
          <w:sz w:val="20"/>
          <w:szCs w:val="20"/>
        </w:rPr>
        <w:t>bservable or whose significant value drivers are observable; and</w:t>
      </w:r>
    </w:p>
    <w:p w14:paraId="7D35D8D8" w14:textId="77777777" w:rsidR="00000000" w:rsidRDefault="001D0688">
      <w:pPr>
        <w:jc w:val="both"/>
        <w:divId w:val="853155596"/>
        <w:rPr>
          <w:rFonts w:eastAsia="Times New Roman"/>
        </w:rPr>
      </w:pPr>
      <w:r>
        <w:rPr>
          <w:rFonts w:ascii="Arial" w:eastAsia="Times New Roman" w:hAnsi="Arial" w:cs="Arial"/>
          <w:b/>
          <w:bCs/>
          <w:color w:val="000000"/>
          <w:sz w:val="20"/>
          <w:szCs w:val="20"/>
        </w:rPr>
        <w:t xml:space="preserve">Level 3 </w:t>
      </w:r>
      <w:r>
        <w:rPr>
          <w:rFonts w:ascii="Arial" w:eastAsia="Times New Roman" w:hAnsi="Arial" w:cs="Arial"/>
          <w:color w:val="000000"/>
          <w:sz w:val="20"/>
          <w:szCs w:val="20"/>
        </w:rPr>
        <w:t>– Significant inputs to the valuation model are unobservable.</w:t>
      </w:r>
    </w:p>
    <w:p w14:paraId="15CCE210" w14:textId="77777777" w:rsidR="00000000" w:rsidRDefault="001D0688">
      <w:pPr>
        <w:ind w:firstLine="720"/>
        <w:jc w:val="both"/>
        <w:divId w:val="822813375"/>
        <w:rPr>
          <w:rFonts w:eastAsia="Times New Roman"/>
        </w:rPr>
      </w:pPr>
      <w:r>
        <w:rPr>
          <w:rFonts w:ascii="Arial" w:eastAsia="Times New Roman" w:hAnsi="Arial" w:cs="Arial"/>
          <w:color w:val="000000"/>
          <w:sz w:val="20"/>
          <w:szCs w:val="20"/>
        </w:rPr>
        <w:t>We evaluate assets and liabilities subject to fair value measurements on a recurring and non-recurring basis to determine</w:t>
      </w:r>
      <w:r>
        <w:rPr>
          <w:rFonts w:ascii="Arial" w:eastAsia="Times New Roman" w:hAnsi="Arial" w:cs="Arial"/>
          <w:color w:val="000000"/>
          <w:sz w:val="20"/>
          <w:szCs w:val="20"/>
        </w:rPr>
        <w:t xml:space="preserve"> the appropriate level at which to classify them for each reporting period. Some non-financial assets are measured at fair value on a non-recurring basis only in certain circumstances, including the event of impairment. See Note 7, “Fair Value of Financial</w:t>
      </w:r>
      <w:r>
        <w:rPr>
          <w:rFonts w:ascii="Arial" w:eastAsia="Times New Roman" w:hAnsi="Arial" w:cs="Arial"/>
          <w:color w:val="000000"/>
          <w:sz w:val="20"/>
          <w:szCs w:val="20"/>
        </w:rPr>
        <w:t xml:space="preserve"> Instruments,” for the fair value hierarchy table and for details on how we measure fair value for our assets and liabilities.</w:t>
      </w:r>
    </w:p>
    <w:p w14:paraId="70094292" w14:textId="77777777" w:rsidR="00000000" w:rsidRDefault="001D0688">
      <w:pPr>
        <w:jc w:val="center"/>
        <w:divId w:val="2130931848"/>
        <w:rPr>
          <w:rFonts w:eastAsia="Times New Roman"/>
        </w:rPr>
      </w:pPr>
      <w:r>
        <w:rPr>
          <w:rFonts w:ascii="Arial" w:eastAsia="Times New Roman" w:hAnsi="Arial" w:cs="Arial"/>
          <w:color w:val="000000"/>
          <w:sz w:val="20"/>
          <w:szCs w:val="20"/>
        </w:rPr>
        <w:t>59</w:t>
      </w:r>
    </w:p>
    <w:p w14:paraId="2E4BD52C" w14:textId="77777777" w:rsidR="00000000" w:rsidRDefault="001D0688">
      <w:pPr>
        <w:rPr>
          <w:rFonts w:eastAsia="Times New Roman"/>
        </w:rPr>
      </w:pPr>
      <w:r>
        <w:rPr>
          <w:rFonts w:eastAsia="Times New Roman"/>
        </w:rPr>
        <w:pict w14:anchorId="6AD98B81">
          <v:rect id="_x0000_i1096" style="width:0;height:1.5pt" o:hralign="center" o:hrstd="t" o:hr="t" fillcolor="#a0a0a0" stroked="f"/>
        </w:pict>
      </w:r>
    </w:p>
    <w:p w14:paraId="2E3DD5D2" w14:textId="77777777" w:rsidR="00000000" w:rsidRDefault="001D0688">
      <w:pPr>
        <w:divId w:val="1331056107"/>
        <w:rPr>
          <w:rFonts w:eastAsia="Times New Roman"/>
        </w:rPr>
      </w:pPr>
    </w:p>
    <w:p w14:paraId="1540B527" w14:textId="77777777" w:rsidR="00000000" w:rsidRDefault="001D0688">
      <w:pPr>
        <w:divId w:val="1699041861"/>
        <w:rPr>
          <w:rFonts w:eastAsia="Times New Roman"/>
        </w:rPr>
      </w:pPr>
      <w:r>
        <w:rPr>
          <w:rFonts w:ascii="Arial" w:eastAsia="Times New Roman" w:hAnsi="Arial" w:cs="Arial"/>
          <w:b/>
          <w:bCs/>
          <w:color w:val="0046AD"/>
          <w:sz w:val="20"/>
          <w:szCs w:val="20"/>
        </w:rPr>
        <w:t>Insurance Reserves</w:t>
      </w:r>
    </w:p>
    <w:p w14:paraId="6E72672A" w14:textId="77777777" w:rsidR="00000000" w:rsidRDefault="001D0688">
      <w:pPr>
        <w:ind w:firstLine="720"/>
        <w:jc w:val="both"/>
        <w:divId w:val="1227032210"/>
        <w:rPr>
          <w:rFonts w:eastAsia="Times New Roman"/>
        </w:rPr>
      </w:pPr>
      <w:r>
        <w:rPr>
          <w:rFonts w:ascii="Arial" w:eastAsia="Times New Roman" w:hAnsi="Arial" w:cs="Arial"/>
          <w:color w:val="000000"/>
          <w:sz w:val="20"/>
          <w:szCs w:val="20"/>
        </w:rPr>
        <w:t xml:space="preserve">We use a combination of insured and self-insurance programs to cover </w:t>
      </w:r>
      <w:r>
        <w:rPr>
          <w:rFonts w:ascii="Arial" w:eastAsia="Times New Roman" w:hAnsi="Arial" w:cs="Arial"/>
          <w:color w:val="000000"/>
          <w:sz w:val="20"/>
          <w:szCs w:val="20"/>
        </w:rPr>
        <w:t>workers’ compensation, general liability, automobile liability, property damage, and other insurable risks. Insurance claim liabilities represent our estimate of retained risks without regard to insurance coverage. We retain a substantial portion of the ri</w:t>
      </w:r>
      <w:r>
        <w:rPr>
          <w:rFonts w:ascii="Arial" w:eastAsia="Times New Roman" w:hAnsi="Arial" w:cs="Arial"/>
          <w:color w:val="000000"/>
          <w:sz w:val="20"/>
          <w:szCs w:val="20"/>
        </w:rPr>
        <w:t>sk related to certain workers’ compensation and medical claims. Liabilities associated with these losses include estimates of both filed claims and IBNR Claims.</w:t>
      </w:r>
    </w:p>
    <w:p w14:paraId="35ECB9D5" w14:textId="77777777" w:rsidR="00000000" w:rsidRDefault="001D0688">
      <w:pPr>
        <w:ind w:firstLine="720"/>
        <w:jc w:val="both"/>
        <w:divId w:val="194345815"/>
        <w:rPr>
          <w:rFonts w:eastAsia="Times New Roman"/>
        </w:rPr>
      </w:pPr>
      <w:r>
        <w:rPr>
          <w:rFonts w:ascii="Arial" w:eastAsia="Times New Roman" w:hAnsi="Arial" w:cs="Arial"/>
          <w:color w:val="000000"/>
          <w:sz w:val="20"/>
          <w:szCs w:val="20"/>
        </w:rPr>
        <w:t>With the assistance of third-party actuaries, we periodically review our estimate of ultimate l</w:t>
      </w:r>
      <w:r>
        <w:rPr>
          <w:rFonts w:ascii="Arial" w:eastAsia="Times New Roman" w:hAnsi="Arial" w:cs="Arial"/>
          <w:color w:val="000000"/>
          <w:sz w:val="20"/>
          <w:szCs w:val="20"/>
        </w:rPr>
        <w:t>osses for IBNR Claims and adjust our required self-insurance reserves as appropriate. As part of this evaluation, we review the status of existing and new claim reserves as established by third-party claims administrators. The third-party claims administra</w:t>
      </w:r>
      <w:r>
        <w:rPr>
          <w:rFonts w:ascii="Arial" w:eastAsia="Times New Roman" w:hAnsi="Arial" w:cs="Arial"/>
          <w:color w:val="000000"/>
          <w:sz w:val="20"/>
          <w:szCs w:val="20"/>
        </w:rPr>
        <w:t>tors establish the case reserves based upon known factors related to the type and severity of the claims, demographic factors, legislative matters, and case law, as appropriate. We compare actual trends to expected trends and monitor claims developments. T</w:t>
      </w:r>
      <w:r>
        <w:rPr>
          <w:rFonts w:ascii="Arial" w:eastAsia="Times New Roman" w:hAnsi="Arial" w:cs="Arial"/>
          <w:color w:val="000000"/>
          <w:sz w:val="20"/>
          <w:szCs w:val="20"/>
        </w:rPr>
        <w:t>he specific case reserves estimated by the third-party administrators are provided to an actuary who assists us in projecting an actuarial estimate of the overall ultimate losses for our self-insured or high deductible programs, which includes the case res</w:t>
      </w:r>
      <w:r>
        <w:rPr>
          <w:rFonts w:ascii="Arial" w:eastAsia="Times New Roman" w:hAnsi="Arial" w:cs="Arial"/>
          <w:color w:val="000000"/>
          <w:sz w:val="20"/>
          <w:szCs w:val="20"/>
        </w:rPr>
        <w:t>erves plus an actuarial estimate of reserves required for additional developments, such as IBNR Claims. We utilize the results of actuarial studies to estimate our insurance rates and insurance reserves for future periods and to adjust reserves, if appropr</w:t>
      </w:r>
      <w:r>
        <w:rPr>
          <w:rFonts w:ascii="Arial" w:eastAsia="Times New Roman" w:hAnsi="Arial" w:cs="Arial"/>
          <w:color w:val="000000"/>
          <w:sz w:val="20"/>
          <w:szCs w:val="20"/>
        </w:rPr>
        <w:t xml:space="preserve">iate, for prior years. </w:t>
      </w:r>
    </w:p>
    <w:p w14:paraId="55A1F8B8" w14:textId="77777777" w:rsidR="00000000" w:rsidRDefault="001D0688">
      <w:pPr>
        <w:ind w:firstLine="720"/>
        <w:jc w:val="both"/>
        <w:divId w:val="1994985409"/>
        <w:rPr>
          <w:rFonts w:eastAsia="Times New Roman"/>
        </w:rPr>
      </w:pPr>
      <w:r>
        <w:rPr>
          <w:rFonts w:ascii="Arial" w:eastAsia="Times New Roman" w:hAnsi="Arial" w:cs="Arial"/>
          <w:color w:val="000000"/>
          <w:sz w:val="20"/>
          <w:szCs w:val="20"/>
        </w:rPr>
        <w:t xml:space="preserve">In general, our insurance reserves are recorded on an undiscounted basis. We allocate current-year insurance expense to our operating segments based upon their underlying exposures, while actuarial adjustments related to prior year </w:t>
      </w:r>
      <w:r>
        <w:rPr>
          <w:rFonts w:ascii="Arial" w:eastAsia="Times New Roman" w:hAnsi="Arial" w:cs="Arial"/>
          <w:color w:val="000000"/>
          <w:sz w:val="20"/>
          <w:szCs w:val="20"/>
        </w:rPr>
        <w:t xml:space="preserve">claims are recorded within Corporate expenses. We classify claims as current or long-term based on the expected settlement date. Estimated insurance recoveries related to recorded liabilities are reflected as assets in our Consolidated Balance Sheets when </w:t>
      </w:r>
      <w:r>
        <w:rPr>
          <w:rFonts w:ascii="Arial" w:eastAsia="Times New Roman" w:hAnsi="Arial" w:cs="Arial"/>
          <w:color w:val="000000"/>
          <w:sz w:val="20"/>
          <w:szCs w:val="20"/>
        </w:rPr>
        <w:t>we believe the receipt of such amounts is probable.</w:t>
      </w:r>
    </w:p>
    <w:p w14:paraId="41CF8A9A" w14:textId="77777777" w:rsidR="00000000" w:rsidRDefault="001D0688">
      <w:pPr>
        <w:jc w:val="both"/>
        <w:divId w:val="1501579273"/>
        <w:rPr>
          <w:rFonts w:eastAsia="Times New Roman"/>
        </w:rPr>
      </w:pPr>
      <w:r>
        <w:rPr>
          <w:rFonts w:ascii="Arial" w:eastAsia="Times New Roman" w:hAnsi="Arial" w:cs="Arial"/>
          <w:b/>
          <w:bCs/>
          <w:color w:val="0046AD"/>
          <w:sz w:val="20"/>
          <w:szCs w:val="20"/>
        </w:rPr>
        <w:t>Other Accrued Liabilities</w:t>
      </w:r>
    </w:p>
    <w:p w14:paraId="52051507" w14:textId="77777777" w:rsidR="00000000" w:rsidRDefault="001D0688">
      <w:pPr>
        <w:ind w:firstLine="720"/>
        <w:jc w:val="both"/>
        <w:divId w:val="809253280"/>
        <w:rPr>
          <w:rFonts w:eastAsia="Times New Roman"/>
        </w:rPr>
      </w:pPr>
      <w:r>
        <w:rPr>
          <w:rFonts w:ascii="Arial" w:eastAsia="Times New Roman" w:hAnsi="Arial" w:cs="Arial"/>
          <w:color w:val="000000"/>
          <w:sz w:val="20"/>
          <w:szCs w:val="20"/>
        </w:rPr>
        <w:t>At October 31, 2020 and 2019, other accrued liabilities primarily consisted of notes payable, other accrued expenses, legal fees and settlements, contract liabilities (which incl</w:t>
      </w:r>
      <w:r>
        <w:rPr>
          <w:rFonts w:ascii="Arial" w:eastAsia="Times New Roman" w:hAnsi="Arial" w:cs="Arial"/>
          <w:color w:val="000000"/>
          <w:sz w:val="20"/>
          <w:szCs w:val="20"/>
        </w:rPr>
        <w:t xml:space="preserve">ude deferred revenue and progress billings in excess of costs), employee benefits, unclaimed property, severance, insurance claims, rent payable, interest, and current finance leases. </w:t>
      </w:r>
    </w:p>
    <w:p w14:paraId="28049AA4" w14:textId="77777777" w:rsidR="00000000" w:rsidRDefault="001D0688">
      <w:pPr>
        <w:jc w:val="both"/>
        <w:divId w:val="1272861879"/>
        <w:rPr>
          <w:rFonts w:eastAsia="Times New Roman"/>
        </w:rPr>
      </w:pPr>
      <w:r>
        <w:rPr>
          <w:rFonts w:ascii="Arial" w:eastAsia="Times New Roman" w:hAnsi="Arial" w:cs="Arial"/>
          <w:b/>
          <w:bCs/>
          <w:color w:val="0046AD"/>
          <w:sz w:val="20"/>
          <w:szCs w:val="20"/>
        </w:rPr>
        <w:t>Other Noncurrent Liabilities</w:t>
      </w:r>
    </w:p>
    <w:p w14:paraId="53AD4B09" w14:textId="77777777" w:rsidR="00000000" w:rsidRDefault="001D0688">
      <w:pPr>
        <w:ind w:firstLine="720"/>
        <w:jc w:val="both"/>
        <w:divId w:val="403651870"/>
        <w:rPr>
          <w:rFonts w:eastAsia="Times New Roman"/>
        </w:rPr>
      </w:pPr>
      <w:r>
        <w:rPr>
          <w:rFonts w:ascii="Arial" w:eastAsia="Times New Roman" w:hAnsi="Arial" w:cs="Arial"/>
          <w:color w:val="000000"/>
          <w:sz w:val="20"/>
          <w:szCs w:val="20"/>
        </w:rPr>
        <w:t>At October 31, 2020 and 2019, other noncur</w:t>
      </w:r>
      <w:r>
        <w:rPr>
          <w:rFonts w:ascii="Arial" w:eastAsia="Times New Roman" w:hAnsi="Arial" w:cs="Arial"/>
          <w:color w:val="000000"/>
          <w:sz w:val="20"/>
          <w:szCs w:val="20"/>
        </w:rPr>
        <w:t xml:space="preserve">rent liabilities primarily consisted of deferred payroll taxes, deferred rent, warranty reserves, ESPC liabilities, retirement plan liabilities, deferred compensation, and long-term finance leases. </w:t>
      </w:r>
    </w:p>
    <w:p w14:paraId="3A2480B8" w14:textId="77777777" w:rsidR="00000000" w:rsidRDefault="001D0688">
      <w:pPr>
        <w:jc w:val="both"/>
        <w:divId w:val="916354838"/>
        <w:rPr>
          <w:rFonts w:eastAsia="Times New Roman"/>
        </w:rPr>
      </w:pPr>
      <w:r>
        <w:rPr>
          <w:rFonts w:ascii="Arial" w:eastAsia="Times New Roman" w:hAnsi="Arial" w:cs="Arial"/>
          <w:b/>
          <w:bCs/>
          <w:color w:val="0046AD"/>
          <w:sz w:val="20"/>
          <w:szCs w:val="20"/>
        </w:rPr>
        <w:t>Revenue Recognition</w:t>
      </w:r>
      <w:r>
        <w:rPr>
          <w:rFonts w:ascii="Arial" w:eastAsia="Times New Roman" w:hAnsi="Arial" w:cs="Arial"/>
          <w:color w:val="000000"/>
          <w:sz w:val="20"/>
          <w:szCs w:val="20"/>
        </w:rPr>
        <w:t xml:space="preserve"> </w:t>
      </w:r>
    </w:p>
    <w:p w14:paraId="256AF4A1" w14:textId="77777777" w:rsidR="00000000" w:rsidRDefault="001D0688">
      <w:pPr>
        <w:ind w:firstLine="720"/>
        <w:jc w:val="both"/>
        <w:divId w:val="1106267519"/>
        <w:rPr>
          <w:rFonts w:eastAsia="Times New Roman"/>
        </w:rPr>
      </w:pPr>
      <w:r>
        <w:rPr>
          <w:rFonts w:ascii="Arial" w:eastAsia="Times New Roman" w:hAnsi="Arial" w:cs="Arial"/>
          <w:color w:val="000000"/>
          <w:sz w:val="20"/>
          <w:szCs w:val="20"/>
        </w:rPr>
        <w:t>Beginning in fiscal 2019, we adopted</w:t>
      </w:r>
      <w:r>
        <w:rPr>
          <w:rFonts w:ascii="Arial" w:eastAsia="Times New Roman" w:hAnsi="Arial" w:cs="Arial"/>
          <w:color w:val="000000"/>
          <w:sz w:val="20"/>
          <w:szCs w:val="20"/>
        </w:rPr>
        <w:t xml:space="preserve"> ASU 2014-09, </w:t>
      </w:r>
      <w:r>
        <w:rPr>
          <w:rFonts w:ascii="Arial" w:eastAsia="Times New Roman" w:hAnsi="Arial" w:cs="Arial"/>
          <w:i/>
          <w:iCs/>
          <w:color w:val="000000"/>
          <w:sz w:val="20"/>
          <w:szCs w:val="20"/>
        </w:rPr>
        <w:t>Revenue from Contracts with Customers</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(Topic 606)</w:t>
      </w:r>
      <w:r>
        <w:rPr>
          <w:rFonts w:ascii="Arial" w:eastAsia="Times New Roman" w:hAnsi="Arial" w:cs="Arial"/>
          <w:color w:val="000000"/>
          <w:sz w:val="20"/>
          <w:szCs w:val="20"/>
        </w:rPr>
        <w:t xml:space="preserve">, and ASU 2017-10, </w:t>
      </w:r>
      <w:r>
        <w:rPr>
          <w:rFonts w:ascii="Arial" w:eastAsia="Times New Roman" w:hAnsi="Arial" w:cs="Arial"/>
          <w:i/>
          <w:iCs/>
          <w:color w:val="000000"/>
          <w:sz w:val="20"/>
          <w:szCs w:val="20"/>
        </w:rPr>
        <w:t>Service Concession Arrangements (Topic 853)</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Determining the Customer of the Operation Services</w:t>
      </w:r>
      <w:r>
        <w:rPr>
          <w:rFonts w:ascii="Arial" w:eastAsia="Times New Roman" w:hAnsi="Arial" w:cs="Arial"/>
          <w:color w:val="000000"/>
          <w:sz w:val="20"/>
          <w:szCs w:val="20"/>
        </w:rPr>
        <w:t>. Prior period amounts have not been restated and continue to be reported in ac</w:t>
      </w:r>
      <w:r>
        <w:rPr>
          <w:rFonts w:ascii="Arial" w:eastAsia="Times New Roman" w:hAnsi="Arial" w:cs="Arial"/>
          <w:color w:val="000000"/>
          <w:sz w:val="20"/>
          <w:szCs w:val="20"/>
        </w:rPr>
        <w:t>cordance with our historical accounting policies. Our revenue recognition policies under Topic 606 and Topic 853 are described in the following paragraphs, and references to our prior period policies are included below where they are substantially differen</w:t>
      </w:r>
      <w:r>
        <w:rPr>
          <w:rFonts w:ascii="Arial" w:eastAsia="Times New Roman" w:hAnsi="Arial" w:cs="Arial"/>
          <w:color w:val="000000"/>
          <w:sz w:val="20"/>
          <w:szCs w:val="20"/>
        </w:rPr>
        <w:t>t. See Note 3, “Revenues,” for further information on our revenues.</w:t>
      </w:r>
    </w:p>
    <w:p w14:paraId="1337798A" w14:textId="77777777" w:rsidR="00000000" w:rsidRDefault="001D0688">
      <w:pPr>
        <w:jc w:val="both"/>
        <w:divId w:val="633831367"/>
        <w:rPr>
          <w:rFonts w:eastAsia="Times New Roman"/>
        </w:rPr>
      </w:pPr>
      <w:r>
        <w:rPr>
          <w:rFonts w:ascii="Arial" w:eastAsia="Times New Roman" w:hAnsi="Arial" w:cs="Arial"/>
          <w:b/>
          <w:bCs/>
          <w:i/>
          <w:iCs/>
          <w:color w:val="0046AD"/>
          <w:sz w:val="20"/>
          <w:szCs w:val="20"/>
        </w:rPr>
        <w:t>Contracts with Customers</w:t>
      </w:r>
    </w:p>
    <w:p w14:paraId="523E6DB0" w14:textId="77777777" w:rsidR="00000000" w:rsidRDefault="001D0688">
      <w:pPr>
        <w:ind w:firstLine="720"/>
        <w:jc w:val="both"/>
        <w:divId w:val="702245722"/>
        <w:rPr>
          <w:rFonts w:eastAsia="Times New Roman"/>
        </w:rPr>
      </w:pPr>
      <w:r>
        <w:rPr>
          <w:rFonts w:ascii="Arial" w:eastAsia="Times New Roman" w:hAnsi="Arial" w:cs="Arial"/>
          <w:color w:val="000000"/>
          <w:sz w:val="20"/>
          <w:szCs w:val="20"/>
        </w:rPr>
        <w:t>We account for a contract when it has approval and commitment from both parties, the rights of the parties are identified, payment terms are identified, the contra</w:t>
      </w:r>
      <w:r>
        <w:rPr>
          <w:rFonts w:ascii="Arial" w:eastAsia="Times New Roman" w:hAnsi="Arial" w:cs="Arial"/>
          <w:color w:val="000000"/>
          <w:sz w:val="20"/>
          <w:szCs w:val="20"/>
        </w:rPr>
        <w:t xml:space="preserve">ct has commercial substance, and collectability of consideration is probable. Once a contract is identified, we evaluate whether it is a combined or single contract and whether it should be accounted for as more than one performance obligation. Generally, </w:t>
      </w:r>
      <w:r>
        <w:rPr>
          <w:rFonts w:ascii="Arial" w:eastAsia="Times New Roman" w:hAnsi="Arial" w:cs="Arial"/>
          <w:color w:val="000000"/>
          <w:sz w:val="20"/>
          <w:szCs w:val="20"/>
        </w:rPr>
        <w:t>most of our contracts are cancelable by either party without a substantive penalty, and the majority of our contracts have a notification period of 30 to 60 days. If a contract includes a cancellation clause, the remaining contract term is limited to the r</w:t>
      </w:r>
      <w:r>
        <w:rPr>
          <w:rFonts w:ascii="Arial" w:eastAsia="Times New Roman" w:hAnsi="Arial" w:cs="Arial"/>
          <w:color w:val="000000"/>
          <w:sz w:val="20"/>
          <w:szCs w:val="20"/>
        </w:rPr>
        <w:t xml:space="preserve">equired termination notice period. </w:t>
      </w:r>
    </w:p>
    <w:p w14:paraId="4002C883" w14:textId="77777777" w:rsidR="00000000" w:rsidRDefault="001D0688">
      <w:pPr>
        <w:ind w:firstLine="720"/>
        <w:jc w:val="both"/>
        <w:divId w:val="233977118"/>
        <w:rPr>
          <w:rFonts w:eastAsia="Times New Roman"/>
        </w:rPr>
      </w:pPr>
      <w:r>
        <w:rPr>
          <w:rFonts w:ascii="Arial" w:eastAsia="Times New Roman" w:hAnsi="Arial" w:cs="Arial"/>
          <w:color w:val="000000"/>
          <w:sz w:val="20"/>
          <w:szCs w:val="20"/>
        </w:rPr>
        <w:t>At contract inception, we assess the services promised to our customers and identify a performance obligation for each promise to transfer to the customer a service, or a bundle of services, that is distinct. To identify the performance obligation, we cons</w:t>
      </w:r>
      <w:r>
        <w:rPr>
          <w:rFonts w:ascii="Arial" w:eastAsia="Times New Roman" w:hAnsi="Arial" w:cs="Arial"/>
          <w:color w:val="000000"/>
          <w:sz w:val="20"/>
          <w:szCs w:val="20"/>
        </w:rPr>
        <w:t xml:space="preserve">ider all of our services promised in the contract, regardless of whether they are explicitly stated or are implied by customary business practices. </w:t>
      </w:r>
    </w:p>
    <w:p w14:paraId="45D31FAF" w14:textId="77777777" w:rsidR="00000000" w:rsidRDefault="001D0688">
      <w:pPr>
        <w:jc w:val="center"/>
        <w:divId w:val="1358965959"/>
        <w:rPr>
          <w:rFonts w:eastAsia="Times New Roman"/>
        </w:rPr>
      </w:pPr>
      <w:r>
        <w:rPr>
          <w:rFonts w:ascii="Arial" w:eastAsia="Times New Roman" w:hAnsi="Arial" w:cs="Arial"/>
          <w:color w:val="000000"/>
          <w:sz w:val="20"/>
          <w:szCs w:val="20"/>
        </w:rPr>
        <w:t>60</w:t>
      </w:r>
    </w:p>
    <w:p w14:paraId="4F734B19" w14:textId="77777777" w:rsidR="00000000" w:rsidRDefault="001D0688">
      <w:pPr>
        <w:rPr>
          <w:rFonts w:eastAsia="Times New Roman"/>
        </w:rPr>
      </w:pPr>
      <w:r>
        <w:rPr>
          <w:rFonts w:eastAsia="Times New Roman"/>
        </w:rPr>
        <w:pict w14:anchorId="36C9BBB7">
          <v:rect id="_x0000_i1097" style="width:0;height:1.5pt" o:hralign="center" o:hrstd="t" o:hr="t" fillcolor="#a0a0a0" stroked="f"/>
        </w:pict>
      </w:r>
    </w:p>
    <w:p w14:paraId="1514E5B6" w14:textId="77777777" w:rsidR="00000000" w:rsidRDefault="001D0688">
      <w:pPr>
        <w:divId w:val="1839805235"/>
        <w:rPr>
          <w:rFonts w:eastAsia="Times New Roman"/>
        </w:rPr>
      </w:pPr>
    </w:p>
    <w:p w14:paraId="5DBD329C" w14:textId="77777777" w:rsidR="00000000" w:rsidRDefault="001D0688">
      <w:pPr>
        <w:ind w:firstLine="720"/>
        <w:jc w:val="both"/>
        <w:divId w:val="887686771"/>
        <w:rPr>
          <w:rFonts w:eastAsia="Times New Roman"/>
        </w:rPr>
      </w:pPr>
      <w:r>
        <w:rPr>
          <w:rFonts w:ascii="Arial" w:eastAsia="Times New Roman" w:hAnsi="Arial" w:cs="Arial"/>
          <w:color w:val="000000"/>
          <w:sz w:val="20"/>
          <w:szCs w:val="20"/>
        </w:rPr>
        <w:t>The majority of our contracts contain multiple promises that repre</w:t>
      </w:r>
      <w:r>
        <w:rPr>
          <w:rFonts w:ascii="Arial" w:eastAsia="Times New Roman" w:hAnsi="Arial" w:cs="Arial"/>
          <w:color w:val="000000"/>
          <w:sz w:val="20"/>
          <w:szCs w:val="20"/>
        </w:rPr>
        <w:t>sent an integrated bundle of services comprised of activities that may vary over time; however, these activities fulfill a single integrated performance obligation since we perform a continuous service that is substantially the same and has the same patter</w:t>
      </w:r>
      <w:r>
        <w:rPr>
          <w:rFonts w:ascii="Arial" w:eastAsia="Times New Roman" w:hAnsi="Arial" w:cs="Arial"/>
          <w:color w:val="000000"/>
          <w:sz w:val="20"/>
          <w:szCs w:val="20"/>
        </w:rPr>
        <w:t>n of transfer to the customer. Our performance obligations are primarily satisfied over time as we provide the related services. We allocate the contract transaction price to this single performance obligation and recognize revenue as the services are perf</w:t>
      </w:r>
      <w:r>
        <w:rPr>
          <w:rFonts w:ascii="Arial" w:eastAsia="Times New Roman" w:hAnsi="Arial" w:cs="Arial"/>
          <w:color w:val="000000"/>
          <w:sz w:val="20"/>
          <w:szCs w:val="20"/>
        </w:rPr>
        <w:t xml:space="preserve">ormed, as further described in “Contract Types” below. </w:t>
      </w:r>
    </w:p>
    <w:p w14:paraId="3E4B6D0E" w14:textId="77777777" w:rsidR="00000000" w:rsidRDefault="001D0688">
      <w:pPr>
        <w:ind w:firstLine="720"/>
        <w:jc w:val="both"/>
        <w:divId w:val="100685764"/>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 sales-based royalties). We do not estimate the variable consideration for these arrangements; rather, we recognize these variable fees in the pe</w:t>
      </w:r>
      <w:r>
        <w:rPr>
          <w:rFonts w:ascii="Arial" w:eastAsia="Times New Roman" w:hAnsi="Arial" w:cs="Arial"/>
          <w:color w:val="000000"/>
          <w:sz w:val="20"/>
          <w:szCs w:val="20"/>
        </w:rPr>
        <w:t>riod they are earned. Some of our contracts, often related to Airline Services, may also include performance incentives based on variable performance measures that are ascertained exclusively by future performance and therefore cannot be estimated at contr</w:t>
      </w:r>
      <w:r>
        <w:rPr>
          <w:rFonts w:ascii="Arial" w:eastAsia="Times New Roman" w:hAnsi="Arial" w:cs="Arial"/>
          <w:color w:val="000000"/>
          <w:sz w:val="20"/>
          <w:szCs w:val="20"/>
        </w:rPr>
        <w:t>act inception and are recognized as revenue once known and mutually agreed upon. We include estimated amounts in the transaction price to the extent it is probable that a significant reversal of cumulative revenue recognized will not occur when the uncerta</w:t>
      </w:r>
      <w:r>
        <w:rPr>
          <w:rFonts w:ascii="Arial" w:eastAsia="Times New Roman" w:hAnsi="Arial" w:cs="Arial"/>
          <w:color w:val="000000"/>
          <w:sz w:val="20"/>
          <w:szCs w:val="20"/>
        </w:rPr>
        <w:t>inty associated with the variable consideration is resolved. Our estimates of variable consideration and determination of whether to include estimated amounts in the transaction price are based largely on an assessment of our anticipated performance and al</w:t>
      </w:r>
      <w:r>
        <w:rPr>
          <w:rFonts w:ascii="Arial" w:eastAsia="Times New Roman" w:hAnsi="Arial" w:cs="Arial"/>
          <w:color w:val="000000"/>
          <w:sz w:val="20"/>
          <w:szCs w:val="20"/>
        </w:rPr>
        <w:t xml:space="preserve">l information (historical, current, and forecasted) that is reasonably available to us. </w:t>
      </w:r>
    </w:p>
    <w:p w14:paraId="6EA37884" w14:textId="77777777" w:rsidR="00000000" w:rsidRDefault="001D0688">
      <w:pPr>
        <w:ind w:firstLine="720"/>
        <w:jc w:val="both"/>
        <w:divId w:val="454494350"/>
        <w:rPr>
          <w:rFonts w:eastAsia="Times New Roman"/>
        </w:rPr>
      </w:pPr>
      <w:r>
        <w:rPr>
          <w:rFonts w:ascii="Arial" w:eastAsia="Times New Roman" w:hAnsi="Arial" w:cs="Arial"/>
          <w:color w:val="000000"/>
          <w:sz w:val="20"/>
          <w:szCs w:val="20"/>
        </w:rPr>
        <w:t>We primarily account for our performance obligations under the series guidance, using the as-invoiced practical expedient when applicable. We apply the as-invoiced pra</w:t>
      </w:r>
      <w:r>
        <w:rPr>
          <w:rFonts w:ascii="Arial" w:eastAsia="Times New Roman" w:hAnsi="Arial" w:cs="Arial"/>
          <w:color w:val="000000"/>
          <w:sz w:val="20"/>
          <w:szCs w:val="20"/>
        </w:rPr>
        <w:t>ctical expedient to record revenue as the services are provided, given the nature of the services provided and the frequency of billing under the customer contracts. Under this practical expedient, we recognize revenue in an amount that corresponds directl</w:t>
      </w:r>
      <w:r>
        <w:rPr>
          <w:rFonts w:ascii="Arial" w:eastAsia="Times New Roman" w:hAnsi="Arial" w:cs="Arial"/>
          <w:color w:val="000000"/>
          <w:sz w:val="20"/>
          <w:szCs w:val="20"/>
        </w:rPr>
        <w:t xml:space="preserve">y with the value to the customer of our performance completed to date and for which we have the right to invoice the customer. </w:t>
      </w:r>
    </w:p>
    <w:p w14:paraId="10535645" w14:textId="77777777" w:rsidR="00000000" w:rsidRDefault="001D0688">
      <w:pPr>
        <w:ind w:firstLine="720"/>
        <w:jc w:val="both"/>
        <w:divId w:val="1084572798"/>
        <w:rPr>
          <w:rFonts w:eastAsia="Times New Roman"/>
        </w:rPr>
      </w:pPr>
      <w:r>
        <w:rPr>
          <w:rFonts w:ascii="Arial" w:eastAsia="Times New Roman" w:hAnsi="Arial" w:cs="Arial"/>
          <w:color w:val="000000"/>
          <w:sz w:val="20"/>
          <w:szCs w:val="20"/>
        </w:rPr>
        <w:t xml:space="preserve">We typically bill customers on a monthly basis and have the right to consideration from customers in an amount that corresponds </w:t>
      </w:r>
      <w:r>
        <w:rPr>
          <w:rFonts w:ascii="Arial" w:eastAsia="Times New Roman" w:hAnsi="Arial" w:cs="Arial"/>
          <w:color w:val="000000"/>
          <w:sz w:val="20"/>
          <w:szCs w:val="20"/>
        </w:rPr>
        <w:t xml:space="preserve">directly with the performance obligation satisfied to date. The time between completion of the performance obligation and collection of cash is generally 30 to 60 days. Sales-based taxes are excluded from revenue. </w:t>
      </w:r>
    </w:p>
    <w:p w14:paraId="68214159" w14:textId="77777777" w:rsidR="00000000" w:rsidRDefault="001D0688">
      <w:pPr>
        <w:ind w:firstLine="720"/>
        <w:jc w:val="both"/>
        <w:divId w:val="865362794"/>
        <w:rPr>
          <w:rFonts w:eastAsia="Times New Roman"/>
        </w:rPr>
      </w:pPr>
      <w:r>
        <w:rPr>
          <w:rFonts w:ascii="Arial" w:eastAsia="Times New Roman" w:hAnsi="Arial" w:cs="Arial"/>
          <w:color w:val="000000"/>
          <w:sz w:val="20"/>
          <w:szCs w:val="20"/>
        </w:rPr>
        <w:t>Contracts generally can be modified to ac</w:t>
      </w:r>
      <w:r>
        <w:rPr>
          <w:rFonts w:ascii="Arial" w:eastAsia="Times New Roman" w:hAnsi="Arial" w:cs="Arial"/>
          <w:color w:val="000000"/>
          <w:sz w:val="20"/>
          <w:szCs w:val="20"/>
        </w:rPr>
        <w:t>count for changes in specifications and requirements. We consider contract modifications to exist when the modification either changes the consideration, creates new performance obligations, or changes the existing scope of the contract and related perform</w:t>
      </w:r>
      <w:r>
        <w:rPr>
          <w:rFonts w:ascii="Arial" w:eastAsia="Times New Roman" w:hAnsi="Arial" w:cs="Arial"/>
          <w:color w:val="000000"/>
          <w:sz w:val="20"/>
          <w:szCs w:val="20"/>
        </w:rPr>
        <w:t>ance obligations. Historically, contract modifications have been for services that are not distinct from the existing contract, since we are providing a bundle of services that are highly interrelated, and are therefore treated as if they were part of that</w:t>
      </w:r>
      <w:r>
        <w:rPr>
          <w:rFonts w:ascii="Arial" w:eastAsia="Times New Roman" w:hAnsi="Arial" w:cs="Arial"/>
          <w:color w:val="000000"/>
          <w:sz w:val="20"/>
          <w:szCs w:val="20"/>
        </w:rPr>
        <w:t xml:space="preserve"> existing contract. Such modifications are generally accounted for prospectively as part of the existing contract.</w:t>
      </w:r>
    </w:p>
    <w:p w14:paraId="5ED4DA95" w14:textId="77777777" w:rsidR="00000000" w:rsidRDefault="001D0688">
      <w:pPr>
        <w:divId w:val="2054848094"/>
        <w:rPr>
          <w:rFonts w:eastAsia="Times New Roman"/>
        </w:rPr>
      </w:pPr>
      <w:r>
        <w:rPr>
          <w:rFonts w:ascii="Arial" w:eastAsia="Times New Roman" w:hAnsi="Arial" w:cs="Arial"/>
          <w:i/>
          <w:iCs/>
          <w:color w:val="0046AD"/>
          <w:sz w:val="20"/>
          <w:szCs w:val="20"/>
        </w:rPr>
        <w:t>Contract Types</w:t>
      </w:r>
    </w:p>
    <w:p w14:paraId="26D26B82" w14:textId="77777777" w:rsidR="00000000" w:rsidRDefault="001D0688">
      <w:pPr>
        <w:ind w:firstLine="720"/>
        <w:jc w:val="both"/>
        <w:divId w:val="139199782"/>
        <w:rPr>
          <w:rFonts w:eastAsia="Times New Roman"/>
        </w:rPr>
      </w:pPr>
      <w:r>
        <w:rPr>
          <w:rFonts w:ascii="Arial" w:eastAsia="Times New Roman" w:hAnsi="Arial" w:cs="Arial"/>
          <w:color w:val="000000"/>
          <w:sz w:val="20"/>
          <w:szCs w:val="20"/>
        </w:rPr>
        <w:t>We have arrangements under various contract types, as described below.</w:t>
      </w:r>
    </w:p>
    <w:p w14:paraId="71732AD9" w14:textId="77777777" w:rsidR="00000000" w:rsidRDefault="001D0688">
      <w:pPr>
        <w:jc w:val="both"/>
        <w:divId w:val="2043363954"/>
        <w:rPr>
          <w:rFonts w:eastAsia="Times New Roman"/>
        </w:rPr>
      </w:pPr>
      <w:r>
        <w:rPr>
          <w:rFonts w:ascii="Arial" w:eastAsia="Times New Roman" w:hAnsi="Arial" w:cs="Arial"/>
          <w:i/>
          <w:iCs/>
          <w:color w:val="0046AD"/>
          <w:sz w:val="20"/>
          <w:szCs w:val="20"/>
        </w:rPr>
        <w:t>Monthly Fixed-Price</w:t>
      </w:r>
      <w:r>
        <w:rPr>
          <w:rFonts w:ascii="Arial" w:eastAsia="Times New Roman" w:hAnsi="Arial" w:cs="Arial"/>
          <w:b/>
          <w:bCs/>
          <w:i/>
          <w:iCs/>
          <w:color w:val="0046AD"/>
          <w:sz w:val="20"/>
          <w:szCs w:val="20"/>
        </w:rPr>
        <w:t xml:space="preserve"> </w:t>
      </w:r>
    </w:p>
    <w:p w14:paraId="6A3FB1C1" w14:textId="77777777" w:rsidR="00000000" w:rsidRDefault="001D0688">
      <w:pPr>
        <w:ind w:firstLine="720"/>
        <w:jc w:val="both"/>
        <w:divId w:val="1000741343"/>
        <w:rPr>
          <w:rFonts w:eastAsia="Times New Roman"/>
        </w:rPr>
      </w:pPr>
      <w:r>
        <w:rPr>
          <w:rFonts w:ascii="Arial" w:eastAsia="Times New Roman" w:hAnsi="Arial" w:cs="Arial"/>
          <w:color w:val="000000"/>
          <w:sz w:val="20"/>
          <w:szCs w:val="20"/>
        </w:rPr>
        <w:t>Monthly fixed-price arrangements a</w:t>
      </w:r>
      <w:r>
        <w:rPr>
          <w:rFonts w:ascii="Arial" w:eastAsia="Times New Roman" w:hAnsi="Arial" w:cs="Arial"/>
          <w:color w:val="000000"/>
          <w:sz w:val="20"/>
          <w:szCs w:val="20"/>
        </w:rPr>
        <w:t>re contracts in which the client agrees to pay a fixed fee every month over a specified contract term. We measure progress toward satisfaction of the performance obligation as the services are provided, and revenue is recognized at the agreed-upon contract</w:t>
      </w:r>
      <w:r>
        <w:rPr>
          <w:rFonts w:ascii="Arial" w:eastAsia="Times New Roman" w:hAnsi="Arial" w:cs="Arial"/>
          <w:color w:val="000000"/>
          <w:sz w:val="20"/>
          <w:szCs w:val="20"/>
        </w:rPr>
        <w:t xml:space="preserve">ual amount over time because the customer simultaneously receives and consumes the benefits of the services as they are performed. </w:t>
      </w:r>
    </w:p>
    <w:p w14:paraId="28931ABF" w14:textId="77777777" w:rsidR="00000000" w:rsidRDefault="001D0688">
      <w:pPr>
        <w:jc w:val="both"/>
        <w:divId w:val="500194640"/>
        <w:rPr>
          <w:rFonts w:eastAsia="Times New Roman"/>
        </w:rPr>
      </w:pPr>
      <w:r>
        <w:rPr>
          <w:rFonts w:ascii="Arial" w:eastAsia="Times New Roman" w:hAnsi="Arial" w:cs="Arial"/>
          <w:i/>
          <w:iCs/>
          <w:color w:val="0046AD"/>
          <w:sz w:val="20"/>
          <w:szCs w:val="20"/>
        </w:rPr>
        <w:t>Square-Foot</w:t>
      </w:r>
    </w:p>
    <w:p w14:paraId="2E75DEDD" w14:textId="77777777" w:rsidR="00000000" w:rsidRDefault="001D0688">
      <w:pPr>
        <w:ind w:firstLine="720"/>
        <w:jc w:val="both"/>
        <w:divId w:val="1562210420"/>
        <w:rPr>
          <w:rFonts w:eastAsia="Times New Roman"/>
        </w:rPr>
      </w:pPr>
      <w:r>
        <w:rPr>
          <w:rFonts w:ascii="Arial" w:eastAsia="Times New Roman" w:hAnsi="Arial" w:cs="Arial"/>
          <w:color w:val="000000"/>
          <w:sz w:val="20"/>
          <w:szCs w:val="20"/>
        </w:rPr>
        <w:t>Square-foot arrangements are contracts in which the client agrees to pay a fixed fee every month based on the ac</w:t>
      </w:r>
      <w:r>
        <w:rPr>
          <w:rFonts w:ascii="Arial" w:eastAsia="Times New Roman" w:hAnsi="Arial" w:cs="Arial"/>
          <w:color w:val="000000"/>
          <w:sz w:val="20"/>
          <w:szCs w:val="20"/>
        </w:rPr>
        <w:t xml:space="preserve">tual square footage serviced over a specified contract term. We measure progress toward satisfaction of the performance obligation as the services are provided, and revenue is recognized at the agreed-upon contractual amount over time because the customer </w:t>
      </w:r>
      <w:r>
        <w:rPr>
          <w:rFonts w:ascii="Arial" w:eastAsia="Times New Roman" w:hAnsi="Arial" w:cs="Arial"/>
          <w:color w:val="000000"/>
          <w:sz w:val="20"/>
          <w:szCs w:val="20"/>
        </w:rPr>
        <w:t xml:space="preserve">simultaneously receives and consumes the benefits of the services as they are performed. </w:t>
      </w:r>
    </w:p>
    <w:p w14:paraId="7AF39714" w14:textId="77777777" w:rsidR="00000000" w:rsidRDefault="001D0688">
      <w:pPr>
        <w:jc w:val="both"/>
        <w:divId w:val="1046762734"/>
        <w:rPr>
          <w:rFonts w:eastAsia="Times New Roman"/>
        </w:rPr>
      </w:pPr>
      <w:r>
        <w:rPr>
          <w:rFonts w:ascii="Arial" w:eastAsia="Times New Roman" w:hAnsi="Arial" w:cs="Arial"/>
          <w:i/>
          <w:iCs/>
          <w:color w:val="0046AD"/>
          <w:sz w:val="20"/>
          <w:szCs w:val="20"/>
        </w:rPr>
        <w:t>Cost-Plus</w:t>
      </w:r>
    </w:p>
    <w:p w14:paraId="6DF7CF73" w14:textId="77777777" w:rsidR="00000000" w:rsidRDefault="001D0688">
      <w:pPr>
        <w:ind w:firstLine="720"/>
        <w:jc w:val="both"/>
        <w:divId w:val="1269658234"/>
        <w:rPr>
          <w:rFonts w:eastAsia="Times New Roman"/>
        </w:rPr>
      </w:pPr>
      <w:r>
        <w:rPr>
          <w:rFonts w:ascii="Arial" w:eastAsia="Times New Roman" w:hAnsi="Arial" w:cs="Arial"/>
          <w:color w:val="000000"/>
          <w:sz w:val="20"/>
          <w:szCs w:val="20"/>
        </w:rPr>
        <w:t>Cost-plus arrangements are contracts in which the clients reimburse us for the agreed-upon amount of wages and benefits, payroll taxes, insurance charges, a</w:t>
      </w:r>
      <w:r>
        <w:rPr>
          <w:rFonts w:ascii="Arial" w:eastAsia="Times New Roman" w:hAnsi="Arial" w:cs="Arial"/>
          <w:color w:val="000000"/>
          <w:sz w:val="20"/>
          <w:szCs w:val="20"/>
        </w:rPr>
        <w:t>nd other expenses associated with the contracted work, plus a profit margin. We measure progress toward satisfaction of the performance obligation as the services are provided, and revenue is recognized at the agreed-upon contractual amount over time becau</w:t>
      </w:r>
      <w:r>
        <w:rPr>
          <w:rFonts w:ascii="Arial" w:eastAsia="Times New Roman" w:hAnsi="Arial" w:cs="Arial"/>
          <w:color w:val="000000"/>
          <w:sz w:val="20"/>
          <w:szCs w:val="20"/>
        </w:rPr>
        <w:t xml:space="preserve">se the customer simultaneously receives and consumes the benefits of the services as they are performed. </w:t>
      </w:r>
    </w:p>
    <w:p w14:paraId="56DE7247" w14:textId="77777777" w:rsidR="00000000" w:rsidRDefault="001D0688">
      <w:pPr>
        <w:jc w:val="center"/>
        <w:divId w:val="1346860618"/>
        <w:rPr>
          <w:rFonts w:eastAsia="Times New Roman"/>
        </w:rPr>
      </w:pPr>
      <w:r>
        <w:rPr>
          <w:rFonts w:ascii="Arial" w:eastAsia="Times New Roman" w:hAnsi="Arial" w:cs="Arial"/>
          <w:color w:val="000000"/>
          <w:sz w:val="20"/>
          <w:szCs w:val="20"/>
        </w:rPr>
        <w:t>61</w:t>
      </w:r>
    </w:p>
    <w:p w14:paraId="2ED2DF3E" w14:textId="77777777" w:rsidR="00000000" w:rsidRDefault="001D0688">
      <w:pPr>
        <w:rPr>
          <w:rFonts w:eastAsia="Times New Roman"/>
        </w:rPr>
      </w:pPr>
      <w:r>
        <w:rPr>
          <w:rFonts w:eastAsia="Times New Roman"/>
        </w:rPr>
        <w:pict w14:anchorId="7433376A">
          <v:rect id="_x0000_i1098" style="width:0;height:1.5pt" o:hralign="center" o:hrstd="t" o:hr="t" fillcolor="#a0a0a0" stroked="f"/>
        </w:pict>
      </w:r>
    </w:p>
    <w:p w14:paraId="6ACB1201" w14:textId="77777777" w:rsidR="00000000" w:rsidRDefault="001D0688">
      <w:pPr>
        <w:divId w:val="1785421469"/>
        <w:rPr>
          <w:rFonts w:eastAsia="Times New Roman"/>
        </w:rPr>
      </w:pPr>
    </w:p>
    <w:p w14:paraId="0B7EB152" w14:textId="77777777" w:rsidR="00000000" w:rsidRDefault="001D0688">
      <w:pPr>
        <w:jc w:val="both"/>
        <w:divId w:val="554238328"/>
        <w:rPr>
          <w:rFonts w:eastAsia="Times New Roman"/>
        </w:rPr>
      </w:pPr>
      <w:r>
        <w:rPr>
          <w:rFonts w:ascii="Arial" w:eastAsia="Times New Roman" w:hAnsi="Arial" w:cs="Arial"/>
          <w:i/>
          <w:iCs/>
          <w:color w:val="0046AD"/>
          <w:sz w:val="20"/>
          <w:szCs w:val="20"/>
        </w:rPr>
        <w:t xml:space="preserve">Work Orders </w:t>
      </w:r>
    </w:p>
    <w:p w14:paraId="16653B22" w14:textId="77777777" w:rsidR="00000000" w:rsidRDefault="001D0688">
      <w:pPr>
        <w:ind w:firstLine="720"/>
        <w:jc w:val="both"/>
        <w:divId w:val="1429036945"/>
        <w:rPr>
          <w:rFonts w:eastAsia="Times New Roman"/>
        </w:rPr>
      </w:pPr>
      <w:r>
        <w:rPr>
          <w:rFonts w:ascii="Arial" w:eastAsia="Times New Roman" w:hAnsi="Arial" w:cs="Arial"/>
          <w:color w:val="000000"/>
          <w:sz w:val="20"/>
          <w:szCs w:val="20"/>
        </w:rPr>
        <w:t>Work orders generally consist of supplemental services requested by clients outside of the stan</w:t>
      </w:r>
      <w:r>
        <w:rPr>
          <w:rFonts w:ascii="Arial" w:eastAsia="Times New Roman" w:hAnsi="Arial" w:cs="Arial"/>
          <w:color w:val="000000"/>
          <w:sz w:val="20"/>
          <w:szCs w:val="20"/>
        </w:rPr>
        <w:t>dard service specification and include cleanup after tenant moves, construction cleanup, flood cleanup, and snow removal. The nature of these short-term contracts involves performing one-off type services, and revenue is recognized at the agreed-upon contr</w:t>
      </w:r>
      <w:r>
        <w:rPr>
          <w:rFonts w:ascii="Arial" w:eastAsia="Times New Roman" w:hAnsi="Arial" w:cs="Arial"/>
          <w:color w:val="000000"/>
          <w:sz w:val="20"/>
          <w:szCs w:val="20"/>
        </w:rPr>
        <w:t xml:space="preserve">actual amount over time as the services are provided because the customer simultaneously receives and consumes the benefits of the services as they are performed. </w:t>
      </w:r>
    </w:p>
    <w:p w14:paraId="449A3E80" w14:textId="77777777" w:rsidR="00000000" w:rsidRDefault="001D0688">
      <w:pPr>
        <w:jc w:val="both"/>
        <w:divId w:val="1861166956"/>
        <w:rPr>
          <w:rFonts w:eastAsia="Times New Roman"/>
        </w:rPr>
      </w:pPr>
      <w:r>
        <w:rPr>
          <w:rFonts w:ascii="Arial" w:eastAsia="Times New Roman" w:hAnsi="Arial" w:cs="Arial"/>
          <w:i/>
          <w:iCs/>
          <w:color w:val="0046AD"/>
          <w:sz w:val="20"/>
          <w:szCs w:val="20"/>
        </w:rPr>
        <w:t xml:space="preserve">Transaction-Price </w:t>
      </w:r>
    </w:p>
    <w:p w14:paraId="6C5C8259" w14:textId="77777777" w:rsidR="00000000" w:rsidRDefault="001D0688">
      <w:pPr>
        <w:ind w:firstLine="720"/>
        <w:jc w:val="both"/>
        <w:divId w:val="1774938753"/>
        <w:rPr>
          <w:rFonts w:eastAsia="Times New Roman"/>
        </w:rPr>
      </w:pPr>
      <w:r>
        <w:rPr>
          <w:rFonts w:ascii="Arial" w:eastAsia="Times New Roman" w:hAnsi="Arial" w:cs="Arial"/>
          <w:color w:val="000000"/>
          <w:sz w:val="20"/>
          <w:szCs w:val="20"/>
        </w:rPr>
        <w:t>Transaction-price contracts are arrangements in which customers are bille</w:t>
      </w:r>
      <w:r>
        <w:rPr>
          <w:rFonts w:ascii="Arial" w:eastAsia="Times New Roman" w:hAnsi="Arial" w:cs="Arial"/>
          <w:color w:val="000000"/>
          <w:sz w:val="20"/>
          <w:szCs w:val="20"/>
        </w:rPr>
        <w:t>d a fixed price for each transaction performed on a monthly basis (e.g., wheelchair passengers served, airplane cabins cleaned). We measure progress toward satisfaction of the performance obligation as the services are provided, and revenue is recognized a</w:t>
      </w:r>
      <w:r>
        <w:rPr>
          <w:rFonts w:ascii="Arial" w:eastAsia="Times New Roman" w:hAnsi="Arial" w:cs="Arial"/>
          <w:color w:val="000000"/>
          <w:sz w:val="20"/>
          <w:szCs w:val="20"/>
        </w:rPr>
        <w:t xml:space="preserve">t the agreed-upon contractual amount over time because the customer simultaneously receives and consumes the benefits of the services as they are performed. </w:t>
      </w:r>
    </w:p>
    <w:p w14:paraId="340185F8" w14:textId="77777777" w:rsidR="00000000" w:rsidRDefault="001D0688">
      <w:pPr>
        <w:jc w:val="both"/>
        <w:divId w:val="194735721"/>
        <w:rPr>
          <w:rFonts w:eastAsia="Times New Roman"/>
        </w:rPr>
      </w:pPr>
      <w:r>
        <w:rPr>
          <w:rFonts w:ascii="Arial" w:eastAsia="Times New Roman" w:hAnsi="Arial" w:cs="Arial"/>
          <w:i/>
          <w:iCs/>
          <w:color w:val="0046AD"/>
          <w:sz w:val="20"/>
          <w:szCs w:val="20"/>
        </w:rPr>
        <w:t xml:space="preserve">Hourly </w:t>
      </w:r>
    </w:p>
    <w:p w14:paraId="397D5BD4" w14:textId="77777777" w:rsidR="00000000" w:rsidRDefault="001D0688">
      <w:pPr>
        <w:ind w:firstLine="720"/>
        <w:jc w:val="both"/>
        <w:divId w:val="1500803037"/>
        <w:rPr>
          <w:rFonts w:eastAsia="Times New Roman"/>
        </w:rPr>
      </w:pPr>
      <w:r>
        <w:rPr>
          <w:rFonts w:ascii="Arial" w:eastAsia="Times New Roman" w:hAnsi="Arial" w:cs="Arial"/>
          <w:color w:val="000000"/>
          <w:sz w:val="20"/>
          <w:szCs w:val="20"/>
        </w:rPr>
        <w:t>Hourly arrangements are contracts in which the client is billed a fixed hourly rate for ea</w:t>
      </w:r>
      <w:r>
        <w:rPr>
          <w:rFonts w:ascii="Arial" w:eastAsia="Times New Roman" w:hAnsi="Arial" w:cs="Arial"/>
          <w:color w:val="000000"/>
          <w:sz w:val="20"/>
          <w:szCs w:val="20"/>
        </w:rPr>
        <w:t xml:space="preserve">ch labor hour provided. We measure progress toward satisfaction of the performance obligation as the services are provided, and revenue is recognized at the agreed-upon contractual amount over time because the customer simultaneously receives and consumes </w:t>
      </w:r>
      <w:r>
        <w:rPr>
          <w:rFonts w:ascii="Arial" w:eastAsia="Times New Roman" w:hAnsi="Arial" w:cs="Arial"/>
          <w:color w:val="000000"/>
          <w:sz w:val="20"/>
          <w:szCs w:val="20"/>
        </w:rPr>
        <w:t xml:space="preserve">the benefits of the services as they are performed. </w:t>
      </w:r>
    </w:p>
    <w:p w14:paraId="19389A9A" w14:textId="77777777" w:rsidR="00000000" w:rsidRDefault="001D0688">
      <w:pPr>
        <w:jc w:val="both"/>
        <w:divId w:val="596212909"/>
        <w:rPr>
          <w:rFonts w:eastAsia="Times New Roman"/>
        </w:rPr>
      </w:pPr>
      <w:r>
        <w:rPr>
          <w:rFonts w:ascii="Arial" w:eastAsia="Times New Roman" w:hAnsi="Arial" w:cs="Arial"/>
          <w:i/>
          <w:iCs/>
          <w:color w:val="0046AD"/>
          <w:sz w:val="20"/>
          <w:szCs w:val="20"/>
        </w:rPr>
        <w:t xml:space="preserve">Management Reimbursement </w:t>
      </w:r>
    </w:p>
    <w:p w14:paraId="2B8FBD78" w14:textId="77777777" w:rsidR="00000000" w:rsidRDefault="001D0688">
      <w:pPr>
        <w:jc w:val="both"/>
        <w:divId w:val="323558441"/>
        <w:rPr>
          <w:rFonts w:eastAsia="Times New Roman"/>
        </w:rPr>
      </w:pPr>
      <w:r>
        <w:rPr>
          <w:rFonts w:ascii="Arial" w:eastAsia="Times New Roman" w:hAnsi="Arial" w:cs="Arial"/>
          <w:color w:val="000000"/>
          <w:sz w:val="13"/>
          <w:szCs w:val="13"/>
        </w:rPr>
        <w:t>   </w:t>
      </w:r>
      <w:r>
        <w:rPr>
          <w:rFonts w:ascii="Arial" w:eastAsia="Times New Roman" w:hAnsi="Arial" w:cs="Arial"/>
          <w:color w:val="000000"/>
          <w:sz w:val="13"/>
          <w:szCs w:val="13"/>
        </w:rPr>
        <w:t> </w:t>
      </w:r>
      <w:r>
        <w:rPr>
          <w:rFonts w:ascii="Arial" w:eastAsia="Times New Roman" w:hAnsi="Arial" w:cs="Arial"/>
          <w:color w:val="000000"/>
          <w:sz w:val="20"/>
          <w:szCs w:val="20"/>
        </w:rPr>
        <w:t>Under management reimbursement arrangements we manage a parking facility for a management fee and pass through the revenue and expenses associated with the facility to the owner. We measure progress toward satisfaction of the performance obligation over ti</w:t>
      </w:r>
      <w:r>
        <w:rPr>
          <w:rFonts w:ascii="Arial" w:eastAsia="Times New Roman" w:hAnsi="Arial" w:cs="Arial"/>
          <w:color w:val="000000"/>
          <w:sz w:val="20"/>
          <w:szCs w:val="20"/>
        </w:rPr>
        <w:t>me as the services are provided. Under these contracts we recognize both revenues and expenses, in equal amounts, that are directly reimbursed from the property owner for operating expenses, as such expenses are incurred. Such revenues do not include gross</w:t>
      </w:r>
      <w:r>
        <w:rPr>
          <w:rFonts w:ascii="Arial" w:eastAsia="Times New Roman" w:hAnsi="Arial" w:cs="Arial"/>
          <w:color w:val="000000"/>
          <w:sz w:val="20"/>
          <w:szCs w:val="20"/>
        </w:rPr>
        <w:t xml:space="preserve"> customer collections at the managed locations because they belong to the property owners. We have determined we are the principal in these transactions, because the nature of our performance obligation is for us to provide the services on behalf of the cu</w:t>
      </w:r>
      <w:r>
        <w:rPr>
          <w:rFonts w:ascii="Arial" w:eastAsia="Times New Roman" w:hAnsi="Arial" w:cs="Arial"/>
          <w:color w:val="000000"/>
          <w:sz w:val="20"/>
          <w:szCs w:val="20"/>
        </w:rPr>
        <w:t xml:space="preserve">stomer and we have control of the promised services before they are transferred to the customer. </w:t>
      </w:r>
    </w:p>
    <w:p w14:paraId="44646EEC" w14:textId="77777777" w:rsidR="00000000" w:rsidRDefault="001D0688">
      <w:pPr>
        <w:divId w:val="1713532804"/>
        <w:rPr>
          <w:rFonts w:eastAsia="Times New Roman"/>
        </w:rPr>
      </w:pPr>
      <w:r>
        <w:rPr>
          <w:rFonts w:ascii="Arial" w:eastAsia="Times New Roman" w:hAnsi="Arial" w:cs="Arial"/>
          <w:i/>
          <w:iCs/>
          <w:color w:val="0046AD"/>
          <w:sz w:val="20"/>
          <w:szCs w:val="20"/>
        </w:rPr>
        <w:t xml:space="preserve">Leased Location </w:t>
      </w:r>
    </w:p>
    <w:p w14:paraId="5C0034C4" w14:textId="77777777" w:rsidR="00000000" w:rsidRDefault="001D0688">
      <w:pPr>
        <w:ind w:firstLine="720"/>
        <w:jc w:val="both"/>
        <w:divId w:val="1191842956"/>
        <w:rPr>
          <w:rFonts w:eastAsia="Times New Roman"/>
        </w:rPr>
      </w:pPr>
      <w:r>
        <w:rPr>
          <w:rFonts w:ascii="Arial" w:eastAsia="Times New Roman" w:hAnsi="Arial" w:cs="Arial"/>
          <w:color w:val="000000"/>
          <w:sz w:val="20"/>
          <w:szCs w:val="20"/>
        </w:rPr>
        <w:t>Under leased location parking arrangements we pay a fixed amount of rent, plus a percentage of revenues derived from monthly and transient pa</w:t>
      </w:r>
      <w:r>
        <w:rPr>
          <w:rFonts w:ascii="Arial" w:eastAsia="Times New Roman" w:hAnsi="Arial" w:cs="Arial"/>
          <w:color w:val="000000"/>
          <w:sz w:val="20"/>
          <w:szCs w:val="20"/>
        </w:rPr>
        <w:t>rkers, to the property owner. We retain all revenues received and we are responsible for most operating expenses incurred. We measure progress toward satisfaction of the performance obligation as the services are provided, and revenue is recognized over ti</w:t>
      </w:r>
      <w:r>
        <w:rPr>
          <w:rFonts w:ascii="Arial" w:eastAsia="Times New Roman" w:hAnsi="Arial" w:cs="Arial"/>
          <w:color w:val="000000"/>
          <w:sz w:val="20"/>
          <w:szCs w:val="20"/>
        </w:rPr>
        <w:t>me because the customer simultaneously receives and consumes the benefits of the services as they are performed.</w:t>
      </w:r>
    </w:p>
    <w:p w14:paraId="0EF525AA" w14:textId="77777777" w:rsidR="00000000" w:rsidRDefault="001D0688">
      <w:pPr>
        <w:ind w:firstLine="720"/>
        <w:jc w:val="both"/>
        <w:divId w:val="1388643393"/>
        <w:rPr>
          <w:rFonts w:eastAsia="Times New Roman"/>
        </w:rPr>
      </w:pPr>
      <w:r>
        <w:rPr>
          <w:rFonts w:ascii="Arial" w:eastAsia="Times New Roman" w:hAnsi="Arial" w:cs="Arial"/>
          <w:color w:val="000000"/>
          <w:sz w:val="20"/>
          <w:szCs w:val="20"/>
        </w:rPr>
        <w:t>In accordance with Topic 853, rental expense and certain other expenses under contracts that meet the definition of service concession arrangem</w:t>
      </w:r>
      <w:r>
        <w:rPr>
          <w:rFonts w:ascii="Arial" w:eastAsia="Times New Roman" w:hAnsi="Arial" w:cs="Arial"/>
          <w:color w:val="000000"/>
          <w:sz w:val="20"/>
          <w:szCs w:val="20"/>
        </w:rPr>
        <w:t>ents are now recorded as a reduction of revenue. Prior to November 1, 2018, such amounts were recorded as operating expenses.</w:t>
      </w:r>
    </w:p>
    <w:p w14:paraId="6DB291CB" w14:textId="77777777" w:rsidR="00000000" w:rsidRDefault="001D0688">
      <w:pPr>
        <w:jc w:val="both"/>
        <w:divId w:val="1095631350"/>
        <w:rPr>
          <w:rFonts w:eastAsia="Times New Roman"/>
        </w:rPr>
      </w:pPr>
      <w:r>
        <w:rPr>
          <w:rFonts w:ascii="Arial" w:eastAsia="Times New Roman" w:hAnsi="Arial" w:cs="Arial"/>
          <w:i/>
          <w:iCs/>
          <w:color w:val="0046AD"/>
          <w:sz w:val="20"/>
          <w:szCs w:val="20"/>
        </w:rPr>
        <w:t>Allowance</w:t>
      </w:r>
    </w:p>
    <w:p w14:paraId="76900AEF" w14:textId="77777777" w:rsidR="00000000" w:rsidRDefault="001D0688">
      <w:pPr>
        <w:ind w:firstLine="720"/>
        <w:jc w:val="both"/>
        <w:divId w:val="1131634903"/>
        <w:rPr>
          <w:rFonts w:eastAsia="Times New Roman"/>
        </w:rPr>
      </w:pPr>
      <w:r>
        <w:rPr>
          <w:rFonts w:ascii="Arial" w:eastAsia="Times New Roman" w:hAnsi="Arial" w:cs="Arial"/>
          <w:color w:val="000000"/>
          <w:sz w:val="20"/>
          <w:szCs w:val="20"/>
        </w:rPr>
        <w:t>Under allowance parking arrangements we are paid a fixed amount or hourly rate to provide parking services, and we are r</w:t>
      </w:r>
      <w:r>
        <w:rPr>
          <w:rFonts w:ascii="Arial" w:eastAsia="Times New Roman" w:hAnsi="Arial" w:cs="Arial"/>
          <w:color w:val="000000"/>
          <w:sz w:val="20"/>
          <w:szCs w:val="20"/>
        </w:rPr>
        <w:t>esponsible for certain operating expenses that are specified in the contract. We measure progress toward satisfaction of the performance obligation as the services are provided, and revenue is recognized at the agreed-upon contractual rate over time becaus</w:t>
      </w:r>
      <w:r>
        <w:rPr>
          <w:rFonts w:ascii="Arial" w:eastAsia="Times New Roman" w:hAnsi="Arial" w:cs="Arial"/>
          <w:color w:val="000000"/>
          <w:sz w:val="20"/>
          <w:szCs w:val="20"/>
        </w:rPr>
        <w:t>e the customer simultaneously receives and consumes the benefits of the services as they are performed.</w:t>
      </w:r>
    </w:p>
    <w:p w14:paraId="0F006C23" w14:textId="77777777" w:rsidR="00000000" w:rsidRDefault="001D0688">
      <w:pPr>
        <w:jc w:val="both"/>
        <w:divId w:val="1193686475"/>
        <w:rPr>
          <w:rFonts w:eastAsia="Times New Roman"/>
        </w:rPr>
      </w:pPr>
      <w:r>
        <w:rPr>
          <w:rFonts w:ascii="Arial" w:eastAsia="Times New Roman" w:hAnsi="Arial" w:cs="Arial"/>
          <w:i/>
          <w:iCs/>
          <w:color w:val="0046AD"/>
          <w:sz w:val="20"/>
          <w:szCs w:val="20"/>
        </w:rPr>
        <w:t>Energy Savings Contracts and Fixed-Price Repair and Refurbishment</w:t>
      </w:r>
    </w:p>
    <w:p w14:paraId="1E413131" w14:textId="77777777" w:rsidR="00000000" w:rsidRDefault="001D0688">
      <w:pPr>
        <w:ind w:firstLine="720"/>
        <w:jc w:val="both"/>
        <w:divId w:val="961228384"/>
        <w:rPr>
          <w:rFonts w:eastAsia="Times New Roman"/>
        </w:rPr>
      </w:pPr>
      <w:r>
        <w:rPr>
          <w:rFonts w:ascii="Arial" w:eastAsia="Times New Roman" w:hAnsi="Arial" w:cs="Arial"/>
          <w:color w:val="000000"/>
          <w:sz w:val="20"/>
          <w:szCs w:val="20"/>
        </w:rPr>
        <w:t>Under energy savings contracts and fixed-price repair and refurbishment arrangements w</w:t>
      </w:r>
      <w:r>
        <w:rPr>
          <w:rFonts w:ascii="Arial" w:eastAsia="Times New Roman" w:hAnsi="Arial" w:cs="Arial"/>
          <w:color w:val="000000"/>
          <w:sz w:val="20"/>
          <w:szCs w:val="20"/>
        </w:rPr>
        <w:t>e agree to develop, design, engineer, and construct a project. Additionally, as part of bundled energy solutions arrangements, we guarantee the project will satisfy agreed-upon performance standards.</w:t>
      </w:r>
    </w:p>
    <w:p w14:paraId="4608DA4D" w14:textId="77777777" w:rsidR="00000000" w:rsidRDefault="001D0688">
      <w:pPr>
        <w:ind w:firstLine="720"/>
        <w:jc w:val="both"/>
        <w:divId w:val="546339515"/>
        <w:rPr>
          <w:rFonts w:eastAsia="Times New Roman"/>
        </w:rPr>
      </w:pPr>
      <w:r>
        <w:rPr>
          <w:rFonts w:ascii="Arial" w:eastAsia="Times New Roman" w:hAnsi="Arial" w:cs="Arial"/>
          <w:color w:val="000000"/>
          <w:sz w:val="20"/>
          <w:szCs w:val="20"/>
        </w:rPr>
        <w:t>We use the cost-to-cost method, which compares the actua</w:t>
      </w:r>
      <w:r>
        <w:rPr>
          <w:rFonts w:ascii="Arial" w:eastAsia="Times New Roman" w:hAnsi="Arial" w:cs="Arial"/>
          <w:color w:val="000000"/>
          <w:sz w:val="20"/>
          <w:szCs w:val="20"/>
        </w:rPr>
        <w:t xml:space="preserve">l costs incurred to date with the current estimate of total costs to complete, to measure the satisfaction of the performance obligation and recognize revenue as work </w:t>
      </w:r>
    </w:p>
    <w:p w14:paraId="5CAB89F9" w14:textId="77777777" w:rsidR="00000000" w:rsidRDefault="001D0688">
      <w:pPr>
        <w:jc w:val="center"/>
        <w:divId w:val="373971974"/>
        <w:rPr>
          <w:rFonts w:eastAsia="Times New Roman"/>
        </w:rPr>
      </w:pPr>
      <w:r>
        <w:rPr>
          <w:rFonts w:ascii="Arial" w:eastAsia="Times New Roman" w:hAnsi="Arial" w:cs="Arial"/>
          <w:color w:val="000000"/>
          <w:sz w:val="20"/>
          <w:szCs w:val="20"/>
        </w:rPr>
        <w:t>62</w:t>
      </w:r>
    </w:p>
    <w:p w14:paraId="3BD8F2AB" w14:textId="77777777" w:rsidR="00000000" w:rsidRDefault="001D0688">
      <w:pPr>
        <w:rPr>
          <w:rFonts w:eastAsia="Times New Roman"/>
        </w:rPr>
      </w:pPr>
      <w:r>
        <w:rPr>
          <w:rFonts w:eastAsia="Times New Roman"/>
        </w:rPr>
        <w:pict w14:anchorId="6BE1D8D6">
          <v:rect id="_x0000_i1099" style="width:0;height:1.5pt" o:hralign="center" o:hrstd="t" o:hr="t" fillcolor="#a0a0a0" stroked="f"/>
        </w:pict>
      </w:r>
    </w:p>
    <w:p w14:paraId="0CE26277" w14:textId="77777777" w:rsidR="00000000" w:rsidRDefault="001D0688">
      <w:pPr>
        <w:divId w:val="1003164494"/>
        <w:rPr>
          <w:rFonts w:eastAsia="Times New Roman"/>
        </w:rPr>
      </w:pPr>
    </w:p>
    <w:p w14:paraId="63E828A0" w14:textId="77777777" w:rsidR="00000000" w:rsidRDefault="001D0688">
      <w:pPr>
        <w:jc w:val="both"/>
        <w:divId w:val="1297758929"/>
        <w:rPr>
          <w:rFonts w:eastAsia="Times New Roman"/>
        </w:rPr>
      </w:pPr>
      <w:r>
        <w:rPr>
          <w:rFonts w:ascii="Arial" w:eastAsia="Times New Roman" w:hAnsi="Arial" w:cs="Arial"/>
          <w:color w:val="000000"/>
          <w:sz w:val="20"/>
          <w:szCs w:val="20"/>
        </w:rPr>
        <w:t>progresses and we incur costs on our contracts; we believe this method best reflects the transfer of control to the customer. This measurement and comparison process requires updates to the estimate of total costs to complete the contract, and these update</w:t>
      </w:r>
      <w:r>
        <w:rPr>
          <w:rFonts w:ascii="Arial" w:eastAsia="Times New Roman" w:hAnsi="Arial" w:cs="Arial"/>
          <w:color w:val="000000"/>
          <w:sz w:val="20"/>
          <w:szCs w:val="20"/>
        </w:rPr>
        <w:t>s may include subjective assessments and judgments. Equipment purchased for these projects is project-specific and considered a value-added element to our work. Equipment costs are incurred when title is transferred to us, typically upon delivery to the wo</w:t>
      </w:r>
      <w:r>
        <w:rPr>
          <w:rFonts w:ascii="Arial" w:eastAsia="Times New Roman" w:hAnsi="Arial" w:cs="Arial"/>
          <w:color w:val="000000"/>
          <w:sz w:val="20"/>
          <w:szCs w:val="20"/>
        </w:rPr>
        <w:t xml:space="preserve">rk site. Revenue for uninstalled equipment is recognized at cost and the associated margin is deferred until installation is substantially complete. Prior to November 1, 2018, we recognized revenue and margin on uninstalled equipment consistent with other </w:t>
      </w:r>
      <w:r>
        <w:rPr>
          <w:rFonts w:ascii="Arial" w:eastAsia="Times New Roman" w:hAnsi="Arial" w:cs="Arial"/>
          <w:color w:val="000000"/>
          <w:sz w:val="20"/>
          <w:szCs w:val="20"/>
        </w:rPr>
        <w:t xml:space="preserve">project costs under the percentage-of-completion method. </w:t>
      </w:r>
    </w:p>
    <w:p w14:paraId="5C6B6135" w14:textId="77777777" w:rsidR="00000000" w:rsidRDefault="001D0688">
      <w:pPr>
        <w:ind w:firstLine="720"/>
        <w:jc w:val="both"/>
        <w:divId w:val="1878928401"/>
        <w:rPr>
          <w:rFonts w:eastAsia="Times New Roman"/>
        </w:rPr>
      </w:pPr>
      <w:r>
        <w:rPr>
          <w:rFonts w:ascii="Arial" w:eastAsia="Times New Roman" w:hAnsi="Arial" w:cs="Arial"/>
          <w:color w:val="000000"/>
          <w:sz w:val="20"/>
          <w:szCs w:val="20"/>
        </w:rPr>
        <w:t>We recognize revenue over time for all of our services as we perform them, because (i) control continuously transfers to the customer as work progresses or (ii) we have the right to bill the custome</w:t>
      </w:r>
      <w:r>
        <w:rPr>
          <w:rFonts w:ascii="Arial" w:eastAsia="Times New Roman" w:hAnsi="Arial" w:cs="Arial"/>
          <w:color w:val="000000"/>
          <w:sz w:val="20"/>
          <w:szCs w:val="20"/>
        </w:rPr>
        <w:t xml:space="preserve">r as costs are incurred. The customer typically controls the work in process as evidenced either by contractual termination clauses or by our rights to payment for work performed to date plus a reasonable profit to deliver products or services that do not </w:t>
      </w:r>
      <w:r>
        <w:rPr>
          <w:rFonts w:ascii="Arial" w:eastAsia="Times New Roman" w:hAnsi="Arial" w:cs="Arial"/>
          <w:color w:val="000000"/>
          <w:sz w:val="20"/>
          <w:szCs w:val="20"/>
        </w:rPr>
        <w:t>have an alternative use to us.</w:t>
      </w:r>
    </w:p>
    <w:p w14:paraId="1E7D1B5A" w14:textId="77777777" w:rsidR="00000000" w:rsidRDefault="001D0688">
      <w:pPr>
        <w:ind w:firstLine="720"/>
        <w:jc w:val="both"/>
        <w:divId w:val="251819846"/>
        <w:rPr>
          <w:rFonts w:eastAsia="Times New Roman"/>
        </w:rPr>
      </w:pPr>
      <w:r>
        <w:rPr>
          <w:rFonts w:ascii="Arial" w:eastAsia="Times New Roman" w:hAnsi="Arial" w:cs="Arial"/>
          <w:color w:val="000000"/>
          <w:sz w:val="20"/>
          <w:szCs w:val="20"/>
        </w:rPr>
        <w:t>Certain project contracts include a schedule of billings or invoices to the customer based on our job-to-date percentage of completion of specific tasks inherent in the fulfillment of our performance obligation(s) or in accor</w:t>
      </w:r>
      <w:r>
        <w:rPr>
          <w:rFonts w:ascii="Arial" w:eastAsia="Times New Roman" w:hAnsi="Arial" w:cs="Arial"/>
          <w:color w:val="000000"/>
          <w:sz w:val="20"/>
          <w:szCs w:val="20"/>
        </w:rPr>
        <w:t>dance with a fixed billing schedule. Fixed billing schedules may not precisely match the actual costs incurred. Therefore, revenue recognized may differ from amounts that can be billed or invoiced to the customer at any point during the contract, resulting</w:t>
      </w:r>
      <w:r>
        <w:rPr>
          <w:rFonts w:ascii="Arial" w:eastAsia="Times New Roman" w:hAnsi="Arial" w:cs="Arial"/>
          <w:color w:val="000000"/>
          <w:sz w:val="20"/>
          <w:szCs w:val="20"/>
        </w:rPr>
        <w:t xml:space="preserve"> in balances that are considered revenue recognized in excess of cumulative billings or cumulative billings in excess of revenue recognized. Advanced payments from our customers generally do not represent a significant financing component as the payments a</w:t>
      </w:r>
      <w:r>
        <w:rPr>
          <w:rFonts w:ascii="Arial" w:eastAsia="Times New Roman" w:hAnsi="Arial" w:cs="Arial"/>
          <w:color w:val="000000"/>
          <w:sz w:val="20"/>
          <w:szCs w:val="20"/>
        </w:rPr>
        <w:t xml:space="preserve">re used to meet working capital demands that can be higher in the early stages of a contract, as well as to protect us from our customer failing to meet its obligations under the contract. </w:t>
      </w:r>
    </w:p>
    <w:p w14:paraId="408F1127" w14:textId="77777777" w:rsidR="00000000" w:rsidRDefault="001D0688">
      <w:pPr>
        <w:ind w:firstLine="720"/>
        <w:jc w:val="both"/>
        <w:divId w:val="1775400344"/>
        <w:rPr>
          <w:rFonts w:eastAsia="Times New Roman"/>
        </w:rPr>
      </w:pPr>
      <w:r>
        <w:rPr>
          <w:rFonts w:ascii="Arial" w:eastAsia="Times New Roman" w:hAnsi="Arial" w:cs="Arial"/>
          <w:color w:val="000000"/>
          <w:sz w:val="20"/>
          <w:szCs w:val="20"/>
        </w:rPr>
        <w:t>Certain projects include service maintenance agreements under whic</w:t>
      </w:r>
      <w:r>
        <w:rPr>
          <w:rFonts w:ascii="Arial" w:eastAsia="Times New Roman" w:hAnsi="Arial" w:cs="Arial"/>
          <w:color w:val="000000"/>
          <w:sz w:val="20"/>
          <w:szCs w:val="20"/>
        </w:rPr>
        <w:t>h existing systems are repaired and maintained for a specific period of time. We generally recognize revenue under these arrangements over time. Our service maintenance agreements are generally one-year renewable agreements.</w:t>
      </w:r>
    </w:p>
    <w:p w14:paraId="4B91ED9E" w14:textId="77777777" w:rsidR="00000000" w:rsidRDefault="001D0688">
      <w:pPr>
        <w:jc w:val="both"/>
        <w:divId w:val="1755518178"/>
        <w:rPr>
          <w:rFonts w:eastAsia="Times New Roman"/>
        </w:rPr>
      </w:pPr>
      <w:r>
        <w:rPr>
          <w:rFonts w:ascii="Arial" w:eastAsia="Times New Roman" w:hAnsi="Arial" w:cs="Arial"/>
          <w:i/>
          <w:iCs/>
          <w:color w:val="0046AD"/>
          <w:sz w:val="20"/>
          <w:szCs w:val="20"/>
        </w:rPr>
        <w:t>Franchise</w:t>
      </w:r>
    </w:p>
    <w:p w14:paraId="3855A82E" w14:textId="77777777" w:rsidR="00000000" w:rsidRDefault="001D0688">
      <w:pPr>
        <w:ind w:firstLine="720"/>
        <w:jc w:val="both"/>
        <w:divId w:val="629046017"/>
        <w:rPr>
          <w:rFonts w:eastAsia="Times New Roman"/>
        </w:rPr>
      </w:pPr>
      <w:r>
        <w:rPr>
          <w:rFonts w:ascii="Arial" w:eastAsia="Times New Roman" w:hAnsi="Arial" w:cs="Arial"/>
          <w:color w:val="000000"/>
          <w:sz w:val="20"/>
          <w:szCs w:val="20"/>
        </w:rPr>
        <w:t xml:space="preserve">We franchise certain </w:t>
      </w:r>
      <w:r>
        <w:rPr>
          <w:rFonts w:ascii="Arial" w:eastAsia="Times New Roman" w:hAnsi="Arial" w:cs="Arial"/>
          <w:color w:val="000000"/>
          <w:sz w:val="20"/>
          <w:szCs w:val="20"/>
        </w:rPr>
        <w:t>engineering services through individual and area franchises under the Linc Service and TEGG brands, which are part of ABM Technical Solutions. Initial franchise fees result from the sale of a franchise license and include the use of the name, trademarks, a</w:t>
      </w:r>
      <w:r>
        <w:rPr>
          <w:rFonts w:ascii="Arial" w:eastAsia="Times New Roman" w:hAnsi="Arial" w:cs="Arial"/>
          <w:color w:val="000000"/>
          <w:sz w:val="20"/>
          <w:szCs w:val="20"/>
        </w:rPr>
        <w:t>nd proprietary methods. The franchise license is considered symbolic intellectual property, and revenue related to the sale of this right is recognized at the agreed-upon contractual amount over the term of the initial franchise agreement. Prior to Novembe</w:t>
      </w:r>
      <w:r>
        <w:rPr>
          <w:rFonts w:ascii="Arial" w:eastAsia="Times New Roman" w:hAnsi="Arial" w:cs="Arial"/>
          <w:color w:val="000000"/>
          <w:sz w:val="20"/>
          <w:szCs w:val="20"/>
        </w:rPr>
        <w:t>r 1, 2018, initial fees from sales of franchise licenses were recognized in the year of sale.</w:t>
      </w:r>
    </w:p>
    <w:p w14:paraId="4921C820" w14:textId="77777777" w:rsidR="00000000" w:rsidRDefault="001D0688">
      <w:pPr>
        <w:ind w:firstLine="720"/>
        <w:jc w:val="both"/>
        <w:divId w:val="59329737"/>
        <w:rPr>
          <w:rFonts w:eastAsia="Times New Roman"/>
        </w:rPr>
      </w:pPr>
      <w:r>
        <w:rPr>
          <w:rFonts w:ascii="Arial" w:eastAsia="Times New Roman" w:hAnsi="Arial" w:cs="Arial"/>
          <w:color w:val="000000"/>
          <w:sz w:val="20"/>
          <w:szCs w:val="20"/>
        </w:rPr>
        <w:t>Royalty fee revenue consists of sales-based royalties received as part of the consideration for the franchise right, which is calculated as a percentage of the fr</w:t>
      </w:r>
      <w:r>
        <w:rPr>
          <w:rFonts w:ascii="Arial" w:eastAsia="Times New Roman" w:hAnsi="Arial" w:cs="Arial"/>
          <w:color w:val="000000"/>
          <w:sz w:val="20"/>
          <w:szCs w:val="20"/>
        </w:rPr>
        <w:t>anchisees’ revenue. We recognize royalty fee revenue at the agreed-upon contractual rates over time as the customer revenue is generated by the franchisees. A receivable is recognized for an estimate of the unreported royalty fees, which are reported and r</w:t>
      </w:r>
      <w:r>
        <w:rPr>
          <w:rFonts w:ascii="Arial" w:eastAsia="Times New Roman" w:hAnsi="Arial" w:cs="Arial"/>
          <w:color w:val="000000"/>
          <w:sz w:val="20"/>
          <w:szCs w:val="20"/>
        </w:rPr>
        <w:t>emitted to us in arrears.</w:t>
      </w:r>
    </w:p>
    <w:p w14:paraId="30073E2E" w14:textId="77777777" w:rsidR="00000000" w:rsidRDefault="001D0688">
      <w:pPr>
        <w:jc w:val="both"/>
        <w:divId w:val="1371610714"/>
        <w:rPr>
          <w:rFonts w:eastAsia="Times New Roman"/>
        </w:rPr>
      </w:pPr>
      <w:r>
        <w:rPr>
          <w:rFonts w:ascii="Arial" w:eastAsia="Times New Roman" w:hAnsi="Arial" w:cs="Arial"/>
          <w:b/>
          <w:bCs/>
          <w:i/>
          <w:iCs/>
          <w:color w:val="164FA2"/>
          <w:sz w:val="20"/>
          <w:szCs w:val="20"/>
        </w:rPr>
        <w:t>Costs to Obtain a Contract With a Customer</w:t>
      </w:r>
    </w:p>
    <w:p w14:paraId="20E93A49" w14:textId="77777777" w:rsidR="00000000" w:rsidRDefault="001D0688">
      <w:pPr>
        <w:ind w:firstLine="720"/>
        <w:jc w:val="both"/>
        <w:divId w:val="1829441127"/>
        <w:rPr>
          <w:rFonts w:eastAsia="Times New Roman"/>
        </w:rPr>
      </w:pPr>
      <w:r>
        <w:rPr>
          <w:rFonts w:ascii="Arial" w:eastAsia="Times New Roman" w:hAnsi="Arial" w:cs="Arial"/>
          <w:color w:val="000000"/>
          <w:sz w:val="20"/>
          <w:szCs w:val="20"/>
        </w:rPr>
        <w:t>We capitalize the incremental costs of obtaining a contract with a customer, primarily commissions, as contract assets and recognize the expense on a straight-line basis over a weighted a</w:t>
      </w:r>
      <w:r>
        <w:rPr>
          <w:rFonts w:ascii="Arial" w:eastAsia="Times New Roman" w:hAnsi="Arial" w:cs="Arial"/>
          <w:color w:val="000000"/>
          <w:sz w:val="20"/>
          <w:szCs w:val="20"/>
        </w:rPr>
        <w:t>verage expected customer relationship period. Capitalized commissions are classified as current or noncurrent based on the timing of when we expect to recognize the expense. Prior to November 1, 2018, such incremental costs were expensed as incurred.</w:t>
      </w:r>
    </w:p>
    <w:p w14:paraId="2E6DD89D" w14:textId="77777777" w:rsidR="00000000" w:rsidRDefault="001D0688">
      <w:pPr>
        <w:divId w:val="537203348"/>
        <w:rPr>
          <w:rFonts w:eastAsia="Times New Roman"/>
        </w:rPr>
      </w:pPr>
      <w:r>
        <w:rPr>
          <w:rFonts w:ascii="Arial" w:eastAsia="Times New Roman" w:hAnsi="Arial" w:cs="Arial"/>
          <w:b/>
          <w:bCs/>
          <w:i/>
          <w:iCs/>
          <w:color w:val="164FA2"/>
          <w:sz w:val="20"/>
          <w:szCs w:val="20"/>
        </w:rPr>
        <w:t>Contr</w:t>
      </w:r>
      <w:r>
        <w:rPr>
          <w:rFonts w:ascii="Arial" w:eastAsia="Times New Roman" w:hAnsi="Arial" w:cs="Arial"/>
          <w:b/>
          <w:bCs/>
          <w:i/>
          <w:iCs/>
          <w:color w:val="164FA2"/>
          <w:sz w:val="20"/>
          <w:szCs w:val="20"/>
        </w:rPr>
        <w:t xml:space="preserve">act Balances </w:t>
      </w:r>
    </w:p>
    <w:p w14:paraId="471BCD8F" w14:textId="77777777" w:rsidR="00000000" w:rsidRDefault="001D0688">
      <w:pPr>
        <w:ind w:firstLine="720"/>
        <w:jc w:val="both"/>
        <w:divId w:val="1412240008"/>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revenue recognition may differ from the timing of invoicing to customers. If a co</w:t>
      </w:r>
      <w:r>
        <w:rPr>
          <w:rFonts w:ascii="Arial" w:eastAsia="Times New Roman" w:hAnsi="Arial" w:cs="Arial"/>
          <w:color w:val="000000"/>
          <w:sz w:val="20"/>
          <w:szCs w:val="20"/>
        </w:rPr>
        <w:t>ntract includes a cancellation clause that allows for the termination of the contract by either party without a substantive penalty, the contract term is limited to the termination notice period.</w:t>
      </w:r>
    </w:p>
    <w:p w14:paraId="10A9CE94" w14:textId="77777777" w:rsidR="00000000" w:rsidRDefault="001D0688">
      <w:pPr>
        <w:ind w:firstLine="720"/>
        <w:jc w:val="both"/>
        <w:divId w:val="1822037914"/>
        <w:rPr>
          <w:rFonts w:eastAsia="Times New Roman"/>
        </w:rPr>
      </w:pPr>
      <w:r>
        <w:rPr>
          <w:rFonts w:ascii="Arial" w:eastAsia="Times New Roman" w:hAnsi="Arial" w:cs="Arial"/>
          <w:color w:val="000000"/>
          <w:sz w:val="20"/>
          <w:szCs w:val="20"/>
        </w:rPr>
        <w:t>Contract assets primarily consist of billed trade receivable</w:t>
      </w:r>
      <w:r>
        <w:rPr>
          <w:rFonts w:ascii="Arial" w:eastAsia="Times New Roman" w:hAnsi="Arial" w:cs="Arial"/>
          <w:color w:val="000000"/>
          <w:sz w:val="20"/>
          <w:szCs w:val="20"/>
        </w:rPr>
        <w:t>s, unbilled trade receivables, and costs incurred in excess of amounts billed. Billed and unbilled trade receivables represent amounts from work completed in which we have an unconditional right to bill our customer. Costs incurred in excess of amounts bil</w:t>
      </w:r>
      <w:r>
        <w:rPr>
          <w:rFonts w:ascii="Arial" w:eastAsia="Times New Roman" w:hAnsi="Arial" w:cs="Arial"/>
          <w:color w:val="000000"/>
          <w:sz w:val="20"/>
          <w:szCs w:val="20"/>
        </w:rPr>
        <w:t xml:space="preserve">led typically arise when the revenue recognized on projects exceeds the amount billed to the customer. These amounts are transferred to billed </w:t>
      </w:r>
    </w:p>
    <w:p w14:paraId="5D66BF42" w14:textId="77777777" w:rsidR="00000000" w:rsidRDefault="001D0688">
      <w:pPr>
        <w:jc w:val="center"/>
        <w:divId w:val="1973440580"/>
        <w:rPr>
          <w:rFonts w:eastAsia="Times New Roman"/>
        </w:rPr>
      </w:pPr>
      <w:r>
        <w:rPr>
          <w:rFonts w:ascii="Arial" w:eastAsia="Times New Roman" w:hAnsi="Arial" w:cs="Arial"/>
          <w:color w:val="000000"/>
          <w:sz w:val="20"/>
          <w:szCs w:val="20"/>
        </w:rPr>
        <w:t>63</w:t>
      </w:r>
    </w:p>
    <w:p w14:paraId="49C4295B" w14:textId="77777777" w:rsidR="00000000" w:rsidRDefault="001D0688">
      <w:pPr>
        <w:rPr>
          <w:rFonts w:eastAsia="Times New Roman"/>
        </w:rPr>
      </w:pPr>
      <w:r>
        <w:rPr>
          <w:rFonts w:eastAsia="Times New Roman"/>
        </w:rPr>
        <w:pict w14:anchorId="52488958">
          <v:rect id="_x0000_i1100" style="width:0;height:1.5pt" o:hralign="center" o:hrstd="t" o:hr="t" fillcolor="#a0a0a0" stroked="f"/>
        </w:pict>
      </w:r>
    </w:p>
    <w:p w14:paraId="057374DC" w14:textId="77777777" w:rsidR="00000000" w:rsidRDefault="001D0688">
      <w:pPr>
        <w:divId w:val="1906984104"/>
        <w:rPr>
          <w:rFonts w:eastAsia="Times New Roman"/>
        </w:rPr>
      </w:pPr>
    </w:p>
    <w:p w14:paraId="3956C582" w14:textId="77777777" w:rsidR="00000000" w:rsidRDefault="001D0688">
      <w:pPr>
        <w:jc w:val="both"/>
        <w:divId w:val="2013608261"/>
        <w:rPr>
          <w:rFonts w:eastAsia="Times New Roman"/>
        </w:rPr>
      </w:pPr>
      <w:r>
        <w:rPr>
          <w:rFonts w:ascii="Arial" w:eastAsia="Times New Roman" w:hAnsi="Arial" w:cs="Arial"/>
          <w:color w:val="000000"/>
          <w:sz w:val="20"/>
          <w:szCs w:val="20"/>
        </w:rPr>
        <w:t xml:space="preserve">trade receivables when the rights become unconditional. Contract assets also include the capitalization of incremental costs of obtaining a contract with a customer, primarily commissions. </w:t>
      </w:r>
    </w:p>
    <w:p w14:paraId="50E3DECC" w14:textId="77777777" w:rsidR="00000000" w:rsidRDefault="001D0688">
      <w:pPr>
        <w:ind w:firstLine="720"/>
        <w:jc w:val="both"/>
        <w:divId w:val="377361074"/>
        <w:rPr>
          <w:rFonts w:eastAsia="Times New Roman"/>
        </w:rPr>
      </w:pPr>
      <w:r>
        <w:rPr>
          <w:rFonts w:ascii="Arial" w:eastAsia="Times New Roman" w:hAnsi="Arial" w:cs="Arial"/>
          <w:color w:val="000000"/>
          <w:sz w:val="20"/>
          <w:szCs w:val="20"/>
        </w:rPr>
        <w:t>Contract liabilities consist of deferred revenue and advance payme</w:t>
      </w:r>
      <w:r>
        <w:rPr>
          <w:rFonts w:ascii="Arial" w:eastAsia="Times New Roman" w:hAnsi="Arial" w:cs="Arial"/>
          <w:color w:val="000000"/>
          <w:sz w:val="20"/>
          <w:szCs w:val="20"/>
        </w:rPr>
        <w:t xml:space="preserve">nts and billings in excess of revenue recognized. We generally classify contract liabilities as current since the related contracts are generally for a period of one year or less. Contract liabilities decrease as we recognize revenue from the satisfaction </w:t>
      </w:r>
      <w:r>
        <w:rPr>
          <w:rFonts w:ascii="Arial" w:eastAsia="Times New Roman" w:hAnsi="Arial" w:cs="Arial"/>
          <w:color w:val="000000"/>
          <w:sz w:val="20"/>
          <w:szCs w:val="20"/>
        </w:rPr>
        <w:t>of the related performance obligation.</w:t>
      </w:r>
    </w:p>
    <w:p w14:paraId="50E71864" w14:textId="77777777" w:rsidR="00000000" w:rsidRDefault="001D0688">
      <w:pPr>
        <w:jc w:val="both"/>
        <w:divId w:val="968703957"/>
        <w:rPr>
          <w:rFonts w:eastAsia="Times New Roman"/>
        </w:rPr>
      </w:pPr>
      <w:r>
        <w:rPr>
          <w:rFonts w:ascii="Arial" w:eastAsia="Times New Roman" w:hAnsi="Arial" w:cs="Arial"/>
          <w:b/>
          <w:bCs/>
          <w:color w:val="0046AD"/>
          <w:sz w:val="20"/>
          <w:szCs w:val="20"/>
        </w:rPr>
        <w:t>Management Reimbursement Revenue by Segment</w:t>
      </w:r>
    </w:p>
    <w:tbl>
      <w:tblPr>
        <w:tblW w:w="4985" w:type="pct"/>
        <w:tblCellMar>
          <w:top w:w="15" w:type="dxa"/>
          <w:left w:w="15" w:type="dxa"/>
          <w:bottom w:w="15" w:type="dxa"/>
          <w:right w:w="15" w:type="dxa"/>
        </w:tblCellMar>
        <w:tblLook w:val="04A0" w:firstRow="1" w:lastRow="0" w:firstColumn="1" w:lastColumn="0" w:noHBand="0" w:noVBand="1"/>
      </w:tblPr>
      <w:tblGrid>
        <w:gridCol w:w="38"/>
        <w:gridCol w:w="4062"/>
        <w:gridCol w:w="36"/>
        <w:gridCol w:w="132"/>
        <w:gridCol w:w="1168"/>
        <w:gridCol w:w="36"/>
        <w:gridCol w:w="36"/>
        <w:gridCol w:w="36"/>
        <w:gridCol w:w="36"/>
        <w:gridCol w:w="132"/>
        <w:gridCol w:w="1122"/>
        <w:gridCol w:w="36"/>
        <w:gridCol w:w="36"/>
        <w:gridCol w:w="36"/>
        <w:gridCol w:w="36"/>
        <w:gridCol w:w="132"/>
        <w:gridCol w:w="1135"/>
        <w:gridCol w:w="36"/>
      </w:tblGrid>
      <w:tr w:rsidR="00000000" w14:paraId="2D36A7BE" w14:textId="77777777">
        <w:trPr>
          <w:divId w:val="1322656486"/>
        </w:trPr>
        <w:tc>
          <w:tcPr>
            <w:tcW w:w="50" w:type="pct"/>
            <w:vAlign w:val="center"/>
            <w:hideMark/>
          </w:tcPr>
          <w:p w14:paraId="4C9F9DD4" w14:textId="77777777" w:rsidR="00000000" w:rsidRDefault="001D0688">
            <w:pPr>
              <w:jc w:val="both"/>
              <w:rPr>
                <w:rFonts w:eastAsia="Times New Roman"/>
              </w:rPr>
            </w:pPr>
          </w:p>
        </w:tc>
        <w:tc>
          <w:tcPr>
            <w:tcW w:w="2488" w:type="pct"/>
            <w:vAlign w:val="center"/>
            <w:hideMark/>
          </w:tcPr>
          <w:p w14:paraId="22769E44" w14:textId="77777777" w:rsidR="00000000" w:rsidRDefault="001D0688">
            <w:pPr>
              <w:rPr>
                <w:rFonts w:eastAsia="Times New Roman"/>
                <w:sz w:val="20"/>
                <w:szCs w:val="20"/>
              </w:rPr>
            </w:pPr>
          </w:p>
        </w:tc>
        <w:tc>
          <w:tcPr>
            <w:tcW w:w="5" w:type="pct"/>
            <w:vAlign w:val="center"/>
            <w:hideMark/>
          </w:tcPr>
          <w:p w14:paraId="3BA25EC9" w14:textId="77777777" w:rsidR="00000000" w:rsidRDefault="001D0688">
            <w:pPr>
              <w:rPr>
                <w:rFonts w:eastAsia="Times New Roman"/>
                <w:sz w:val="20"/>
                <w:szCs w:val="20"/>
              </w:rPr>
            </w:pPr>
          </w:p>
        </w:tc>
        <w:tc>
          <w:tcPr>
            <w:tcW w:w="50" w:type="pct"/>
            <w:vAlign w:val="center"/>
            <w:hideMark/>
          </w:tcPr>
          <w:p w14:paraId="5F1B14D1" w14:textId="77777777" w:rsidR="00000000" w:rsidRDefault="001D0688">
            <w:pPr>
              <w:rPr>
                <w:rFonts w:eastAsia="Times New Roman"/>
                <w:sz w:val="20"/>
                <w:szCs w:val="20"/>
              </w:rPr>
            </w:pPr>
          </w:p>
        </w:tc>
        <w:tc>
          <w:tcPr>
            <w:tcW w:w="736" w:type="pct"/>
            <w:vAlign w:val="center"/>
            <w:hideMark/>
          </w:tcPr>
          <w:p w14:paraId="2CFA80ED" w14:textId="77777777" w:rsidR="00000000" w:rsidRDefault="001D0688">
            <w:pPr>
              <w:rPr>
                <w:rFonts w:eastAsia="Times New Roman"/>
                <w:sz w:val="20"/>
                <w:szCs w:val="20"/>
              </w:rPr>
            </w:pPr>
          </w:p>
        </w:tc>
        <w:tc>
          <w:tcPr>
            <w:tcW w:w="5" w:type="pct"/>
            <w:vAlign w:val="center"/>
            <w:hideMark/>
          </w:tcPr>
          <w:p w14:paraId="2130C643" w14:textId="77777777" w:rsidR="00000000" w:rsidRDefault="001D0688">
            <w:pPr>
              <w:rPr>
                <w:rFonts w:eastAsia="Times New Roman"/>
                <w:sz w:val="20"/>
                <w:szCs w:val="20"/>
              </w:rPr>
            </w:pPr>
          </w:p>
        </w:tc>
        <w:tc>
          <w:tcPr>
            <w:tcW w:w="5" w:type="pct"/>
            <w:vAlign w:val="center"/>
            <w:hideMark/>
          </w:tcPr>
          <w:p w14:paraId="6732BAB9" w14:textId="77777777" w:rsidR="00000000" w:rsidRDefault="001D0688">
            <w:pPr>
              <w:rPr>
                <w:rFonts w:eastAsia="Times New Roman"/>
                <w:sz w:val="20"/>
                <w:szCs w:val="20"/>
              </w:rPr>
            </w:pPr>
          </w:p>
        </w:tc>
        <w:tc>
          <w:tcPr>
            <w:tcW w:w="26" w:type="pct"/>
            <w:vAlign w:val="center"/>
            <w:hideMark/>
          </w:tcPr>
          <w:p w14:paraId="203248DD" w14:textId="77777777" w:rsidR="00000000" w:rsidRDefault="001D0688">
            <w:pPr>
              <w:rPr>
                <w:rFonts w:eastAsia="Times New Roman"/>
                <w:sz w:val="20"/>
                <w:szCs w:val="20"/>
              </w:rPr>
            </w:pPr>
          </w:p>
        </w:tc>
        <w:tc>
          <w:tcPr>
            <w:tcW w:w="5" w:type="pct"/>
            <w:vAlign w:val="center"/>
            <w:hideMark/>
          </w:tcPr>
          <w:p w14:paraId="44221137" w14:textId="77777777" w:rsidR="00000000" w:rsidRDefault="001D0688">
            <w:pPr>
              <w:rPr>
                <w:rFonts w:eastAsia="Times New Roman"/>
                <w:sz w:val="20"/>
                <w:szCs w:val="20"/>
              </w:rPr>
            </w:pPr>
          </w:p>
        </w:tc>
        <w:tc>
          <w:tcPr>
            <w:tcW w:w="50" w:type="pct"/>
            <w:vAlign w:val="center"/>
            <w:hideMark/>
          </w:tcPr>
          <w:p w14:paraId="69FB3708" w14:textId="77777777" w:rsidR="00000000" w:rsidRDefault="001D0688">
            <w:pPr>
              <w:rPr>
                <w:rFonts w:eastAsia="Times New Roman"/>
                <w:sz w:val="20"/>
                <w:szCs w:val="20"/>
              </w:rPr>
            </w:pPr>
          </w:p>
        </w:tc>
        <w:tc>
          <w:tcPr>
            <w:tcW w:w="736" w:type="pct"/>
            <w:vAlign w:val="center"/>
            <w:hideMark/>
          </w:tcPr>
          <w:p w14:paraId="657B15C1" w14:textId="77777777" w:rsidR="00000000" w:rsidRDefault="001D0688">
            <w:pPr>
              <w:rPr>
                <w:rFonts w:eastAsia="Times New Roman"/>
                <w:sz w:val="20"/>
                <w:szCs w:val="20"/>
              </w:rPr>
            </w:pPr>
          </w:p>
        </w:tc>
        <w:tc>
          <w:tcPr>
            <w:tcW w:w="5" w:type="pct"/>
            <w:vAlign w:val="center"/>
            <w:hideMark/>
          </w:tcPr>
          <w:p w14:paraId="3DFE83E0" w14:textId="77777777" w:rsidR="00000000" w:rsidRDefault="001D0688">
            <w:pPr>
              <w:rPr>
                <w:rFonts w:eastAsia="Times New Roman"/>
                <w:sz w:val="20"/>
                <w:szCs w:val="20"/>
              </w:rPr>
            </w:pPr>
          </w:p>
        </w:tc>
        <w:tc>
          <w:tcPr>
            <w:tcW w:w="5" w:type="pct"/>
            <w:vAlign w:val="center"/>
            <w:hideMark/>
          </w:tcPr>
          <w:p w14:paraId="6815FE64" w14:textId="77777777" w:rsidR="00000000" w:rsidRDefault="001D0688">
            <w:pPr>
              <w:rPr>
                <w:rFonts w:eastAsia="Times New Roman"/>
                <w:sz w:val="20"/>
                <w:szCs w:val="20"/>
              </w:rPr>
            </w:pPr>
          </w:p>
        </w:tc>
        <w:tc>
          <w:tcPr>
            <w:tcW w:w="26" w:type="pct"/>
            <w:vAlign w:val="center"/>
            <w:hideMark/>
          </w:tcPr>
          <w:p w14:paraId="2ECD3040" w14:textId="77777777" w:rsidR="00000000" w:rsidRDefault="001D0688">
            <w:pPr>
              <w:rPr>
                <w:rFonts w:eastAsia="Times New Roman"/>
                <w:sz w:val="20"/>
                <w:szCs w:val="20"/>
              </w:rPr>
            </w:pPr>
          </w:p>
        </w:tc>
        <w:tc>
          <w:tcPr>
            <w:tcW w:w="5" w:type="pct"/>
            <w:vAlign w:val="center"/>
            <w:hideMark/>
          </w:tcPr>
          <w:p w14:paraId="10C0CCA3" w14:textId="77777777" w:rsidR="00000000" w:rsidRDefault="001D0688">
            <w:pPr>
              <w:rPr>
                <w:rFonts w:eastAsia="Times New Roman"/>
                <w:sz w:val="20"/>
                <w:szCs w:val="20"/>
              </w:rPr>
            </w:pPr>
          </w:p>
        </w:tc>
        <w:tc>
          <w:tcPr>
            <w:tcW w:w="50" w:type="pct"/>
            <w:vAlign w:val="center"/>
            <w:hideMark/>
          </w:tcPr>
          <w:p w14:paraId="4F774455" w14:textId="77777777" w:rsidR="00000000" w:rsidRDefault="001D0688">
            <w:pPr>
              <w:rPr>
                <w:rFonts w:eastAsia="Times New Roman"/>
                <w:sz w:val="20"/>
                <w:szCs w:val="20"/>
              </w:rPr>
            </w:pPr>
          </w:p>
        </w:tc>
        <w:tc>
          <w:tcPr>
            <w:tcW w:w="744" w:type="pct"/>
            <w:vAlign w:val="center"/>
            <w:hideMark/>
          </w:tcPr>
          <w:p w14:paraId="2D8556C8" w14:textId="77777777" w:rsidR="00000000" w:rsidRDefault="001D0688">
            <w:pPr>
              <w:rPr>
                <w:rFonts w:eastAsia="Times New Roman"/>
                <w:sz w:val="20"/>
                <w:szCs w:val="20"/>
              </w:rPr>
            </w:pPr>
          </w:p>
        </w:tc>
        <w:tc>
          <w:tcPr>
            <w:tcW w:w="5" w:type="pct"/>
            <w:vAlign w:val="center"/>
            <w:hideMark/>
          </w:tcPr>
          <w:p w14:paraId="6F5F11B1" w14:textId="77777777" w:rsidR="00000000" w:rsidRDefault="001D0688">
            <w:pPr>
              <w:rPr>
                <w:rFonts w:eastAsia="Times New Roman"/>
                <w:sz w:val="20"/>
                <w:szCs w:val="20"/>
              </w:rPr>
            </w:pPr>
          </w:p>
        </w:tc>
      </w:tr>
      <w:tr w:rsidR="00000000" w14:paraId="4A8E2911" w14:textId="77777777">
        <w:trPr>
          <w:divId w:val="1322656486"/>
        </w:trPr>
        <w:tc>
          <w:tcPr>
            <w:tcW w:w="0" w:type="auto"/>
            <w:gridSpan w:val="3"/>
            <w:tcMar>
              <w:top w:w="0" w:type="dxa"/>
              <w:left w:w="20" w:type="dxa"/>
              <w:bottom w:w="0" w:type="dxa"/>
              <w:right w:w="20" w:type="dxa"/>
            </w:tcMar>
            <w:vAlign w:val="center"/>
            <w:hideMark/>
          </w:tcPr>
          <w:p w14:paraId="24CDE1FE"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09638912"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5D4860BB" w14:textId="77777777">
        <w:trPr>
          <w:divId w:val="1322656486"/>
        </w:trPr>
        <w:tc>
          <w:tcPr>
            <w:tcW w:w="0" w:type="auto"/>
            <w:gridSpan w:val="3"/>
            <w:tcMar>
              <w:top w:w="30" w:type="dxa"/>
              <w:left w:w="20" w:type="dxa"/>
              <w:bottom w:w="30" w:type="dxa"/>
              <w:right w:w="20" w:type="dxa"/>
            </w:tcMar>
            <w:vAlign w:val="bottom"/>
            <w:hideMark/>
          </w:tcPr>
          <w:p w14:paraId="4ACA4D7D"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4E0B85DB"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2B1B0D68"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DE295F"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30E5EC2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A0F79E"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653CDECB" w14:textId="77777777">
        <w:trPr>
          <w:divId w:val="1322656486"/>
        </w:trPr>
        <w:tc>
          <w:tcPr>
            <w:tcW w:w="0" w:type="auto"/>
            <w:gridSpan w:val="3"/>
            <w:shd w:val="clear" w:color="auto" w:fill="DCE2EF"/>
            <w:tcMar>
              <w:top w:w="30" w:type="dxa"/>
              <w:left w:w="20" w:type="dxa"/>
              <w:bottom w:w="30" w:type="dxa"/>
              <w:right w:w="20" w:type="dxa"/>
            </w:tcMar>
            <w:vAlign w:val="bottom"/>
            <w:hideMark/>
          </w:tcPr>
          <w:p w14:paraId="3CB3DB59" w14:textId="77777777" w:rsidR="00000000" w:rsidRDefault="001D0688">
            <w:pPr>
              <w:rPr>
                <w:rFonts w:eastAsia="Times New Roman"/>
              </w:rPr>
            </w:pPr>
            <w:r>
              <w:rPr>
                <w:rFonts w:ascii="Arial" w:eastAsia="Times New Roman" w:hAnsi="Arial" w:cs="Arial"/>
                <w:color w:val="000000"/>
                <w:sz w:val="20"/>
                <w:szCs w:val="20"/>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AF2B10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7D851A" w14:textId="77777777" w:rsidR="00000000" w:rsidRDefault="001D0688">
            <w:pPr>
              <w:jc w:val="right"/>
              <w:rPr>
                <w:rFonts w:eastAsia="Times New Roman"/>
              </w:rPr>
            </w:pPr>
            <w:r>
              <w:rPr>
                <w:rFonts w:ascii="Arial" w:eastAsia="Times New Roman" w:hAnsi="Arial" w:cs="Arial"/>
                <w:color w:val="000000"/>
                <w:sz w:val="20"/>
                <w:szCs w:val="20"/>
              </w:rPr>
              <w:t>221.4 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67F51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32212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2E14E1"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E3DB91" w14:textId="77777777" w:rsidR="00000000" w:rsidRDefault="001D0688">
            <w:pPr>
              <w:jc w:val="right"/>
              <w:rPr>
                <w:rFonts w:eastAsia="Times New Roman"/>
              </w:rPr>
            </w:pPr>
            <w:r>
              <w:rPr>
                <w:rFonts w:ascii="Arial" w:eastAsia="Times New Roman" w:hAnsi="Arial" w:cs="Arial"/>
                <w:color w:val="000000"/>
                <w:sz w:val="20"/>
                <w:szCs w:val="20"/>
              </w:rPr>
              <w:t>283.1 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6B561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D2997B"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656D77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C9459D5" w14:textId="77777777" w:rsidR="00000000" w:rsidRDefault="001D0688">
            <w:pPr>
              <w:jc w:val="right"/>
              <w:rPr>
                <w:rFonts w:eastAsia="Times New Roman"/>
              </w:rPr>
            </w:pPr>
            <w:r>
              <w:rPr>
                <w:rFonts w:ascii="Arial" w:eastAsia="Times New Roman" w:hAnsi="Arial" w:cs="Arial"/>
                <w:color w:val="000000"/>
                <w:sz w:val="20"/>
                <w:szCs w:val="20"/>
              </w:rPr>
              <w:t>276.6 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246E7F1" w14:textId="77777777" w:rsidR="00000000" w:rsidRDefault="001D0688">
            <w:pPr>
              <w:jc w:val="right"/>
              <w:rPr>
                <w:rFonts w:eastAsia="Times New Roman"/>
              </w:rPr>
            </w:pPr>
          </w:p>
        </w:tc>
      </w:tr>
      <w:tr w:rsidR="00000000" w14:paraId="04B11ED7" w14:textId="77777777">
        <w:trPr>
          <w:divId w:val="1322656486"/>
        </w:trPr>
        <w:tc>
          <w:tcPr>
            <w:tcW w:w="0" w:type="auto"/>
            <w:gridSpan w:val="3"/>
            <w:shd w:val="clear" w:color="auto" w:fill="FFFFFF"/>
            <w:tcMar>
              <w:top w:w="30" w:type="dxa"/>
              <w:left w:w="20" w:type="dxa"/>
              <w:bottom w:w="30" w:type="dxa"/>
              <w:right w:w="20" w:type="dxa"/>
            </w:tcMar>
            <w:vAlign w:val="bottom"/>
            <w:hideMark/>
          </w:tcPr>
          <w:p w14:paraId="6B3BEE35" w14:textId="77777777" w:rsidR="00000000" w:rsidRDefault="001D0688">
            <w:pPr>
              <w:rPr>
                <w:rFonts w:eastAsia="Times New Roman"/>
              </w:rPr>
            </w:pPr>
            <w:r>
              <w:rPr>
                <w:rFonts w:ascii="Arial" w:eastAsia="Times New Roman" w:hAnsi="Arial" w:cs="Arial"/>
                <w:color w:val="000000"/>
                <w:sz w:val="20"/>
                <w:szCs w:val="20"/>
              </w:rPr>
              <w:t>Aviation</w:t>
            </w:r>
          </w:p>
        </w:tc>
        <w:tc>
          <w:tcPr>
            <w:tcW w:w="0" w:type="auto"/>
            <w:gridSpan w:val="2"/>
            <w:shd w:val="clear" w:color="auto" w:fill="FFFFFF"/>
            <w:tcMar>
              <w:top w:w="30" w:type="dxa"/>
              <w:left w:w="20" w:type="dxa"/>
              <w:bottom w:w="30" w:type="dxa"/>
              <w:right w:w="0" w:type="dxa"/>
            </w:tcMar>
            <w:vAlign w:val="bottom"/>
            <w:hideMark/>
          </w:tcPr>
          <w:p w14:paraId="752E46A2" w14:textId="77777777" w:rsidR="00000000" w:rsidRDefault="001D0688">
            <w:pPr>
              <w:jc w:val="right"/>
              <w:rPr>
                <w:rFonts w:eastAsia="Times New Roman"/>
              </w:rPr>
            </w:pPr>
            <w:r>
              <w:rPr>
                <w:rFonts w:ascii="Arial" w:eastAsia="Times New Roman" w:hAnsi="Arial" w:cs="Arial"/>
                <w:color w:val="000000"/>
                <w:sz w:val="20"/>
                <w:szCs w:val="20"/>
              </w:rPr>
              <w:t>74.3 </w:t>
            </w:r>
          </w:p>
        </w:tc>
        <w:tc>
          <w:tcPr>
            <w:tcW w:w="0" w:type="auto"/>
            <w:shd w:val="clear" w:color="auto" w:fill="FFFFFF"/>
            <w:tcMar>
              <w:top w:w="30" w:type="dxa"/>
              <w:left w:w="0" w:type="dxa"/>
              <w:bottom w:w="30" w:type="dxa"/>
              <w:right w:w="20" w:type="dxa"/>
            </w:tcMar>
            <w:vAlign w:val="bottom"/>
            <w:hideMark/>
          </w:tcPr>
          <w:p w14:paraId="0B58BDE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9DC9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FB9D5" w14:textId="77777777" w:rsidR="00000000" w:rsidRDefault="001D0688">
            <w:pPr>
              <w:jc w:val="right"/>
              <w:rPr>
                <w:rFonts w:eastAsia="Times New Roman"/>
              </w:rPr>
            </w:pPr>
            <w:r>
              <w:rPr>
                <w:rFonts w:ascii="Arial" w:eastAsia="Times New Roman" w:hAnsi="Arial" w:cs="Arial"/>
                <w:color w:val="000000"/>
                <w:sz w:val="20"/>
                <w:szCs w:val="20"/>
              </w:rPr>
              <w:t>95.5 </w:t>
            </w:r>
          </w:p>
        </w:tc>
        <w:tc>
          <w:tcPr>
            <w:tcW w:w="0" w:type="auto"/>
            <w:shd w:val="clear" w:color="auto" w:fill="FFFFFF"/>
            <w:tcMar>
              <w:top w:w="30" w:type="dxa"/>
              <w:left w:w="0" w:type="dxa"/>
              <w:bottom w:w="30" w:type="dxa"/>
              <w:right w:w="20" w:type="dxa"/>
            </w:tcMar>
            <w:vAlign w:val="bottom"/>
            <w:hideMark/>
          </w:tcPr>
          <w:p w14:paraId="325916B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856F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C692B" w14:textId="77777777" w:rsidR="00000000" w:rsidRDefault="001D0688">
            <w:pPr>
              <w:jc w:val="right"/>
              <w:rPr>
                <w:rFonts w:eastAsia="Times New Roman"/>
              </w:rPr>
            </w:pPr>
            <w:r>
              <w:rPr>
                <w:rFonts w:ascii="Arial" w:eastAsia="Times New Roman" w:hAnsi="Arial" w:cs="Arial"/>
                <w:color w:val="000000"/>
                <w:sz w:val="20"/>
                <w:szCs w:val="20"/>
              </w:rPr>
              <w:t>99.9 </w:t>
            </w:r>
          </w:p>
        </w:tc>
        <w:tc>
          <w:tcPr>
            <w:tcW w:w="0" w:type="auto"/>
            <w:shd w:val="clear" w:color="auto" w:fill="FFFFFF"/>
            <w:tcMar>
              <w:top w:w="30" w:type="dxa"/>
              <w:left w:w="0" w:type="dxa"/>
              <w:bottom w:w="30" w:type="dxa"/>
              <w:right w:w="20" w:type="dxa"/>
            </w:tcMar>
            <w:vAlign w:val="bottom"/>
            <w:hideMark/>
          </w:tcPr>
          <w:p w14:paraId="051B55A4" w14:textId="77777777" w:rsidR="00000000" w:rsidRDefault="001D0688">
            <w:pPr>
              <w:jc w:val="right"/>
              <w:rPr>
                <w:rFonts w:eastAsia="Times New Roman"/>
              </w:rPr>
            </w:pPr>
          </w:p>
        </w:tc>
      </w:tr>
      <w:tr w:rsidR="00000000" w14:paraId="089F9F6B" w14:textId="77777777">
        <w:trPr>
          <w:divId w:val="1322656486"/>
        </w:trPr>
        <w:tc>
          <w:tcPr>
            <w:tcW w:w="0" w:type="auto"/>
            <w:gridSpan w:val="3"/>
            <w:shd w:val="clear" w:color="auto" w:fill="DCE2EF"/>
            <w:tcMar>
              <w:top w:w="30" w:type="dxa"/>
              <w:left w:w="20" w:type="dxa"/>
              <w:bottom w:w="30" w:type="dxa"/>
              <w:right w:w="20" w:type="dxa"/>
            </w:tcMar>
            <w:vAlign w:val="bottom"/>
            <w:hideMark/>
          </w:tcPr>
          <w:p w14:paraId="19F8E2AB" w14:textId="77777777" w:rsidR="00000000" w:rsidRDefault="001D0688">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C1C755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ACD6AEE" w14:textId="77777777" w:rsidR="00000000" w:rsidRDefault="001D0688">
            <w:pPr>
              <w:jc w:val="right"/>
              <w:rPr>
                <w:rFonts w:eastAsia="Times New Roman"/>
              </w:rPr>
            </w:pPr>
            <w:r>
              <w:rPr>
                <w:rFonts w:ascii="Arial" w:eastAsia="Times New Roman" w:hAnsi="Arial" w:cs="Arial"/>
                <w:color w:val="000000"/>
                <w:sz w:val="20"/>
                <w:szCs w:val="20"/>
              </w:rPr>
              <w:t>295.6 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58C29D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2D0C6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442486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DDF6D1C" w14:textId="77777777" w:rsidR="00000000" w:rsidRDefault="001D0688">
            <w:pPr>
              <w:jc w:val="right"/>
              <w:rPr>
                <w:rFonts w:eastAsia="Times New Roman"/>
              </w:rPr>
            </w:pPr>
            <w:r>
              <w:rPr>
                <w:rFonts w:ascii="Arial" w:eastAsia="Times New Roman" w:hAnsi="Arial" w:cs="Arial"/>
                <w:color w:val="000000"/>
                <w:sz w:val="20"/>
                <w:szCs w:val="20"/>
              </w:rPr>
              <w:t>378.7 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F6983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ED0F5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A7141E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5F9626D" w14:textId="77777777" w:rsidR="00000000" w:rsidRDefault="001D0688">
            <w:pPr>
              <w:jc w:val="right"/>
              <w:rPr>
                <w:rFonts w:eastAsia="Times New Roman"/>
              </w:rPr>
            </w:pPr>
            <w:r>
              <w:rPr>
                <w:rFonts w:ascii="Arial" w:eastAsia="Times New Roman" w:hAnsi="Arial" w:cs="Arial"/>
                <w:color w:val="000000"/>
                <w:sz w:val="20"/>
                <w:szCs w:val="20"/>
              </w:rPr>
              <w:t>376.4 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B41DBF1" w14:textId="77777777" w:rsidR="00000000" w:rsidRDefault="001D0688">
            <w:pPr>
              <w:jc w:val="right"/>
              <w:rPr>
                <w:rFonts w:eastAsia="Times New Roman"/>
              </w:rPr>
            </w:pPr>
          </w:p>
        </w:tc>
      </w:tr>
    </w:tbl>
    <w:p w14:paraId="6EB390CD" w14:textId="77777777" w:rsidR="00000000" w:rsidRDefault="001D0688">
      <w:pPr>
        <w:divId w:val="1781028298"/>
        <w:rPr>
          <w:rFonts w:eastAsia="Times New Roman"/>
        </w:rPr>
      </w:pPr>
      <w:r>
        <w:rPr>
          <w:rFonts w:ascii="Arial" w:eastAsia="Times New Roman" w:hAnsi="Arial" w:cs="Arial"/>
          <w:b/>
          <w:bCs/>
          <w:color w:val="0046AD"/>
          <w:sz w:val="20"/>
          <w:szCs w:val="20"/>
        </w:rPr>
        <w:t>Restructuring and Related Expenses</w:t>
      </w:r>
    </w:p>
    <w:p w14:paraId="79C70CDE" w14:textId="77777777" w:rsidR="00000000" w:rsidRDefault="001D0688">
      <w:pPr>
        <w:ind w:firstLine="720"/>
        <w:jc w:val="both"/>
        <w:divId w:val="1463380491"/>
        <w:rPr>
          <w:rFonts w:eastAsia="Times New Roman"/>
        </w:rPr>
      </w:pPr>
      <w:r>
        <w:rPr>
          <w:rFonts w:ascii="Arial" w:eastAsia="Times New Roman" w:hAnsi="Arial" w:cs="Arial"/>
          <w:color w:val="000000"/>
          <w:sz w:val="20"/>
          <w:szCs w:val="20"/>
        </w:rPr>
        <w:t>Restructuring and related expenses include employee severance, external support fees, lease exit costs, and other costs. Our methodology to record these costs is described below.</w:t>
      </w:r>
    </w:p>
    <w:p w14:paraId="64459F5A" w14:textId="77777777" w:rsidR="00000000" w:rsidRDefault="001D0688">
      <w:pPr>
        <w:jc w:val="both"/>
        <w:divId w:val="1304045297"/>
        <w:rPr>
          <w:rFonts w:eastAsia="Times New Roman"/>
        </w:rPr>
      </w:pPr>
      <w:r>
        <w:rPr>
          <w:rFonts w:ascii="Arial" w:eastAsia="Times New Roman" w:hAnsi="Arial" w:cs="Arial"/>
          <w:b/>
          <w:bCs/>
          <w:i/>
          <w:iCs/>
          <w:color w:val="0046AD"/>
          <w:sz w:val="20"/>
          <w:szCs w:val="20"/>
        </w:rPr>
        <w:t xml:space="preserve">Severance </w:t>
      </w:r>
    </w:p>
    <w:p w14:paraId="5DFF1F87" w14:textId="77777777" w:rsidR="00000000" w:rsidRDefault="001D0688">
      <w:pPr>
        <w:ind w:firstLine="720"/>
        <w:jc w:val="both"/>
        <w:divId w:val="1812675977"/>
        <w:rPr>
          <w:rFonts w:eastAsia="Times New Roman"/>
        </w:rPr>
      </w:pPr>
      <w:r>
        <w:rPr>
          <w:rFonts w:ascii="Arial" w:eastAsia="Times New Roman" w:hAnsi="Arial" w:cs="Arial"/>
          <w:color w:val="000000"/>
          <w:sz w:val="20"/>
          <w:szCs w:val="20"/>
        </w:rPr>
        <w:t>As we do not have a past history of consistently providing severan</w:t>
      </w:r>
      <w:r>
        <w:rPr>
          <w:rFonts w:ascii="Arial" w:eastAsia="Times New Roman" w:hAnsi="Arial" w:cs="Arial"/>
          <w:color w:val="000000"/>
          <w:sz w:val="20"/>
          <w:szCs w:val="20"/>
        </w:rPr>
        <w:t>ce benefits, we recognize severance costs for employees who do not have formal employment agreements when management has committed to a restructuring plan and communicated those actions to impacted employees, such that the employee is able to determine the</w:t>
      </w:r>
      <w:r>
        <w:rPr>
          <w:rFonts w:ascii="Arial" w:eastAsia="Times New Roman" w:hAnsi="Arial" w:cs="Arial"/>
          <w:color w:val="000000"/>
          <w:sz w:val="20"/>
          <w:szCs w:val="20"/>
        </w:rPr>
        <w:t xml:space="preserve"> type and amount of benefits that they will receive upon termination. In addition, if the employees are required to render service beyond the minimum retention period until they are terminated in order to receive the benefits, a liability is recognized rat</w:t>
      </w:r>
      <w:r>
        <w:rPr>
          <w:rFonts w:ascii="Arial" w:eastAsia="Times New Roman" w:hAnsi="Arial" w:cs="Arial"/>
          <w:color w:val="000000"/>
          <w:sz w:val="20"/>
          <w:szCs w:val="20"/>
        </w:rPr>
        <w:t xml:space="preserve">ably over the future service period. For employees with employment agreements, we accrue for these severance liabilities when it is probable that the impacted employee will be entitled to the benefits and the amount can be reasonably estimated. </w:t>
      </w:r>
    </w:p>
    <w:p w14:paraId="1F696419" w14:textId="77777777" w:rsidR="00000000" w:rsidRDefault="001D0688">
      <w:pPr>
        <w:jc w:val="both"/>
        <w:divId w:val="1515652795"/>
        <w:rPr>
          <w:rFonts w:eastAsia="Times New Roman"/>
        </w:rPr>
      </w:pPr>
      <w:r>
        <w:rPr>
          <w:rFonts w:ascii="Arial" w:eastAsia="Times New Roman" w:hAnsi="Arial" w:cs="Arial"/>
          <w:b/>
          <w:bCs/>
          <w:i/>
          <w:iCs/>
          <w:color w:val="0046AD"/>
          <w:sz w:val="20"/>
          <w:szCs w:val="20"/>
        </w:rPr>
        <w:t xml:space="preserve">Other </w:t>
      </w:r>
    </w:p>
    <w:p w14:paraId="2931D5B2" w14:textId="77777777" w:rsidR="00000000" w:rsidRDefault="001D0688">
      <w:pPr>
        <w:ind w:firstLine="720"/>
        <w:jc w:val="both"/>
        <w:divId w:val="794449006"/>
        <w:rPr>
          <w:rFonts w:eastAsia="Times New Roman"/>
        </w:rPr>
      </w:pPr>
      <w:r>
        <w:rPr>
          <w:rFonts w:ascii="Arial" w:eastAsia="Times New Roman" w:hAnsi="Arial" w:cs="Arial"/>
          <w:color w:val="000000"/>
          <w:sz w:val="20"/>
          <w:szCs w:val="20"/>
        </w:rPr>
        <w:t>For</w:t>
      </w:r>
      <w:r>
        <w:rPr>
          <w:rFonts w:ascii="Arial" w:eastAsia="Times New Roman" w:hAnsi="Arial" w:cs="Arial"/>
          <w:color w:val="000000"/>
          <w:sz w:val="20"/>
          <w:szCs w:val="20"/>
        </w:rPr>
        <w:t xml:space="preserve"> other costs associated with exit and disposal activities, we recognize an expense at fair value in the period in which the liability is incurred.</w:t>
      </w:r>
    </w:p>
    <w:p w14:paraId="77DFD37F" w14:textId="77777777" w:rsidR="00000000" w:rsidRDefault="001D0688">
      <w:pPr>
        <w:jc w:val="both"/>
        <w:divId w:val="355079896"/>
        <w:rPr>
          <w:rFonts w:eastAsia="Times New Roman"/>
        </w:rPr>
      </w:pPr>
      <w:r>
        <w:rPr>
          <w:rFonts w:ascii="Arial" w:eastAsia="Times New Roman" w:hAnsi="Arial" w:cs="Arial"/>
          <w:b/>
          <w:bCs/>
          <w:color w:val="0046AD"/>
          <w:sz w:val="20"/>
          <w:szCs w:val="20"/>
        </w:rPr>
        <w:t>Advertising</w:t>
      </w:r>
    </w:p>
    <w:p w14:paraId="60C19410" w14:textId="77777777" w:rsidR="00000000" w:rsidRDefault="001D0688">
      <w:pPr>
        <w:ind w:firstLine="720"/>
        <w:jc w:val="both"/>
        <w:divId w:val="1669794462"/>
        <w:rPr>
          <w:rFonts w:eastAsia="Times New Roman"/>
        </w:rPr>
      </w:pPr>
      <w:r>
        <w:rPr>
          <w:rFonts w:ascii="Arial" w:eastAsia="Times New Roman" w:hAnsi="Arial" w:cs="Arial"/>
          <w:color w:val="000000"/>
          <w:sz w:val="20"/>
          <w:szCs w:val="20"/>
        </w:rPr>
        <w:t xml:space="preserve">Advertising costs are expensed as incurred. </w:t>
      </w:r>
      <w:r>
        <w:rPr>
          <w:rFonts w:ascii="Arial" w:eastAsia="Times New Roman" w:hAnsi="Arial" w:cs="Arial"/>
          <w:color w:val="000000"/>
          <w:sz w:val="20"/>
          <w:szCs w:val="20"/>
        </w:rPr>
        <w:t>During 2020, 2019, and 2018, advertising expense was $1.8 million, $1.7 million, and $2.3 million, respectively.</w:t>
      </w:r>
    </w:p>
    <w:p w14:paraId="7D5A1D6C" w14:textId="77777777" w:rsidR="00000000" w:rsidRDefault="001D0688">
      <w:pPr>
        <w:jc w:val="both"/>
        <w:divId w:val="1778716652"/>
        <w:rPr>
          <w:rFonts w:eastAsia="Times New Roman"/>
        </w:rPr>
      </w:pPr>
      <w:r>
        <w:rPr>
          <w:rFonts w:ascii="Arial" w:eastAsia="Times New Roman" w:hAnsi="Arial" w:cs="Arial"/>
          <w:b/>
          <w:bCs/>
          <w:color w:val="0046AD"/>
          <w:sz w:val="20"/>
          <w:szCs w:val="20"/>
        </w:rPr>
        <w:t>Share-Based Compensation</w:t>
      </w:r>
    </w:p>
    <w:p w14:paraId="0527C2DB" w14:textId="77777777" w:rsidR="00000000" w:rsidRDefault="001D0688">
      <w:pPr>
        <w:ind w:firstLine="720"/>
        <w:jc w:val="both"/>
        <w:divId w:val="1438519482"/>
        <w:rPr>
          <w:rFonts w:eastAsia="Times New Roman"/>
        </w:rPr>
      </w:pPr>
      <w:r>
        <w:rPr>
          <w:rFonts w:ascii="Arial" w:eastAsia="Times New Roman" w:hAnsi="Arial" w:cs="Arial"/>
          <w:color w:val="000000"/>
          <w:sz w:val="20"/>
          <w:szCs w:val="20"/>
        </w:rPr>
        <w:t>Our current share-based awards principally consist of restricted stock units (“RSUs”) and various performance share aw</w:t>
      </w:r>
      <w:r>
        <w:rPr>
          <w:rFonts w:ascii="Arial" w:eastAsia="Times New Roman" w:hAnsi="Arial" w:cs="Arial"/>
          <w:color w:val="000000"/>
          <w:sz w:val="20"/>
          <w:szCs w:val="20"/>
        </w:rPr>
        <w:t xml:space="preserve">ards. We recognize compensation costs associated with these awards in selling, general and administrative expenses. For RSUs and certain performance share awards, the amount of compensation cost is measured based on the grant-date fair value of the equity </w:t>
      </w:r>
      <w:r>
        <w:rPr>
          <w:rFonts w:ascii="Arial" w:eastAsia="Times New Roman" w:hAnsi="Arial" w:cs="Arial"/>
          <w:color w:val="000000"/>
          <w:sz w:val="20"/>
          <w:szCs w:val="20"/>
        </w:rPr>
        <w:t>instruments issued. Since our total shareholder return (“TSR”) performance share awards are performance awards with a market condition, the compensation costs associated with these awards are determined using a Monte Carlo simulation valuation model. For R</w:t>
      </w:r>
      <w:r>
        <w:rPr>
          <w:rFonts w:ascii="Arial" w:eastAsia="Times New Roman" w:hAnsi="Arial" w:cs="Arial"/>
          <w:color w:val="000000"/>
          <w:sz w:val="20"/>
          <w:szCs w:val="20"/>
        </w:rPr>
        <w:t>SUs and TSR awards, compensation cost is recognized over the period that an employee provides service in exchange for the award. We recognize compensation cost associated with other performance share awards over the requisite service period based on the pr</w:t>
      </w:r>
      <w:r>
        <w:rPr>
          <w:rFonts w:ascii="Arial" w:eastAsia="Times New Roman" w:hAnsi="Arial" w:cs="Arial"/>
          <w:color w:val="000000"/>
          <w:sz w:val="20"/>
          <w:szCs w:val="20"/>
        </w:rPr>
        <w:t xml:space="preserve">obability of achievement of performance criteria. </w:t>
      </w:r>
    </w:p>
    <w:p w14:paraId="616B0088" w14:textId="77777777" w:rsidR="00000000" w:rsidRDefault="001D0688">
      <w:pPr>
        <w:jc w:val="both"/>
        <w:divId w:val="711609753"/>
        <w:rPr>
          <w:rFonts w:eastAsia="Times New Roman"/>
        </w:rPr>
      </w:pPr>
      <w:r>
        <w:rPr>
          <w:rFonts w:ascii="Arial" w:eastAsia="Times New Roman" w:hAnsi="Arial" w:cs="Arial"/>
          <w:b/>
          <w:bCs/>
          <w:color w:val="0046AD"/>
          <w:sz w:val="20"/>
          <w:szCs w:val="20"/>
        </w:rPr>
        <w:t>Taxes Collected from Clients and Remitted to Governmental Agencies</w:t>
      </w:r>
    </w:p>
    <w:p w14:paraId="61004B5A" w14:textId="77777777" w:rsidR="00000000" w:rsidRDefault="001D0688">
      <w:pPr>
        <w:ind w:firstLine="720"/>
        <w:jc w:val="both"/>
        <w:divId w:val="389426168"/>
        <w:rPr>
          <w:rFonts w:eastAsia="Times New Roman"/>
        </w:rPr>
      </w:pPr>
      <w:r>
        <w:rPr>
          <w:rFonts w:ascii="Arial" w:eastAsia="Times New Roman" w:hAnsi="Arial" w:cs="Arial"/>
          <w:color w:val="000000"/>
          <w:sz w:val="20"/>
          <w:szCs w:val="20"/>
        </w:rPr>
        <w:t>We record taxes on client transactions due to governmental agencies as receivables and liabilities on the Consolidated Balance Sheets.</w:t>
      </w:r>
    </w:p>
    <w:p w14:paraId="6357B5C0" w14:textId="77777777" w:rsidR="00000000" w:rsidRDefault="001D0688">
      <w:pPr>
        <w:jc w:val="both"/>
        <w:divId w:val="1262763279"/>
        <w:rPr>
          <w:rFonts w:eastAsia="Times New Roman"/>
        </w:rPr>
      </w:pPr>
    </w:p>
    <w:p w14:paraId="36E482D5" w14:textId="77777777" w:rsidR="00000000" w:rsidRDefault="001D0688">
      <w:pPr>
        <w:jc w:val="center"/>
        <w:divId w:val="357195572"/>
        <w:rPr>
          <w:rFonts w:eastAsia="Times New Roman"/>
        </w:rPr>
      </w:pPr>
      <w:r>
        <w:rPr>
          <w:rFonts w:ascii="Arial" w:eastAsia="Times New Roman" w:hAnsi="Arial" w:cs="Arial"/>
          <w:color w:val="000000"/>
          <w:sz w:val="20"/>
          <w:szCs w:val="20"/>
        </w:rPr>
        <w:t>6</w:t>
      </w:r>
      <w:r>
        <w:rPr>
          <w:rFonts w:ascii="Arial" w:eastAsia="Times New Roman" w:hAnsi="Arial" w:cs="Arial"/>
          <w:color w:val="000000"/>
          <w:sz w:val="20"/>
          <w:szCs w:val="20"/>
        </w:rPr>
        <w:t>4</w:t>
      </w:r>
    </w:p>
    <w:p w14:paraId="777BF76C" w14:textId="77777777" w:rsidR="00000000" w:rsidRDefault="001D0688">
      <w:pPr>
        <w:rPr>
          <w:rFonts w:eastAsia="Times New Roman"/>
        </w:rPr>
      </w:pPr>
      <w:r>
        <w:rPr>
          <w:rFonts w:eastAsia="Times New Roman"/>
        </w:rPr>
        <w:pict w14:anchorId="43C9DBB2">
          <v:rect id="_x0000_i1101" style="width:0;height:1.5pt" o:hralign="center" o:hrstd="t" o:hr="t" fillcolor="#a0a0a0" stroked="f"/>
        </w:pict>
      </w:r>
    </w:p>
    <w:p w14:paraId="69CFE677" w14:textId="77777777" w:rsidR="00000000" w:rsidRDefault="001D0688">
      <w:pPr>
        <w:divId w:val="91556475"/>
        <w:rPr>
          <w:rFonts w:eastAsia="Times New Roman"/>
        </w:rPr>
      </w:pPr>
    </w:p>
    <w:p w14:paraId="67C9435D" w14:textId="77777777" w:rsidR="00000000" w:rsidRDefault="001D0688">
      <w:pPr>
        <w:jc w:val="both"/>
        <w:divId w:val="1370883146"/>
        <w:rPr>
          <w:rFonts w:eastAsia="Times New Roman"/>
        </w:rPr>
      </w:pPr>
      <w:r>
        <w:rPr>
          <w:rFonts w:ascii="Arial" w:eastAsia="Times New Roman" w:hAnsi="Arial" w:cs="Arial"/>
          <w:b/>
          <w:bCs/>
          <w:color w:val="0046AD"/>
          <w:sz w:val="20"/>
          <w:szCs w:val="20"/>
        </w:rPr>
        <w:t>Net Income Per Common Share</w:t>
      </w:r>
    </w:p>
    <w:p w14:paraId="2F2A2259" w14:textId="77777777" w:rsidR="00000000" w:rsidRDefault="001D0688">
      <w:pPr>
        <w:ind w:firstLine="720"/>
        <w:jc w:val="both"/>
        <w:divId w:val="332879713"/>
        <w:rPr>
          <w:rFonts w:eastAsia="Times New Roman"/>
        </w:rPr>
      </w:pPr>
      <w:r>
        <w:rPr>
          <w:rFonts w:ascii="Arial" w:eastAsia="Times New Roman" w:hAnsi="Arial" w:cs="Arial"/>
          <w:color w:val="000000"/>
          <w:sz w:val="20"/>
          <w:szCs w:val="20"/>
        </w:rPr>
        <w:t>Basic net income per common share is net income divided by the weighted-average number of common shares outstanding during the period. Diluted net income per common share is based on the w</w:t>
      </w:r>
      <w:r>
        <w:rPr>
          <w:rFonts w:ascii="Arial" w:eastAsia="Times New Roman" w:hAnsi="Arial" w:cs="Arial"/>
          <w:color w:val="000000"/>
          <w:sz w:val="20"/>
          <w:szCs w:val="20"/>
        </w:rPr>
        <w:t xml:space="preserve">eighted-average number of common shares outstanding during the period, adjusted to include the potential dilution from the conversion of RSUs, vesting of performance shares, and exercise of stock options. </w:t>
      </w:r>
    </w:p>
    <w:p w14:paraId="7E7488D2" w14:textId="77777777" w:rsidR="00000000" w:rsidRDefault="001D0688">
      <w:pPr>
        <w:jc w:val="both"/>
        <w:divId w:val="890264287"/>
        <w:rPr>
          <w:rFonts w:eastAsia="Times New Roman"/>
        </w:rPr>
      </w:pPr>
      <w:r>
        <w:rPr>
          <w:rFonts w:ascii="Arial" w:eastAsia="Times New Roman" w:hAnsi="Arial" w:cs="Arial"/>
          <w:b/>
          <w:bCs/>
          <w:color w:val="0046AD"/>
          <w:sz w:val="20"/>
          <w:szCs w:val="20"/>
        </w:rPr>
        <w:t>Contingencies and Litigation</w:t>
      </w:r>
    </w:p>
    <w:p w14:paraId="57B1CDFC" w14:textId="77777777" w:rsidR="00000000" w:rsidRDefault="001D0688">
      <w:pPr>
        <w:ind w:firstLine="720"/>
        <w:jc w:val="both"/>
        <w:divId w:val="1274172294"/>
        <w:rPr>
          <w:rFonts w:eastAsia="Times New Roman"/>
        </w:rPr>
      </w:pPr>
      <w:r>
        <w:rPr>
          <w:rFonts w:ascii="Arial" w:eastAsia="Times New Roman" w:hAnsi="Arial" w:cs="Arial"/>
          <w:color w:val="000000"/>
          <w:sz w:val="20"/>
          <w:szCs w:val="20"/>
        </w:rPr>
        <w:t>We are a party to a n</w:t>
      </w:r>
      <w:r>
        <w:rPr>
          <w:rFonts w:ascii="Arial" w:eastAsia="Times New Roman" w:hAnsi="Arial" w:cs="Arial"/>
          <w:color w:val="000000"/>
          <w:sz w:val="20"/>
          <w:szCs w:val="20"/>
        </w:rPr>
        <w:t>umber of lawsuits, claims, and proceedings incident to the operation of our business, including those pertaining to labor and employment, contracts, personal injury, and other matters, some of which allege substantial monetary damages. Some of these action</w:t>
      </w:r>
      <w:r>
        <w:rPr>
          <w:rFonts w:ascii="Arial" w:eastAsia="Times New Roman" w:hAnsi="Arial" w:cs="Arial"/>
          <w:color w:val="000000"/>
          <w:sz w:val="20"/>
          <w:szCs w:val="20"/>
        </w:rPr>
        <w:t>s may be brought as class actions on behalf of a class or purported class of employees. We accrue for loss contingencies when losses become probable and are reasonably estimable. If the reasonable estimate of the loss is a range and no amount within the ra</w:t>
      </w:r>
      <w:r>
        <w:rPr>
          <w:rFonts w:ascii="Arial" w:eastAsia="Times New Roman" w:hAnsi="Arial" w:cs="Arial"/>
          <w:color w:val="000000"/>
          <w:sz w:val="20"/>
          <w:szCs w:val="20"/>
        </w:rPr>
        <w:t xml:space="preserve">nge is a better estimate, the minimum amount of the range is recorded as a liability. We recognize legal costs as an expense in the period incurred. </w:t>
      </w:r>
    </w:p>
    <w:p w14:paraId="5B381363" w14:textId="77777777" w:rsidR="00000000" w:rsidRDefault="001D0688">
      <w:pPr>
        <w:jc w:val="both"/>
        <w:divId w:val="1462839676"/>
        <w:rPr>
          <w:rFonts w:eastAsia="Times New Roman"/>
        </w:rPr>
      </w:pPr>
      <w:r>
        <w:rPr>
          <w:rFonts w:ascii="Arial" w:eastAsia="Times New Roman" w:hAnsi="Arial" w:cs="Arial"/>
          <w:b/>
          <w:bCs/>
          <w:color w:val="0046AD"/>
          <w:sz w:val="20"/>
          <w:szCs w:val="20"/>
        </w:rPr>
        <w:t>Income Taxes</w:t>
      </w:r>
    </w:p>
    <w:p w14:paraId="114CAAD0" w14:textId="77777777" w:rsidR="00000000" w:rsidRDefault="001D0688">
      <w:pPr>
        <w:ind w:firstLine="720"/>
        <w:jc w:val="both"/>
        <w:divId w:val="81878985"/>
        <w:rPr>
          <w:rFonts w:eastAsia="Times New Roman"/>
        </w:rPr>
      </w:pPr>
      <w:r>
        <w:rPr>
          <w:rFonts w:ascii="Arial" w:eastAsia="Times New Roman" w:hAnsi="Arial" w:cs="Arial"/>
          <w:color w:val="000000"/>
          <w:sz w:val="20"/>
          <w:szCs w:val="20"/>
        </w:rPr>
        <w:t>We account for income taxes using the asset and liability method. Deferred tax assets and lia</w:t>
      </w:r>
      <w:r>
        <w:rPr>
          <w:rFonts w:ascii="Arial" w:eastAsia="Times New Roman" w:hAnsi="Arial" w:cs="Arial"/>
          <w:color w:val="000000"/>
          <w:sz w:val="20"/>
          <w:szCs w:val="20"/>
        </w:rPr>
        <w:t xml:space="preserve">bilities are recognized for the future tax consequences attributable to temporary differences between the financial statement carrying amount of existing assets and liabilities and their respective tax bases. We measure deferred tax assets and liabilities </w:t>
      </w:r>
      <w:r>
        <w:rPr>
          <w:rFonts w:ascii="Arial" w:eastAsia="Times New Roman" w:hAnsi="Arial" w:cs="Arial"/>
          <w:color w:val="000000"/>
          <w:sz w:val="20"/>
          <w:szCs w:val="20"/>
        </w:rPr>
        <w:t xml:space="preserve">using enacted tax rates expected to be applied to taxable income in the years in which those temporary differences are expected to be recovered. Deferred tax assets are reviewed for recoverability on a quarterly basis. A valuation allowance is recorded to </w:t>
      </w:r>
      <w:r>
        <w:rPr>
          <w:rFonts w:ascii="Arial" w:eastAsia="Times New Roman" w:hAnsi="Arial" w:cs="Arial"/>
          <w:color w:val="000000"/>
          <w:sz w:val="20"/>
          <w:szCs w:val="20"/>
        </w:rPr>
        <w:t>reduce the carrying amount of a deferred tax asset to its realizable value unless it is more likely than not that such asset will be realized. We recognize accrued interest and penalties related to unrecognized tax benefits in income tax expense in our Con</w:t>
      </w:r>
      <w:r>
        <w:rPr>
          <w:rFonts w:ascii="Arial" w:eastAsia="Times New Roman" w:hAnsi="Arial" w:cs="Arial"/>
          <w:color w:val="000000"/>
          <w:sz w:val="20"/>
          <w:szCs w:val="20"/>
        </w:rPr>
        <w:t>solidated Statements of Comprehensive (Loss) Income.</w:t>
      </w:r>
    </w:p>
    <w:p w14:paraId="4541ABFA" w14:textId="77777777" w:rsidR="00000000" w:rsidRDefault="001D0688">
      <w:pPr>
        <w:divId w:val="1311442713"/>
        <w:rPr>
          <w:rFonts w:eastAsia="Times New Roman"/>
        </w:rPr>
      </w:pPr>
      <w:r>
        <w:rPr>
          <w:rFonts w:ascii="Arial" w:eastAsia="Times New Roman" w:hAnsi="Arial" w:cs="Arial"/>
          <w:b/>
          <w:bCs/>
          <w:color w:val="0046AD"/>
          <w:sz w:val="20"/>
          <w:szCs w:val="20"/>
        </w:rPr>
        <w:t>Recently Adopted Accounting Standards</w:t>
      </w:r>
    </w:p>
    <w:p w14:paraId="036F7B6D" w14:textId="77777777" w:rsidR="00000000" w:rsidRDefault="001D0688">
      <w:pPr>
        <w:divId w:val="1482766905"/>
        <w:rPr>
          <w:rFonts w:eastAsia="Times New Roman"/>
        </w:rPr>
      </w:pPr>
      <w:r>
        <w:rPr>
          <w:rFonts w:ascii="Arial" w:eastAsia="Times New Roman" w:hAnsi="Arial" w:cs="Arial"/>
          <w:b/>
          <w:bCs/>
          <w:i/>
          <w:iCs/>
          <w:color w:val="0046AD"/>
          <w:sz w:val="20"/>
          <w:szCs w:val="20"/>
        </w:rPr>
        <w:t>Leases</w:t>
      </w:r>
    </w:p>
    <w:p w14:paraId="66DEC3C3" w14:textId="77777777" w:rsidR="00000000" w:rsidRDefault="001D0688">
      <w:pPr>
        <w:ind w:firstLine="720"/>
        <w:jc w:val="both"/>
        <w:divId w:val="784736767"/>
        <w:rPr>
          <w:rFonts w:eastAsia="Times New Roman"/>
        </w:rPr>
      </w:pPr>
      <w:r>
        <w:rPr>
          <w:rFonts w:ascii="Arial" w:eastAsia="Times New Roman" w:hAnsi="Arial" w:cs="Arial"/>
          <w:color w:val="000000"/>
          <w:sz w:val="20"/>
          <w:szCs w:val="20"/>
        </w:rPr>
        <w:t xml:space="preserve">In February 2016, the Financial Accounting Standards Board (“FASB”) issued </w:t>
      </w:r>
      <w:r>
        <w:rPr>
          <w:rFonts w:ascii="Arial" w:eastAsia="Times New Roman" w:hAnsi="Arial" w:cs="Arial"/>
          <w:color w:val="000000"/>
          <w:sz w:val="20"/>
          <w:szCs w:val="20"/>
          <w:shd w:val="clear" w:color="auto" w:fill="FFFFFF"/>
        </w:rPr>
        <w:t xml:space="preserve">ASU 2016-02, </w:t>
      </w:r>
      <w:r>
        <w:rPr>
          <w:rFonts w:ascii="Arial" w:eastAsia="Times New Roman" w:hAnsi="Arial" w:cs="Arial"/>
          <w:i/>
          <w:iCs/>
          <w:color w:val="000000"/>
          <w:sz w:val="20"/>
          <w:szCs w:val="20"/>
          <w:shd w:val="clear" w:color="auto" w:fill="FFFFFF"/>
        </w:rPr>
        <w:t>Leases (Topic 842)</w:t>
      </w:r>
      <w:r>
        <w:rPr>
          <w:rFonts w:ascii="Arial" w:eastAsia="Times New Roman" w:hAnsi="Arial" w:cs="Arial"/>
          <w:color w:val="000000"/>
          <w:sz w:val="20"/>
          <w:szCs w:val="20"/>
          <w:shd w:val="clear" w:color="auto" w:fill="FFFFFF"/>
        </w:rPr>
        <w:t xml:space="preserve">. Since the release of ASU 2016-02, the FASB issued </w:t>
      </w:r>
      <w:r>
        <w:rPr>
          <w:rFonts w:ascii="Arial" w:eastAsia="Times New Roman" w:hAnsi="Arial" w:cs="Arial"/>
          <w:color w:val="000000"/>
          <w:sz w:val="20"/>
          <w:szCs w:val="20"/>
          <w:shd w:val="clear" w:color="auto" w:fill="FFFFFF"/>
        </w:rPr>
        <w:t>the following additional ASUs further updating Topic 842:</w:t>
      </w:r>
    </w:p>
    <w:p w14:paraId="0B08EE67" w14:textId="77777777" w:rsidR="00000000" w:rsidRDefault="001D0688">
      <w:pPr>
        <w:ind w:hanging="360"/>
        <w:jc w:val="both"/>
        <w:divId w:val="1070270111"/>
        <w:rPr>
          <w:rFonts w:eastAsia="Times New Roman"/>
        </w:rPr>
      </w:pPr>
      <w:r>
        <w:rPr>
          <w:rFonts w:ascii="Arial" w:eastAsia="Times New Roman" w:hAnsi="Arial" w:cs="Arial"/>
          <w:color w:val="000000"/>
          <w:sz w:val="20"/>
          <w:szCs w:val="20"/>
        </w:rPr>
        <w:t xml:space="preserve">•In January 2018, ASU 2018-01, </w:t>
      </w:r>
      <w:r>
        <w:rPr>
          <w:rFonts w:ascii="Arial" w:eastAsia="Times New Roman" w:hAnsi="Arial" w:cs="Arial"/>
          <w:i/>
          <w:iCs/>
          <w:color w:val="000000"/>
          <w:sz w:val="20"/>
          <w:szCs w:val="20"/>
        </w:rPr>
        <w:t>Land Easement Practical Expedient for Transition to Topic 842</w:t>
      </w:r>
    </w:p>
    <w:p w14:paraId="70AEA1BC" w14:textId="77777777" w:rsidR="00000000" w:rsidRDefault="001D0688">
      <w:pPr>
        <w:ind w:hanging="360"/>
        <w:jc w:val="both"/>
        <w:divId w:val="2091003590"/>
        <w:rPr>
          <w:rFonts w:eastAsia="Times New Roman"/>
        </w:rPr>
      </w:pPr>
      <w:r>
        <w:rPr>
          <w:rFonts w:ascii="Arial" w:eastAsia="Times New Roman" w:hAnsi="Arial" w:cs="Arial"/>
          <w:color w:val="000000"/>
          <w:sz w:val="20"/>
          <w:szCs w:val="20"/>
        </w:rPr>
        <w:t>•In July 2018, ASU 2018-10,</w:t>
      </w:r>
      <w:r>
        <w:rPr>
          <w:rFonts w:ascii="Arial" w:eastAsia="Times New Roman" w:hAnsi="Arial" w:cs="Arial"/>
          <w:i/>
          <w:iCs/>
          <w:color w:val="000000"/>
          <w:sz w:val="20"/>
          <w:szCs w:val="20"/>
        </w:rPr>
        <w:t xml:space="preserve"> Codification Improvements to Topic 842</w:t>
      </w:r>
    </w:p>
    <w:p w14:paraId="767F8B9A" w14:textId="77777777" w:rsidR="00000000" w:rsidRDefault="001D0688">
      <w:pPr>
        <w:ind w:hanging="360"/>
        <w:jc w:val="both"/>
        <w:divId w:val="198007161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In July 2018, ASU 2018-11, </w:t>
      </w:r>
      <w:r>
        <w:rPr>
          <w:rFonts w:ascii="Arial" w:eastAsia="Times New Roman" w:hAnsi="Arial" w:cs="Arial"/>
          <w:i/>
          <w:iCs/>
          <w:color w:val="000000"/>
          <w:sz w:val="20"/>
          <w:szCs w:val="20"/>
        </w:rPr>
        <w:t>Leases (Topic 842): Targeted Improvements</w:t>
      </w:r>
    </w:p>
    <w:p w14:paraId="161B78C7" w14:textId="77777777" w:rsidR="00000000" w:rsidRDefault="001D0688">
      <w:pPr>
        <w:ind w:hanging="360"/>
        <w:jc w:val="both"/>
        <w:divId w:val="2061782410"/>
        <w:rPr>
          <w:rFonts w:eastAsia="Times New Roman"/>
        </w:rPr>
      </w:pPr>
      <w:r>
        <w:rPr>
          <w:rFonts w:ascii="Arial" w:eastAsia="Times New Roman" w:hAnsi="Arial" w:cs="Arial"/>
          <w:color w:val="000000"/>
          <w:sz w:val="20"/>
          <w:szCs w:val="20"/>
        </w:rPr>
        <w:t xml:space="preserve">•In March 2019, ASU 2019-01, </w:t>
      </w:r>
      <w:r>
        <w:rPr>
          <w:rFonts w:ascii="Arial" w:eastAsia="Times New Roman" w:hAnsi="Arial" w:cs="Arial"/>
          <w:i/>
          <w:iCs/>
          <w:color w:val="000000"/>
          <w:sz w:val="20"/>
          <w:szCs w:val="20"/>
        </w:rPr>
        <w:t>Leases (Topic 842): Codification Improvements</w:t>
      </w:r>
    </w:p>
    <w:p w14:paraId="36F51813" w14:textId="77777777" w:rsidR="00000000" w:rsidRDefault="001D0688">
      <w:pPr>
        <w:ind w:firstLine="720"/>
        <w:jc w:val="both"/>
        <w:divId w:val="1237594147"/>
        <w:rPr>
          <w:rFonts w:eastAsia="Times New Roman"/>
        </w:rPr>
      </w:pPr>
      <w:r>
        <w:rPr>
          <w:rFonts w:ascii="Arial" w:eastAsia="Times New Roman" w:hAnsi="Arial" w:cs="Arial"/>
          <w:color w:val="000000"/>
          <w:sz w:val="20"/>
          <w:szCs w:val="20"/>
        </w:rPr>
        <w:t>Topic 842 replaced existing lease accounting guidance and was intended to provide enhanced transparency and comp</w:t>
      </w:r>
      <w:r>
        <w:rPr>
          <w:rFonts w:ascii="Arial" w:eastAsia="Times New Roman" w:hAnsi="Arial" w:cs="Arial"/>
          <w:color w:val="000000"/>
          <w:sz w:val="20"/>
          <w:szCs w:val="20"/>
        </w:rPr>
        <w:t>arability by requiring lessees to record most leases on the balance sheet. Under Topic 842, lessees are required to record on the balance sheet ROU assets (the right to use an underlying asset for the lease term) and the corresponding lease liabilities (th</w:t>
      </w:r>
      <w:r>
        <w:rPr>
          <w:rFonts w:ascii="Arial" w:eastAsia="Times New Roman" w:hAnsi="Arial" w:cs="Arial"/>
          <w:color w:val="000000"/>
          <w:sz w:val="20"/>
          <w:szCs w:val="20"/>
        </w:rPr>
        <w:t>e obligation to make lease payments arising from the lease). This guidance requires us to continue classifying leases as either operating or financing, with classification affecting the pattern of expense recognition in the Consolidated Statements of Compr</w:t>
      </w:r>
      <w:r>
        <w:rPr>
          <w:rFonts w:ascii="Arial" w:eastAsia="Times New Roman" w:hAnsi="Arial" w:cs="Arial"/>
          <w:color w:val="000000"/>
          <w:sz w:val="20"/>
          <w:szCs w:val="20"/>
        </w:rPr>
        <w:t xml:space="preserve">ehensive (Loss) Income. In addition, this new standard requires enhanced disclosures surrounding the amount, timing, and uncertainty of cash flows arising from leasing arrangements. </w:t>
      </w:r>
    </w:p>
    <w:p w14:paraId="73A96A10" w14:textId="77777777" w:rsidR="00000000" w:rsidRDefault="001D0688">
      <w:pPr>
        <w:ind w:firstLine="720"/>
        <w:jc w:val="both"/>
        <w:divId w:val="1080983394"/>
        <w:rPr>
          <w:rFonts w:eastAsia="Times New Roman"/>
        </w:rPr>
      </w:pPr>
      <w:r>
        <w:rPr>
          <w:rFonts w:ascii="Arial" w:eastAsia="Times New Roman" w:hAnsi="Arial" w:cs="Arial"/>
          <w:color w:val="000000"/>
          <w:sz w:val="20"/>
          <w:szCs w:val="20"/>
        </w:rPr>
        <w:t>We adopted Topic 842 on November 1, 2019 on a modified retrospective basi</w:t>
      </w:r>
      <w:r>
        <w:rPr>
          <w:rFonts w:ascii="Arial" w:eastAsia="Times New Roman" w:hAnsi="Arial" w:cs="Arial"/>
          <w:color w:val="000000"/>
          <w:sz w:val="20"/>
          <w:szCs w:val="20"/>
        </w:rPr>
        <w:t>s using the optional transition method permitted under ASU 2018-11 and have used this effective date as the initial application date. Comparative prior period Financial Statements have not been restated and continue to be reported under the accounting stan</w:t>
      </w:r>
      <w:r>
        <w:rPr>
          <w:rFonts w:ascii="Arial" w:eastAsia="Times New Roman" w:hAnsi="Arial" w:cs="Arial"/>
          <w:color w:val="000000"/>
          <w:sz w:val="20"/>
          <w:szCs w:val="20"/>
        </w:rPr>
        <w:t xml:space="preserve">dards in effect for those prior periods presented. </w:t>
      </w:r>
    </w:p>
    <w:p w14:paraId="4556EDDC" w14:textId="77777777" w:rsidR="00000000" w:rsidRDefault="001D0688">
      <w:pPr>
        <w:ind w:firstLine="720"/>
        <w:jc w:val="both"/>
        <w:divId w:val="1952467250"/>
        <w:rPr>
          <w:rFonts w:eastAsia="Times New Roman"/>
        </w:rPr>
      </w:pPr>
      <w:r>
        <w:rPr>
          <w:rFonts w:ascii="Arial" w:eastAsia="Times New Roman" w:hAnsi="Arial" w:cs="Arial"/>
          <w:color w:val="000000"/>
          <w:sz w:val="20"/>
          <w:szCs w:val="20"/>
        </w:rPr>
        <w:t>Upon adoption, we elected the package of transition practical expedients that allowed us to carry forward prior conclusions related to: (i) whether any expired or existing contracts are or contain leases;</w:t>
      </w:r>
      <w:r>
        <w:rPr>
          <w:rFonts w:ascii="Arial" w:eastAsia="Times New Roman" w:hAnsi="Arial" w:cs="Arial"/>
          <w:color w:val="000000"/>
          <w:sz w:val="20"/>
          <w:szCs w:val="20"/>
        </w:rPr>
        <w:t xml:space="preserve"> (ii) the lease classification for any expired or existing leases; and (iii) initial direct costs for existing leases. Additionally, we elected the practical expedient of not separating lease components from non-lease components for all asset classes. We a</w:t>
      </w:r>
      <w:r>
        <w:rPr>
          <w:rFonts w:ascii="Arial" w:eastAsia="Times New Roman" w:hAnsi="Arial" w:cs="Arial"/>
          <w:color w:val="000000"/>
          <w:sz w:val="20"/>
          <w:szCs w:val="20"/>
        </w:rPr>
        <w:t xml:space="preserve">lso made an accounting policy election to not record ROU assets or lease liabilities for leases with an </w:t>
      </w:r>
    </w:p>
    <w:p w14:paraId="32EFE91D" w14:textId="77777777" w:rsidR="00000000" w:rsidRDefault="001D0688">
      <w:pPr>
        <w:jc w:val="center"/>
        <w:divId w:val="769741129"/>
        <w:rPr>
          <w:rFonts w:eastAsia="Times New Roman"/>
        </w:rPr>
      </w:pPr>
      <w:r>
        <w:rPr>
          <w:rFonts w:ascii="Arial" w:eastAsia="Times New Roman" w:hAnsi="Arial" w:cs="Arial"/>
          <w:color w:val="000000"/>
          <w:sz w:val="20"/>
          <w:szCs w:val="20"/>
        </w:rPr>
        <w:t>65</w:t>
      </w:r>
    </w:p>
    <w:p w14:paraId="38CECF5C" w14:textId="77777777" w:rsidR="00000000" w:rsidRDefault="001D0688">
      <w:pPr>
        <w:rPr>
          <w:rFonts w:eastAsia="Times New Roman"/>
        </w:rPr>
      </w:pPr>
      <w:r>
        <w:rPr>
          <w:rFonts w:eastAsia="Times New Roman"/>
        </w:rPr>
        <w:pict w14:anchorId="31FE16A1">
          <v:rect id="_x0000_i1102" style="width:0;height:1.5pt" o:hralign="center" o:hrstd="t" o:hr="t" fillcolor="#a0a0a0" stroked="f"/>
        </w:pict>
      </w:r>
    </w:p>
    <w:p w14:paraId="70F5BD62" w14:textId="77777777" w:rsidR="00000000" w:rsidRDefault="001D0688">
      <w:pPr>
        <w:divId w:val="139734456"/>
        <w:rPr>
          <w:rFonts w:eastAsia="Times New Roman"/>
        </w:rPr>
      </w:pPr>
    </w:p>
    <w:p w14:paraId="1E6F44F3" w14:textId="77777777" w:rsidR="00000000" w:rsidRDefault="001D0688">
      <w:pPr>
        <w:jc w:val="both"/>
        <w:divId w:val="1926187816"/>
        <w:rPr>
          <w:rFonts w:eastAsia="Times New Roman"/>
        </w:rPr>
      </w:pPr>
      <w:r>
        <w:rPr>
          <w:rFonts w:ascii="Arial" w:eastAsia="Times New Roman" w:hAnsi="Arial" w:cs="Arial"/>
          <w:color w:val="000000"/>
          <w:sz w:val="20"/>
          <w:szCs w:val="20"/>
        </w:rPr>
        <w:t>initial term of 12 months or less and will recognize payments for such leases in our Consolidated Statements o</w:t>
      </w:r>
      <w:r>
        <w:rPr>
          <w:rFonts w:ascii="Arial" w:eastAsia="Times New Roman" w:hAnsi="Arial" w:cs="Arial"/>
          <w:color w:val="000000"/>
          <w:sz w:val="20"/>
          <w:szCs w:val="20"/>
        </w:rPr>
        <w:t>f Comprehensive (Loss) Income on a straight-line basis over the lease term. We did not elect the use of hindsight for determining the reasonably certain lease term.</w:t>
      </w:r>
    </w:p>
    <w:p w14:paraId="2DB4EAEE" w14:textId="77777777" w:rsidR="00000000" w:rsidRDefault="001D0688">
      <w:pPr>
        <w:ind w:firstLine="720"/>
        <w:jc w:val="both"/>
        <w:divId w:val="1379355092"/>
        <w:rPr>
          <w:rFonts w:eastAsia="Times New Roman"/>
        </w:rPr>
      </w:pPr>
      <w:r>
        <w:rPr>
          <w:rFonts w:ascii="Arial" w:eastAsia="Times New Roman" w:hAnsi="Arial" w:cs="Arial"/>
          <w:color w:val="000000"/>
          <w:sz w:val="20"/>
          <w:szCs w:val="20"/>
        </w:rPr>
        <w:t>The adoption of Topic 842 had a significant impact on our Consolidated Balance Sheet, but d</w:t>
      </w:r>
      <w:r>
        <w:rPr>
          <w:rFonts w:ascii="Arial" w:eastAsia="Times New Roman" w:hAnsi="Arial" w:cs="Arial"/>
          <w:color w:val="000000"/>
          <w:sz w:val="20"/>
          <w:szCs w:val="20"/>
        </w:rPr>
        <w:t>id not have a significant impact on our Consolidated Statement of Comprehensive (Loss) Income, our Consolidated Statement of Stockholders’ Equity, our Consolidated Statement of Cash Flows, our liquidity, or our compliance with the various covenants contain</w:t>
      </w:r>
      <w:r>
        <w:rPr>
          <w:rFonts w:ascii="Arial" w:eastAsia="Times New Roman" w:hAnsi="Arial" w:cs="Arial"/>
          <w:color w:val="000000"/>
          <w:sz w:val="20"/>
          <w:szCs w:val="20"/>
        </w:rPr>
        <w:t>ed within our credit facility, as further described in Note 11, “Credit Facility.” The most significant impact was the recognition of ROU assets and lease liabilities for operating leases, while our accounting for finance leases remained substantially unch</w:t>
      </w:r>
      <w:r>
        <w:rPr>
          <w:rFonts w:ascii="Arial" w:eastAsia="Times New Roman" w:hAnsi="Arial" w:cs="Arial"/>
          <w:color w:val="000000"/>
          <w:sz w:val="20"/>
          <w:szCs w:val="20"/>
        </w:rPr>
        <w:t xml:space="preserve">anged. See Note 4, “Leases,” for additional information on our lease arrangements. </w:t>
      </w:r>
    </w:p>
    <w:p w14:paraId="10A57F56" w14:textId="77777777" w:rsidR="00000000" w:rsidRDefault="001D0688">
      <w:pPr>
        <w:ind w:firstLine="720"/>
        <w:jc w:val="both"/>
        <w:divId w:val="1688946087"/>
        <w:rPr>
          <w:rFonts w:eastAsia="Times New Roman"/>
        </w:rPr>
      </w:pPr>
      <w:r>
        <w:rPr>
          <w:rFonts w:ascii="Arial" w:eastAsia="Times New Roman" w:hAnsi="Arial" w:cs="Arial"/>
          <w:color w:val="000000"/>
          <w:sz w:val="20"/>
          <w:szCs w:val="20"/>
        </w:rPr>
        <w:t>The impact of adoption of Topic 842 on our Consolidated Balance Sheet was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3431"/>
        <w:gridCol w:w="37"/>
        <w:gridCol w:w="36"/>
        <w:gridCol w:w="36"/>
        <w:gridCol w:w="36"/>
        <w:gridCol w:w="133"/>
        <w:gridCol w:w="1326"/>
        <w:gridCol w:w="36"/>
        <w:gridCol w:w="36"/>
        <w:gridCol w:w="36"/>
        <w:gridCol w:w="36"/>
        <w:gridCol w:w="133"/>
        <w:gridCol w:w="1326"/>
        <w:gridCol w:w="36"/>
        <w:gridCol w:w="36"/>
        <w:gridCol w:w="36"/>
        <w:gridCol w:w="36"/>
        <w:gridCol w:w="133"/>
        <w:gridCol w:w="1314"/>
        <w:gridCol w:w="36"/>
      </w:tblGrid>
      <w:tr w:rsidR="00000000" w14:paraId="7736121D" w14:textId="77777777">
        <w:trPr>
          <w:divId w:val="1857573370"/>
        </w:trPr>
        <w:tc>
          <w:tcPr>
            <w:tcW w:w="50" w:type="pct"/>
            <w:vAlign w:val="center"/>
            <w:hideMark/>
          </w:tcPr>
          <w:p w14:paraId="3812B5AC" w14:textId="77777777" w:rsidR="00000000" w:rsidRDefault="001D0688">
            <w:pPr>
              <w:ind w:firstLine="720"/>
              <w:jc w:val="both"/>
              <w:rPr>
                <w:rFonts w:eastAsia="Times New Roman"/>
              </w:rPr>
            </w:pPr>
          </w:p>
        </w:tc>
        <w:tc>
          <w:tcPr>
            <w:tcW w:w="2145" w:type="pct"/>
            <w:vAlign w:val="center"/>
            <w:hideMark/>
          </w:tcPr>
          <w:p w14:paraId="40D06080" w14:textId="77777777" w:rsidR="00000000" w:rsidRDefault="001D0688">
            <w:pPr>
              <w:rPr>
                <w:rFonts w:eastAsia="Times New Roman"/>
                <w:sz w:val="20"/>
                <w:szCs w:val="20"/>
              </w:rPr>
            </w:pPr>
          </w:p>
        </w:tc>
        <w:tc>
          <w:tcPr>
            <w:tcW w:w="5" w:type="pct"/>
            <w:vAlign w:val="center"/>
            <w:hideMark/>
          </w:tcPr>
          <w:p w14:paraId="1512E040" w14:textId="77777777" w:rsidR="00000000" w:rsidRDefault="001D0688">
            <w:pPr>
              <w:rPr>
                <w:rFonts w:eastAsia="Times New Roman"/>
                <w:sz w:val="20"/>
                <w:szCs w:val="20"/>
              </w:rPr>
            </w:pPr>
          </w:p>
        </w:tc>
        <w:tc>
          <w:tcPr>
            <w:tcW w:w="5" w:type="pct"/>
            <w:vAlign w:val="center"/>
            <w:hideMark/>
          </w:tcPr>
          <w:p w14:paraId="1031B13F" w14:textId="77777777" w:rsidR="00000000" w:rsidRDefault="001D0688">
            <w:pPr>
              <w:rPr>
                <w:rFonts w:eastAsia="Times New Roman"/>
                <w:sz w:val="20"/>
                <w:szCs w:val="20"/>
              </w:rPr>
            </w:pPr>
          </w:p>
        </w:tc>
        <w:tc>
          <w:tcPr>
            <w:tcW w:w="19" w:type="pct"/>
            <w:vAlign w:val="center"/>
            <w:hideMark/>
          </w:tcPr>
          <w:p w14:paraId="5D6987FD" w14:textId="77777777" w:rsidR="00000000" w:rsidRDefault="001D0688">
            <w:pPr>
              <w:rPr>
                <w:rFonts w:eastAsia="Times New Roman"/>
                <w:sz w:val="20"/>
                <w:szCs w:val="20"/>
              </w:rPr>
            </w:pPr>
          </w:p>
        </w:tc>
        <w:tc>
          <w:tcPr>
            <w:tcW w:w="5" w:type="pct"/>
            <w:vAlign w:val="center"/>
            <w:hideMark/>
          </w:tcPr>
          <w:p w14:paraId="3492E767" w14:textId="77777777" w:rsidR="00000000" w:rsidRDefault="001D0688">
            <w:pPr>
              <w:rPr>
                <w:rFonts w:eastAsia="Times New Roman"/>
                <w:sz w:val="20"/>
                <w:szCs w:val="20"/>
              </w:rPr>
            </w:pPr>
          </w:p>
        </w:tc>
        <w:tc>
          <w:tcPr>
            <w:tcW w:w="50" w:type="pct"/>
            <w:vAlign w:val="center"/>
            <w:hideMark/>
          </w:tcPr>
          <w:p w14:paraId="02C422E1" w14:textId="77777777" w:rsidR="00000000" w:rsidRDefault="001D0688">
            <w:pPr>
              <w:rPr>
                <w:rFonts w:eastAsia="Times New Roman"/>
                <w:sz w:val="20"/>
                <w:szCs w:val="20"/>
              </w:rPr>
            </w:pPr>
          </w:p>
        </w:tc>
        <w:tc>
          <w:tcPr>
            <w:tcW w:w="851" w:type="pct"/>
            <w:vAlign w:val="center"/>
            <w:hideMark/>
          </w:tcPr>
          <w:p w14:paraId="397AB7A7" w14:textId="77777777" w:rsidR="00000000" w:rsidRDefault="001D0688">
            <w:pPr>
              <w:rPr>
                <w:rFonts w:eastAsia="Times New Roman"/>
                <w:sz w:val="20"/>
                <w:szCs w:val="20"/>
              </w:rPr>
            </w:pPr>
          </w:p>
        </w:tc>
        <w:tc>
          <w:tcPr>
            <w:tcW w:w="5" w:type="pct"/>
            <w:vAlign w:val="center"/>
            <w:hideMark/>
          </w:tcPr>
          <w:p w14:paraId="33E45810" w14:textId="77777777" w:rsidR="00000000" w:rsidRDefault="001D0688">
            <w:pPr>
              <w:rPr>
                <w:rFonts w:eastAsia="Times New Roman"/>
                <w:sz w:val="20"/>
                <w:szCs w:val="20"/>
              </w:rPr>
            </w:pPr>
          </w:p>
        </w:tc>
        <w:tc>
          <w:tcPr>
            <w:tcW w:w="5" w:type="pct"/>
            <w:vAlign w:val="center"/>
            <w:hideMark/>
          </w:tcPr>
          <w:p w14:paraId="5A1338D9" w14:textId="77777777" w:rsidR="00000000" w:rsidRDefault="001D0688">
            <w:pPr>
              <w:rPr>
                <w:rFonts w:eastAsia="Times New Roman"/>
                <w:sz w:val="20"/>
                <w:szCs w:val="20"/>
              </w:rPr>
            </w:pPr>
          </w:p>
        </w:tc>
        <w:tc>
          <w:tcPr>
            <w:tcW w:w="19" w:type="pct"/>
            <w:vAlign w:val="center"/>
            <w:hideMark/>
          </w:tcPr>
          <w:p w14:paraId="2E78D146" w14:textId="77777777" w:rsidR="00000000" w:rsidRDefault="001D0688">
            <w:pPr>
              <w:rPr>
                <w:rFonts w:eastAsia="Times New Roman"/>
                <w:sz w:val="20"/>
                <w:szCs w:val="20"/>
              </w:rPr>
            </w:pPr>
          </w:p>
        </w:tc>
        <w:tc>
          <w:tcPr>
            <w:tcW w:w="5" w:type="pct"/>
            <w:vAlign w:val="center"/>
            <w:hideMark/>
          </w:tcPr>
          <w:p w14:paraId="6C01283E" w14:textId="77777777" w:rsidR="00000000" w:rsidRDefault="001D0688">
            <w:pPr>
              <w:rPr>
                <w:rFonts w:eastAsia="Times New Roman"/>
                <w:sz w:val="20"/>
                <w:szCs w:val="20"/>
              </w:rPr>
            </w:pPr>
          </w:p>
        </w:tc>
        <w:tc>
          <w:tcPr>
            <w:tcW w:w="50" w:type="pct"/>
            <w:vAlign w:val="center"/>
            <w:hideMark/>
          </w:tcPr>
          <w:p w14:paraId="0371CD1C" w14:textId="77777777" w:rsidR="00000000" w:rsidRDefault="001D0688">
            <w:pPr>
              <w:rPr>
                <w:rFonts w:eastAsia="Times New Roman"/>
                <w:sz w:val="20"/>
                <w:szCs w:val="20"/>
              </w:rPr>
            </w:pPr>
          </w:p>
        </w:tc>
        <w:tc>
          <w:tcPr>
            <w:tcW w:w="851" w:type="pct"/>
            <w:vAlign w:val="center"/>
            <w:hideMark/>
          </w:tcPr>
          <w:p w14:paraId="3FD664F1" w14:textId="77777777" w:rsidR="00000000" w:rsidRDefault="001D0688">
            <w:pPr>
              <w:rPr>
                <w:rFonts w:eastAsia="Times New Roman"/>
                <w:sz w:val="20"/>
                <w:szCs w:val="20"/>
              </w:rPr>
            </w:pPr>
          </w:p>
        </w:tc>
        <w:tc>
          <w:tcPr>
            <w:tcW w:w="5" w:type="pct"/>
            <w:vAlign w:val="center"/>
            <w:hideMark/>
          </w:tcPr>
          <w:p w14:paraId="1EEB4D1E" w14:textId="77777777" w:rsidR="00000000" w:rsidRDefault="001D0688">
            <w:pPr>
              <w:rPr>
                <w:rFonts w:eastAsia="Times New Roman"/>
                <w:sz w:val="20"/>
                <w:szCs w:val="20"/>
              </w:rPr>
            </w:pPr>
          </w:p>
        </w:tc>
        <w:tc>
          <w:tcPr>
            <w:tcW w:w="5" w:type="pct"/>
            <w:vAlign w:val="center"/>
            <w:hideMark/>
          </w:tcPr>
          <w:p w14:paraId="43FA2A07" w14:textId="77777777" w:rsidR="00000000" w:rsidRDefault="001D0688">
            <w:pPr>
              <w:rPr>
                <w:rFonts w:eastAsia="Times New Roman"/>
                <w:sz w:val="20"/>
                <w:szCs w:val="20"/>
              </w:rPr>
            </w:pPr>
          </w:p>
        </w:tc>
        <w:tc>
          <w:tcPr>
            <w:tcW w:w="19" w:type="pct"/>
            <w:vAlign w:val="center"/>
            <w:hideMark/>
          </w:tcPr>
          <w:p w14:paraId="6F2B15DF" w14:textId="77777777" w:rsidR="00000000" w:rsidRDefault="001D0688">
            <w:pPr>
              <w:rPr>
                <w:rFonts w:eastAsia="Times New Roman"/>
                <w:sz w:val="20"/>
                <w:szCs w:val="20"/>
              </w:rPr>
            </w:pPr>
          </w:p>
        </w:tc>
        <w:tc>
          <w:tcPr>
            <w:tcW w:w="5" w:type="pct"/>
            <w:vAlign w:val="center"/>
            <w:hideMark/>
          </w:tcPr>
          <w:p w14:paraId="62F30937" w14:textId="77777777" w:rsidR="00000000" w:rsidRDefault="001D0688">
            <w:pPr>
              <w:rPr>
                <w:rFonts w:eastAsia="Times New Roman"/>
                <w:sz w:val="20"/>
                <w:szCs w:val="20"/>
              </w:rPr>
            </w:pPr>
          </w:p>
        </w:tc>
        <w:tc>
          <w:tcPr>
            <w:tcW w:w="50" w:type="pct"/>
            <w:vAlign w:val="center"/>
            <w:hideMark/>
          </w:tcPr>
          <w:p w14:paraId="20B570E7" w14:textId="77777777" w:rsidR="00000000" w:rsidRDefault="001D0688">
            <w:pPr>
              <w:rPr>
                <w:rFonts w:eastAsia="Times New Roman"/>
                <w:sz w:val="20"/>
                <w:szCs w:val="20"/>
              </w:rPr>
            </w:pPr>
          </w:p>
        </w:tc>
        <w:tc>
          <w:tcPr>
            <w:tcW w:w="844" w:type="pct"/>
            <w:vAlign w:val="center"/>
            <w:hideMark/>
          </w:tcPr>
          <w:p w14:paraId="6BB9134D" w14:textId="77777777" w:rsidR="00000000" w:rsidRDefault="001D0688">
            <w:pPr>
              <w:rPr>
                <w:rFonts w:eastAsia="Times New Roman"/>
                <w:sz w:val="20"/>
                <w:szCs w:val="20"/>
              </w:rPr>
            </w:pPr>
          </w:p>
        </w:tc>
        <w:tc>
          <w:tcPr>
            <w:tcW w:w="5" w:type="pct"/>
            <w:vAlign w:val="center"/>
            <w:hideMark/>
          </w:tcPr>
          <w:p w14:paraId="36265275" w14:textId="77777777" w:rsidR="00000000" w:rsidRDefault="001D0688">
            <w:pPr>
              <w:rPr>
                <w:rFonts w:eastAsia="Times New Roman"/>
                <w:sz w:val="20"/>
                <w:szCs w:val="20"/>
              </w:rPr>
            </w:pPr>
          </w:p>
        </w:tc>
      </w:tr>
      <w:tr w:rsidR="00000000" w14:paraId="2F26B4AD" w14:textId="77777777">
        <w:trPr>
          <w:divId w:val="1857573370"/>
        </w:trPr>
        <w:tc>
          <w:tcPr>
            <w:tcW w:w="0" w:type="auto"/>
            <w:gridSpan w:val="3"/>
            <w:tcMar>
              <w:top w:w="30" w:type="dxa"/>
              <w:left w:w="20" w:type="dxa"/>
              <w:bottom w:w="30" w:type="dxa"/>
              <w:right w:w="20" w:type="dxa"/>
            </w:tcMar>
            <w:vAlign w:val="bottom"/>
            <w:hideMark/>
          </w:tcPr>
          <w:p w14:paraId="7061EAE7"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77D903C"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2713326D" w14:textId="77777777" w:rsidR="00000000" w:rsidRDefault="001D0688">
            <w:pPr>
              <w:jc w:val="center"/>
              <w:rPr>
                <w:rFonts w:eastAsia="Times New Roman"/>
              </w:rPr>
            </w:pPr>
            <w:r>
              <w:rPr>
                <w:rFonts w:ascii="Arial" w:eastAsia="Times New Roman" w:hAnsi="Arial" w:cs="Arial"/>
                <w:b/>
                <w:bCs/>
                <w:color w:val="000000"/>
                <w:sz w:val="20"/>
                <w:szCs w:val="20"/>
              </w:rPr>
              <w:t xml:space="preserve">Balance at </w:t>
            </w:r>
            <w:r>
              <w:rPr>
                <w:rFonts w:ascii="Arial" w:eastAsia="Times New Roman" w:hAnsi="Arial" w:cs="Arial"/>
                <w:b/>
                <w:bCs/>
                <w:color w:val="000000"/>
                <w:sz w:val="20"/>
                <w:szCs w:val="20"/>
              </w:rPr>
              <w:br/>
              <w:t>October 31, 2019</w:t>
            </w:r>
          </w:p>
        </w:tc>
        <w:tc>
          <w:tcPr>
            <w:tcW w:w="0" w:type="auto"/>
            <w:gridSpan w:val="3"/>
            <w:tcMar>
              <w:top w:w="0" w:type="dxa"/>
              <w:left w:w="20" w:type="dxa"/>
              <w:bottom w:w="0" w:type="dxa"/>
              <w:right w:w="20" w:type="dxa"/>
            </w:tcMar>
            <w:vAlign w:val="center"/>
            <w:hideMark/>
          </w:tcPr>
          <w:p w14:paraId="26825757"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715D72FA" w14:textId="77777777" w:rsidR="00000000" w:rsidRDefault="001D0688">
            <w:pPr>
              <w:jc w:val="center"/>
              <w:rPr>
                <w:rFonts w:eastAsia="Times New Roman"/>
              </w:rPr>
            </w:pPr>
            <w:r>
              <w:rPr>
                <w:rFonts w:ascii="Arial" w:eastAsia="Times New Roman" w:hAnsi="Arial" w:cs="Arial"/>
                <w:b/>
                <w:bCs/>
                <w:color w:val="000000"/>
                <w:sz w:val="20"/>
                <w:szCs w:val="20"/>
              </w:rPr>
              <w:t xml:space="preserve">Adjustments Due </w:t>
            </w:r>
            <w:r>
              <w:rPr>
                <w:rFonts w:ascii="Arial" w:eastAsia="Times New Roman" w:hAnsi="Arial" w:cs="Arial"/>
                <w:b/>
                <w:bCs/>
                <w:color w:val="000000"/>
                <w:sz w:val="20"/>
                <w:szCs w:val="20"/>
              </w:rPr>
              <w:br/>
              <w:t xml:space="preserve">to Adoption of </w:t>
            </w:r>
            <w:r>
              <w:rPr>
                <w:rFonts w:ascii="Arial" w:eastAsia="Times New Roman" w:hAnsi="Arial" w:cs="Arial"/>
                <w:b/>
                <w:bCs/>
                <w:color w:val="000000"/>
                <w:sz w:val="20"/>
                <w:szCs w:val="20"/>
              </w:rPr>
              <w:br/>
              <w:t>Topic 842</w:t>
            </w:r>
          </w:p>
        </w:tc>
        <w:tc>
          <w:tcPr>
            <w:tcW w:w="0" w:type="auto"/>
            <w:gridSpan w:val="3"/>
            <w:tcMar>
              <w:top w:w="0" w:type="dxa"/>
              <w:left w:w="20" w:type="dxa"/>
              <w:bottom w:w="0" w:type="dxa"/>
              <w:right w:w="20" w:type="dxa"/>
            </w:tcMar>
            <w:vAlign w:val="center"/>
            <w:hideMark/>
          </w:tcPr>
          <w:p w14:paraId="2910E0E0"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78FB530" w14:textId="77777777" w:rsidR="00000000" w:rsidRDefault="001D0688">
            <w:pPr>
              <w:jc w:val="center"/>
              <w:rPr>
                <w:rFonts w:eastAsia="Times New Roman"/>
              </w:rPr>
            </w:pPr>
            <w:r>
              <w:rPr>
                <w:rFonts w:ascii="Arial" w:eastAsia="Times New Roman" w:hAnsi="Arial" w:cs="Arial"/>
                <w:b/>
                <w:bCs/>
                <w:color w:val="000000"/>
                <w:sz w:val="20"/>
                <w:szCs w:val="20"/>
              </w:rPr>
              <w:t xml:space="preserve">Balance at </w:t>
            </w:r>
            <w:r>
              <w:rPr>
                <w:rFonts w:ascii="Arial" w:eastAsia="Times New Roman" w:hAnsi="Arial" w:cs="Arial"/>
                <w:b/>
                <w:bCs/>
                <w:color w:val="000000"/>
                <w:sz w:val="20"/>
                <w:szCs w:val="20"/>
              </w:rPr>
              <w:br/>
              <w:t>November 1, 2019</w:t>
            </w:r>
          </w:p>
        </w:tc>
      </w:tr>
      <w:tr w:rsidR="00000000" w14:paraId="05F9E894" w14:textId="77777777">
        <w:trPr>
          <w:divId w:val="1857573370"/>
        </w:trPr>
        <w:tc>
          <w:tcPr>
            <w:tcW w:w="0" w:type="auto"/>
            <w:gridSpan w:val="3"/>
            <w:shd w:val="clear" w:color="auto" w:fill="DCE2EF"/>
            <w:tcMar>
              <w:top w:w="30" w:type="dxa"/>
              <w:left w:w="20" w:type="dxa"/>
              <w:bottom w:w="30" w:type="dxa"/>
              <w:right w:w="20" w:type="dxa"/>
            </w:tcMar>
            <w:vAlign w:val="bottom"/>
            <w:hideMark/>
          </w:tcPr>
          <w:p w14:paraId="7AEE1A33" w14:textId="77777777" w:rsidR="00000000" w:rsidRDefault="001D0688">
            <w:pPr>
              <w:rPr>
                <w:rFonts w:eastAsia="Times New Roman"/>
              </w:rPr>
            </w:pPr>
            <w:r>
              <w:rPr>
                <w:rFonts w:ascii="Arial" w:eastAsia="Times New Roman" w:hAnsi="Arial" w:cs="Arial"/>
                <w:b/>
                <w:bCs/>
                <w:color w:val="000000"/>
                <w:sz w:val="20"/>
                <w:szCs w:val="20"/>
              </w:rPr>
              <w:t>ASSETS</w:t>
            </w:r>
          </w:p>
        </w:tc>
        <w:tc>
          <w:tcPr>
            <w:tcW w:w="0" w:type="auto"/>
            <w:gridSpan w:val="3"/>
            <w:shd w:val="clear" w:color="auto" w:fill="DCE2EF"/>
            <w:tcMar>
              <w:top w:w="0" w:type="dxa"/>
              <w:left w:w="20" w:type="dxa"/>
              <w:bottom w:w="0" w:type="dxa"/>
              <w:right w:w="20" w:type="dxa"/>
            </w:tcMar>
            <w:vAlign w:val="center"/>
            <w:hideMark/>
          </w:tcPr>
          <w:p w14:paraId="1B701010"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525014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7AE642B"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845B6FD"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589DAE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4A0C030" w14:textId="77777777" w:rsidR="00000000" w:rsidRDefault="001D0688">
            <w:pPr>
              <w:rPr>
                <w:rFonts w:eastAsia="Times New Roman"/>
                <w:sz w:val="20"/>
                <w:szCs w:val="20"/>
              </w:rPr>
            </w:pPr>
          </w:p>
        </w:tc>
      </w:tr>
      <w:tr w:rsidR="00000000" w14:paraId="03C2E320" w14:textId="77777777">
        <w:trPr>
          <w:divId w:val="1857573370"/>
        </w:trPr>
        <w:tc>
          <w:tcPr>
            <w:tcW w:w="0" w:type="auto"/>
            <w:gridSpan w:val="3"/>
            <w:shd w:val="clear" w:color="auto" w:fill="FFFFFF"/>
            <w:tcMar>
              <w:top w:w="30" w:type="dxa"/>
              <w:left w:w="20" w:type="dxa"/>
              <w:bottom w:w="30" w:type="dxa"/>
              <w:right w:w="20" w:type="dxa"/>
            </w:tcMar>
            <w:vAlign w:val="bottom"/>
            <w:hideMark/>
          </w:tcPr>
          <w:p w14:paraId="5F5C21E6" w14:textId="77777777" w:rsidR="00000000" w:rsidRDefault="001D0688">
            <w:pPr>
              <w:divId w:val="666400425"/>
              <w:rPr>
                <w:rFonts w:eastAsia="Times New Roman"/>
              </w:rPr>
            </w:pPr>
            <w:r>
              <w:rPr>
                <w:rFonts w:ascii="Arial" w:eastAsia="Times New Roman" w:hAnsi="Arial" w:cs="Arial"/>
                <w:color w:val="000000"/>
                <w:sz w:val="20"/>
                <w:szCs w:val="20"/>
              </w:rPr>
              <w:t>Right-of-use asset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C8D4DDE" w14:textId="77777777" w:rsidR="00000000" w:rsidRDefault="001D0688">
            <w:pPr>
              <w:rPr>
                <w:rFonts w:eastAsia="Times New Roman"/>
              </w:rPr>
            </w:pPr>
          </w:p>
        </w:tc>
        <w:tc>
          <w:tcPr>
            <w:tcW w:w="0" w:type="auto"/>
            <w:shd w:val="clear" w:color="auto" w:fill="FFFFFF"/>
            <w:tcMar>
              <w:top w:w="30" w:type="dxa"/>
              <w:left w:w="20" w:type="dxa"/>
              <w:bottom w:w="30" w:type="dxa"/>
              <w:right w:w="0" w:type="dxa"/>
            </w:tcMar>
            <w:hideMark/>
          </w:tcPr>
          <w:p w14:paraId="03F12B4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hideMark/>
          </w:tcPr>
          <w:p w14:paraId="5615C604"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14:paraId="1C5A5A0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C7876"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17E6305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hideMark/>
          </w:tcPr>
          <w:p w14:paraId="74DA5665" w14:textId="77777777" w:rsidR="00000000" w:rsidRDefault="001D0688">
            <w:pPr>
              <w:jc w:val="right"/>
              <w:rPr>
                <w:rFonts w:eastAsia="Times New Roman"/>
              </w:rPr>
            </w:pPr>
            <w:r>
              <w:rPr>
                <w:rFonts w:ascii="Arial" w:eastAsia="Times New Roman" w:hAnsi="Arial" w:cs="Arial"/>
                <w:color w:val="000000"/>
                <w:sz w:val="20"/>
                <w:szCs w:val="20"/>
              </w:rPr>
              <w:t>167.5 </w:t>
            </w:r>
          </w:p>
        </w:tc>
        <w:tc>
          <w:tcPr>
            <w:tcW w:w="0" w:type="auto"/>
            <w:shd w:val="clear" w:color="auto" w:fill="FFFFFF"/>
            <w:tcMar>
              <w:top w:w="30" w:type="dxa"/>
              <w:left w:w="0" w:type="dxa"/>
              <w:bottom w:w="30" w:type="dxa"/>
              <w:right w:w="20" w:type="dxa"/>
            </w:tcMar>
            <w:hideMark/>
          </w:tcPr>
          <w:p w14:paraId="77314F2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5C1A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hideMark/>
          </w:tcPr>
          <w:p w14:paraId="0CD3696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hideMark/>
          </w:tcPr>
          <w:p w14:paraId="257F7BAC" w14:textId="77777777" w:rsidR="00000000" w:rsidRDefault="001D0688">
            <w:pPr>
              <w:jc w:val="right"/>
              <w:rPr>
                <w:rFonts w:eastAsia="Times New Roman"/>
              </w:rPr>
            </w:pPr>
            <w:r>
              <w:rPr>
                <w:rFonts w:ascii="Arial" w:eastAsia="Times New Roman" w:hAnsi="Arial" w:cs="Arial"/>
                <w:color w:val="000000"/>
                <w:sz w:val="20"/>
                <w:szCs w:val="20"/>
              </w:rPr>
              <w:t>167.5 </w:t>
            </w:r>
          </w:p>
        </w:tc>
        <w:tc>
          <w:tcPr>
            <w:tcW w:w="0" w:type="auto"/>
            <w:shd w:val="clear" w:color="auto" w:fill="FFFFFF"/>
            <w:tcMar>
              <w:top w:w="30" w:type="dxa"/>
              <w:left w:w="0" w:type="dxa"/>
              <w:bottom w:w="30" w:type="dxa"/>
              <w:right w:w="20" w:type="dxa"/>
            </w:tcMar>
            <w:hideMark/>
          </w:tcPr>
          <w:p w14:paraId="26B83480" w14:textId="77777777" w:rsidR="00000000" w:rsidRDefault="001D0688">
            <w:pPr>
              <w:jc w:val="right"/>
              <w:rPr>
                <w:rFonts w:eastAsia="Times New Roman"/>
              </w:rPr>
            </w:pPr>
          </w:p>
        </w:tc>
      </w:tr>
      <w:tr w:rsidR="00000000" w14:paraId="41AD25BF" w14:textId="77777777">
        <w:trPr>
          <w:divId w:val="1857573370"/>
          <w:trHeight w:val="300"/>
        </w:trPr>
        <w:tc>
          <w:tcPr>
            <w:tcW w:w="0" w:type="auto"/>
            <w:gridSpan w:val="3"/>
            <w:shd w:val="clear" w:color="auto" w:fill="DCE2EF"/>
            <w:tcMar>
              <w:top w:w="0" w:type="dxa"/>
              <w:left w:w="20" w:type="dxa"/>
              <w:bottom w:w="0" w:type="dxa"/>
              <w:right w:w="20" w:type="dxa"/>
            </w:tcMar>
            <w:vAlign w:val="center"/>
            <w:hideMark/>
          </w:tcPr>
          <w:p w14:paraId="6690072F"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7077A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BAA485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A6C85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F60800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41D79B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9D45426" w14:textId="77777777" w:rsidR="00000000" w:rsidRDefault="001D0688">
            <w:pPr>
              <w:rPr>
                <w:rFonts w:eastAsia="Times New Roman"/>
                <w:sz w:val="20"/>
                <w:szCs w:val="20"/>
              </w:rPr>
            </w:pPr>
          </w:p>
        </w:tc>
      </w:tr>
      <w:tr w:rsidR="00000000" w14:paraId="3F7EA18E" w14:textId="77777777">
        <w:trPr>
          <w:divId w:val="1857573370"/>
        </w:trPr>
        <w:tc>
          <w:tcPr>
            <w:tcW w:w="0" w:type="auto"/>
            <w:gridSpan w:val="3"/>
            <w:shd w:val="clear" w:color="auto" w:fill="FFFFFF"/>
            <w:tcMar>
              <w:top w:w="30" w:type="dxa"/>
              <w:left w:w="20" w:type="dxa"/>
              <w:bottom w:w="30" w:type="dxa"/>
              <w:right w:w="20" w:type="dxa"/>
            </w:tcMar>
            <w:vAlign w:val="bottom"/>
            <w:hideMark/>
          </w:tcPr>
          <w:p w14:paraId="2A8DF877" w14:textId="77777777" w:rsidR="00000000" w:rsidRDefault="001D0688">
            <w:pPr>
              <w:rPr>
                <w:rFonts w:eastAsia="Times New Roman"/>
              </w:rPr>
            </w:pPr>
            <w:r>
              <w:rPr>
                <w:rFonts w:ascii="Arial" w:eastAsia="Times New Roman" w:hAnsi="Arial" w:cs="Arial"/>
                <w:b/>
                <w:bCs/>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center"/>
            <w:hideMark/>
          </w:tcPr>
          <w:p w14:paraId="2381AC2C"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6DDA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61A54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0DB62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120CE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86A541" w14:textId="77777777" w:rsidR="00000000" w:rsidRDefault="001D0688">
            <w:pPr>
              <w:rPr>
                <w:rFonts w:eastAsia="Times New Roman"/>
                <w:sz w:val="20"/>
                <w:szCs w:val="20"/>
              </w:rPr>
            </w:pPr>
          </w:p>
        </w:tc>
      </w:tr>
      <w:tr w:rsidR="00000000" w14:paraId="1920E5AA" w14:textId="77777777">
        <w:trPr>
          <w:divId w:val="1857573370"/>
        </w:trPr>
        <w:tc>
          <w:tcPr>
            <w:tcW w:w="0" w:type="auto"/>
            <w:gridSpan w:val="3"/>
            <w:shd w:val="clear" w:color="auto" w:fill="DCE2EF"/>
            <w:tcMar>
              <w:top w:w="30" w:type="dxa"/>
              <w:left w:w="20" w:type="dxa"/>
              <w:bottom w:w="30" w:type="dxa"/>
              <w:right w:w="20" w:type="dxa"/>
            </w:tcMar>
            <w:vAlign w:val="bottom"/>
            <w:hideMark/>
          </w:tcPr>
          <w:p w14:paraId="7808907C" w14:textId="77777777" w:rsidR="00000000" w:rsidRDefault="001D0688">
            <w:pPr>
              <w:divId w:val="1878665755"/>
              <w:rPr>
                <w:rFonts w:eastAsia="Times New Roman"/>
              </w:rPr>
            </w:pPr>
            <w:r>
              <w:rPr>
                <w:rFonts w:ascii="Arial" w:eastAsia="Times New Roman" w:hAnsi="Arial" w:cs="Arial"/>
                <w:color w:val="000000"/>
                <w:sz w:val="20"/>
                <w:szCs w:val="20"/>
              </w:rPr>
              <w:t>Current portion of lease liabilitie</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7B9BE552" w14:textId="77777777" w:rsidR="00000000" w:rsidRDefault="001D0688">
            <w:pPr>
              <w:rPr>
                <w:rFonts w:eastAsia="Times New Roman"/>
              </w:rPr>
            </w:pPr>
          </w:p>
        </w:tc>
        <w:tc>
          <w:tcPr>
            <w:tcW w:w="0" w:type="auto"/>
            <w:shd w:val="clear" w:color="auto" w:fill="DCE2EF"/>
            <w:tcMar>
              <w:top w:w="30" w:type="dxa"/>
              <w:left w:w="20" w:type="dxa"/>
              <w:bottom w:w="30" w:type="dxa"/>
              <w:right w:w="0" w:type="dxa"/>
            </w:tcMar>
            <w:hideMark/>
          </w:tcPr>
          <w:p w14:paraId="26B979C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hideMark/>
          </w:tcPr>
          <w:p w14:paraId="34823617"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hideMark/>
          </w:tcPr>
          <w:p w14:paraId="0261E5E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BE7936"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hideMark/>
          </w:tcPr>
          <w:p w14:paraId="263CC45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hideMark/>
          </w:tcPr>
          <w:p w14:paraId="04461A05" w14:textId="77777777" w:rsidR="00000000" w:rsidRDefault="001D0688">
            <w:pPr>
              <w:jc w:val="right"/>
              <w:rPr>
                <w:rFonts w:eastAsia="Times New Roman"/>
              </w:rPr>
            </w:pPr>
            <w:r>
              <w:rPr>
                <w:rFonts w:ascii="Arial" w:eastAsia="Times New Roman" w:hAnsi="Arial" w:cs="Arial"/>
                <w:color w:val="000000"/>
                <w:sz w:val="20"/>
                <w:szCs w:val="20"/>
              </w:rPr>
              <w:t>36.3 </w:t>
            </w:r>
          </w:p>
        </w:tc>
        <w:tc>
          <w:tcPr>
            <w:tcW w:w="0" w:type="auto"/>
            <w:shd w:val="clear" w:color="auto" w:fill="DCE2EF"/>
            <w:tcMar>
              <w:top w:w="30" w:type="dxa"/>
              <w:left w:w="0" w:type="dxa"/>
              <w:bottom w:w="30" w:type="dxa"/>
              <w:right w:w="20" w:type="dxa"/>
            </w:tcMar>
            <w:hideMark/>
          </w:tcPr>
          <w:p w14:paraId="1060EA4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086751"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hideMark/>
          </w:tcPr>
          <w:p w14:paraId="6A70757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hideMark/>
          </w:tcPr>
          <w:p w14:paraId="77582395" w14:textId="77777777" w:rsidR="00000000" w:rsidRDefault="001D0688">
            <w:pPr>
              <w:jc w:val="right"/>
              <w:rPr>
                <w:rFonts w:eastAsia="Times New Roman"/>
              </w:rPr>
            </w:pPr>
            <w:r>
              <w:rPr>
                <w:rFonts w:ascii="Arial" w:eastAsia="Times New Roman" w:hAnsi="Arial" w:cs="Arial"/>
                <w:color w:val="000000"/>
                <w:sz w:val="20"/>
                <w:szCs w:val="20"/>
              </w:rPr>
              <w:t>36.3 </w:t>
            </w:r>
          </w:p>
        </w:tc>
        <w:tc>
          <w:tcPr>
            <w:tcW w:w="0" w:type="auto"/>
            <w:shd w:val="clear" w:color="auto" w:fill="DCE2EF"/>
            <w:tcMar>
              <w:top w:w="30" w:type="dxa"/>
              <w:left w:w="0" w:type="dxa"/>
              <w:bottom w:w="30" w:type="dxa"/>
              <w:right w:w="20" w:type="dxa"/>
            </w:tcMar>
            <w:hideMark/>
          </w:tcPr>
          <w:p w14:paraId="0B5A0FE8" w14:textId="77777777" w:rsidR="00000000" w:rsidRDefault="001D0688">
            <w:pPr>
              <w:jc w:val="right"/>
              <w:rPr>
                <w:rFonts w:eastAsia="Times New Roman"/>
              </w:rPr>
            </w:pPr>
          </w:p>
        </w:tc>
      </w:tr>
      <w:tr w:rsidR="00000000" w14:paraId="60066DD0" w14:textId="77777777">
        <w:trPr>
          <w:divId w:val="1857573370"/>
        </w:trPr>
        <w:tc>
          <w:tcPr>
            <w:tcW w:w="0" w:type="auto"/>
            <w:gridSpan w:val="3"/>
            <w:shd w:val="clear" w:color="auto" w:fill="FFFFFF"/>
            <w:tcMar>
              <w:top w:w="30" w:type="dxa"/>
              <w:left w:w="20" w:type="dxa"/>
              <w:bottom w:w="30" w:type="dxa"/>
              <w:right w:w="20" w:type="dxa"/>
            </w:tcMar>
            <w:vAlign w:val="bottom"/>
            <w:hideMark/>
          </w:tcPr>
          <w:p w14:paraId="1E176EF2" w14:textId="77777777" w:rsidR="00000000" w:rsidRDefault="001D0688">
            <w:pPr>
              <w:divId w:val="1659378062"/>
              <w:rPr>
                <w:rFonts w:eastAsia="Times New Roman"/>
              </w:rPr>
            </w:pPr>
            <w:r>
              <w:rPr>
                <w:rFonts w:ascii="Arial" w:eastAsia="Times New Roman" w:hAnsi="Arial" w:cs="Arial"/>
                <w:color w:val="000000"/>
                <w:sz w:val="20"/>
                <w:szCs w:val="20"/>
              </w:rPr>
              <w:t>Other accrued liabilitie</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407F8A2"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hideMark/>
          </w:tcPr>
          <w:p w14:paraId="40DA139A" w14:textId="77777777" w:rsidR="00000000" w:rsidRDefault="001D0688">
            <w:pPr>
              <w:jc w:val="right"/>
              <w:rPr>
                <w:rFonts w:eastAsia="Times New Roman"/>
              </w:rPr>
            </w:pPr>
            <w:r>
              <w:rPr>
                <w:rFonts w:ascii="Arial" w:eastAsia="Times New Roman" w:hAnsi="Arial" w:cs="Arial"/>
                <w:color w:val="000000"/>
                <w:sz w:val="20"/>
                <w:szCs w:val="20"/>
              </w:rPr>
              <w:t>158.2 </w:t>
            </w:r>
          </w:p>
        </w:tc>
        <w:tc>
          <w:tcPr>
            <w:tcW w:w="0" w:type="auto"/>
            <w:shd w:val="clear" w:color="auto" w:fill="FFFFFF"/>
            <w:tcMar>
              <w:top w:w="30" w:type="dxa"/>
              <w:left w:w="0" w:type="dxa"/>
              <w:bottom w:w="30" w:type="dxa"/>
              <w:right w:w="20" w:type="dxa"/>
            </w:tcMar>
            <w:hideMark/>
          </w:tcPr>
          <w:p w14:paraId="092ECFF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DFCF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C0E8AB0" w14:textId="77777777" w:rsidR="00000000" w:rsidRDefault="001D0688">
            <w:pPr>
              <w:jc w:val="right"/>
              <w:rPr>
                <w:rFonts w:eastAsia="Times New Roman"/>
              </w:rPr>
            </w:pPr>
            <w:r>
              <w:rPr>
                <w:rFonts w:ascii="Arial" w:eastAsia="Times New Roman" w:hAnsi="Arial" w:cs="Arial"/>
                <w:color w:val="000000"/>
                <w:sz w:val="20"/>
                <w:szCs w:val="20"/>
              </w:rPr>
              <w:t>(3.0)</w:t>
            </w:r>
          </w:p>
        </w:tc>
        <w:tc>
          <w:tcPr>
            <w:tcW w:w="0" w:type="auto"/>
            <w:shd w:val="clear" w:color="auto" w:fill="FFFFFF"/>
            <w:tcMar>
              <w:top w:w="30" w:type="dxa"/>
              <w:left w:w="0" w:type="dxa"/>
              <w:bottom w:w="30" w:type="dxa"/>
              <w:right w:w="20" w:type="dxa"/>
            </w:tcMar>
            <w:hideMark/>
          </w:tcPr>
          <w:p w14:paraId="14EB5E8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70E2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207D513" w14:textId="77777777" w:rsidR="00000000" w:rsidRDefault="001D0688">
            <w:pPr>
              <w:jc w:val="right"/>
              <w:rPr>
                <w:rFonts w:eastAsia="Times New Roman"/>
              </w:rPr>
            </w:pPr>
            <w:r>
              <w:rPr>
                <w:rFonts w:ascii="Arial" w:eastAsia="Times New Roman" w:hAnsi="Arial" w:cs="Arial"/>
                <w:color w:val="000000"/>
                <w:sz w:val="20"/>
                <w:szCs w:val="20"/>
              </w:rPr>
              <w:t>155.2 </w:t>
            </w:r>
          </w:p>
        </w:tc>
        <w:tc>
          <w:tcPr>
            <w:tcW w:w="0" w:type="auto"/>
            <w:shd w:val="clear" w:color="auto" w:fill="FFFFFF"/>
            <w:tcMar>
              <w:top w:w="30" w:type="dxa"/>
              <w:left w:w="0" w:type="dxa"/>
              <w:bottom w:w="30" w:type="dxa"/>
              <w:right w:w="20" w:type="dxa"/>
            </w:tcMar>
            <w:hideMark/>
          </w:tcPr>
          <w:p w14:paraId="118615FE" w14:textId="77777777" w:rsidR="00000000" w:rsidRDefault="001D0688">
            <w:pPr>
              <w:jc w:val="right"/>
              <w:rPr>
                <w:rFonts w:eastAsia="Times New Roman"/>
              </w:rPr>
            </w:pPr>
          </w:p>
        </w:tc>
      </w:tr>
      <w:tr w:rsidR="00000000" w14:paraId="6198CB02" w14:textId="77777777">
        <w:trPr>
          <w:divId w:val="1857573370"/>
        </w:trPr>
        <w:tc>
          <w:tcPr>
            <w:tcW w:w="0" w:type="auto"/>
            <w:gridSpan w:val="3"/>
            <w:shd w:val="clear" w:color="auto" w:fill="DCE2EF"/>
            <w:tcMar>
              <w:top w:w="30" w:type="dxa"/>
              <w:left w:w="20" w:type="dxa"/>
              <w:bottom w:w="30" w:type="dxa"/>
              <w:right w:w="20" w:type="dxa"/>
            </w:tcMar>
            <w:vAlign w:val="bottom"/>
            <w:hideMark/>
          </w:tcPr>
          <w:p w14:paraId="71AFBBC5" w14:textId="77777777" w:rsidR="00000000" w:rsidRDefault="001D0688">
            <w:pPr>
              <w:divId w:val="1736853968"/>
              <w:rPr>
                <w:rFonts w:eastAsia="Times New Roman"/>
              </w:rPr>
            </w:pPr>
            <w:r>
              <w:rPr>
                <w:rFonts w:ascii="Arial" w:eastAsia="Times New Roman" w:hAnsi="Arial" w:cs="Arial"/>
                <w:color w:val="000000"/>
                <w:sz w:val="20"/>
                <w:szCs w:val="20"/>
              </w:rPr>
              <w:t>Long-term lease liabilitie</w:t>
            </w:r>
            <w:r>
              <w:rPr>
                <w:rFonts w:ascii="Arial" w:eastAsia="Times New Roman" w:hAnsi="Arial" w:cs="Arial"/>
                <w:color w:val="000000"/>
                <w:sz w:val="20"/>
                <w:szCs w:val="20"/>
              </w:rPr>
              <w:t>s</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7DC37464"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hideMark/>
          </w:tcPr>
          <w:p w14:paraId="4E551C0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hideMark/>
          </w:tcPr>
          <w:p w14:paraId="32215AE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A98E1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hideMark/>
          </w:tcPr>
          <w:p w14:paraId="37BCBBFB" w14:textId="77777777" w:rsidR="00000000" w:rsidRDefault="001D0688">
            <w:pPr>
              <w:jc w:val="right"/>
              <w:rPr>
                <w:rFonts w:eastAsia="Times New Roman"/>
              </w:rPr>
            </w:pPr>
            <w:r>
              <w:rPr>
                <w:rFonts w:ascii="Arial" w:eastAsia="Times New Roman" w:hAnsi="Arial" w:cs="Arial"/>
                <w:color w:val="000000"/>
                <w:sz w:val="20"/>
                <w:szCs w:val="20"/>
              </w:rPr>
              <w:t>154.2 </w:t>
            </w:r>
          </w:p>
        </w:tc>
        <w:tc>
          <w:tcPr>
            <w:tcW w:w="0" w:type="auto"/>
            <w:shd w:val="clear" w:color="auto" w:fill="DCE2EF"/>
            <w:tcMar>
              <w:top w:w="30" w:type="dxa"/>
              <w:left w:w="0" w:type="dxa"/>
              <w:bottom w:w="30" w:type="dxa"/>
              <w:right w:w="20" w:type="dxa"/>
            </w:tcMar>
            <w:hideMark/>
          </w:tcPr>
          <w:p w14:paraId="5E846BC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281BE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hideMark/>
          </w:tcPr>
          <w:p w14:paraId="32C2EF2B" w14:textId="77777777" w:rsidR="00000000" w:rsidRDefault="001D0688">
            <w:pPr>
              <w:jc w:val="right"/>
              <w:rPr>
                <w:rFonts w:eastAsia="Times New Roman"/>
              </w:rPr>
            </w:pPr>
            <w:r>
              <w:rPr>
                <w:rFonts w:ascii="Arial" w:eastAsia="Times New Roman" w:hAnsi="Arial" w:cs="Arial"/>
                <w:color w:val="000000"/>
                <w:sz w:val="20"/>
                <w:szCs w:val="20"/>
              </w:rPr>
              <w:t>154.2 </w:t>
            </w:r>
          </w:p>
        </w:tc>
        <w:tc>
          <w:tcPr>
            <w:tcW w:w="0" w:type="auto"/>
            <w:shd w:val="clear" w:color="auto" w:fill="DCE2EF"/>
            <w:tcMar>
              <w:top w:w="30" w:type="dxa"/>
              <w:left w:w="0" w:type="dxa"/>
              <w:bottom w:w="30" w:type="dxa"/>
              <w:right w:w="20" w:type="dxa"/>
            </w:tcMar>
            <w:hideMark/>
          </w:tcPr>
          <w:p w14:paraId="7B5E0954" w14:textId="77777777" w:rsidR="00000000" w:rsidRDefault="001D0688">
            <w:pPr>
              <w:jc w:val="right"/>
              <w:rPr>
                <w:rFonts w:eastAsia="Times New Roman"/>
              </w:rPr>
            </w:pPr>
          </w:p>
        </w:tc>
      </w:tr>
      <w:tr w:rsidR="00000000" w14:paraId="60ECD4E1" w14:textId="77777777">
        <w:trPr>
          <w:divId w:val="1857573370"/>
        </w:trPr>
        <w:tc>
          <w:tcPr>
            <w:tcW w:w="0" w:type="auto"/>
            <w:gridSpan w:val="3"/>
            <w:shd w:val="clear" w:color="auto" w:fill="FFFFFF"/>
            <w:tcMar>
              <w:top w:w="30" w:type="dxa"/>
              <w:left w:w="20" w:type="dxa"/>
              <w:bottom w:w="30" w:type="dxa"/>
              <w:right w:w="20" w:type="dxa"/>
            </w:tcMar>
            <w:vAlign w:val="bottom"/>
            <w:hideMark/>
          </w:tcPr>
          <w:p w14:paraId="3DB0F05B" w14:textId="77777777" w:rsidR="00000000" w:rsidRDefault="001D0688">
            <w:pPr>
              <w:divId w:val="1252658732"/>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801AAB9"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hideMark/>
          </w:tcPr>
          <w:p w14:paraId="02FF68FB" w14:textId="77777777" w:rsidR="00000000" w:rsidRDefault="001D0688">
            <w:pPr>
              <w:jc w:val="right"/>
              <w:rPr>
                <w:rFonts w:eastAsia="Times New Roman"/>
              </w:rPr>
            </w:pPr>
            <w:r>
              <w:rPr>
                <w:rFonts w:ascii="Arial" w:eastAsia="Times New Roman" w:hAnsi="Arial" w:cs="Arial"/>
                <w:color w:val="000000"/>
                <w:sz w:val="20"/>
                <w:szCs w:val="20"/>
              </w:rPr>
              <w:t>78.8 </w:t>
            </w:r>
          </w:p>
        </w:tc>
        <w:tc>
          <w:tcPr>
            <w:tcW w:w="0" w:type="auto"/>
            <w:shd w:val="clear" w:color="auto" w:fill="FFFFFF"/>
            <w:tcMar>
              <w:top w:w="30" w:type="dxa"/>
              <w:left w:w="0" w:type="dxa"/>
              <w:bottom w:w="30" w:type="dxa"/>
              <w:right w:w="20" w:type="dxa"/>
            </w:tcMar>
            <w:hideMark/>
          </w:tcPr>
          <w:p w14:paraId="1B6B1CA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6363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5CAB1C5" w14:textId="77777777" w:rsidR="00000000" w:rsidRDefault="001D0688">
            <w:pPr>
              <w:jc w:val="right"/>
              <w:rPr>
                <w:rFonts w:eastAsia="Times New Roman"/>
              </w:rPr>
            </w:pPr>
            <w:r>
              <w:rPr>
                <w:rFonts w:ascii="Arial" w:eastAsia="Times New Roman" w:hAnsi="Arial" w:cs="Arial"/>
                <w:color w:val="000000"/>
                <w:sz w:val="20"/>
                <w:szCs w:val="20"/>
              </w:rPr>
              <w:t>(20.0)</w:t>
            </w:r>
          </w:p>
        </w:tc>
        <w:tc>
          <w:tcPr>
            <w:tcW w:w="0" w:type="auto"/>
            <w:shd w:val="clear" w:color="auto" w:fill="FFFFFF"/>
            <w:tcMar>
              <w:top w:w="30" w:type="dxa"/>
              <w:left w:w="0" w:type="dxa"/>
              <w:bottom w:w="30" w:type="dxa"/>
              <w:right w:w="20" w:type="dxa"/>
            </w:tcMar>
            <w:hideMark/>
          </w:tcPr>
          <w:p w14:paraId="7C12D20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0FE29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1753796" w14:textId="77777777" w:rsidR="00000000" w:rsidRDefault="001D0688">
            <w:pPr>
              <w:jc w:val="right"/>
              <w:rPr>
                <w:rFonts w:eastAsia="Times New Roman"/>
              </w:rPr>
            </w:pPr>
            <w:r>
              <w:rPr>
                <w:rFonts w:ascii="Arial" w:eastAsia="Times New Roman" w:hAnsi="Arial" w:cs="Arial"/>
                <w:color w:val="000000"/>
                <w:sz w:val="20"/>
                <w:szCs w:val="20"/>
              </w:rPr>
              <w:t>58.8 </w:t>
            </w:r>
          </w:p>
        </w:tc>
        <w:tc>
          <w:tcPr>
            <w:tcW w:w="0" w:type="auto"/>
            <w:shd w:val="clear" w:color="auto" w:fill="FFFFFF"/>
            <w:tcMar>
              <w:top w:w="30" w:type="dxa"/>
              <w:left w:w="0" w:type="dxa"/>
              <w:bottom w:w="30" w:type="dxa"/>
              <w:right w:w="20" w:type="dxa"/>
            </w:tcMar>
            <w:hideMark/>
          </w:tcPr>
          <w:p w14:paraId="38E26942" w14:textId="77777777" w:rsidR="00000000" w:rsidRDefault="001D0688">
            <w:pPr>
              <w:jc w:val="right"/>
              <w:rPr>
                <w:rFonts w:eastAsia="Times New Roman"/>
              </w:rPr>
            </w:pPr>
          </w:p>
        </w:tc>
      </w:tr>
    </w:tbl>
    <w:p w14:paraId="78AF95A6" w14:textId="77777777" w:rsidR="00000000" w:rsidRDefault="001D0688">
      <w:pPr>
        <w:ind w:hanging="180"/>
        <w:jc w:val="both"/>
        <w:divId w:val="198122524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capital</w:t>
      </w:r>
      <w:r>
        <w:rPr>
          <w:rFonts w:ascii="Arial" w:eastAsia="Times New Roman" w:hAnsi="Arial" w:cs="Arial"/>
          <w:color w:val="000000"/>
          <w:sz w:val="18"/>
          <w:szCs w:val="18"/>
        </w:rPr>
        <w:t>ization of operating lease assets and reclassification of prepaid rent, deferred rent, lease exit impairment liabilities, and lease incentives and tenant improvements on operating leases.</w:t>
      </w:r>
    </w:p>
    <w:p w14:paraId="030D0050" w14:textId="77777777" w:rsidR="00000000" w:rsidRDefault="001D0688">
      <w:pPr>
        <w:ind w:hanging="180"/>
        <w:jc w:val="both"/>
        <w:divId w:val="154752845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the recognition of short-term operating lease liabilities. </w:t>
      </w:r>
    </w:p>
    <w:p w14:paraId="24D1AC0B" w14:textId="77777777" w:rsidR="00000000" w:rsidRDefault="001D0688">
      <w:pPr>
        <w:ind w:hanging="180"/>
        <w:jc w:val="both"/>
        <w:divId w:val="1104422600"/>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short-term deferred rent reclassified to ROU assets.</w:t>
      </w:r>
    </w:p>
    <w:p w14:paraId="1AC1F792" w14:textId="77777777" w:rsidR="00000000" w:rsidRDefault="001D0688">
      <w:pPr>
        <w:ind w:hanging="180"/>
        <w:jc w:val="both"/>
        <w:divId w:val="158429497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the recognition of long-term operating lease liabilities.</w:t>
      </w:r>
    </w:p>
    <w:p w14:paraId="1E4350CA" w14:textId="77777777" w:rsidR="00000000" w:rsidRDefault="001D0688">
      <w:pPr>
        <w:ind w:hanging="180"/>
        <w:jc w:val="both"/>
        <w:divId w:val="626351715"/>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 xml:space="preserve"> </w:t>
      </w:r>
      <w:r>
        <w:rPr>
          <w:rFonts w:ascii="Arial" w:eastAsia="Times New Roman" w:hAnsi="Arial" w:cs="Arial"/>
          <w:color w:val="000000"/>
          <w:sz w:val="18"/>
          <w:szCs w:val="18"/>
        </w:rPr>
        <w:t>Represents long-term deferred rent, leas</w:t>
      </w:r>
      <w:r>
        <w:rPr>
          <w:rFonts w:ascii="Arial" w:eastAsia="Times New Roman" w:hAnsi="Arial" w:cs="Arial"/>
          <w:color w:val="000000"/>
          <w:sz w:val="18"/>
          <w:szCs w:val="18"/>
        </w:rPr>
        <w:t>e incentives and tenant improvements, and lease exit impairment liabilities reclassified to ROU assets.</w:t>
      </w:r>
    </w:p>
    <w:p w14:paraId="177F2A6E" w14:textId="77777777" w:rsidR="00000000" w:rsidRDefault="001D0688">
      <w:pPr>
        <w:ind w:firstLine="720"/>
        <w:jc w:val="both"/>
        <w:divId w:val="701632588"/>
        <w:rPr>
          <w:rFonts w:eastAsia="Times New Roman"/>
        </w:rPr>
      </w:pPr>
      <w:r>
        <w:rPr>
          <w:rFonts w:ascii="Arial" w:eastAsia="Times New Roman" w:hAnsi="Arial" w:cs="Arial"/>
          <w:color w:val="000000"/>
          <w:sz w:val="20"/>
          <w:szCs w:val="20"/>
        </w:rPr>
        <w:t>In April 2020, the FASB issued a question and answer document focused on the application of lease accounting guidance to lease concessions provided rela</w:t>
      </w:r>
      <w:r>
        <w:rPr>
          <w:rFonts w:ascii="Arial" w:eastAsia="Times New Roman" w:hAnsi="Arial" w:cs="Arial"/>
          <w:color w:val="000000"/>
          <w:sz w:val="20"/>
          <w:szCs w:val="20"/>
        </w:rPr>
        <w:t>ting to the Pandemic (the “Lease Modification Q&amp;A”). The Lease Modification Q&amp;A provides entities with the option to elect to account for lease concessions as though the enforceable rights and obligations existed in the original lease when the total cash f</w:t>
      </w:r>
      <w:r>
        <w:rPr>
          <w:rFonts w:ascii="Arial" w:eastAsia="Times New Roman" w:hAnsi="Arial" w:cs="Arial"/>
          <w:color w:val="000000"/>
          <w:sz w:val="20"/>
          <w:szCs w:val="20"/>
        </w:rPr>
        <w:t>lows resulting from the modified lease are substantially similar to the cash flows in the original lease. We have elected this practical expedient for Pandemic-related rent concessions, primarily rent deferrals or rent abatements, and we have elected not t</w:t>
      </w:r>
      <w:r>
        <w:rPr>
          <w:rFonts w:ascii="Arial" w:eastAsia="Times New Roman" w:hAnsi="Arial" w:cs="Arial"/>
          <w:color w:val="000000"/>
          <w:sz w:val="20"/>
          <w:szCs w:val="20"/>
        </w:rPr>
        <w:t>o remeasure the related lease liability and ROU asset for those leases. These concessions will be recognized as a reduction of rent expense in the month they occur. This election will continue while these concessions are in effect. Pandemic-related lease c</w:t>
      </w:r>
      <w:r>
        <w:rPr>
          <w:rFonts w:ascii="Arial" w:eastAsia="Times New Roman" w:hAnsi="Arial" w:cs="Arial"/>
          <w:color w:val="000000"/>
          <w:sz w:val="20"/>
          <w:szCs w:val="20"/>
        </w:rPr>
        <w:t xml:space="preserve">oncessions were not material for the year ended October 31, 2020. </w:t>
      </w:r>
    </w:p>
    <w:p w14:paraId="048B77A9" w14:textId="77777777" w:rsidR="00000000" w:rsidRDefault="001D0688">
      <w:pPr>
        <w:divId w:val="1299451561"/>
        <w:rPr>
          <w:rFonts w:eastAsia="Times New Roman"/>
        </w:rPr>
      </w:pPr>
      <w:r>
        <w:rPr>
          <w:rFonts w:ascii="Arial" w:eastAsia="Times New Roman" w:hAnsi="Arial" w:cs="Arial"/>
          <w:b/>
          <w:bCs/>
          <w:color w:val="0046AD"/>
          <w:sz w:val="20"/>
          <w:szCs w:val="20"/>
        </w:rPr>
        <w:t xml:space="preserve">Recently Issued Accounting Standards </w:t>
      </w:r>
    </w:p>
    <w:p w14:paraId="757A3C9F" w14:textId="77777777" w:rsidR="00000000" w:rsidRDefault="001D0688">
      <w:pPr>
        <w:jc w:val="both"/>
        <w:divId w:val="55009437"/>
        <w:rPr>
          <w:rFonts w:eastAsia="Times New Roman"/>
        </w:rPr>
      </w:pPr>
      <w:r>
        <w:rPr>
          <w:rFonts w:ascii="Arial" w:eastAsia="Times New Roman" w:hAnsi="Arial" w:cs="Arial"/>
          <w:b/>
          <w:bCs/>
          <w:i/>
          <w:iCs/>
          <w:color w:val="0046AD"/>
          <w:sz w:val="20"/>
          <w:szCs w:val="20"/>
          <w:shd w:val="clear" w:color="auto" w:fill="FFFFFF"/>
        </w:rPr>
        <w:t xml:space="preserve">Measurement of Credit Losses of Financial Instruments </w:t>
      </w:r>
    </w:p>
    <w:p w14:paraId="6D74A2BC" w14:textId="77777777" w:rsidR="00000000" w:rsidRDefault="001D0688">
      <w:pPr>
        <w:ind w:firstLine="720"/>
        <w:jc w:val="both"/>
        <w:divId w:val="83847348"/>
        <w:rPr>
          <w:rFonts w:eastAsia="Times New Roman"/>
        </w:rPr>
      </w:pPr>
      <w:r>
        <w:rPr>
          <w:rFonts w:ascii="Arial" w:eastAsia="Times New Roman" w:hAnsi="Arial" w:cs="Arial"/>
          <w:color w:val="000000"/>
          <w:sz w:val="20"/>
          <w:szCs w:val="20"/>
        </w:rPr>
        <w:t>In June 2016, the Financial Accounting Standards Board (“FASB”) issued ASU No. 2016-13,</w:t>
      </w:r>
      <w:r>
        <w:rPr>
          <w:rFonts w:ascii="Arial" w:eastAsia="Times New Roman" w:hAnsi="Arial" w:cs="Arial"/>
          <w:i/>
          <w:iCs/>
          <w:color w:val="000000"/>
          <w:sz w:val="20"/>
          <w:szCs w:val="20"/>
        </w:rPr>
        <w:t xml:space="preserve"> Financia</w:t>
      </w:r>
      <w:r>
        <w:rPr>
          <w:rFonts w:ascii="Arial" w:eastAsia="Times New Roman" w:hAnsi="Arial" w:cs="Arial"/>
          <w:i/>
          <w:iCs/>
          <w:color w:val="000000"/>
          <w:sz w:val="20"/>
          <w:szCs w:val="20"/>
        </w:rPr>
        <w:t>l Instruments—Credit Losses (Topic 326): Measurement of Credit Losses on Financial Instruments</w:t>
      </w:r>
      <w:r>
        <w:rPr>
          <w:rFonts w:ascii="Arial" w:eastAsia="Times New Roman" w:hAnsi="Arial" w:cs="Arial"/>
          <w:color w:val="000000"/>
          <w:sz w:val="20"/>
          <w:szCs w:val="20"/>
        </w:rPr>
        <w:t>. Since the release of ASU 2016-13, the FASB issued the following additional ASUs further updating Topic 326:</w:t>
      </w:r>
    </w:p>
    <w:p w14:paraId="2E93F39E" w14:textId="77777777" w:rsidR="00000000" w:rsidRDefault="001D0688">
      <w:pPr>
        <w:ind w:hanging="360"/>
        <w:jc w:val="both"/>
        <w:divId w:val="1477379785"/>
        <w:rPr>
          <w:rFonts w:eastAsia="Times New Roman"/>
        </w:rPr>
      </w:pPr>
      <w:r>
        <w:rPr>
          <w:rFonts w:ascii="Arial" w:eastAsia="Times New Roman" w:hAnsi="Arial" w:cs="Arial"/>
          <w:color w:val="000000"/>
          <w:sz w:val="20"/>
          <w:szCs w:val="20"/>
        </w:rPr>
        <w:t xml:space="preserve">•In November 2018, ASU 2018-19, </w:t>
      </w:r>
      <w:r>
        <w:rPr>
          <w:rFonts w:ascii="Arial" w:eastAsia="Times New Roman" w:hAnsi="Arial" w:cs="Arial"/>
          <w:i/>
          <w:iCs/>
          <w:color w:val="000000"/>
          <w:sz w:val="20"/>
          <w:szCs w:val="20"/>
        </w:rPr>
        <w:t>Codification Improve</w:t>
      </w:r>
      <w:r>
        <w:rPr>
          <w:rFonts w:ascii="Arial" w:eastAsia="Times New Roman" w:hAnsi="Arial" w:cs="Arial"/>
          <w:i/>
          <w:iCs/>
          <w:color w:val="000000"/>
          <w:sz w:val="20"/>
          <w:szCs w:val="20"/>
        </w:rPr>
        <w:t>ments to Topic 326, Financial Instruments—Credit Losses</w:t>
      </w:r>
    </w:p>
    <w:p w14:paraId="7CF5CED5" w14:textId="77777777" w:rsidR="00000000" w:rsidRDefault="001D0688">
      <w:pPr>
        <w:ind w:hanging="360"/>
        <w:jc w:val="both"/>
        <w:divId w:val="1313026835"/>
        <w:rPr>
          <w:rFonts w:eastAsia="Times New Roman"/>
        </w:rPr>
      </w:pPr>
      <w:r>
        <w:rPr>
          <w:rFonts w:ascii="Arial" w:eastAsia="Times New Roman" w:hAnsi="Arial" w:cs="Arial"/>
          <w:color w:val="000000"/>
          <w:sz w:val="20"/>
          <w:szCs w:val="20"/>
        </w:rPr>
        <w:t xml:space="preserve">•In April 2019, ASU 2019-04, </w:t>
      </w:r>
      <w:r>
        <w:rPr>
          <w:rFonts w:ascii="Arial" w:eastAsia="Times New Roman" w:hAnsi="Arial" w:cs="Arial"/>
          <w:i/>
          <w:iCs/>
          <w:color w:val="000000"/>
          <w:sz w:val="20"/>
          <w:szCs w:val="20"/>
        </w:rPr>
        <w:t>Codification Improvements to Topic 326: Financial Instruments—Credit Losses; Topic 815: Derivatives and Hedging; and Topic 825: Financial Instruments</w:t>
      </w:r>
    </w:p>
    <w:p w14:paraId="7D0CCACB" w14:textId="77777777" w:rsidR="00000000" w:rsidRDefault="001D0688">
      <w:pPr>
        <w:jc w:val="center"/>
        <w:divId w:val="2068335177"/>
        <w:rPr>
          <w:rFonts w:eastAsia="Times New Roman"/>
        </w:rPr>
      </w:pPr>
      <w:r>
        <w:rPr>
          <w:rFonts w:ascii="Arial" w:eastAsia="Times New Roman" w:hAnsi="Arial" w:cs="Arial"/>
          <w:color w:val="000000"/>
          <w:sz w:val="20"/>
          <w:szCs w:val="20"/>
        </w:rPr>
        <w:t>66</w:t>
      </w:r>
    </w:p>
    <w:p w14:paraId="6ECCD30A" w14:textId="77777777" w:rsidR="00000000" w:rsidRDefault="001D0688">
      <w:pPr>
        <w:rPr>
          <w:rFonts w:eastAsia="Times New Roman"/>
        </w:rPr>
      </w:pPr>
      <w:r>
        <w:rPr>
          <w:rFonts w:eastAsia="Times New Roman"/>
        </w:rPr>
        <w:pict w14:anchorId="7BB6E598">
          <v:rect id="_x0000_i1103" style="width:0;height:1.5pt" o:hralign="center" o:hrstd="t" o:hr="t" fillcolor="#a0a0a0" stroked="f"/>
        </w:pict>
      </w:r>
    </w:p>
    <w:p w14:paraId="42C92C3B" w14:textId="77777777" w:rsidR="00000000" w:rsidRDefault="001D0688">
      <w:pPr>
        <w:divId w:val="1740320134"/>
        <w:rPr>
          <w:rFonts w:eastAsia="Times New Roman"/>
        </w:rPr>
      </w:pPr>
    </w:p>
    <w:p w14:paraId="3AB2A82E" w14:textId="77777777" w:rsidR="00000000" w:rsidRDefault="001D0688">
      <w:pPr>
        <w:ind w:hanging="360"/>
        <w:jc w:val="both"/>
        <w:divId w:val="668826358"/>
        <w:rPr>
          <w:rFonts w:eastAsia="Times New Roman"/>
        </w:rPr>
      </w:pPr>
      <w:r>
        <w:rPr>
          <w:rFonts w:ascii="Arial" w:eastAsia="Times New Roman" w:hAnsi="Arial" w:cs="Arial"/>
          <w:color w:val="000000"/>
          <w:sz w:val="20"/>
          <w:szCs w:val="20"/>
        </w:rPr>
        <w:t>•In May 2019, ASU 2019-05,</w:t>
      </w:r>
      <w:r>
        <w:rPr>
          <w:rFonts w:ascii="Arial" w:eastAsia="Times New Roman" w:hAnsi="Arial" w:cs="Arial"/>
          <w:i/>
          <w:iCs/>
          <w:color w:val="000000"/>
          <w:sz w:val="20"/>
          <w:szCs w:val="20"/>
        </w:rPr>
        <w:t xml:space="preserve"> Financial Instruments—Credit Losses (Topic 326): Targeted Transition Relief</w:t>
      </w:r>
    </w:p>
    <w:p w14:paraId="72EAB0E5" w14:textId="77777777" w:rsidR="00000000" w:rsidRDefault="001D0688">
      <w:pPr>
        <w:ind w:hanging="360"/>
        <w:jc w:val="both"/>
        <w:divId w:val="1542403030"/>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In November 2019, ASU 2019-11,</w:t>
      </w:r>
      <w:r>
        <w:rPr>
          <w:rFonts w:ascii="Arial" w:eastAsia="Times New Roman" w:hAnsi="Arial" w:cs="Arial"/>
          <w:i/>
          <w:iCs/>
          <w:color w:val="000000"/>
          <w:sz w:val="20"/>
          <w:szCs w:val="20"/>
        </w:rPr>
        <w:t xml:space="preserve"> Codification Improvements to Topic 326, Financial Instruments—Credit Losses</w:t>
      </w:r>
    </w:p>
    <w:p w14:paraId="30912645" w14:textId="77777777" w:rsidR="00000000" w:rsidRDefault="001D0688">
      <w:pPr>
        <w:ind w:hanging="360"/>
        <w:jc w:val="both"/>
        <w:divId w:val="506940729"/>
        <w:rPr>
          <w:rFonts w:eastAsia="Times New Roman"/>
        </w:rPr>
      </w:pPr>
      <w:r>
        <w:rPr>
          <w:rFonts w:ascii="Arial" w:eastAsia="Times New Roman" w:hAnsi="Arial" w:cs="Arial"/>
          <w:color w:val="000000"/>
          <w:sz w:val="20"/>
          <w:szCs w:val="20"/>
        </w:rPr>
        <w:t>•In March 2020, ASU 2020-</w:t>
      </w:r>
      <w:r>
        <w:rPr>
          <w:rFonts w:ascii="Arial" w:eastAsia="Times New Roman" w:hAnsi="Arial" w:cs="Arial"/>
          <w:color w:val="000000"/>
          <w:sz w:val="20"/>
          <w:szCs w:val="20"/>
        </w:rPr>
        <w:t xml:space="preserve">03, </w:t>
      </w:r>
      <w:r>
        <w:rPr>
          <w:rFonts w:ascii="Arial" w:eastAsia="Times New Roman" w:hAnsi="Arial" w:cs="Arial"/>
          <w:i/>
          <w:iCs/>
          <w:color w:val="000000"/>
          <w:sz w:val="20"/>
          <w:szCs w:val="20"/>
        </w:rPr>
        <w:t>Codification Improvements to Financial Instruments</w:t>
      </w:r>
    </w:p>
    <w:p w14:paraId="4B760041" w14:textId="77777777" w:rsidR="00000000" w:rsidRDefault="001D0688">
      <w:pPr>
        <w:ind w:firstLine="720"/>
        <w:jc w:val="both"/>
        <w:divId w:val="675304201"/>
        <w:rPr>
          <w:rFonts w:eastAsia="Times New Roman"/>
        </w:rPr>
      </w:pPr>
      <w:r>
        <w:rPr>
          <w:rFonts w:ascii="Arial" w:eastAsia="Times New Roman" w:hAnsi="Arial" w:cs="Arial"/>
          <w:color w:val="000000"/>
          <w:sz w:val="20"/>
          <w:szCs w:val="20"/>
        </w:rPr>
        <w:t xml:space="preserve">Topic 326 replaces the existing incurred loss impairment model with a methodology that incorporates all expected credit loss estimates, resulting in more timely recognition of losses. Under Topic 326, </w:t>
      </w:r>
      <w:r>
        <w:rPr>
          <w:rFonts w:ascii="Arial" w:eastAsia="Times New Roman" w:hAnsi="Arial" w:cs="Arial"/>
          <w:color w:val="000000"/>
          <w:sz w:val="20"/>
          <w:szCs w:val="20"/>
        </w:rPr>
        <w:t>an organization is required to measure all expected credit losses for financial assets held at the reporting date based on historical experience, current conditions, and reasonable and supportable forecasts that affect the collectability of the reported fi</w:t>
      </w:r>
      <w:r>
        <w:rPr>
          <w:rFonts w:ascii="Arial" w:eastAsia="Times New Roman" w:hAnsi="Arial" w:cs="Arial"/>
          <w:color w:val="000000"/>
          <w:sz w:val="20"/>
          <w:szCs w:val="20"/>
        </w:rPr>
        <w:t>nancial assets. It also requires credit losses related to available-for-sale debt securities to be recorded through an allowance for credit losses. We will adopt this standard effective November 1, 2020 on a modified retrospective basis. The adoption of th</w:t>
      </w:r>
      <w:r>
        <w:rPr>
          <w:rFonts w:ascii="Arial" w:eastAsia="Times New Roman" w:hAnsi="Arial" w:cs="Arial"/>
          <w:color w:val="000000"/>
          <w:sz w:val="20"/>
          <w:szCs w:val="20"/>
        </w:rPr>
        <w:t xml:space="preserve">e standard is not expected to have a material impact on the consolidated financial statements. </w:t>
      </w:r>
    </w:p>
    <w:p w14:paraId="08F499A1" w14:textId="77777777" w:rsidR="00000000" w:rsidRDefault="001D0688">
      <w:pPr>
        <w:jc w:val="both"/>
        <w:divId w:val="430317842"/>
        <w:rPr>
          <w:rFonts w:eastAsia="Times New Roman"/>
        </w:rPr>
      </w:pPr>
      <w:r>
        <w:rPr>
          <w:rFonts w:ascii="Arial" w:eastAsia="Times New Roman" w:hAnsi="Arial" w:cs="Arial"/>
          <w:b/>
          <w:bCs/>
          <w:i/>
          <w:iCs/>
          <w:color w:val="0046AD"/>
          <w:sz w:val="20"/>
          <w:szCs w:val="20"/>
          <w:shd w:val="clear" w:color="auto" w:fill="FFFFFF"/>
        </w:rPr>
        <w:t>Implementation Costs Incurred in a Cloud Computing Arrangement That Is a Service Contract</w:t>
      </w:r>
    </w:p>
    <w:p w14:paraId="2AB66B10" w14:textId="77777777" w:rsidR="00000000" w:rsidRDefault="001D0688">
      <w:pPr>
        <w:ind w:firstLine="720"/>
        <w:jc w:val="both"/>
        <w:divId w:val="1226835049"/>
        <w:rPr>
          <w:rFonts w:eastAsia="Times New Roman"/>
        </w:rPr>
      </w:pPr>
      <w:r>
        <w:rPr>
          <w:rFonts w:ascii="Arial" w:eastAsia="Times New Roman" w:hAnsi="Arial" w:cs="Arial"/>
          <w:color w:val="000000"/>
          <w:sz w:val="20"/>
          <w:szCs w:val="20"/>
        </w:rPr>
        <w:t xml:space="preserve">In August 2018, the FASB issued ASU No. 2018-15, </w:t>
      </w:r>
      <w:r>
        <w:rPr>
          <w:rFonts w:ascii="Arial" w:eastAsia="Times New Roman" w:hAnsi="Arial" w:cs="Arial"/>
          <w:i/>
          <w:iCs/>
          <w:color w:val="000000"/>
          <w:sz w:val="20"/>
          <w:szCs w:val="20"/>
        </w:rPr>
        <w:t>Intangibles—Goodwill and Other-Internal-Use Software (Subtopic 350-40): Customer’</w:t>
      </w:r>
      <w:r>
        <w:rPr>
          <w:rFonts w:ascii="Arial" w:eastAsia="Times New Roman" w:hAnsi="Arial" w:cs="Arial"/>
          <w:i/>
          <w:iCs/>
          <w:color w:val="000000"/>
          <w:sz w:val="20"/>
          <w:szCs w:val="20"/>
        </w:rPr>
        <w:t>s Accounting for Implementation Costs Incurred in a Cloud Computing Arrangement That Is a Service Contract</w:t>
      </w:r>
      <w:r>
        <w:rPr>
          <w:rFonts w:ascii="Arial" w:eastAsia="Times New Roman" w:hAnsi="Arial" w:cs="Arial"/>
          <w:color w:val="000000"/>
          <w:sz w:val="20"/>
          <w:szCs w:val="20"/>
        </w:rPr>
        <w:t>. This accounting update aligns the requirements for capitalizing implementation costs incurred in a hosting arrangement that is a service contract wi</w:t>
      </w:r>
      <w:r>
        <w:rPr>
          <w:rFonts w:ascii="Arial" w:eastAsia="Times New Roman" w:hAnsi="Arial" w:cs="Arial"/>
          <w:color w:val="000000"/>
          <w:sz w:val="20"/>
          <w:szCs w:val="20"/>
        </w:rPr>
        <w:t>th the requirements for capitalizing implementation costs incurred to develop or obtain internal-use software. The guidance also specifies that the balance sheet, income statement, and statement of cash flows presentation of capitalized implementation cost</w:t>
      </w:r>
      <w:r>
        <w:rPr>
          <w:rFonts w:ascii="Arial" w:eastAsia="Times New Roman" w:hAnsi="Arial" w:cs="Arial"/>
          <w:color w:val="000000"/>
          <w:sz w:val="20"/>
          <w:szCs w:val="20"/>
        </w:rPr>
        <w:t>s and the related amortization should align with the presentation of the hosting (service) element of the arrangement. We will adopt this standard effective November 1, 2020 on a prospective basis. The adoption of the standard is not expected to have a mat</w:t>
      </w:r>
      <w:r>
        <w:rPr>
          <w:rFonts w:ascii="Arial" w:eastAsia="Times New Roman" w:hAnsi="Arial" w:cs="Arial"/>
          <w:color w:val="000000"/>
          <w:sz w:val="20"/>
          <w:szCs w:val="20"/>
        </w:rPr>
        <w:t>erial impact on the consolidated financial statements.</w:t>
      </w:r>
    </w:p>
    <w:p w14:paraId="333619C8" w14:textId="77777777" w:rsidR="00000000" w:rsidRDefault="001D0688">
      <w:pPr>
        <w:ind w:firstLine="720"/>
        <w:jc w:val="both"/>
        <w:divId w:val="1180004180"/>
        <w:rPr>
          <w:rFonts w:eastAsia="Times New Roman"/>
        </w:rPr>
      </w:pPr>
      <w:r>
        <w:rPr>
          <w:rFonts w:ascii="Arial" w:eastAsia="Times New Roman" w:hAnsi="Arial" w:cs="Arial"/>
          <w:color w:val="000000"/>
          <w:sz w:val="20"/>
          <w:szCs w:val="20"/>
        </w:rPr>
        <w:t xml:space="preserve">No other recently issued accounting standards are expected to have a significant impact on our fiscal 2021 consolidated financial statements. </w:t>
      </w:r>
    </w:p>
    <w:p w14:paraId="3D87E6BF" w14:textId="77777777" w:rsidR="00000000" w:rsidRDefault="001D0688">
      <w:pPr>
        <w:divId w:val="391584090"/>
        <w:rPr>
          <w:rFonts w:eastAsia="Times New Roman"/>
        </w:rPr>
      </w:pPr>
    </w:p>
    <w:p w14:paraId="21AC061B" w14:textId="77777777" w:rsidR="00000000" w:rsidRDefault="001D0688">
      <w:pPr>
        <w:jc w:val="center"/>
        <w:divId w:val="717820732"/>
        <w:rPr>
          <w:rFonts w:eastAsia="Times New Roman"/>
        </w:rPr>
      </w:pPr>
      <w:r>
        <w:rPr>
          <w:rFonts w:ascii="Arial" w:eastAsia="Times New Roman" w:hAnsi="Arial" w:cs="Arial"/>
          <w:color w:val="000000"/>
          <w:sz w:val="20"/>
          <w:szCs w:val="20"/>
        </w:rPr>
        <w:t>67</w:t>
      </w:r>
    </w:p>
    <w:p w14:paraId="5F72EFAE" w14:textId="77777777" w:rsidR="00000000" w:rsidRDefault="001D0688">
      <w:pPr>
        <w:rPr>
          <w:rFonts w:eastAsia="Times New Roman"/>
        </w:rPr>
      </w:pPr>
      <w:r>
        <w:rPr>
          <w:rFonts w:eastAsia="Times New Roman"/>
        </w:rPr>
        <w:pict w14:anchorId="3292E085">
          <v:rect id="_x0000_i1104" style="width:0;height:1.5pt" o:hralign="center" o:hrstd="t" o:hr="t" fillcolor="#a0a0a0" stroked="f"/>
        </w:pict>
      </w:r>
    </w:p>
    <w:p w14:paraId="5761D70D" w14:textId="77777777" w:rsidR="00000000" w:rsidRDefault="001D0688">
      <w:pPr>
        <w:divId w:val="1376078384"/>
        <w:rPr>
          <w:rFonts w:eastAsia="Times New Roman"/>
        </w:rPr>
      </w:pPr>
    </w:p>
    <w:p w14:paraId="5F83FCB1" w14:textId="77777777" w:rsidR="00000000" w:rsidRDefault="001D0688">
      <w:pPr>
        <w:divId w:val="624315887"/>
        <w:rPr>
          <w:rFonts w:eastAsia="Times New Roman"/>
        </w:rPr>
      </w:pPr>
      <w:r>
        <w:rPr>
          <w:rFonts w:ascii="Arial" w:eastAsia="Times New Roman" w:hAnsi="Arial" w:cs="Arial"/>
          <w:b/>
          <w:bCs/>
          <w:color w:val="0046AD"/>
          <w:sz w:val="20"/>
          <w:szCs w:val="20"/>
        </w:rPr>
        <w:t xml:space="preserve">3. REVENUES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59C2826C" w14:textId="77777777">
        <w:trPr>
          <w:divId w:val="515770533"/>
        </w:trPr>
        <w:tc>
          <w:tcPr>
            <w:tcW w:w="5" w:type="pct"/>
            <w:vAlign w:val="center"/>
            <w:hideMark/>
          </w:tcPr>
          <w:p w14:paraId="6581EC83" w14:textId="77777777" w:rsidR="00000000" w:rsidRDefault="001D0688">
            <w:pPr>
              <w:rPr>
                <w:rFonts w:eastAsia="Times New Roman"/>
              </w:rPr>
            </w:pPr>
          </w:p>
        </w:tc>
        <w:tc>
          <w:tcPr>
            <w:tcW w:w="129" w:type="pct"/>
            <w:vAlign w:val="center"/>
            <w:hideMark/>
          </w:tcPr>
          <w:p w14:paraId="445B521A" w14:textId="77777777" w:rsidR="00000000" w:rsidRDefault="001D0688">
            <w:pPr>
              <w:rPr>
                <w:rFonts w:eastAsia="Times New Roman"/>
                <w:sz w:val="20"/>
                <w:szCs w:val="20"/>
              </w:rPr>
            </w:pPr>
          </w:p>
        </w:tc>
        <w:tc>
          <w:tcPr>
            <w:tcW w:w="5" w:type="pct"/>
            <w:vAlign w:val="center"/>
            <w:hideMark/>
          </w:tcPr>
          <w:p w14:paraId="7E699A97" w14:textId="77777777" w:rsidR="00000000" w:rsidRDefault="001D0688">
            <w:pPr>
              <w:rPr>
                <w:rFonts w:eastAsia="Times New Roman"/>
                <w:sz w:val="20"/>
                <w:szCs w:val="20"/>
              </w:rPr>
            </w:pPr>
          </w:p>
        </w:tc>
        <w:tc>
          <w:tcPr>
            <w:tcW w:w="50" w:type="pct"/>
            <w:vAlign w:val="center"/>
            <w:hideMark/>
          </w:tcPr>
          <w:p w14:paraId="345C8951" w14:textId="77777777" w:rsidR="00000000" w:rsidRDefault="001D0688">
            <w:pPr>
              <w:rPr>
                <w:rFonts w:eastAsia="Times New Roman"/>
                <w:sz w:val="20"/>
                <w:szCs w:val="20"/>
              </w:rPr>
            </w:pPr>
          </w:p>
        </w:tc>
        <w:tc>
          <w:tcPr>
            <w:tcW w:w="4805" w:type="pct"/>
            <w:vAlign w:val="center"/>
            <w:hideMark/>
          </w:tcPr>
          <w:p w14:paraId="5D0CC902" w14:textId="77777777" w:rsidR="00000000" w:rsidRDefault="001D0688">
            <w:pPr>
              <w:rPr>
                <w:rFonts w:eastAsia="Times New Roman"/>
                <w:sz w:val="20"/>
                <w:szCs w:val="20"/>
              </w:rPr>
            </w:pPr>
          </w:p>
        </w:tc>
        <w:tc>
          <w:tcPr>
            <w:tcW w:w="5" w:type="pct"/>
            <w:vAlign w:val="center"/>
            <w:hideMark/>
          </w:tcPr>
          <w:p w14:paraId="4E8830BC" w14:textId="77777777" w:rsidR="00000000" w:rsidRDefault="001D0688">
            <w:pPr>
              <w:rPr>
                <w:rFonts w:eastAsia="Times New Roman"/>
                <w:sz w:val="20"/>
                <w:szCs w:val="20"/>
              </w:rPr>
            </w:pPr>
          </w:p>
        </w:tc>
      </w:tr>
      <w:tr w:rsidR="00000000" w14:paraId="2301438A" w14:textId="77777777">
        <w:trPr>
          <w:divId w:val="515770533"/>
          <w:trHeight w:val="60"/>
        </w:trPr>
        <w:tc>
          <w:tcPr>
            <w:tcW w:w="0" w:type="auto"/>
            <w:gridSpan w:val="3"/>
            <w:tcBorders>
              <w:top w:val="single" w:sz="8" w:space="0" w:color="E98300"/>
            </w:tcBorders>
            <w:tcMar>
              <w:top w:w="0" w:type="dxa"/>
              <w:left w:w="20" w:type="dxa"/>
              <w:bottom w:w="0" w:type="dxa"/>
              <w:right w:w="20" w:type="dxa"/>
            </w:tcMar>
            <w:vAlign w:val="center"/>
            <w:hideMark/>
          </w:tcPr>
          <w:p w14:paraId="1612592E"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8F3FB6C" w14:textId="77777777" w:rsidR="00000000" w:rsidRDefault="001D0688">
            <w:pPr>
              <w:rPr>
                <w:rFonts w:eastAsia="Times New Roman"/>
                <w:sz w:val="20"/>
                <w:szCs w:val="20"/>
              </w:rPr>
            </w:pPr>
          </w:p>
        </w:tc>
      </w:tr>
    </w:tbl>
    <w:p w14:paraId="0288CECB" w14:textId="77777777" w:rsidR="00000000" w:rsidRDefault="001D0688">
      <w:pPr>
        <w:jc w:val="both"/>
        <w:divId w:val="960380617"/>
        <w:rPr>
          <w:rFonts w:eastAsia="Times New Roman"/>
        </w:rPr>
      </w:pPr>
      <w:r>
        <w:rPr>
          <w:rFonts w:ascii="Arial" w:eastAsia="Times New Roman" w:hAnsi="Arial" w:cs="Arial"/>
          <w:b/>
          <w:bCs/>
          <w:color w:val="0046AD"/>
          <w:sz w:val="20"/>
          <w:szCs w:val="20"/>
        </w:rPr>
        <w:t>Disaggregation of Revenues</w:t>
      </w:r>
    </w:p>
    <w:p w14:paraId="5571E410" w14:textId="77777777" w:rsidR="00000000" w:rsidRDefault="001D0688">
      <w:pPr>
        <w:ind w:firstLine="720"/>
        <w:jc w:val="both"/>
        <w:divId w:val="1196622760"/>
        <w:rPr>
          <w:rFonts w:eastAsia="Times New Roman"/>
        </w:rPr>
      </w:pPr>
      <w:r>
        <w:rPr>
          <w:rFonts w:ascii="Arial" w:eastAsia="Times New Roman" w:hAnsi="Arial" w:cs="Arial"/>
          <w:color w:val="000000"/>
          <w:sz w:val="20"/>
          <w:szCs w:val="20"/>
        </w:rPr>
        <w:t xml:space="preserve">We generate revenues under several types of contracts, which are further described in Note 2, “Basis of Presentation and Significant Accounting Policies.” </w:t>
      </w:r>
      <w:r>
        <w:rPr>
          <w:rFonts w:ascii="Arial" w:eastAsia="Times New Roman" w:hAnsi="Arial" w:cs="Arial"/>
          <w:color w:val="000000"/>
          <w:sz w:val="20"/>
          <w:szCs w:val="20"/>
        </w:rPr>
        <w:t xml:space="preserve">Generally, the type of contract is determined by the nature of the services provided by each of our major service lines throughout our reportable segments; therefore, we disaggregate revenues from contracts with customers into major service lines. We have </w:t>
      </w:r>
      <w:r>
        <w:rPr>
          <w:rFonts w:ascii="Arial" w:eastAsia="Times New Roman" w:hAnsi="Arial" w:cs="Arial"/>
          <w:color w:val="000000"/>
          <w:sz w:val="20"/>
          <w:szCs w:val="20"/>
        </w:rPr>
        <w:t>determined that disaggregating revenues into these categories best depicts how the nature, amount, timing, and uncertainty of revenues and cash flows are affected by economic factors. Our reportable segments are B&amp;I, T&amp;M, Education, Aviation, and Technical</w:t>
      </w:r>
      <w:r>
        <w:rPr>
          <w:rFonts w:ascii="Arial" w:eastAsia="Times New Roman" w:hAnsi="Arial" w:cs="Arial"/>
          <w:color w:val="000000"/>
          <w:sz w:val="20"/>
          <w:szCs w:val="20"/>
        </w:rPr>
        <w:t xml:space="preserve"> Solutions, as described in Note 17, “Segment and Geographic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585"/>
        <w:gridCol w:w="38"/>
        <w:gridCol w:w="36"/>
        <w:gridCol w:w="36"/>
        <w:gridCol w:w="36"/>
        <w:gridCol w:w="121"/>
        <w:gridCol w:w="651"/>
        <w:gridCol w:w="36"/>
        <w:gridCol w:w="36"/>
        <w:gridCol w:w="36"/>
        <w:gridCol w:w="36"/>
        <w:gridCol w:w="121"/>
        <w:gridCol w:w="501"/>
        <w:gridCol w:w="36"/>
        <w:gridCol w:w="36"/>
        <w:gridCol w:w="36"/>
        <w:gridCol w:w="36"/>
        <w:gridCol w:w="122"/>
        <w:gridCol w:w="808"/>
        <w:gridCol w:w="36"/>
        <w:gridCol w:w="36"/>
        <w:gridCol w:w="36"/>
        <w:gridCol w:w="36"/>
        <w:gridCol w:w="122"/>
        <w:gridCol w:w="667"/>
        <w:gridCol w:w="36"/>
        <w:gridCol w:w="36"/>
        <w:gridCol w:w="36"/>
        <w:gridCol w:w="36"/>
        <w:gridCol w:w="122"/>
        <w:gridCol w:w="773"/>
        <w:gridCol w:w="36"/>
        <w:gridCol w:w="36"/>
        <w:gridCol w:w="36"/>
        <w:gridCol w:w="36"/>
        <w:gridCol w:w="121"/>
        <w:gridCol w:w="651"/>
        <w:gridCol w:w="36"/>
      </w:tblGrid>
      <w:tr w:rsidR="00000000" w14:paraId="52FD139E" w14:textId="77777777">
        <w:trPr>
          <w:divId w:val="1226835860"/>
        </w:trPr>
        <w:tc>
          <w:tcPr>
            <w:tcW w:w="50" w:type="pct"/>
            <w:vAlign w:val="center"/>
            <w:hideMark/>
          </w:tcPr>
          <w:p w14:paraId="0D471B00" w14:textId="77777777" w:rsidR="00000000" w:rsidRDefault="001D0688">
            <w:pPr>
              <w:ind w:firstLine="720"/>
              <w:jc w:val="both"/>
              <w:rPr>
                <w:rFonts w:eastAsia="Times New Roman"/>
              </w:rPr>
            </w:pPr>
          </w:p>
        </w:tc>
        <w:tc>
          <w:tcPr>
            <w:tcW w:w="1823" w:type="pct"/>
            <w:vAlign w:val="center"/>
            <w:hideMark/>
          </w:tcPr>
          <w:p w14:paraId="7BE389AA" w14:textId="77777777" w:rsidR="00000000" w:rsidRDefault="001D0688">
            <w:pPr>
              <w:rPr>
                <w:rFonts w:eastAsia="Times New Roman"/>
                <w:sz w:val="20"/>
                <w:szCs w:val="20"/>
              </w:rPr>
            </w:pPr>
          </w:p>
        </w:tc>
        <w:tc>
          <w:tcPr>
            <w:tcW w:w="5" w:type="pct"/>
            <w:vAlign w:val="center"/>
            <w:hideMark/>
          </w:tcPr>
          <w:p w14:paraId="63254793" w14:textId="77777777" w:rsidR="00000000" w:rsidRDefault="001D0688">
            <w:pPr>
              <w:rPr>
                <w:rFonts w:eastAsia="Times New Roman"/>
                <w:sz w:val="20"/>
                <w:szCs w:val="20"/>
              </w:rPr>
            </w:pPr>
          </w:p>
        </w:tc>
        <w:tc>
          <w:tcPr>
            <w:tcW w:w="5" w:type="pct"/>
            <w:vAlign w:val="center"/>
            <w:hideMark/>
          </w:tcPr>
          <w:p w14:paraId="2837C651" w14:textId="77777777" w:rsidR="00000000" w:rsidRDefault="001D0688">
            <w:pPr>
              <w:rPr>
                <w:rFonts w:eastAsia="Times New Roman"/>
                <w:sz w:val="20"/>
                <w:szCs w:val="20"/>
              </w:rPr>
            </w:pPr>
          </w:p>
        </w:tc>
        <w:tc>
          <w:tcPr>
            <w:tcW w:w="26" w:type="pct"/>
            <w:vAlign w:val="center"/>
            <w:hideMark/>
          </w:tcPr>
          <w:p w14:paraId="7EBFEB30" w14:textId="77777777" w:rsidR="00000000" w:rsidRDefault="001D0688">
            <w:pPr>
              <w:rPr>
                <w:rFonts w:eastAsia="Times New Roman"/>
                <w:sz w:val="20"/>
                <w:szCs w:val="20"/>
              </w:rPr>
            </w:pPr>
          </w:p>
        </w:tc>
        <w:tc>
          <w:tcPr>
            <w:tcW w:w="5" w:type="pct"/>
            <w:vAlign w:val="center"/>
            <w:hideMark/>
          </w:tcPr>
          <w:p w14:paraId="23AE8182" w14:textId="77777777" w:rsidR="00000000" w:rsidRDefault="001D0688">
            <w:pPr>
              <w:rPr>
                <w:rFonts w:eastAsia="Times New Roman"/>
                <w:sz w:val="20"/>
                <w:szCs w:val="20"/>
              </w:rPr>
            </w:pPr>
          </w:p>
        </w:tc>
        <w:tc>
          <w:tcPr>
            <w:tcW w:w="50" w:type="pct"/>
            <w:vAlign w:val="center"/>
            <w:hideMark/>
          </w:tcPr>
          <w:p w14:paraId="78AB0F72" w14:textId="77777777" w:rsidR="00000000" w:rsidRDefault="001D0688">
            <w:pPr>
              <w:rPr>
                <w:rFonts w:eastAsia="Times New Roman"/>
                <w:sz w:val="20"/>
                <w:szCs w:val="20"/>
              </w:rPr>
            </w:pPr>
          </w:p>
        </w:tc>
        <w:tc>
          <w:tcPr>
            <w:tcW w:w="434" w:type="pct"/>
            <w:vAlign w:val="center"/>
            <w:hideMark/>
          </w:tcPr>
          <w:p w14:paraId="557C8398" w14:textId="77777777" w:rsidR="00000000" w:rsidRDefault="001D0688">
            <w:pPr>
              <w:rPr>
                <w:rFonts w:eastAsia="Times New Roman"/>
                <w:sz w:val="20"/>
                <w:szCs w:val="20"/>
              </w:rPr>
            </w:pPr>
          </w:p>
        </w:tc>
        <w:tc>
          <w:tcPr>
            <w:tcW w:w="5" w:type="pct"/>
            <w:vAlign w:val="center"/>
            <w:hideMark/>
          </w:tcPr>
          <w:p w14:paraId="24D14FBD" w14:textId="77777777" w:rsidR="00000000" w:rsidRDefault="001D0688">
            <w:pPr>
              <w:rPr>
                <w:rFonts w:eastAsia="Times New Roman"/>
                <w:sz w:val="20"/>
                <w:szCs w:val="20"/>
              </w:rPr>
            </w:pPr>
          </w:p>
        </w:tc>
        <w:tc>
          <w:tcPr>
            <w:tcW w:w="5" w:type="pct"/>
            <w:vAlign w:val="center"/>
            <w:hideMark/>
          </w:tcPr>
          <w:p w14:paraId="0CECC042" w14:textId="77777777" w:rsidR="00000000" w:rsidRDefault="001D0688">
            <w:pPr>
              <w:rPr>
                <w:rFonts w:eastAsia="Times New Roman"/>
                <w:sz w:val="20"/>
                <w:szCs w:val="20"/>
              </w:rPr>
            </w:pPr>
          </w:p>
        </w:tc>
        <w:tc>
          <w:tcPr>
            <w:tcW w:w="19" w:type="pct"/>
            <w:vAlign w:val="center"/>
            <w:hideMark/>
          </w:tcPr>
          <w:p w14:paraId="71985919" w14:textId="77777777" w:rsidR="00000000" w:rsidRDefault="001D0688">
            <w:pPr>
              <w:rPr>
                <w:rFonts w:eastAsia="Times New Roman"/>
                <w:sz w:val="20"/>
                <w:szCs w:val="20"/>
              </w:rPr>
            </w:pPr>
          </w:p>
        </w:tc>
        <w:tc>
          <w:tcPr>
            <w:tcW w:w="5" w:type="pct"/>
            <w:vAlign w:val="center"/>
            <w:hideMark/>
          </w:tcPr>
          <w:p w14:paraId="7C9F0BF7" w14:textId="77777777" w:rsidR="00000000" w:rsidRDefault="001D0688">
            <w:pPr>
              <w:rPr>
                <w:rFonts w:eastAsia="Times New Roman"/>
                <w:sz w:val="20"/>
                <w:szCs w:val="20"/>
              </w:rPr>
            </w:pPr>
          </w:p>
        </w:tc>
        <w:tc>
          <w:tcPr>
            <w:tcW w:w="50" w:type="pct"/>
            <w:vAlign w:val="center"/>
            <w:hideMark/>
          </w:tcPr>
          <w:p w14:paraId="7C9AF48B" w14:textId="77777777" w:rsidR="00000000" w:rsidRDefault="001D0688">
            <w:pPr>
              <w:rPr>
                <w:rFonts w:eastAsia="Times New Roman"/>
                <w:sz w:val="20"/>
                <w:szCs w:val="20"/>
              </w:rPr>
            </w:pPr>
          </w:p>
        </w:tc>
        <w:tc>
          <w:tcPr>
            <w:tcW w:w="434" w:type="pct"/>
            <w:vAlign w:val="center"/>
            <w:hideMark/>
          </w:tcPr>
          <w:p w14:paraId="5FA47566" w14:textId="77777777" w:rsidR="00000000" w:rsidRDefault="001D0688">
            <w:pPr>
              <w:rPr>
                <w:rFonts w:eastAsia="Times New Roman"/>
                <w:sz w:val="20"/>
                <w:szCs w:val="20"/>
              </w:rPr>
            </w:pPr>
          </w:p>
        </w:tc>
        <w:tc>
          <w:tcPr>
            <w:tcW w:w="5" w:type="pct"/>
            <w:vAlign w:val="center"/>
            <w:hideMark/>
          </w:tcPr>
          <w:p w14:paraId="4338C277" w14:textId="77777777" w:rsidR="00000000" w:rsidRDefault="001D0688">
            <w:pPr>
              <w:rPr>
                <w:rFonts w:eastAsia="Times New Roman"/>
                <w:sz w:val="20"/>
                <w:szCs w:val="20"/>
              </w:rPr>
            </w:pPr>
          </w:p>
        </w:tc>
        <w:tc>
          <w:tcPr>
            <w:tcW w:w="5" w:type="pct"/>
            <w:vAlign w:val="center"/>
            <w:hideMark/>
          </w:tcPr>
          <w:p w14:paraId="73892518" w14:textId="77777777" w:rsidR="00000000" w:rsidRDefault="001D0688">
            <w:pPr>
              <w:rPr>
                <w:rFonts w:eastAsia="Times New Roman"/>
                <w:sz w:val="20"/>
                <w:szCs w:val="20"/>
              </w:rPr>
            </w:pPr>
          </w:p>
        </w:tc>
        <w:tc>
          <w:tcPr>
            <w:tcW w:w="19" w:type="pct"/>
            <w:vAlign w:val="center"/>
            <w:hideMark/>
          </w:tcPr>
          <w:p w14:paraId="6F611010" w14:textId="77777777" w:rsidR="00000000" w:rsidRDefault="001D0688">
            <w:pPr>
              <w:rPr>
                <w:rFonts w:eastAsia="Times New Roman"/>
                <w:sz w:val="20"/>
                <w:szCs w:val="20"/>
              </w:rPr>
            </w:pPr>
          </w:p>
        </w:tc>
        <w:tc>
          <w:tcPr>
            <w:tcW w:w="5" w:type="pct"/>
            <w:vAlign w:val="center"/>
            <w:hideMark/>
          </w:tcPr>
          <w:p w14:paraId="79B229E0" w14:textId="77777777" w:rsidR="00000000" w:rsidRDefault="001D0688">
            <w:pPr>
              <w:rPr>
                <w:rFonts w:eastAsia="Times New Roman"/>
                <w:sz w:val="20"/>
                <w:szCs w:val="20"/>
              </w:rPr>
            </w:pPr>
          </w:p>
        </w:tc>
        <w:tc>
          <w:tcPr>
            <w:tcW w:w="50" w:type="pct"/>
            <w:vAlign w:val="center"/>
            <w:hideMark/>
          </w:tcPr>
          <w:p w14:paraId="42FD5E27" w14:textId="77777777" w:rsidR="00000000" w:rsidRDefault="001D0688">
            <w:pPr>
              <w:rPr>
                <w:rFonts w:eastAsia="Times New Roman"/>
                <w:sz w:val="20"/>
                <w:szCs w:val="20"/>
              </w:rPr>
            </w:pPr>
          </w:p>
        </w:tc>
        <w:tc>
          <w:tcPr>
            <w:tcW w:w="434" w:type="pct"/>
            <w:vAlign w:val="center"/>
            <w:hideMark/>
          </w:tcPr>
          <w:p w14:paraId="0D11C7AD" w14:textId="77777777" w:rsidR="00000000" w:rsidRDefault="001D0688">
            <w:pPr>
              <w:rPr>
                <w:rFonts w:eastAsia="Times New Roman"/>
                <w:sz w:val="20"/>
                <w:szCs w:val="20"/>
              </w:rPr>
            </w:pPr>
          </w:p>
        </w:tc>
        <w:tc>
          <w:tcPr>
            <w:tcW w:w="5" w:type="pct"/>
            <w:vAlign w:val="center"/>
            <w:hideMark/>
          </w:tcPr>
          <w:p w14:paraId="7E25F297" w14:textId="77777777" w:rsidR="00000000" w:rsidRDefault="001D0688">
            <w:pPr>
              <w:rPr>
                <w:rFonts w:eastAsia="Times New Roman"/>
                <w:sz w:val="20"/>
                <w:szCs w:val="20"/>
              </w:rPr>
            </w:pPr>
          </w:p>
        </w:tc>
        <w:tc>
          <w:tcPr>
            <w:tcW w:w="5" w:type="pct"/>
            <w:vAlign w:val="center"/>
            <w:hideMark/>
          </w:tcPr>
          <w:p w14:paraId="10D87448" w14:textId="77777777" w:rsidR="00000000" w:rsidRDefault="001D0688">
            <w:pPr>
              <w:rPr>
                <w:rFonts w:eastAsia="Times New Roman"/>
                <w:sz w:val="20"/>
                <w:szCs w:val="20"/>
              </w:rPr>
            </w:pPr>
          </w:p>
        </w:tc>
        <w:tc>
          <w:tcPr>
            <w:tcW w:w="19" w:type="pct"/>
            <w:vAlign w:val="center"/>
            <w:hideMark/>
          </w:tcPr>
          <w:p w14:paraId="5AF1B782" w14:textId="77777777" w:rsidR="00000000" w:rsidRDefault="001D0688">
            <w:pPr>
              <w:rPr>
                <w:rFonts w:eastAsia="Times New Roman"/>
                <w:sz w:val="20"/>
                <w:szCs w:val="20"/>
              </w:rPr>
            </w:pPr>
          </w:p>
        </w:tc>
        <w:tc>
          <w:tcPr>
            <w:tcW w:w="5" w:type="pct"/>
            <w:vAlign w:val="center"/>
            <w:hideMark/>
          </w:tcPr>
          <w:p w14:paraId="0619EFC4" w14:textId="77777777" w:rsidR="00000000" w:rsidRDefault="001D0688">
            <w:pPr>
              <w:rPr>
                <w:rFonts w:eastAsia="Times New Roman"/>
                <w:sz w:val="20"/>
                <w:szCs w:val="20"/>
              </w:rPr>
            </w:pPr>
          </w:p>
        </w:tc>
        <w:tc>
          <w:tcPr>
            <w:tcW w:w="50" w:type="pct"/>
            <w:vAlign w:val="center"/>
            <w:hideMark/>
          </w:tcPr>
          <w:p w14:paraId="2C0FD725" w14:textId="77777777" w:rsidR="00000000" w:rsidRDefault="001D0688">
            <w:pPr>
              <w:rPr>
                <w:rFonts w:eastAsia="Times New Roman"/>
                <w:sz w:val="20"/>
                <w:szCs w:val="20"/>
              </w:rPr>
            </w:pPr>
          </w:p>
        </w:tc>
        <w:tc>
          <w:tcPr>
            <w:tcW w:w="434" w:type="pct"/>
            <w:vAlign w:val="center"/>
            <w:hideMark/>
          </w:tcPr>
          <w:p w14:paraId="76BD6EF8" w14:textId="77777777" w:rsidR="00000000" w:rsidRDefault="001D0688">
            <w:pPr>
              <w:rPr>
                <w:rFonts w:eastAsia="Times New Roman"/>
                <w:sz w:val="20"/>
                <w:szCs w:val="20"/>
              </w:rPr>
            </w:pPr>
          </w:p>
        </w:tc>
        <w:tc>
          <w:tcPr>
            <w:tcW w:w="5" w:type="pct"/>
            <w:vAlign w:val="center"/>
            <w:hideMark/>
          </w:tcPr>
          <w:p w14:paraId="5C5719B3" w14:textId="77777777" w:rsidR="00000000" w:rsidRDefault="001D0688">
            <w:pPr>
              <w:rPr>
                <w:rFonts w:eastAsia="Times New Roman"/>
                <w:sz w:val="20"/>
                <w:szCs w:val="20"/>
              </w:rPr>
            </w:pPr>
          </w:p>
        </w:tc>
        <w:tc>
          <w:tcPr>
            <w:tcW w:w="5" w:type="pct"/>
            <w:vAlign w:val="center"/>
            <w:hideMark/>
          </w:tcPr>
          <w:p w14:paraId="1481E0BD" w14:textId="77777777" w:rsidR="00000000" w:rsidRDefault="001D0688">
            <w:pPr>
              <w:rPr>
                <w:rFonts w:eastAsia="Times New Roman"/>
                <w:sz w:val="20"/>
                <w:szCs w:val="20"/>
              </w:rPr>
            </w:pPr>
          </w:p>
        </w:tc>
        <w:tc>
          <w:tcPr>
            <w:tcW w:w="19" w:type="pct"/>
            <w:vAlign w:val="center"/>
            <w:hideMark/>
          </w:tcPr>
          <w:p w14:paraId="55977E09" w14:textId="77777777" w:rsidR="00000000" w:rsidRDefault="001D0688">
            <w:pPr>
              <w:rPr>
                <w:rFonts w:eastAsia="Times New Roman"/>
                <w:sz w:val="20"/>
                <w:szCs w:val="20"/>
              </w:rPr>
            </w:pPr>
          </w:p>
        </w:tc>
        <w:tc>
          <w:tcPr>
            <w:tcW w:w="5" w:type="pct"/>
            <w:vAlign w:val="center"/>
            <w:hideMark/>
          </w:tcPr>
          <w:p w14:paraId="2FCB1522" w14:textId="77777777" w:rsidR="00000000" w:rsidRDefault="001D0688">
            <w:pPr>
              <w:rPr>
                <w:rFonts w:eastAsia="Times New Roman"/>
                <w:sz w:val="20"/>
                <w:szCs w:val="20"/>
              </w:rPr>
            </w:pPr>
          </w:p>
        </w:tc>
        <w:tc>
          <w:tcPr>
            <w:tcW w:w="50" w:type="pct"/>
            <w:vAlign w:val="center"/>
            <w:hideMark/>
          </w:tcPr>
          <w:p w14:paraId="1CF6887A" w14:textId="77777777" w:rsidR="00000000" w:rsidRDefault="001D0688">
            <w:pPr>
              <w:rPr>
                <w:rFonts w:eastAsia="Times New Roman"/>
                <w:sz w:val="20"/>
                <w:szCs w:val="20"/>
              </w:rPr>
            </w:pPr>
          </w:p>
        </w:tc>
        <w:tc>
          <w:tcPr>
            <w:tcW w:w="434" w:type="pct"/>
            <w:vAlign w:val="center"/>
            <w:hideMark/>
          </w:tcPr>
          <w:p w14:paraId="38DE82F8" w14:textId="77777777" w:rsidR="00000000" w:rsidRDefault="001D0688">
            <w:pPr>
              <w:rPr>
                <w:rFonts w:eastAsia="Times New Roman"/>
                <w:sz w:val="20"/>
                <w:szCs w:val="20"/>
              </w:rPr>
            </w:pPr>
          </w:p>
        </w:tc>
        <w:tc>
          <w:tcPr>
            <w:tcW w:w="5" w:type="pct"/>
            <w:vAlign w:val="center"/>
            <w:hideMark/>
          </w:tcPr>
          <w:p w14:paraId="4B5324FB" w14:textId="77777777" w:rsidR="00000000" w:rsidRDefault="001D0688">
            <w:pPr>
              <w:rPr>
                <w:rFonts w:eastAsia="Times New Roman"/>
                <w:sz w:val="20"/>
                <w:szCs w:val="20"/>
              </w:rPr>
            </w:pPr>
          </w:p>
        </w:tc>
        <w:tc>
          <w:tcPr>
            <w:tcW w:w="5" w:type="pct"/>
            <w:vAlign w:val="center"/>
            <w:hideMark/>
          </w:tcPr>
          <w:p w14:paraId="4FBE9690" w14:textId="77777777" w:rsidR="00000000" w:rsidRDefault="001D0688">
            <w:pPr>
              <w:rPr>
                <w:rFonts w:eastAsia="Times New Roman"/>
                <w:sz w:val="20"/>
                <w:szCs w:val="20"/>
              </w:rPr>
            </w:pPr>
          </w:p>
        </w:tc>
        <w:tc>
          <w:tcPr>
            <w:tcW w:w="19" w:type="pct"/>
            <w:vAlign w:val="center"/>
            <w:hideMark/>
          </w:tcPr>
          <w:p w14:paraId="5DA2E2EF" w14:textId="77777777" w:rsidR="00000000" w:rsidRDefault="001D0688">
            <w:pPr>
              <w:rPr>
                <w:rFonts w:eastAsia="Times New Roman"/>
                <w:sz w:val="20"/>
                <w:szCs w:val="20"/>
              </w:rPr>
            </w:pPr>
          </w:p>
        </w:tc>
        <w:tc>
          <w:tcPr>
            <w:tcW w:w="5" w:type="pct"/>
            <w:vAlign w:val="center"/>
            <w:hideMark/>
          </w:tcPr>
          <w:p w14:paraId="4CE8D5BF" w14:textId="77777777" w:rsidR="00000000" w:rsidRDefault="001D0688">
            <w:pPr>
              <w:rPr>
                <w:rFonts w:eastAsia="Times New Roman"/>
                <w:sz w:val="20"/>
                <w:szCs w:val="20"/>
              </w:rPr>
            </w:pPr>
          </w:p>
        </w:tc>
        <w:tc>
          <w:tcPr>
            <w:tcW w:w="50" w:type="pct"/>
            <w:vAlign w:val="center"/>
            <w:hideMark/>
          </w:tcPr>
          <w:p w14:paraId="1B5CE1F2" w14:textId="77777777" w:rsidR="00000000" w:rsidRDefault="001D0688">
            <w:pPr>
              <w:rPr>
                <w:rFonts w:eastAsia="Times New Roman"/>
                <w:sz w:val="20"/>
                <w:szCs w:val="20"/>
              </w:rPr>
            </w:pPr>
          </w:p>
        </w:tc>
        <w:tc>
          <w:tcPr>
            <w:tcW w:w="435" w:type="pct"/>
            <w:vAlign w:val="center"/>
            <w:hideMark/>
          </w:tcPr>
          <w:p w14:paraId="5554C76C" w14:textId="77777777" w:rsidR="00000000" w:rsidRDefault="001D0688">
            <w:pPr>
              <w:rPr>
                <w:rFonts w:eastAsia="Times New Roman"/>
                <w:sz w:val="20"/>
                <w:szCs w:val="20"/>
              </w:rPr>
            </w:pPr>
          </w:p>
        </w:tc>
        <w:tc>
          <w:tcPr>
            <w:tcW w:w="5" w:type="pct"/>
            <w:vAlign w:val="center"/>
            <w:hideMark/>
          </w:tcPr>
          <w:p w14:paraId="30735127" w14:textId="77777777" w:rsidR="00000000" w:rsidRDefault="001D0688">
            <w:pPr>
              <w:rPr>
                <w:rFonts w:eastAsia="Times New Roman"/>
                <w:sz w:val="20"/>
                <w:szCs w:val="20"/>
              </w:rPr>
            </w:pPr>
          </w:p>
        </w:tc>
      </w:tr>
      <w:tr w:rsidR="00000000" w14:paraId="5A348D3E" w14:textId="77777777">
        <w:trPr>
          <w:divId w:val="1226835860"/>
        </w:trPr>
        <w:tc>
          <w:tcPr>
            <w:tcW w:w="0" w:type="auto"/>
            <w:gridSpan w:val="3"/>
            <w:tcMar>
              <w:top w:w="0" w:type="dxa"/>
              <w:left w:w="20" w:type="dxa"/>
              <w:bottom w:w="0" w:type="dxa"/>
              <w:right w:w="20" w:type="dxa"/>
            </w:tcMar>
            <w:vAlign w:val="center"/>
            <w:hideMark/>
          </w:tcPr>
          <w:p w14:paraId="51E6750E"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1258011" w14:textId="77777777" w:rsidR="00000000" w:rsidRDefault="001D0688">
            <w:pPr>
              <w:rPr>
                <w:rFonts w:eastAsia="Times New Roman"/>
                <w:sz w:val="20"/>
                <w:szCs w:val="20"/>
              </w:rPr>
            </w:pPr>
          </w:p>
        </w:tc>
        <w:tc>
          <w:tcPr>
            <w:tcW w:w="0" w:type="auto"/>
            <w:gridSpan w:val="33"/>
            <w:tcMar>
              <w:top w:w="30" w:type="dxa"/>
              <w:left w:w="20" w:type="dxa"/>
              <w:bottom w:w="30" w:type="dxa"/>
              <w:right w:w="20" w:type="dxa"/>
            </w:tcMar>
            <w:vAlign w:val="bottom"/>
            <w:hideMark/>
          </w:tcPr>
          <w:p w14:paraId="66AEC7D1" w14:textId="77777777" w:rsidR="00000000" w:rsidRDefault="001D0688">
            <w:pPr>
              <w:jc w:val="center"/>
              <w:rPr>
                <w:rFonts w:eastAsia="Times New Roman"/>
              </w:rPr>
            </w:pPr>
            <w:r>
              <w:rPr>
                <w:rFonts w:ascii="Arial" w:eastAsia="Times New Roman" w:hAnsi="Arial" w:cs="Arial"/>
                <w:b/>
                <w:bCs/>
                <w:color w:val="000000"/>
                <w:sz w:val="18"/>
                <w:szCs w:val="18"/>
              </w:rPr>
              <w:t>Year Ended October 31, 2020</w:t>
            </w:r>
          </w:p>
        </w:tc>
      </w:tr>
      <w:tr w:rsidR="00000000" w14:paraId="16BDF1CA" w14:textId="77777777">
        <w:trPr>
          <w:divId w:val="1226835860"/>
        </w:trPr>
        <w:tc>
          <w:tcPr>
            <w:tcW w:w="0" w:type="auto"/>
            <w:gridSpan w:val="3"/>
            <w:tcMar>
              <w:top w:w="30" w:type="dxa"/>
              <w:left w:w="20" w:type="dxa"/>
              <w:bottom w:w="30" w:type="dxa"/>
              <w:right w:w="20" w:type="dxa"/>
            </w:tcMar>
            <w:vAlign w:val="bottom"/>
            <w:hideMark/>
          </w:tcPr>
          <w:p w14:paraId="2D1B6814" w14:textId="77777777" w:rsidR="00000000" w:rsidRDefault="001D0688">
            <w:pPr>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0F7497F7"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F6AA43" w14:textId="77777777" w:rsidR="00000000" w:rsidRDefault="001D0688">
            <w:pPr>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14:paraId="3FEE836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344064" w14:textId="77777777" w:rsidR="00000000" w:rsidRDefault="001D0688">
            <w:pPr>
              <w:jc w:val="center"/>
              <w:rPr>
                <w:rFonts w:eastAsia="Times New Roman"/>
              </w:rPr>
            </w:pPr>
            <w:r>
              <w:rPr>
                <w:rFonts w:ascii="Arial" w:eastAsia="Times New Roman" w:hAnsi="Arial" w:cs="Arial"/>
                <w:b/>
                <w:bCs/>
                <w:color w:val="000000"/>
                <w:sz w:val="18"/>
                <w:szCs w:val="18"/>
              </w:rPr>
              <w:t>T&amp;M</w:t>
            </w:r>
          </w:p>
        </w:tc>
        <w:tc>
          <w:tcPr>
            <w:tcW w:w="0" w:type="auto"/>
            <w:gridSpan w:val="3"/>
            <w:tcBorders>
              <w:top w:val="single" w:sz="8" w:space="0" w:color="000000"/>
            </w:tcBorders>
            <w:tcMar>
              <w:top w:w="0" w:type="dxa"/>
              <w:left w:w="20" w:type="dxa"/>
              <w:bottom w:w="0" w:type="dxa"/>
              <w:right w:w="20" w:type="dxa"/>
            </w:tcMar>
            <w:vAlign w:val="center"/>
            <w:hideMark/>
          </w:tcPr>
          <w:p w14:paraId="3B970FB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430C6B" w14:textId="77777777" w:rsidR="00000000" w:rsidRDefault="001D0688">
            <w:pPr>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0040210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405101" w14:textId="77777777" w:rsidR="00000000" w:rsidRDefault="001D0688">
            <w:pPr>
              <w:jc w:val="center"/>
              <w:rPr>
                <w:rFonts w:eastAsia="Times New Roman"/>
              </w:rPr>
            </w:pPr>
            <w:r>
              <w:rPr>
                <w:rFonts w:ascii="Arial" w:eastAsia="Times New Roman" w:hAnsi="Arial" w:cs="Arial"/>
                <w:b/>
                <w:bCs/>
                <w:color w:val="000000"/>
                <w:sz w:val="18"/>
                <w:szCs w:val="18"/>
              </w:rPr>
              <w:t>Aviation</w:t>
            </w:r>
          </w:p>
        </w:tc>
        <w:tc>
          <w:tcPr>
            <w:tcW w:w="0" w:type="auto"/>
            <w:gridSpan w:val="3"/>
            <w:tcBorders>
              <w:top w:val="single" w:sz="8" w:space="0" w:color="000000"/>
            </w:tcBorders>
            <w:tcMar>
              <w:top w:w="0" w:type="dxa"/>
              <w:left w:w="20" w:type="dxa"/>
              <w:bottom w:w="0" w:type="dxa"/>
              <w:right w:w="20" w:type="dxa"/>
            </w:tcMar>
            <w:vAlign w:val="center"/>
            <w:hideMark/>
          </w:tcPr>
          <w:p w14:paraId="39705B1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62A33F" w14:textId="77777777" w:rsidR="00000000" w:rsidRDefault="001D0688">
            <w:pPr>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14:paraId="311D7C5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37978E" w14:textId="77777777" w:rsidR="00000000" w:rsidRDefault="001D0688">
            <w:pPr>
              <w:jc w:val="center"/>
              <w:rPr>
                <w:rFonts w:eastAsia="Times New Roman"/>
              </w:rPr>
            </w:pPr>
            <w:r>
              <w:rPr>
                <w:rFonts w:ascii="Arial" w:eastAsia="Times New Roman" w:hAnsi="Arial" w:cs="Arial"/>
                <w:b/>
                <w:bCs/>
                <w:color w:val="000000"/>
                <w:sz w:val="18"/>
                <w:szCs w:val="18"/>
              </w:rPr>
              <w:t>Total</w:t>
            </w:r>
          </w:p>
        </w:tc>
      </w:tr>
      <w:tr w:rsidR="00000000" w14:paraId="0FF9175E" w14:textId="77777777">
        <w:trPr>
          <w:divId w:val="1226835860"/>
        </w:trPr>
        <w:tc>
          <w:tcPr>
            <w:tcW w:w="0" w:type="auto"/>
            <w:gridSpan w:val="3"/>
            <w:shd w:val="clear" w:color="auto" w:fill="DCE2EF"/>
            <w:tcMar>
              <w:top w:w="30" w:type="dxa"/>
              <w:left w:w="20" w:type="dxa"/>
              <w:bottom w:w="30" w:type="dxa"/>
              <w:right w:w="20" w:type="dxa"/>
            </w:tcMar>
            <w:vAlign w:val="bottom"/>
            <w:hideMark/>
          </w:tcPr>
          <w:p w14:paraId="0FF185A3" w14:textId="77777777" w:rsidR="00000000" w:rsidRDefault="001D0688">
            <w:pPr>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14:paraId="3FA07AFB"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A9AD4F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E7C849"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6FB953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C97A8F4"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1399A4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9E005D4"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24CA22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F4BF9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8675B3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228EDE"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8CF9E4F" w14:textId="77777777" w:rsidR="00000000" w:rsidRDefault="001D0688">
            <w:pPr>
              <w:rPr>
                <w:rFonts w:eastAsia="Times New Roman"/>
                <w:sz w:val="20"/>
                <w:szCs w:val="20"/>
              </w:rPr>
            </w:pPr>
          </w:p>
        </w:tc>
      </w:tr>
      <w:tr w:rsidR="00000000" w14:paraId="3C9A0612" w14:textId="77777777">
        <w:trPr>
          <w:divId w:val="1226835860"/>
        </w:trPr>
        <w:tc>
          <w:tcPr>
            <w:tcW w:w="0" w:type="auto"/>
            <w:gridSpan w:val="3"/>
            <w:shd w:val="clear" w:color="auto" w:fill="FFFFFF"/>
            <w:tcMar>
              <w:top w:w="30" w:type="dxa"/>
              <w:left w:w="20" w:type="dxa"/>
              <w:bottom w:w="30" w:type="dxa"/>
              <w:right w:w="20" w:type="dxa"/>
            </w:tcMar>
            <w:vAlign w:val="bottom"/>
            <w:hideMark/>
          </w:tcPr>
          <w:p w14:paraId="62021C61" w14:textId="77777777" w:rsidR="00000000" w:rsidRDefault="001D0688">
            <w:pPr>
              <w:divId w:val="1205630216"/>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607AE07"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6FABEE86"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1EA7C6C" w14:textId="77777777" w:rsidR="00000000" w:rsidRDefault="001D0688">
            <w:pPr>
              <w:jc w:val="right"/>
              <w:rPr>
                <w:rFonts w:eastAsia="Times New Roman"/>
              </w:rPr>
            </w:pPr>
            <w:r>
              <w:rPr>
                <w:rFonts w:ascii="Arial" w:eastAsia="Times New Roman" w:hAnsi="Arial" w:cs="Arial"/>
                <w:color w:val="000000"/>
                <w:sz w:val="18"/>
                <w:szCs w:val="18"/>
              </w:rPr>
              <w:t>2,420.4 </w:t>
            </w:r>
          </w:p>
        </w:tc>
        <w:tc>
          <w:tcPr>
            <w:tcW w:w="0" w:type="auto"/>
            <w:shd w:val="clear" w:color="auto" w:fill="FFFFFF"/>
            <w:tcMar>
              <w:top w:w="30" w:type="dxa"/>
              <w:left w:w="0" w:type="dxa"/>
              <w:bottom w:w="30" w:type="dxa"/>
              <w:right w:w="20" w:type="dxa"/>
            </w:tcMar>
            <w:vAlign w:val="bottom"/>
            <w:hideMark/>
          </w:tcPr>
          <w:p w14:paraId="0BB40AE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25D2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8CDEA9"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346E165" w14:textId="77777777" w:rsidR="00000000" w:rsidRDefault="001D0688">
            <w:pPr>
              <w:jc w:val="right"/>
              <w:rPr>
                <w:rFonts w:eastAsia="Times New Roman"/>
              </w:rPr>
            </w:pPr>
            <w:r>
              <w:rPr>
                <w:rFonts w:ascii="Arial" w:eastAsia="Times New Roman" w:hAnsi="Arial" w:cs="Arial"/>
                <w:color w:val="000000"/>
                <w:sz w:val="18"/>
                <w:szCs w:val="18"/>
              </w:rPr>
              <w:t>770.9 </w:t>
            </w:r>
          </w:p>
        </w:tc>
        <w:tc>
          <w:tcPr>
            <w:tcW w:w="0" w:type="auto"/>
            <w:shd w:val="clear" w:color="auto" w:fill="FFFFFF"/>
            <w:tcMar>
              <w:top w:w="30" w:type="dxa"/>
              <w:left w:w="0" w:type="dxa"/>
              <w:bottom w:w="30" w:type="dxa"/>
              <w:right w:w="20" w:type="dxa"/>
            </w:tcMar>
            <w:vAlign w:val="bottom"/>
            <w:hideMark/>
          </w:tcPr>
          <w:p w14:paraId="1141BE0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3E052"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617218"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662E76D" w14:textId="77777777" w:rsidR="00000000" w:rsidRDefault="001D0688">
            <w:pPr>
              <w:jc w:val="right"/>
              <w:rPr>
                <w:rFonts w:eastAsia="Times New Roman"/>
              </w:rPr>
            </w:pPr>
            <w:r>
              <w:rPr>
                <w:rFonts w:ascii="Arial" w:eastAsia="Times New Roman" w:hAnsi="Arial" w:cs="Arial"/>
                <w:color w:val="000000"/>
                <w:sz w:val="18"/>
                <w:szCs w:val="18"/>
              </w:rPr>
              <w:t>716.5 </w:t>
            </w:r>
          </w:p>
        </w:tc>
        <w:tc>
          <w:tcPr>
            <w:tcW w:w="0" w:type="auto"/>
            <w:shd w:val="clear" w:color="auto" w:fill="FFFFFF"/>
            <w:tcMar>
              <w:top w:w="30" w:type="dxa"/>
              <w:left w:w="0" w:type="dxa"/>
              <w:bottom w:w="30" w:type="dxa"/>
              <w:right w:w="20" w:type="dxa"/>
            </w:tcMar>
            <w:vAlign w:val="bottom"/>
            <w:hideMark/>
          </w:tcPr>
          <w:p w14:paraId="6B54F8D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C464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81AFF1"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047A4B1" w14:textId="77777777" w:rsidR="00000000" w:rsidRDefault="001D0688">
            <w:pPr>
              <w:jc w:val="right"/>
              <w:rPr>
                <w:rFonts w:eastAsia="Times New Roman"/>
              </w:rPr>
            </w:pPr>
            <w:r>
              <w:rPr>
                <w:rFonts w:ascii="Arial" w:eastAsia="Times New Roman" w:hAnsi="Arial" w:cs="Arial"/>
                <w:color w:val="000000"/>
                <w:sz w:val="18"/>
                <w:szCs w:val="18"/>
              </w:rPr>
              <w:t>121.2 </w:t>
            </w:r>
          </w:p>
        </w:tc>
        <w:tc>
          <w:tcPr>
            <w:tcW w:w="0" w:type="auto"/>
            <w:shd w:val="clear" w:color="auto" w:fill="FFFFFF"/>
            <w:tcMar>
              <w:top w:w="30" w:type="dxa"/>
              <w:left w:w="0" w:type="dxa"/>
              <w:bottom w:w="30" w:type="dxa"/>
              <w:right w:w="20" w:type="dxa"/>
            </w:tcMar>
            <w:vAlign w:val="bottom"/>
            <w:hideMark/>
          </w:tcPr>
          <w:p w14:paraId="4785E29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33902"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BF06B9"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871D0EE"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1691FB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18BFD"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9435B5"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1DD67EC" w14:textId="77777777" w:rsidR="00000000" w:rsidRDefault="001D0688">
            <w:pPr>
              <w:jc w:val="right"/>
              <w:rPr>
                <w:rFonts w:eastAsia="Times New Roman"/>
              </w:rPr>
            </w:pPr>
            <w:r>
              <w:rPr>
                <w:rFonts w:ascii="Arial" w:eastAsia="Times New Roman" w:hAnsi="Arial" w:cs="Arial"/>
                <w:color w:val="000000"/>
                <w:sz w:val="18"/>
                <w:szCs w:val="18"/>
              </w:rPr>
              <w:t>4,029.0 </w:t>
            </w:r>
          </w:p>
        </w:tc>
        <w:tc>
          <w:tcPr>
            <w:tcW w:w="0" w:type="auto"/>
            <w:shd w:val="clear" w:color="auto" w:fill="FFFFFF"/>
            <w:tcMar>
              <w:top w:w="30" w:type="dxa"/>
              <w:left w:w="0" w:type="dxa"/>
              <w:bottom w:w="30" w:type="dxa"/>
              <w:right w:w="20" w:type="dxa"/>
            </w:tcMar>
            <w:vAlign w:val="bottom"/>
            <w:hideMark/>
          </w:tcPr>
          <w:p w14:paraId="35E8BCA6" w14:textId="77777777" w:rsidR="00000000" w:rsidRDefault="001D0688">
            <w:pPr>
              <w:jc w:val="right"/>
              <w:rPr>
                <w:rFonts w:eastAsia="Times New Roman"/>
              </w:rPr>
            </w:pPr>
          </w:p>
        </w:tc>
      </w:tr>
      <w:tr w:rsidR="00000000" w14:paraId="6837564E" w14:textId="77777777">
        <w:trPr>
          <w:divId w:val="1226835860"/>
        </w:trPr>
        <w:tc>
          <w:tcPr>
            <w:tcW w:w="0" w:type="auto"/>
            <w:gridSpan w:val="3"/>
            <w:shd w:val="clear" w:color="auto" w:fill="DCE2EF"/>
            <w:tcMar>
              <w:top w:w="30" w:type="dxa"/>
              <w:left w:w="20" w:type="dxa"/>
              <w:bottom w:w="30" w:type="dxa"/>
              <w:right w:w="20" w:type="dxa"/>
            </w:tcMar>
            <w:vAlign w:val="bottom"/>
            <w:hideMark/>
          </w:tcPr>
          <w:p w14:paraId="7BE7AB3D" w14:textId="77777777" w:rsidR="00000000" w:rsidRDefault="001D0688">
            <w:pPr>
              <w:divId w:val="1561205747"/>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01A1470A"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32EF21F" w14:textId="77777777" w:rsidR="00000000" w:rsidRDefault="001D0688">
            <w:pPr>
              <w:jc w:val="right"/>
              <w:rPr>
                <w:rFonts w:eastAsia="Times New Roman"/>
              </w:rPr>
            </w:pPr>
            <w:r>
              <w:rPr>
                <w:rFonts w:ascii="Arial" w:eastAsia="Times New Roman" w:hAnsi="Arial" w:cs="Arial"/>
                <w:color w:val="000000"/>
                <w:sz w:val="18"/>
                <w:szCs w:val="18"/>
              </w:rPr>
              <w:t>362.8 </w:t>
            </w:r>
          </w:p>
        </w:tc>
        <w:tc>
          <w:tcPr>
            <w:tcW w:w="0" w:type="auto"/>
            <w:shd w:val="clear" w:color="auto" w:fill="DCE2EF"/>
            <w:tcMar>
              <w:top w:w="30" w:type="dxa"/>
              <w:left w:w="0" w:type="dxa"/>
              <w:bottom w:w="30" w:type="dxa"/>
              <w:right w:w="20" w:type="dxa"/>
            </w:tcMar>
            <w:vAlign w:val="bottom"/>
            <w:hideMark/>
          </w:tcPr>
          <w:p w14:paraId="5B0B5E8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3699D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FB92DE3" w14:textId="77777777" w:rsidR="00000000" w:rsidRDefault="001D0688">
            <w:pPr>
              <w:jc w:val="right"/>
              <w:rPr>
                <w:rFonts w:eastAsia="Times New Roman"/>
              </w:rPr>
            </w:pPr>
            <w:r>
              <w:rPr>
                <w:rFonts w:ascii="Arial" w:eastAsia="Times New Roman" w:hAnsi="Arial" w:cs="Arial"/>
                <w:color w:val="000000"/>
                <w:sz w:val="18"/>
                <w:szCs w:val="18"/>
              </w:rPr>
              <w:t>33.5 </w:t>
            </w:r>
          </w:p>
        </w:tc>
        <w:tc>
          <w:tcPr>
            <w:tcW w:w="0" w:type="auto"/>
            <w:shd w:val="clear" w:color="auto" w:fill="DCE2EF"/>
            <w:tcMar>
              <w:top w:w="30" w:type="dxa"/>
              <w:left w:w="0" w:type="dxa"/>
              <w:bottom w:w="30" w:type="dxa"/>
              <w:right w:w="20" w:type="dxa"/>
            </w:tcMar>
            <w:vAlign w:val="bottom"/>
            <w:hideMark/>
          </w:tcPr>
          <w:p w14:paraId="2E225AA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FD400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8EAB61" w14:textId="77777777" w:rsidR="00000000" w:rsidRDefault="001D0688">
            <w:pPr>
              <w:jc w:val="right"/>
              <w:rPr>
                <w:rFonts w:eastAsia="Times New Roman"/>
              </w:rPr>
            </w:pPr>
            <w:r>
              <w:rPr>
                <w:rFonts w:ascii="Arial" w:eastAsia="Times New Roman" w:hAnsi="Arial" w:cs="Arial"/>
                <w:color w:val="000000"/>
                <w:sz w:val="18"/>
                <w:szCs w:val="18"/>
              </w:rPr>
              <w:t>1.8 </w:t>
            </w:r>
          </w:p>
        </w:tc>
        <w:tc>
          <w:tcPr>
            <w:tcW w:w="0" w:type="auto"/>
            <w:shd w:val="clear" w:color="auto" w:fill="DCE2EF"/>
            <w:tcMar>
              <w:top w:w="30" w:type="dxa"/>
              <w:left w:w="0" w:type="dxa"/>
              <w:bottom w:w="30" w:type="dxa"/>
              <w:right w:w="20" w:type="dxa"/>
            </w:tcMar>
            <w:vAlign w:val="bottom"/>
            <w:hideMark/>
          </w:tcPr>
          <w:p w14:paraId="385189D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22FD9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665713" w14:textId="77777777" w:rsidR="00000000" w:rsidRDefault="001D0688">
            <w:pPr>
              <w:jc w:val="right"/>
              <w:rPr>
                <w:rFonts w:eastAsia="Times New Roman"/>
              </w:rPr>
            </w:pPr>
            <w:r>
              <w:rPr>
                <w:rFonts w:ascii="Arial" w:eastAsia="Times New Roman" w:hAnsi="Arial" w:cs="Arial"/>
                <w:color w:val="000000"/>
                <w:sz w:val="18"/>
                <w:szCs w:val="18"/>
              </w:rPr>
              <w:t>255.9 </w:t>
            </w:r>
          </w:p>
        </w:tc>
        <w:tc>
          <w:tcPr>
            <w:tcW w:w="0" w:type="auto"/>
            <w:shd w:val="clear" w:color="auto" w:fill="DCE2EF"/>
            <w:tcMar>
              <w:top w:w="30" w:type="dxa"/>
              <w:left w:w="0" w:type="dxa"/>
              <w:bottom w:w="30" w:type="dxa"/>
              <w:right w:w="20" w:type="dxa"/>
            </w:tcMar>
            <w:vAlign w:val="bottom"/>
            <w:hideMark/>
          </w:tcPr>
          <w:p w14:paraId="092764F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595BA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1EF708"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0F7B91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83556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B705244" w14:textId="77777777" w:rsidR="00000000" w:rsidRDefault="001D0688">
            <w:pPr>
              <w:jc w:val="right"/>
              <w:rPr>
                <w:rFonts w:eastAsia="Times New Roman"/>
              </w:rPr>
            </w:pPr>
            <w:r>
              <w:rPr>
                <w:rFonts w:ascii="Arial" w:eastAsia="Times New Roman" w:hAnsi="Arial" w:cs="Arial"/>
                <w:color w:val="000000"/>
                <w:sz w:val="18"/>
                <w:szCs w:val="18"/>
              </w:rPr>
              <w:t>654.0 </w:t>
            </w:r>
          </w:p>
        </w:tc>
        <w:tc>
          <w:tcPr>
            <w:tcW w:w="0" w:type="auto"/>
            <w:shd w:val="clear" w:color="auto" w:fill="DCE2EF"/>
            <w:tcMar>
              <w:top w:w="30" w:type="dxa"/>
              <w:left w:w="0" w:type="dxa"/>
              <w:bottom w:w="30" w:type="dxa"/>
              <w:right w:w="20" w:type="dxa"/>
            </w:tcMar>
            <w:vAlign w:val="bottom"/>
            <w:hideMark/>
          </w:tcPr>
          <w:p w14:paraId="1F10F297" w14:textId="77777777" w:rsidR="00000000" w:rsidRDefault="001D0688">
            <w:pPr>
              <w:jc w:val="right"/>
              <w:rPr>
                <w:rFonts w:eastAsia="Times New Roman"/>
              </w:rPr>
            </w:pPr>
          </w:p>
        </w:tc>
      </w:tr>
      <w:tr w:rsidR="00000000" w14:paraId="1BDA619D" w14:textId="77777777">
        <w:trPr>
          <w:divId w:val="1226835860"/>
        </w:trPr>
        <w:tc>
          <w:tcPr>
            <w:tcW w:w="0" w:type="auto"/>
            <w:gridSpan w:val="3"/>
            <w:shd w:val="clear" w:color="auto" w:fill="FFFFFF"/>
            <w:tcMar>
              <w:top w:w="30" w:type="dxa"/>
              <w:left w:w="20" w:type="dxa"/>
              <w:bottom w:w="30" w:type="dxa"/>
              <w:right w:w="20" w:type="dxa"/>
            </w:tcMar>
            <w:vAlign w:val="bottom"/>
            <w:hideMark/>
          </w:tcPr>
          <w:p w14:paraId="2DF6EB2B" w14:textId="77777777" w:rsidR="00000000" w:rsidRDefault="001D0688">
            <w:pPr>
              <w:divId w:val="1163660760"/>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4A89B9F"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671C26" w14:textId="77777777" w:rsidR="00000000" w:rsidRDefault="001D0688">
            <w:pPr>
              <w:jc w:val="right"/>
              <w:rPr>
                <w:rFonts w:eastAsia="Times New Roman"/>
              </w:rPr>
            </w:pPr>
            <w:r>
              <w:rPr>
                <w:rFonts w:ascii="Arial" w:eastAsia="Times New Roman" w:hAnsi="Arial" w:cs="Arial"/>
                <w:color w:val="000000"/>
                <w:sz w:val="18"/>
                <w:szCs w:val="18"/>
              </w:rPr>
              <w:t>374.1 </w:t>
            </w:r>
          </w:p>
        </w:tc>
        <w:tc>
          <w:tcPr>
            <w:tcW w:w="0" w:type="auto"/>
            <w:shd w:val="clear" w:color="auto" w:fill="FFFFFF"/>
            <w:tcMar>
              <w:top w:w="30" w:type="dxa"/>
              <w:left w:w="0" w:type="dxa"/>
              <w:bottom w:w="30" w:type="dxa"/>
              <w:right w:w="20" w:type="dxa"/>
            </w:tcMar>
            <w:vAlign w:val="bottom"/>
            <w:hideMark/>
          </w:tcPr>
          <w:p w14:paraId="25AF9B2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0B7C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65FF9" w14:textId="77777777" w:rsidR="00000000" w:rsidRDefault="001D0688">
            <w:pPr>
              <w:jc w:val="right"/>
              <w:rPr>
                <w:rFonts w:eastAsia="Times New Roman"/>
              </w:rPr>
            </w:pPr>
            <w:r>
              <w:rPr>
                <w:rFonts w:ascii="Arial" w:eastAsia="Times New Roman" w:hAnsi="Arial" w:cs="Arial"/>
                <w:color w:val="000000"/>
                <w:sz w:val="18"/>
                <w:szCs w:val="18"/>
              </w:rPr>
              <w:t>151.6 </w:t>
            </w:r>
          </w:p>
        </w:tc>
        <w:tc>
          <w:tcPr>
            <w:tcW w:w="0" w:type="auto"/>
            <w:shd w:val="clear" w:color="auto" w:fill="FFFFFF"/>
            <w:tcMar>
              <w:top w:w="30" w:type="dxa"/>
              <w:left w:w="0" w:type="dxa"/>
              <w:bottom w:w="30" w:type="dxa"/>
              <w:right w:w="20" w:type="dxa"/>
            </w:tcMar>
            <w:vAlign w:val="bottom"/>
            <w:hideMark/>
          </w:tcPr>
          <w:p w14:paraId="0DCCACC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CEF3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40D451" w14:textId="77777777" w:rsidR="00000000" w:rsidRDefault="001D0688">
            <w:pPr>
              <w:jc w:val="right"/>
              <w:rPr>
                <w:rFonts w:eastAsia="Times New Roman"/>
              </w:rPr>
            </w:pPr>
            <w:r>
              <w:rPr>
                <w:rFonts w:ascii="Arial" w:eastAsia="Times New Roman" w:hAnsi="Arial" w:cs="Arial"/>
                <w:color w:val="000000"/>
                <w:sz w:val="18"/>
                <w:szCs w:val="18"/>
              </w:rPr>
              <w:t>90.5 </w:t>
            </w:r>
          </w:p>
        </w:tc>
        <w:tc>
          <w:tcPr>
            <w:tcW w:w="0" w:type="auto"/>
            <w:shd w:val="clear" w:color="auto" w:fill="FFFFFF"/>
            <w:tcMar>
              <w:top w:w="30" w:type="dxa"/>
              <w:left w:w="0" w:type="dxa"/>
              <w:bottom w:w="30" w:type="dxa"/>
              <w:right w:w="20" w:type="dxa"/>
            </w:tcMar>
            <w:vAlign w:val="bottom"/>
            <w:hideMark/>
          </w:tcPr>
          <w:p w14:paraId="511DCCA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187D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4406F" w14:textId="77777777" w:rsidR="00000000" w:rsidRDefault="001D0688">
            <w:pPr>
              <w:jc w:val="right"/>
              <w:rPr>
                <w:rFonts w:eastAsia="Times New Roman"/>
              </w:rPr>
            </w:pPr>
            <w:r>
              <w:rPr>
                <w:rFonts w:ascii="Arial" w:eastAsia="Times New Roman" w:hAnsi="Arial" w:cs="Arial"/>
                <w:color w:val="000000"/>
                <w:sz w:val="18"/>
                <w:szCs w:val="18"/>
              </w:rPr>
              <w:t>31.6 </w:t>
            </w:r>
          </w:p>
        </w:tc>
        <w:tc>
          <w:tcPr>
            <w:tcW w:w="0" w:type="auto"/>
            <w:shd w:val="clear" w:color="auto" w:fill="FFFFFF"/>
            <w:tcMar>
              <w:top w:w="30" w:type="dxa"/>
              <w:left w:w="0" w:type="dxa"/>
              <w:bottom w:w="30" w:type="dxa"/>
              <w:right w:w="20" w:type="dxa"/>
            </w:tcMar>
            <w:vAlign w:val="bottom"/>
            <w:hideMark/>
          </w:tcPr>
          <w:p w14:paraId="0E289E3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99CA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0BD795"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75A675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A4F6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4754F" w14:textId="77777777" w:rsidR="00000000" w:rsidRDefault="001D0688">
            <w:pPr>
              <w:jc w:val="right"/>
              <w:rPr>
                <w:rFonts w:eastAsia="Times New Roman"/>
              </w:rPr>
            </w:pPr>
            <w:r>
              <w:rPr>
                <w:rFonts w:ascii="Arial" w:eastAsia="Times New Roman" w:hAnsi="Arial" w:cs="Arial"/>
                <w:color w:val="000000"/>
                <w:sz w:val="18"/>
                <w:szCs w:val="18"/>
              </w:rPr>
              <w:t>647.9 </w:t>
            </w:r>
          </w:p>
        </w:tc>
        <w:tc>
          <w:tcPr>
            <w:tcW w:w="0" w:type="auto"/>
            <w:shd w:val="clear" w:color="auto" w:fill="FFFFFF"/>
            <w:tcMar>
              <w:top w:w="30" w:type="dxa"/>
              <w:left w:w="0" w:type="dxa"/>
              <w:bottom w:w="30" w:type="dxa"/>
              <w:right w:w="20" w:type="dxa"/>
            </w:tcMar>
            <w:vAlign w:val="bottom"/>
            <w:hideMark/>
          </w:tcPr>
          <w:p w14:paraId="10154A91" w14:textId="77777777" w:rsidR="00000000" w:rsidRDefault="001D0688">
            <w:pPr>
              <w:jc w:val="right"/>
              <w:rPr>
                <w:rFonts w:eastAsia="Times New Roman"/>
              </w:rPr>
            </w:pPr>
          </w:p>
        </w:tc>
      </w:tr>
      <w:tr w:rsidR="00000000" w14:paraId="21231C38" w14:textId="77777777">
        <w:trPr>
          <w:divId w:val="1226835860"/>
        </w:trPr>
        <w:tc>
          <w:tcPr>
            <w:tcW w:w="0" w:type="auto"/>
            <w:gridSpan w:val="3"/>
            <w:shd w:val="clear" w:color="auto" w:fill="DCE2EF"/>
            <w:tcMar>
              <w:top w:w="30" w:type="dxa"/>
              <w:left w:w="20" w:type="dxa"/>
              <w:bottom w:w="30" w:type="dxa"/>
              <w:right w:w="20" w:type="dxa"/>
            </w:tcMar>
            <w:vAlign w:val="bottom"/>
            <w:hideMark/>
          </w:tcPr>
          <w:p w14:paraId="23DF7BB5" w14:textId="77777777" w:rsidR="00000000" w:rsidRDefault="001D0688">
            <w:pPr>
              <w:divId w:val="304119180"/>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4F99A705"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4A9439B"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7C93748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E9B25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6A701F"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55C0C9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5AA5B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950AB1"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FC809A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2663D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3D02C34"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43CBA9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CEAAF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8282FA" w14:textId="77777777" w:rsidR="00000000" w:rsidRDefault="001D0688">
            <w:pPr>
              <w:jc w:val="right"/>
              <w:rPr>
                <w:rFonts w:eastAsia="Times New Roman"/>
              </w:rPr>
            </w:pPr>
            <w:r>
              <w:rPr>
                <w:rFonts w:ascii="Arial" w:eastAsia="Times New Roman" w:hAnsi="Arial" w:cs="Arial"/>
                <w:color w:val="000000"/>
                <w:sz w:val="18"/>
                <w:szCs w:val="18"/>
              </w:rPr>
              <w:t>506.6 </w:t>
            </w:r>
          </w:p>
        </w:tc>
        <w:tc>
          <w:tcPr>
            <w:tcW w:w="0" w:type="auto"/>
            <w:shd w:val="clear" w:color="auto" w:fill="DCE2EF"/>
            <w:tcMar>
              <w:top w:w="30" w:type="dxa"/>
              <w:left w:w="0" w:type="dxa"/>
              <w:bottom w:w="30" w:type="dxa"/>
              <w:right w:w="20" w:type="dxa"/>
            </w:tcMar>
            <w:vAlign w:val="bottom"/>
            <w:hideMark/>
          </w:tcPr>
          <w:p w14:paraId="38E78D3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2102A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7040D9" w14:textId="77777777" w:rsidR="00000000" w:rsidRDefault="001D0688">
            <w:pPr>
              <w:jc w:val="right"/>
              <w:rPr>
                <w:rFonts w:eastAsia="Times New Roman"/>
              </w:rPr>
            </w:pPr>
            <w:r>
              <w:rPr>
                <w:rFonts w:ascii="Arial" w:eastAsia="Times New Roman" w:hAnsi="Arial" w:cs="Arial"/>
                <w:color w:val="000000"/>
                <w:sz w:val="18"/>
                <w:szCs w:val="18"/>
              </w:rPr>
              <w:t>506.6 </w:t>
            </w:r>
          </w:p>
        </w:tc>
        <w:tc>
          <w:tcPr>
            <w:tcW w:w="0" w:type="auto"/>
            <w:shd w:val="clear" w:color="auto" w:fill="DCE2EF"/>
            <w:tcMar>
              <w:top w:w="30" w:type="dxa"/>
              <w:left w:w="0" w:type="dxa"/>
              <w:bottom w:w="30" w:type="dxa"/>
              <w:right w:w="20" w:type="dxa"/>
            </w:tcMar>
            <w:vAlign w:val="bottom"/>
            <w:hideMark/>
          </w:tcPr>
          <w:p w14:paraId="7C749FCB" w14:textId="77777777" w:rsidR="00000000" w:rsidRDefault="001D0688">
            <w:pPr>
              <w:jc w:val="right"/>
              <w:rPr>
                <w:rFonts w:eastAsia="Times New Roman"/>
              </w:rPr>
            </w:pPr>
          </w:p>
        </w:tc>
      </w:tr>
      <w:tr w:rsidR="00000000" w14:paraId="6540F64F" w14:textId="77777777">
        <w:trPr>
          <w:divId w:val="1226835860"/>
        </w:trPr>
        <w:tc>
          <w:tcPr>
            <w:tcW w:w="0" w:type="auto"/>
            <w:gridSpan w:val="3"/>
            <w:shd w:val="clear" w:color="auto" w:fill="FFFFFF"/>
            <w:tcMar>
              <w:top w:w="30" w:type="dxa"/>
              <w:left w:w="20" w:type="dxa"/>
              <w:bottom w:w="30" w:type="dxa"/>
              <w:right w:w="20" w:type="dxa"/>
            </w:tcMar>
            <w:vAlign w:val="bottom"/>
            <w:hideMark/>
          </w:tcPr>
          <w:p w14:paraId="5AFE525B" w14:textId="77777777" w:rsidR="00000000" w:rsidRDefault="001D0688">
            <w:pPr>
              <w:divId w:val="38288934"/>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9AA47DF"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94158C" w14:textId="77777777" w:rsidR="00000000" w:rsidRDefault="001D0688">
            <w:pPr>
              <w:jc w:val="right"/>
              <w:rPr>
                <w:rFonts w:eastAsia="Times New Roman"/>
              </w:rPr>
            </w:pPr>
            <w:r>
              <w:rPr>
                <w:rFonts w:ascii="Arial" w:eastAsia="Times New Roman" w:hAnsi="Arial" w:cs="Arial"/>
                <w:color w:val="000000"/>
                <w:sz w:val="18"/>
                <w:szCs w:val="18"/>
              </w:rPr>
              <w:t>0.4 </w:t>
            </w:r>
          </w:p>
        </w:tc>
        <w:tc>
          <w:tcPr>
            <w:tcW w:w="0" w:type="auto"/>
            <w:shd w:val="clear" w:color="auto" w:fill="FFFFFF"/>
            <w:tcMar>
              <w:top w:w="30" w:type="dxa"/>
              <w:left w:w="0" w:type="dxa"/>
              <w:bottom w:w="30" w:type="dxa"/>
              <w:right w:w="20" w:type="dxa"/>
            </w:tcMar>
            <w:vAlign w:val="bottom"/>
            <w:hideMark/>
          </w:tcPr>
          <w:p w14:paraId="000B660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660B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9AA46"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F95F35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5BF2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40861"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2E21B5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0025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5C739" w14:textId="77777777" w:rsidR="00000000" w:rsidRDefault="001D0688">
            <w:pPr>
              <w:jc w:val="right"/>
              <w:rPr>
                <w:rFonts w:eastAsia="Times New Roman"/>
              </w:rPr>
            </w:pPr>
            <w:r>
              <w:rPr>
                <w:rFonts w:ascii="Arial" w:eastAsia="Times New Roman" w:hAnsi="Arial" w:cs="Arial"/>
                <w:color w:val="000000"/>
                <w:sz w:val="18"/>
                <w:szCs w:val="18"/>
              </w:rPr>
              <w:t>272.2 </w:t>
            </w:r>
          </w:p>
        </w:tc>
        <w:tc>
          <w:tcPr>
            <w:tcW w:w="0" w:type="auto"/>
            <w:shd w:val="clear" w:color="auto" w:fill="FFFFFF"/>
            <w:tcMar>
              <w:top w:w="30" w:type="dxa"/>
              <w:left w:w="0" w:type="dxa"/>
              <w:bottom w:w="30" w:type="dxa"/>
              <w:right w:w="20" w:type="dxa"/>
            </w:tcMar>
            <w:vAlign w:val="bottom"/>
            <w:hideMark/>
          </w:tcPr>
          <w:p w14:paraId="6BD8C1D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90BFF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21AB44" w14:textId="77777777" w:rsidR="00000000" w:rsidRDefault="001D0688">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FB43AA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9EDA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601915" w14:textId="77777777" w:rsidR="00000000" w:rsidRDefault="001D0688">
            <w:pPr>
              <w:jc w:val="right"/>
              <w:rPr>
                <w:rFonts w:eastAsia="Times New Roman"/>
              </w:rPr>
            </w:pPr>
            <w:r>
              <w:rPr>
                <w:rFonts w:ascii="Arial" w:eastAsia="Times New Roman" w:hAnsi="Arial" w:cs="Arial"/>
                <w:color w:val="000000"/>
                <w:sz w:val="18"/>
                <w:szCs w:val="18"/>
              </w:rPr>
              <w:t>272.6 </w:t>
            </w:r>
          </w:p>
        </w:tc>
        <w:tc>
          <w:tcPr>
            <w:tcW w:w="0" w:type="auto"/>
            <w:shd w:val="clear" w:color="auto" w:fill="FFFFFF"/>
            <w:tcMar>
              <w:top w:w="30" w:type="dxa"/>
              <w:left w:w="0" w:type="dxa"/>
              <w:bottom w:w="30" w:type="dxa"/>
              <w:right w:w="20" w:type="dxa"/>
            </w:tcMar>
            <w:vAlign w:val="bottom"/>
            <w:hideMark/>
          </w:tcPr>
          <w:p w14:paraId="66AF118B" w14:textId="77777777" w:rsidR="00000000" w:rsidRDefault="001D0688">
            <w:pPr>
              <w:jc w:val="right"/>
              <w:rPr>
                <w:rFonts w:eastAsia="Times New Roman"/>
              </w:rPr>
            </w:pPr>
          </w:p>
        </w:tc>
      </w:tr>
      <w:tr w:rsidR="00000000" w14:paraId="1F30B06F" w14:textId="77777777">
        <w:trPr>
          <w:divId w:val="1226835860"/>
        </w:trPr>
        <w:tc>
          <w:tcPr>
            <w:tcW w:w="0" w:type="auto"/>
            <w:gridSpan w:val="3"/>
            <w:shd w:val="clear" w:color="auto" w:fill="DCE2EF"/>
            <w:tcMar>
              <w:top w:w="0" w:type="dxa"/>
              <w:left w:w="20" w:type="dxa"/>
              <w:bottom w:w="0" w:type="dxa"/>
              <w:right w:w="20" w:type="dxa"/>
            </w:tcMar>
            <w:vAlign w:val="center"/>
            <w:hideMark/>
          </w:tcPr>
          <w:p w14:paraId="0836155C"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DDE2A0A" w14:textId="77777777" w:rsidR="00000000" w:rsidRDefault="001D0688">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EFF7D46"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75D6BF" w14:textId="77777777" w:rsidR="00000000" w:rsidRDefault="001D0688">
            <w:pPr>
              <w:jc w:val="right"/>
              <w:rPr>
                <w:rFonts w:eastAsia="Times New Roman"/>
              </w:rPr>
            </w:pPr>
            <w:r>
              <w:rPr>
                <w:rFonts w:ascii="Arial" w:eastAsia="Times New Roman" w:hAnsi="Arial" w:cs="Arial"/>
                <w:color w:val="000000"/>
                <w:sz w:val="18"/>
                <w:szCs w:val="18"/>
              </w:rPr>
              <w:t>3,157.8 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BC420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3D6B1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9434BD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5C07CAC" w14:textId="77777777" w:rsidR="00000000" w:rsidRDefault="001D0688">
            <w:pPr>
              <w:jc w:val="right"/>
              <w:rPr>
                <w:rFonts w:eastAsia="Times New Roman"/>
              </w:rPr>
            </w:pPr>
            <w:r>
              <w:rPr>
                <w:rFonts w:ascii="Arial" w:eastAsia="Times New Roman" w:hAnsi="Arial" w:cs="Arial"/>
                <w:color w:val="000000"/>
                <w:sz w:val="18"/>
                <w:szCs w:val="18"/>
              </w:rPr>
              <w:t>956.0 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7BB3F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B3F0A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A2351E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80965E7" w14:textId="77777777" w:rsidR="00000000" w:rsidRDefault="001D0688">
            <w:pPr>
              <w:jc w:val="right"/>
              <w:rPr>
                <w:rFonts w:eastAsia="Times New Roman"/>
              </w:rPr>
            </w:pPr>
            <w:r>
              <w:rPr>
                <w:rFonts w:ascii="Arial" w:eastAsia="Times New Roman" w:hAnsi="Arial" w:cs="Arial"/>
                <w:color w:val="000000"/>
                <w:sz w:val="18"/>
                <w:szCs w:val="18"/>
              </w:rPr>
              <w:t>808.8 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97331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901A4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D4DDC1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F01D35F" w14:textId="77777777" w:rsidR="00000000" w:rsidRDefault="001D0688">
            <w:pPr>
              <w:jc w:val="right"/>
              <w:rPr>
                <w:rFonts w:eastAsia="Times New Roman"/>
              </w:rPr>
            </w:pPr>
            <w:r>
              <w:rPr>
                <w:rFonts w:ascii="Arial" w:eastAsia="Times New Roman" w:hAnsi="Arial" w:cs="Arial"/>
                <w:color w:val="000000"/>
                <w:sz w:val="18"/>
                <w:szCs w:val="18"/>
              </w:rPr>
              <w:t>680.9 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416BC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3739B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CAD388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5D9AB4" w14:textId="77777777" w:rsidR="00000000" w:rsidRDefault="001D0688">
            <w:pPr>
              <w:jc w:val="right"/>
              <w:rPr>
                <w:rFonts w:eastAsia="Times New Roman"/>
              </w:rPr>
            </w:pPr>
            <w:r>
              <w:rPr>
                <w:rFonts w:ascii="Arial" w:eastAsia="Times New Roman" w:hAnsi="Arial" w:cs="Arial"/>
                <w:color w:val="000000"/>
                <w:sz w:val="18"/>
                <w:szCs w:val="18"/>
              </w:rPr>
              <w:t>506.6 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E04F68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72A516"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C34032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268BD11" w14:textId="77777777" w:rsidR="00000000" w:rsidRDefault="001D0688">
            <w:pPr>
              <w:jc w:val="right"/>
              <w:rPr>
                <w:rFonts w:eastAsia="Times New Roman"/>
              </w:rPr>
            </w:pPr>
            <w:r>
              <w:rPr>
                <w:rFonts w:ascii="Arial" w:eastAsia="Times New Roman" w:hAnsi="Arial" w:cs="Arial"/>
                <w:color w:val="000000"/>
                <w:sz w:val="18"/>
                <w:szCs w:val="18"/>
              </w:rPr>
              <w:t>6,110.0 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729F1DD" w14:textId="77777777" w:rsidR="00000000" w:rsidRDefault="001D0688">
            <w:pPr>
              <w:jc w:val="right"/>
              <w:rPr>
                <w:rFonts w:eastAsia="Times New Roman"/>
              </w:rPr>
            </w:pPr>
          </w:p>
        </w:tc>
      </w:tr>
      <w:tr w:rsidR="00000000" w14:paraId="3F1B15F2" w14:textId="77777777">
        <w:trPr>
          <w:divId w:val="1226835860"/>
        </w:trPr>
        <w:tc>
          <w:tcPr>
            <w:tcW w:w="0" w:type="auto"/>
            <w:gridSpan w:val="3"/>
            <w:shd w:val="clear" w:color="auto" w:fill="FFFFFF"/>
            <w:tcMar>
              <w:top w:w="30" w:type="dxa"/>
              <w:left w:w="20" w:type="dxa"/>
              <w:bottom w:w="30" w:type="dxa"/>
              <w:right w:w="20" w:type="dxa"/>
            </w:tcMar>
            <w:vAlign w:val="bottom"/>
            <w:hideMark/>
          </w:tcPr>
          <w:p w14:paraId="29ED63A0" w14:textId="77777777" w:rsidR="00000000" w:rsidRDefault="001D0688">
            <w:pPr>
              <w:ind w:hanging="180"/>
              <w:divId w:val="1269316100"/>
              <w:rPr>
                <w:rFonts w:eastAsia="Times New Roman"/>
              </w:rPr>
            </w:pPr>
            <w:r>
              <w:rPr>
                <w:rFonts w:ascii="Arial" w:eastAsia="Times New Roman" w:hAnsi="Arial" w:cs="Arial"/>
                <w:color w:val="000000"/>
                <w:sz w:val="18"/>
                <w:szCs w:val="18"/>
              </w:rPr>
              <w:t>Elimination of inter-segment revenues</w:t>
            </w:r>
          </w:p>
        </w:tc>
        <w:tc>
          <w:tcPr>
            <w:tcW w:w="0" w:type="auto"/>
            <w:gridSpan w:val="3"/>
            <w:shd w:val="clear" w:color="auto" w:fill="FFFFFF"/>
            <w:tcMar>
              <w:top w:w="0" w:type="dxa"/>
              <w:left w:w="20" w:type="dxa"/>
              <w:bottom w:w="0" w:type="dxa"/>
              <w:right w:w="20" w:type="dxa"/>
            </w:tcMar>
            <w:vAlign w:val="center"/>
            <w:hideMark/>
          </w:tcPr>
          <w:p w14:paraId="1313A7AD" w14:textId="77777777" w:rsidR="00000000" w:rsidRDefault="001D0688">
            <w:pPr>
              <w:ind w:hanging="18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414545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3714E"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4E9B1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9FE44B"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05FAA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E61D6"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AC484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5D973F"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80225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B2C80F"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B1E0D6" w14:textId="77777777" w:rsidR="00000000" w:rsidRDefault="001D0688">
            <w:pPr>
              <w:jc w:val="right"/>
              <w:rPr>
                <w:rFonts w:eastAsia="Times New Roman"/>
              </w:rPr>
            </w:pPr>
            <w:r>
              <w:rPr>
                <w:rFonts w:ascii="Arial" w:eastAsia="Times New Roman" w:hAnsi="Arial" w:cs="Arial"/>
                <w:color w:val="000000"/>
                <w:sz w:val="18"/>
                <w:szCs w:val="18"/>
              </w:rPr>
              <w:t>(122.4)</w:t>
            </w:r>
          </w:p>
        </w:tc>
        <w:tc>
          <w:tcPr>
            <w:tcW w:w="0" w:type="auto"/>
            <w:shd w:val="clear" w:color="auto" w:fill="FFFFFF"/>
            <w:tcMar>
              <w:top w:w="30" w:type="dxa"/>
              <w:left w:w="0" w:type="dxa"/>
              <w:bottom w:w="30" w:type="dxa"/>
              <w:right w:w="20" w:type="dxa"/>
            </w:tcMar>
            <w:vAlign w:val="bottom"/>
            <w:hideMark/>
          </w:tcPr>
          <w:p w14:paraId="630B2F1B" w14:textId="77777777" w:rsidR="00000000" w:rsidRDefault="001D0688">
            <w:pPr>
              <w:jc w:val="right"/>
              <w:rPr>
                <w:rFonts w:eastAsia="Times New Roman"/>
              </w:rPr>
            </w:pPr>
          </w:p>
        </w:tc>
      </w:tr>
      <w:tr w:rsidR="00000000" w14:paraId="493488D4" w14:textId="77777777">
        <w:trPr>
          <w:divId w:val="1226835860"/>
        </w:trPr>
        <w:tc>
          <w:tcPr>
            <w:tcW w:w="0" w:type="auto"/>
            <w:gridSpan w:val="3"/>
            <w:shd w:val="clear" w:color="auto" w:fill="DCE2EF"/>
            <w:tcMar>
              <w:top w:w="30" w:type="dxa"/>
              <w:left w:w="20" w:type="dxa"/>
              <w:bottom w:w="30" w:type="dxa"/>
              <w:right w:w="20" w:type="dxa"/>
            </w:tcMar>
            <w:vAlign w:val="bottom"/>
            <w:hideMark/>
          </w:tcPr>
          <w:p w14:paraId="0D25B76A" w14:textId="77777777" w:rsidR="00000000" w:rsidRDefault="001D0688">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7AFA1075"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56461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6CD099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2F51EF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B216B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B1F3A2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807072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A9DE9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CD6A5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675BF3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E353D3A" w14:textId="77777777" w:rsidR="00000000" w:rsidRDefault="001D0688">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B7AC645"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01503A3" w14:textId="77777777" w:rsidR="00000000" w:rsidRDefault="001D0688">
            <w:pPr>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1392B07" w14:textId="77777777" w:rsidR="00000000" w:rsidRDefault="001D0688">
            <w:pPr>
              <w:jc w:val="right"/>
              <w:rPr>
                <w:rFonts w:eastAsia="Times New Roman"/>
              </w:rPr>
            </w:pPr>
          </w:p>
        </w:tc>
      </w:tr>
    </w:tbl>
    <w:p w14:paraId="7F7219F5" w14:textId="77777777" w:rsidR="00000000" w:rsidRDefault="001D0688">
      <w:pPr>
        <w:divId w:val="12464589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602"/>
        <w:gridCol w:w="38"/>
        <w:gridCol w:w="36"/>
        <w:gridCol w:w="36"/>
        <w:gridCol w:w="36"/>
        <w:gridCol w:w="121"/>
        <w:gridCol w:w="651"/>
        <w:gridCol w:w="36"/>
        <w:gridCol w:w="36"/>
        <w:gridCol w:w="36"/>
        <w:gridCol w:w="36"/>
        <w:gridCol w:w="121"/>
        <w:gridCol w:w="501"/>
        <w:gridCol w:w="36"/>
        <w:gridCol w:w="36"/>
        <w:gridCol w:w="36"/>
        <w:gridCol w:w="36"/>
        <w:gridCol w:w="122"/>
        <w:gridCol w:w="808"/>
        <w:gridCol w:w="36"/>
        <w:gridCol w:w="36"/>
        <w:gridCol w:w="36"/>
        <w:gridCol w:w="36"/>
        <w:gridCol w:w="121"/>
        <w:gridCol w:w="651"/>
        <w:gridCol w:w="36"/>
        <w:gridCol w:w="36"/>
        <w:gridCol w:w="36"/>
        <w:gridCol w:w="36"/>
        <w:gridCol w:w="122"/>
        <w:gridCol w:w="773"/>
        <w:gridCol w:w="36"/>
        <w:gridCol w:w="36"/>
        <w:gridCol w:w="36"/>
        <w:gridCol w:w="36"/>
        <w:gridCol w:w="121"/>
        <w:gridCol w:w="651"/>
        <w:gridCol w:w="36"/>
      </w:tblGrid>
      <w:tr w:rsidR="00000000" w14:paraId="10B0566D" w14:textId="77777777">
        <w:trPr>
          <w:divId w:val="1836873310"/>
        </w:trPr>
        <w:tc>
          <w:tcPr>
            <w:tcW w:w="50" w:type="pct"/>
            <w:vAlign w:val="center"/>
            <w:hideMark/>
          </w:tcPr>
          <w:p w14:paraId="575AD040" w14:textId="77777777" w:rsidR="00000000" w:rsidRDefault="001D0688">
            <w:pPr>
              <w:rPr>
                <w:rFonts w:eastAsia="Times New Roman"/>
              </w:rPr>
            </w:pPr>
          </w:p>
        </w:tc>
        <w:tc>
          <w:tcPr>
            <w:tcW w:w="1812" w:type="pct"/>
            <w:vAlign w:val="center"/>
            <w:hideMark/>
          </w:tcPr>
          <w:p w14:paraId="51F41804" w14:textId="77777777" w:rsidR="00000000" w:rsidRDefault="001D0688">
            <w:pPr>
              <w:rPr>
                <w:rFonts w:eastAsia="Times New Roman"/>
                <w:sz w:val="20"/>
                <w:szCs w:val="20"/>
              </w:rPr>
            </w:pPr>
          </w:p>
        </w:tc>
        <w:tc>
          <w:tcPr>
            <w:tcW w:w="5" w:type="pct"/>
            <w:vAlign w:val="center"/>
            <w:hideMark/>
          </w:tcPr>
          <w:p w14:paraId="1C4A3975" w14:textId="77777777" w:rsidR="00000000" w:rsidRDefault="001D0688">
            <w:pPr>
              <w:rPr>
                <w:rFonts w:eastAsia="Times New Roman"/>
                <w:sz w:val="20"/>
                <w:szCs w:val="20"/>
              </w:rPr>
            </w:pPr>
          </w:p>
        </w:tc>
        <w:tc>
          <w:tcPr>
            <w:tcW w:w="5" w:type="pct"/>
            <w:vAlign w:val="center"/>
            <w:hideMark/>
          </w:tcPr>
          <w:p w14:paraId="668AF579" w14:textId="77777777" w:rsidR="00000000" w:rsidRDefault="001D0688">
            <w:pPr>
              <w:rPr>
                <w:rFonts w:eastAsia="Times New Roman"/>
                <w:sz w:val="20"/>
                <w:szCs w:val="20"/>
              </w:rPr>
            </w:pPr>
          </w:p>
        </w:tc>
        <w:tc>
          <w:tcPr>
            <w:tcW w:w="26" w:type="pct"/>
            <w:vAlign w:val="center"/>
            <w:hideMark/>
          </w:tcPr>
          <w:p w14:paraId="7BF81718" w14:textId="77777777" w:rsidR="00000000" w:rsidRDefault="001D0688">
            <w:pPr>
              <w:rPr>
                <w:rFonts w:eastAsia="Times New Roman"/>
                <w:sz w:val="20"/>
                <w:szCs w:val="20"/>
              </w:rPr>
            </w:pPr>
          </w:p>
        </w:tc>
        <w:tc>
          <w:tcPr>
            <w:tcW w:w="5" w:type="pct"/>
            <w:vAlign w:val="center"/>
            <w:hideMark/>
          </w:tcPr>
          <w:p w14:paraId="779AE263" w14:textId="77777777" w:rsidR="00000000" w:rsidRDefault="001D0688">
            <w:pPr>
              <w:rPr>
                <w:rFonts w:eastAsia="Times New Roman"/>
                <w:sz w:val="20"/>
                <w:szCs w:val="20"/>
              </w:rPr>
            </w:pPr>
          </w:p>
        </w:tc>
        <w:tc>
          <w:tcPr>
            <w:tcW w:w="50" w:type="pct"/>
            <w:vAlign w:val="center"/>
            <w:hideMark/>
          </w:tcPr>
          <w:p w14:paraId="0BEBD4BF" w14:textId="77777777" w:rsidR="00000000" w:rsidRDefault="001D0688">
            <w:pPr>
              <w:rPr>
                <w:rFonts w:eastAsia="Times New Roman"/>
                <w:sz w:val="20"/>
                <w:szCs w:val="20"/>
              </w:rPr>
            </w:pPr>
          </w:p>
        </w:tc>
        <w:tc>
          <w:tcPr>
            <w:tcW w:w="431" w:type="pct"/>
            <w:vAlign w:val="center"/>
            <w:hideMark/>
          </w:tcPr>
          <w:p w14:paraId="714D62B3" w14:textId="77777777" w:rsidR="00000000" w:rsidRDefault="001D0688">
            <w:pPr>
              <w:rPr>
                <w:rFonts w:eastAsia="Times New Roman"/>
                <w:sz w:val="20"/>
                <w:szCs w:val="20"/>
              </w:rPr>
            </w:pPr>
          </w:p>
        </w:tc>
        <w:tc>
          <w:tcPr>
            <w:tcW w:w="5" w:type="pct"/>
            <w:vAlign w:val="center"/>
            <w:hideMark/>
          </w:tcPr>
          <w:p w14:paraId="40D05986" w14:textId="77777777" w:rsidR="00000000" w:rsidRDefault="001D0688">
            <w:pPr>
              <w:rPr>
                <w:rFonts w:eastAsia="Times New Roman"/>
                <w:sz w:val="20"/>
                <w:szCs w:val="20"/>
              </w:rPr>
            </w:pPr>
          </w:p>
        </w:tc>
        <w:tc>
          <w:tcPr>
            <w:tcW w:w="5" w:type="pct"/>
            <w:vAlign w:val="center"/>
            <w:hideMark/>
          </w:tcPr>
          <w:p w14:paraId="1407441F" w14:textId="77777777" w:rsidR="00000000" w:rsidRDefault="001D0688">
            <w:pPr>
              <w:rPr>
                <w:rFonts w:eastAsia="Times New Roman"/>
                <w:sz w:val="20"/>
                <w:szCs w:val="20"/>
              </w:rPr>
            </w:pPr>
          </w:p>
        </w:tc>
        <w:tc>
          <w:tcPr>
            <w:tcW w:w="26" w:type="pct"/>
            <w:vAlign w:val="center"/>
            <w:hideMark/>
          </w:tcPr>
          <w:p w14:paraId="75CD15F3" w14:textId="77777777" w:rsidR="00000000" w:rsidRDefault="001D0688">
            <w:pPr>
              <w:rPr>
                <w:rFonts w:eastAsia="Times New Roman"/>
                <w:sz w:val="20"/>
                <w:szCs w:val="20"/>
              </w:rPr>
            </w:pPr>
          </w:p>
        </w:tc>
        <w:tc>
          <w:tcPr>
            <w:tcW w:w="5" w:type="pct"/>
            <w:vAlign w:val="center"/>
            <w:hideMark/>
          </w:tcPr>
          <w:p w14:paraId="57D0106C" w14:textId="77777777" w:rsidR="00000000" w:rsidRDefault="001D0688">
            <w:pPr>
              <w:rPr>
                <w:rFonts w:eastAsia="Times New Roman"/>
                <w:sz w:val="20"/>
                <w:szCs w:val="20"/>
              </w:rPr>
            </w:pPr>
          </w:p>
        </w:tc>
        <w:tc>
          <w:tcPr>
            <w:tcW w:w="50" w:type="pct"/>
            <w:vAlign w:val="center"/>
            <w:hideMark/>
          </w:tcPr>
          <w:p w14:paraId="6412F6E5" w14:textId="77777777" w:rsidR="00000000" w:rsidRDefault="001D0688">
            <w:pPr>
              <w:rPr>
                <w:rFonts w:eastAsia="Times New Roman"/>
                <w:sz w:val="20"/>
                <w:szCs w:val="20"/>
              </w:rPr>
            </w:pPr>
          </w:p>
        </w:tc>
        <w:tc>
          <w:tcPr>
            <w:tcW w:w="431" w:type="pct"/>
            <w:vAlign w:val="center"/>
            <w:hideMark/>
          </w:tcPr>
          <w:p w14:paraId="46968C1A" w14:textId="77777777" w:rsidR="00000000" w:rsidRDefault="001D0688">
            <w:pPr>
              <w:rPr>
                <w:rFonts w:eastAsia="Times New Roman"/>
                <w:sz w:val="20"/>
                <w:szCs w:val="20"/>
              </w:rPr>
            </w:pPr>
          </w:p>
        </w:tc>
        <w:tc>
          <w:tcPr>
            <w:tcW w:w="5" w:type="pct"/>
            <w:vAlign w:val="center"/>
            <w:hideMark/>
          </w:tcPr>
          <w:p w14:paraId="1889A447" w14:textId="77777777" w:rsidR="00000000" w:rsidRDefault="001D0688">
            <w:pPr>
              <w:rPr>
                <w:rFonts w:eastAsia="Times New Roman"/>
                <w:sz w:val="20"/>
                <w:szCs w:val="20"/>
              </w:rPr>
            </w:pPr>
          </w:p>
        </w:tc>
        <w:tc>
          <w:tcPr>
            <w:tcW w:w="5" w:type="pct"/>
            <w:vAlign w:val="center"/>
            <w:hideMark/>
          </w:tcPr>
          <w:p w14:paraId="737001AB" w14:textId="77777777" w:rsidR="00000000" w:rsidRDefault="001D0688">
            <w:pPr>
              <w:rPr>
                <w:rFonts w:eastAsia="Times New Roman"/>
                <w:sz w:val="20"/>
                <w:szCs w:val="20"/>
              </w:rPr>
            </w:pPr>
          </w:p>
        </w:tc>
        <w:tc>
          <w:tcPr>
            <w:tcW w:w="26" w:type="pct"/>
            <w:vAlign w:val="center"/>
            <w:hideMark/>
          </w:tcPr>
          <w:p w14:paraId="2AFD0112" w14:textId="77777777" w:rsidR="00000000" w:rsidRDefault="001D0688">
            <w:pPr>
              <w:rPr>
                <w:rFonts w:eastAsia="Times New Roman"/>
                <w:sz w:val="20"/>
                <w:szCs w:val="20"/>
              </w:rPr>
            </w:pPr>
          </w:p>
        </w:tc>
        <w:tc>
          <w:tcPr>
            <w:tcW w:w="5" w:type="pct"/>
            <w:vAlign w:val="center"/>
            <w:hideMark/>
          </w:tcPr>
          <w:p w14:paraId="471EE46F" w14:textId="77777777" w:rsidR="00000000" w:rsidRDefault="001D0688">
            <w:pPr>
              <w:rPr>
                <w:rFonts w:eastAsia="Times New Roman"/>
                <w:sz w:val="20"/>
                <w:szCs w:val="20"/>
              </w:rPr>
            </w:pPr>
          </w:p>
        </w:tc>
        <w:tc>
          <w:tcPr>
            <w:tcW w:w="50" w:type="pct"/>
            <w:vAlign w:val="center"/>
            <w:hideMark/>
          </w:tcPr>
          <w:p w14:paraId="072E4873" w14:textId="77777777" w:rsidR="00000000" w:rsidRDefault="001D0688">
            <w:pPr>
              <w:rPr>
                <w:rFonts w:eastAsia="Times New Roman"/>
                <w:sz w:val="20"/>
                <w:szCs w:val="20"/>
              </w:rPr>
            </w:pPr>
          </w:p>
        </w:tc>
        <w:tc>
          <w:tcPr>
            <w:tcW w:w="431" w:type="pct"/>
            <w:vAlign w:val="center"/>
            <w:hideMark/>
          </w:tcPr>
          <w:p w14:paraId="159E1A41" w14:textId="77777777" w:rsidR="00000000" w:rsidRDefault="001D0688">
            <w:pPr>
              <w:rPr>
                <w:rFonts w:eastAsia="Times New Roman"/>
                <w:sz w:val="20"/>
                <w:szCs w:val="20"/>
              </w:rPr>
            </w:pPr>
          </w:p>
        </w:tc>
        <w:tc>
          <w:tcPr>
            <w:tcW w:w="5" w:type="pct"/>
            <w:vAlign w:val="center"/>
            <w:hideMark/>
          </w:tcPr>
          <w:p w14:paraId="6D61E51C" w14:textId="77777777" w:rsidR="00000000" w:rsidRDefault="001D0688">
            <w:pPr>
              <w:rPr>
                <w:rFonts w:eastAsia="Times New Roman"/>
                <w:sz w:val="20"/>
                <w:szCs w:val="20"/>
              </w:rPr>
            </w:pPr>
          </w:p>
        </w:tc>
        <w:tc>
          <w:tcPr>
            <w:tcW w:w="5" w:type="pct"/>
            <w:vAlign w:val="center"/>
            <w:hideMark/>
          </w:tcPr>
          <w:p w14:paraId="5F9F5789" w14:textId="77777777" w:rsidR="00000000" w:rsidRDefault="001D0688">
            <w:pPr>
              <w:rPr>
                <w:rFonts w:eastAsia="Times New Roman"/>
                <w:sz w:val="20"/>
                <w:szCs w:val="20"/>
              </w:rPr>
            </w:pPr>
          </w:p>
        </w:tc>
        <w:tc>
          <w:tcPr>
            <w:tcW w:w="26" w:type="pct"/>
            <w:vAlign w:val="center"/>
            <w:hideMark/>
          </w:tcPr>
          <w:p w14:paraId="7EEE000D" w14:textId="77777777" w:rsidR="00000000" w:rsidRDefault="001D0688">
            <w:pPr>
              <w:rPr>
                <w:rFonts w:eastAsia="Times New Roman"/>
                <w:sz w:val="20"/>
                <w:szCs w:val="20"/>
              </w:rPr>
            </w:pPr>
          </w:p>
        </w:tc>
        <w:tc>
          <w:tcPr>
            <w:tcW w:w="5" w:type="pct"/>
            <w:vAlign w:val="center"/>
            <w:hideMark/>
          </w:tcPr>
          <w:p w14:paraId="0B84F866" w14:textId="77777777" w:rsidR="00000000" w:rsidRDefault="001D0688">
            <w:pPr>
              <w:rPr>
                <w:rFonts w:eastAsia="Times New Roman"/>
                <w:sz w:val="20"/>
                <w:szCs w:val="20"/>
              </w:rPr>
            </w:pPr>
          </w:p>
        </w:tc>
        <w:tc>
          <w:tcPr>
            <w:tcW w:w="50" w:type="pct"/>
            <w:vAlign w:val="center"/>
            <w:hideMark/>
          </w:tcPr>
          <w:p w14:paraId="073A1655" w14:textId="77777777" w:rsidR="00000000" w:rsidRDefault="001D0688">
            <w:pPr>
              <w:rPr>
                <w:rFonts w:eastAsia="Times New Roman"/>
                <w:sz w:val="20"/>
                <w:szCs w:val="20"/>
              </w:rPr>
            </w:pPr>
          </w:p>
        </w:tc>
        <w:tc>
          <w:tcPr>
            <w:tcW w:w="431" w:type="pct"/>
            <w:vAlign w:val="center"/>
            <w:hideMark/>
          </w:tcPr>
          <w:p w14:paraId="5A7773F9" w14:textId="77777777" w:rsidR="00000000" w:rsidRDefault="001D0688">
            <w:pPr>
              <w:rPr>
                <w:rFonts w:eastAsia="Times New Roman"/>
                <w:sz w:val="20"/>
                <w:szCs w:val="20"/>
              </w:rPr>
            </w:pPr>
          </w:p>
        </w:tc>
        <w:tc>
          <w:tcPr>
            <w:tcW w:w="5" w:type="pct"/>
            <w:vAlign w:val="center"/>
            <w:hideMark/>
          </w:tcPr>
          <w:p w14:paraId="33A90108" w14:textId="77777777" w:rsidR="00000000" w:rsidRDefault="001D0688">
            <w:pPr>
              <w:rPr>
                <w:rFonts w:eastAsia="Times New Roman"/>
                <w:sz w:val="20"/>
                <w:szCs w:val="20"/>
              </w:rPr>
            </w:pPr>
          </w:p>
        </w:tc>
        <w:tc>
          <w:tcPr>
            <w:tcW w:w="5" w:type="pct"/>
            <w:vAlign w:val="center"/>
            <w:hideMark/>
          </w:tcPr>
          <w:p w14:paraId="7599671F" w14:textId="77777777" w:rsidR="00000000" w:rsidRDefault="001D0688">
            <w:pPr>
              <w:rPr>
                <w:rFonts w:eastAsia="Times New Roman"/>
                <w:sz w:val="20"/>
                <w:szCs w:val="20"/>
              </w:rPr>
            </w:pPr>
          </w:p>
        </w:tc>
        <w:tc>
          <w:tcPr>
            <w:tcW w:w="19" w:type="pct"/>
            <w:vAlign w:val="center"/>
            <w:hideMark/>
          </w:tcPr>
          <w:p w14:paraId="1915FA96" w14:textId="77777777" w:rsidR="00000000" w:rsidRDefault="001D0688">
            <w:pPr>
              <w:rPr>
                <w:rFonts w:eastAsia="Times New Roman"/>
                <w:sz w:val="20"/>
                <w:szCs w:val="20"/>
              </w:rPr>
            </w:pPr>
          </w:p>
        </w:tc>
        <w:tc>
          <w:tcPr>
            <w:tcW w:w="5" w:type="pct"/>
            <w:vAlign w:val="center"/>
            <w:hideMark/>
          </w:tcPr>
          <w:p w14:paraId="7B3B1CBD" w14:textId="77777777" w:rsidR="00000000" w:rsidRDefault="001D0688">
            <w:pPr>
              <w:rPr>
                <w:rFonts w:eastAsia="Times New Roman"/>
                <w:sz w:val="20"/>
                <w:szCs w:val="20"/>
              </w:rPr>
            </w:pPr>
          </w:p>
        </w:tc>
        <w:tc>
          <w:tcPr>
            <w:tcW w:w="50" w:type="pct"/>
            <w:vAlign w:val="center"/>
            <w:hideMark/>
          </w:tcPr>
          <w:p w14:paraId="25CA6D1B" w14:textId="77777777" w:rsidR="00000000" w:rsidRDefault="001D0688">
            <w:pPr>
              <w:rPr>
                <w:rFonts w:eastAsia="Times New Roman"/>
                <w:sz w:val="20"/>
                <w:szCs w:val="20"/>
              </w:rPr>
            </w:pPr>
          </w:p>
        </w:tc>
        <w:tc>
          <w:tcPr>
            <w:tcW w:w="431" w:type="pct"/>
            <w:vAlign w:val="center"/>
            <w:hideMark/>
          </w:tcPr>
          <w:p w14:paraId="61C874C1" w14:textId="77777777" w:rsidR="00000000" w:rsidRDefault="001D0688">
            <w:pPr>
              <w:rPr>
                <w:rFonts w:eastAsia="Times New Roman"/>
                <w:sz w:val="20"/>
                <w:szCs w:val="20"/>
              </w:rPr>
            </w:pPr>
          </w:p>
        </w:tc>
        <w:tc>
          <w:tcPr>
            <w:tcW w:w="5" w:type="pct"/>
            <w:vAlign w:val="center"/>
            <w:hideMark/>
          </w:tcPr>
          <w:p w14:paraId="6234090C" w14:textId="77777777" w:rsidR="00000000" w:rsidRDefault="001D0688">
            <w:pPr>
              <w:rPr>
                <w:rFonts w:eastAsia="Times New Roman"/>
                <w:sz w:val="20"/>
                <w:szCs w:val="20"/>
              </w:rPr>
            </w:pPr>
          </w:p>
        </w:tc>
        <w:tc>
          <w:tcPr>
            <w:tcW w:w="5" w:type="pct"/>
            <w:vAlign w:val="center"/>
            <w:hideMark/>
          </w:tcPr>
          <w:p w14:paraId="014BF1A5" w14:textId="77777777" w:rsidR="00000000" w:rsidRDefault="001D0688">
            <w:pPr>
              <w:rPr>
                <w:rFonts w:eastAsia="Times New Roman"/>
                <w:sz w:val="20"/>
                <w:szCs w:val="20"/>
              </w:rPr>
            </w:pPr>
          </w:p>
        </w:tc>
        <w:tc>
          <w:tcPr>
            <w:tcW w:w="26" w:type="pct"/>
            <w:vAlign w:val="center"/>
            <w:hideMark/>
          </w:tcPr>
          <w:p w14:paraId="59820A13" w14:textId="77777777" w:rsidR="00000000" w:rsidRDefault="001D0688">
            <w:pPr>
              <w:rPr>
                <w:rFonts w:eastAsia="Times New Roman"/>
                <w:sz w:val="20"/>
                <w:szCs w:val="20"/>
              </w:rPr>
            </w:pPr>
          </w:p>
        </w:tc>
        <w:tc>
          <w:tcPr>
            <w:tcW w:w="5" w:type="pct"/>
            <w:vAlign w:val="center"/>
            <w:hideMark/>
          </w:tcPr>
          <w:p w14:paraId="6CC97183" w14:textId="77777777" w:rsidR="00000000" w:rsidRDefault="001D0688">
            <w:pPr>
              <w:rPr>
                <w:rFonts w:eastAsia="Times New Roman"/>
                <w:sz w:val="20"/>
                <w:szCs w:val="20"/>
              </w:rPr>
            </w:pPr>
          </w:p>
        </w:tc>
        <w:tc>
          <w:tcPr>
            <w:tcW w:w="50" w:type="pct"/>
            <w:vAlign w:val="center"/>
            <w:hideMark/>
          </w:tcPr>
          <w:p w14:paraId="0714A881" w14:textId="77777777" w:rsidR="00000000" w:rsidRDefault="001D0688">
            <w:pPr>
              <w:rPr>
                <w:rFonts w:eastAsia="Times New Roman"/>
                <w:sz w:val="20"/>
                <w:szCs w:val="20"/>
              </w:rPr>
            </w:pPr>
          </w:p>
        </w:tc>
        <w:tc>
          <w:tcPr>
            <w:tcW w:w="432" w:type="pct"/>
            <w:vAlign w:val="center"/>
            <w:hideMark/>
          </w:tcPr>
          <w:p w14:paraId="3E90FE5B" w14:textId="77777777" w:rsidR="00000000" w:rsidRDefault="001D0688">
            <w:pPr>
              <w:rPr>
                <w:rFonts w:eastAsia="Times New Roman"/>
                <w:sz w:val="20"/>
                <w:szCs w:val="20"/>
              </w:rPr>
            </w:pPr>
          </w:p>
        </w:tc>
        <w:tc>
          <w:tcPr>
            <w:tcW w:w="5" w:type="pct"/>
            <w:vAlign w:val="center"/>
            <w:hideMark/>
          </w:tcPr>
          <w:p w14:paraId="5B7ACA50" w14:textId="77777777" w:rsidR="00000000" w:rsidRDefault="001D0688">
            <w:pPr>
              <w:rPr>
                <w:rFonts w:eastAsia="Times New Roman"/>
                <w:sz w:val="20"/>
                <w:szCs w:val="20"/>
              </w:rPr>
            </w:pPr>
          </w:p>
        </w:tc>
      </w:tr>
      <w:tr w:rsidR="00000000" w14:paraId="13032BAD" w14:textId="77777777">
        <w:trPr>
          <w:divId w:val="1836873310"/>
        </w:trPr>
        <w:tc>
          <w:tcPr>
            <w:tcW w:w="0" w:type="auto"/>
            <w:gridSpan w:val="3"/>
            <w:tcMar>
              <w:top w:w="0" w:type="dxa"/>
              <w:left w:w="20" w:type="dxa"/>
              <w:bottom w:w="0" w:type="dxa"/>
              <w:right w:w="20" w:type="dxa"/>
            </w:tcMar>
            <w:vAlign w:val="center"/>
            <w:hideMark/>
          </w:tcPr>
          <w:p w14:paraId="57F054A2"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9EBBE2B" w14:textId="77777777" w:rsidR="00000000" w:rsidRDefault="001D0688">
            <w:pPr>
              <w:rPr>
                <w:rFonts w:eastAsia="Times New Roman"/>
                <w:sz w:val="20"/>
                <w:szCs w:val="20"/>
              </w:rPr>
            </w:pPr>
          </w:p>
        </w:tc>
        <w:tc>
          <w:tcPr>
            <w:tcW w:w="0" w:type="auto"/>
            <w:gridSpan w:val="33"/>
            <w:tcMar>
              <w:top w:w="30" w:type="dxa"/>
              <w:left w:w="20" w:type="dxa"/>
              <w:bottom w:w="30" w:type="dxa"/>
              <w:right w:w="20" w:type="dxa"/>
            </w:tcMar>
            <w:vAlign w:val="bottom"/>
            <w:hideMark/>
          </w:tcPr>
          <w:p w14:paraId="23EB4001" w14:textId="77777777" w:rsidR="00000000" w:rsidRDefault="001D0688">
            <w:pPr>
              <w:jc w:val="center"/>
              <w:rPr>
                <w:rFonts w:eastAsia="Times New Roman"/>
              </w:rPr>
            </w:pPr>
            <w:r>
              <w:rPr>
                <w:rFonts w:ascii="Arial" w:eastAsia="Times New Roman" w:hAnsi="Arial" w:cs="Arial"/>
                <w:b/>
                <w:bCs/>
                <w:color w:val="000000"/>
                <w:sz w:val="18"/>
                <w:szCs w:val="18"/>
              </w:rPr>
              <w:t>Year Ended October 31, 2019</w:t>
            </w:r>
          </w:p>
        </w:tc>
      </w:tr>
      <w:tr w:rsidR="00000000" w14:paraId="29BD5B67" w14:textId="77777777">
        <w:trPr>
          <w:divId w:val="1836873310"/>
        </w:trPr>
        <w:tc>
          <w:tcPr>
            <w:tcW w:w="0" w:type="auto"/>
            <w:gridSpan w:val="3"/>
            <w:tcMar>
              <w:top w:w="30" w:type="dxa"/>
              <w:left w:w="20" w:type="dxa"/>
              <w:bottom w:w="30" w:type="dxa"/>
              <w:right w:w="20" w:type="dxa"/>
            </w:tcMar>
            <w:vAlign w:val="bottom"/>
            <w:hideMark/>
          </w:tcPr>
          <w:p w14:paraId="7BAF3FFF" w14:textId="77777777" w:rsidR="00000000" w:rsidRDefault="001D0688">
            <w:pPr>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0D3703AA"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944523" w14:textId="77777777" w:rsidR="00000000" w:rsidRDefault="001D0688">
            <w:pPr>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14:paraId="5D2D01E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AF62AC" w14:textId="77777777" w:rsidR="00000000" w:rsidRDefault="001D0688">
            <w:pPr>
              <w:jc w:val="center"/>
              <w:rPr>
                <w:rFonts w:eastAsia="Times New Roman"/>
              </w:rPr>
            </w:pPr>
            <w:r>
              <w:rPr>
                <w:rFonts w:ascii="Arial" w:eastAsia="Times New Roman" w:hAnsi="Arial" w:cs="Arial"/>
                <w:b/>
                <w:bCs/>
                <w:color w:val="000000"/>
                <w:sz w:val="18"/>
                <w:szCs w:val="18"/>
              </w:rPr>
              <w:t>T&amp;M</w:t>
            </w:r>
          </w:p>
        </w:tc>
        <w:tc>
          <w:tcPr>
            <w:tcW w:w="0" w:type="auto"/>
            <w:gridSpan w:val="3"/>
            <w:tcBorders>
              <w:top w:val="single" w:sz="8" w:space="0" w:color="000000"/>
            </w:tcBorders>
            <w:tcMar>
              <w:top w:w="0" w:type="dxa"/>
              <w:left w:w="20" w:type="dxa"/>
              <w:bottom w:w="0" w:type="dxa"/>
              <w:right w:w="20" w:type="dxa"/>
            </w:tcMar>
            <w:vAlign w:val="center"/>
            <w:hideMark/>
          </w:tcPr>
          <w:p w14:paraId="3D69333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DE401D" w14:textId="77777777" w:rsidR="00000000" w:rsidRDefault="001D0688">
            <w:pPr>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744E536D"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E373F5" w14:textId="77777777" w:rsidR="00000000" w:rsidRDefault="001D0688">
            <w:pPr>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14:paraId="5FE4657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15F3AD" w14:textId="77777777" w:rsidR="00000000" w:rsidRDefault="001D0688">
            <w:pPr>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14:paraId="5D322570"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D3219C" w14:textId="77777777" w:rsidR="00000000" w:rsidRDefault="001D0688">
            <w:pPr>
              <w:jc w:val="center"/>
              <w:rPr>
                <w:rFonts w:eastAsia="Times New Roman"/>
              </w:rPr>
            </w:pPr>
            <w:r>
              <w:rPr>
                <w:rFonts w:ascii="Arial" w:eastAsia="Times New Roman" w:hAnsi="Arial" w:cs="Arial"/>
                <w:b/>
                <w:bCs/>
                <w:color w:val="000000"/>
                <w:sz w:val="18"/>
                <w:szCs w:val="18"/>
              </w:rPr>
              <w:t>Total</w:t>
            </w:r>
          </w:p>
        </w:tc>
      </w:tr>
      <w:tr w:rsidR="00000000" w14:paraId="3B5296C9" w14:textId="77777777">
        <w:trPr>
          <w:divId w:val="1836873310"/>
        </w:trPr>
        <w:tc>
          <w:tcPr>
            <w:tcW w:w="0" w:type="auto"/>
            <w:gridSpan w:val="3"/>
            <w:shd w:val="clear" w:color="auto" w:fill="DCE2EF"/>
            <w:tcMar>
              <w:top w:w="30" w:type="dxa"/>
              <w:left w:w="20" w:type="dxa"/>
              <w:bottom w:w="30" w:type="dxa"/>
              <w:right w:w="20" w:type="dxa"/>
            </w:tcMar>
            <w:vAlign w:val="bottom"/>
            <w:hideMark/>
          </w:tcPr>
          <w:p w14:paraId="60685050" w14:textId="77777777" w:rsidR="00000000" w:rsidRDefault="001D0688">
            <w:pPr>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14:paraId="1CDDFB5C"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B00BA4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5F74F66"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BADBD7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34A6E07"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96BB65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43E2EF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09CE65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E3E6AC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B9445B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2425D82"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70A25A2" w14:textId="77777777" w:rsidR="00000000" w:rsidRDefault="001D0688">
            <w:pPr>
              <w:rPr>
                <w:rFonts w:eastAsia="Times New Roman"/>
                <w:sz w:val="20"/>
                <w:szCs w:val="20"/>
              </w:rPr>
            </w:pPr>
          </w:p>
        </w:tc>
      </w:tr>
      <w:tr w:rsidR="00000000" w14:paraId="5A7EB1BA" w14:textId="77777777">
        <w:trPr>
          <w:divId w:val="1836873310"/>
        </w:trPr>
        <w:tc>
          <w:tcPr>
            <w:tcW w:w="0" w:type="auto"/>
            <w:gridSpan w:val="3"/>
            <w:shd w:val="clear" w:color="auto" w:fill="FFFFFF"/>
            <w:tcMar>
              <w:top w:w="30" w:type="dxa"/>
              <w:left w:w="20" w:type="dxa"/>
              <w:bottom w:w="30" w:type="dxa"/>
              <w:right w:w="20" w:type="dxa"/>
            </w:tcMar>
            <w:vAlign w:val="bottom"/>
            <w:hideMark/>
          </w:tcPr>
          <w:p w14:paraId="6A6F7C2D" w14:textId="77777777" w:rsidR="00000000" w:rsidRDefault="001D0688">
            <w:pPr>
              <w:divId w:val="1385059275"/>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1FBBE69"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41C4A9D8"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0B4AC4B" w14:textId="77777777" w:rsidR="00000000" w:rsidRDefault="001D0688">
            <w:pPr>
              <w:jc w:val="right"/>
              <w:rPr>
                <w:rFonts w:eastAsia="Times New Roman"/>
              </w:rPr>
            </w:pPr>
            <w:r>
              <w:rPr>
                <w:rFonts w:ascii="Arial" w:eastAsia="Times New Roman" w:hAnsi="Arial" w:cs="Arial"/>
                <w:color w:val="000000"/>
                <w:sz w:val="18"/>
                <w:szCs w:val="18"/>
              </w:rPr>
              <w:t>2,316.1 </w:t>
            </w:r>
          </w:p>
        </w:tc>
        <w:tc>
          <w:tcPr>
            <w:tcW w:w="0" w:type="auto"/>
            <w:shd w:val="clear" w:color="auto" w:fill="FFFFFF"/>
            <w:tcMar>
              <w:top w:w="30" w:type="dxa"/>
              <w:left w:w="0" w:type="dxa"/>
              <w:bottom w:w="30" w:type="dxa"/>
              <w:right w:w="20" w:type="dxa"/>
            </w:tcMar>
            <w:vAlign w:val="bottom"/>
            <w:hideMark/>
          </w:tcPr>
          <w:p w14:paraId="1E42978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B1D08"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55AEB2"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61BC6FD" w14:textId="77777777" w:rsidR="00000000" w:rsidRDefault="001D0688">
            <w:pPr>
              <w:jc w:val="right"/>
              <w:rPr>
                <w:rFonts w:eastAsia="Times New Roman"/>
              </w:rPr>
            </w:pPr>
            <w:r>
              <w:rPr>
                <w:rFonts w:ascii="Arial" w:eastAsia="Times New Roman" w:hAnsi="Arial" w:cs="Arial"/>
                <w:color w:val="000000"/>
                <w:sz w:val="18"/>
                <w:szCs w:val="18"/>
              </w:rPr>
              <w:t>739.7 </w:t>
            </w:r>
          </w:p>
        </w:tc>
        <w:tc>
          <w:tcPr>
            <w:tcW w:w="0" w:type="auto"/>
            <w:shd w:val="clear" w:color="auto" w:fill="FFFFFF"/>
            <w:tcMar>
              <w:top w:w="30" w:type="dxa"/>
              <w:left w:w="0" w:type="dxa"/>
              <w:bottom w:w="30" w:type="dxa"/>
              <w:right w:w="20" w:type="dxa"/>
            </w:tcMar>
            <w:vAlign w:val="bottom"/>
            <w:hideMark/>
          </w:tcPr>
          <w:p w14:paraId="22ADE06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7B40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114E41"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AF3B675" w14:textId="77777777" w:rsidR="00000000" w:rsidRDefault="001D0688">
            <w:pPr>
              <w:jc w:val="right"/>
              <w:rPr>
                <w:rFonts w:eastAsia="Times New Roman"/>
              </w:rPr>
            </w:pPr>
            <w:r>
              <w:rPr>
                <w:rFonts w:ascii="Arial" w:eastAsia="Times New Roman" w:hAnsi="Arial" w:cs="Arial"/>
                <w:color w:val="000000"/>
                <w:sz w:val="18"/>
                <w:szCs w:val="18"/>
              </w:rPr>
              <w:t>756.3 </w:t>
            </w:r>
          </w:p>
        </w:tc>
        <w:tc>
          <w:tcPr>
            <w:tcW w:w="0" w:type="auto"/>
            <w:shd w:val="clear" w:color="auto" w:fill="FFFFFF"/>
            <w:tcMar>
              <w:top w:w="30" w:type="dxa"/>
              <w:left w:w="0" w:type="dxa"/>
              <w:bottom w:w="30" w:type="dxa"/>
              <w:right w:w="20" w:type="dxa"/>
            </w:tcMar>
            <w:vAlign w:val="bottom"/>
            <w:hideMark/>
          </w:tcPr>
          <w:p w14:paraId="12AB6BB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10534"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418A0A"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D595590" w14:textId="77777777" w:rsidR="00000000" w:rsidRDefault="001D0688">
            <w:pPr>
              <w:jc w:val="right"/>
              <w:rPr>
                <w:rFonts w:eastAsia="Times New Roman"/>
              </w:rPr>
            </w:pPr>
            <w:r>
              <w:rPr>
                <w:rFonts w:ascii="Arial" w:eastAsia="Times New Roman" w:hAnsi="Arial" w:cs="Arial"/>
                <w:color w:val="000000"/>
                <w:sz w:val="18"/>
                <w:szCs w:val="18"/>
              </w:rPr>
              <w:t>125.8 </w:t>
            </w:r>
          </w:p>
        </w:tc>
        <w:tc>
          <w:tcPr>
            <w:tcW w:w="0" w:type="auto"/>
            <w:shd w:val="clear" w:color="auto" w:fill="FFFFFF"/>
            <w:tcMar>
              <w:top w:w="30" w:type="dxa"/>
              <w:left w:w="0" w:type="dxa"/>
              <w:bottom w:w="30" w:type="dxa"/>
              <w:right w:w="20" w:type="dxa"/>
            </w:tcMar>
            <w:vAlign w:val="bottom"/>
            <w:hideMark/>
          </w:tcPr>
          <w:p w14:paraId="3734241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88733"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47A65C"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0C61AC5"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AFDE17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E78D9"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2F2414" w14:textId="77777777" w:rsidR="00000000" w:rsidRDefault="001D0688">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187E7DC" w14:textId="77777777" w:rsidR="00000000" w:rsidRDefault="001D0688">
            <w:pPr>
              <w:jc w:val="right"/>
              <w:rPr>
                <w:rFonts w:eastAsia="Times New Roman"/>
              </w:rPr>
            </w:pPr>
            <w:r>
              <w:rPr>
                <w:rFonts w:ascii="Arial" w:eastAsia="Times New Roman" w:hAnsi="Arial" w:cs="Arial"/>
                <w:color w:val="000000"/>
                <w:sz w:val="18"/>
                <w:szCs w:val="18"/>
              </w:rPr>
              <w:t>3,937.9 </w:t>
            </w:r>
          </w:p>
        </w:tc>
        <w:tc>
          <w:tcPr>
            <w:tcW w:w="0" w:type="auto"/>
            <w:shd w:val="clear" w:color="auto" w:fill="FFFFFF"/>
            <w:tcMar>
              <w:top w:w="30" w:type="dxa"/>
              <w:left w:w="0" w:type="dxa"/>
              <w:bottom w:w="30" w:type="dxa"/>
              <w:right w:w="20" w:type="dxa"/>
            </w:tcMar>
            <w:vAlign w:val="bottom"/>
            <w:hideMark/>
          </w:tcPr>
          <w:p w14:paraId="45D6BF89" w14:textId="77777777" w:rsidR="00000000" w:rsidRDefault="001D0688">
            <w:pPr>
              <w:jc w:val="right"/>
              <w:rPr>
                <w:rFonts w:eastAsia="Times New Roman"/>
              </w:rPr>
            </w:pPr>
          </w:p>
        </w:tc>
      </w:tr>
      <w:tr w:rsidR="00000000" w14:paraId="32CC3247" w14:textId="77777777">
        <w:trPr>
          <w:divId w:val="1836873310"/>
        </w:trPr>
        <w:tc>
          <w:tcPr>
            <w:tcW w:w="0" w:type="auto"/>
            <w:gridSpan w:val="3"/>
            <w:shd w:val="clear" w:color="auto" w:fill="DCE2EF"/>
            <w:tcMar>
              <w:top w:w="30" w:type="dxa"/>
              <w:left w:w="20" w:type="dxa"/>
              <w:bottom w:w="30" w:type="dxa"/>
              <w:right w:w="20" w:type="dxa"/>
            </w:tcMar>
            <w:vAlign w:val="bottom"/>
            <w:hideMark/>
          </w:tcPr>
          <w:p w14:paraId="497506EF" w14:textId="77777777" w:rsidR="00000000" w:rsidRDefault="001D0688">
            <w:pPr>
              <w:divId w:val="562788239"/>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2997DAEA"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1B5FF8D" w14:textId="77777777" w:rsidR="00000000" w:rsidRDefault="001D0688">
            <w:pPr>
              <w:jc w:val="right"/>
              <w:rPr>
                <w:rFonts w:eastAsia="Times New Roman"/>
              </w:rPr>
            </w:pPr>
            <w:r>
              <w:rPr>
                <w:rFonts w:ascii="Arial" w:eastAsia="Times New Roman" w:hAnsi="Arial" w:cs="Arial"/>
                <w:color w:val="000000"/>
                <w:sz w:val="18"/>
                <w:szCs w:val="18"/>
              </w:rPr>
              <w:t>511.5 </w:t>
            </w:r>
          </w:p>
        </w:tc>
        <w:tc>
          <w:tcPr>
            <w:tcW w:w="0" w:type="auto"/>
            <w:shd w:val="clear" w:color="auto" w:fill="DCE2EF"/>
            <w:tcMar>
              <w:top w:w="30" w:type="dxa"/>
              <w:left w:w="0" w:type="dxa"/>
              <w:bottom w:w="30" w:type="dxa"/>
              <w:right w:w="20" w:type="dxa"/>
            </w:tcMar>
            <w:vAlign w:val="bottom"/>
            <w:hideMark/>
          </w:tcPr>
          <w:p w14:paraId="7E19951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78AD0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91D4B5" w14:textId="77777777" w:rsidR="00000000" w:rsidRDefault="001D0688">
            <w:pPr>
              <w:jc w:val="right"/>
              <w:rPr>
                <w:rFonts w:eastAsia="Times New Roman"/>
              </w:rPr>
            </w:pPr>
            <w:r>
              <w:rPr>
                <w:rFonts w:ascii="Arial" w:eastAsia="Times New Roman" w:hAnsi="Arial" w:cs="Arial"/>
                <w:color w:val="000000"/>
                <w:sz w:val="18"/>
                <w:szCs w:val="18"/>
              </w:rPr>
              <w:t>25.9 </w:t>
            </w:r>
          </w:p>
        </w:tc>
        <w:tc>
          <w:tcPr>
            <w:tcW w:w="0" w:type="auto"/>
            <w:shd w:val="clear" w:color="auto" w:fill="DCE2EF"/>
            <w:tcMar>
              <w:top w:w="30" w:type="dxa"/>
              <w:left w:w="0" w:type="dxa"/>
              <w:bottom w:w="30" w:type="dxa"/>
              <w:right w:w="20" w:type="dxa"/>
            </w:tcMar>
            <w:vAlign w:val="bottom"/>
            <w:hideMark/>
          </w:tcPr>
          <w:p w14:paraId="4B99F95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FEA94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B04D74" w14:textId="77777777" w:rsidR="00000000" w:rsidRDefault="001D0688">
            <w:pPr>
              <w:jc w:val="right"/>
              <w:rPr>
                <w:rFonts w:eastAsia="Times New Roman"/>
              </w:rPr>
            </w:pPr>
            <w:r>
              <w:rPr>
                <w:rFonts w:ascii="Arial" w:eastAsia="Times New Roman" w:hAnsi="Arial" w:cs="Arial"/>
                <w:color w:val="000000"/>
                <w:sz w:val="18"/>
                <w:szCs w:val="18"/>
              </w:rPr>
              <w:t>3.1 </w:t>
            </w:r>
          </w:p>
        </w:tc>
        <w:tc>
          <w:tcPr>
            <w:tcW w:w="0" w:type="auto"/>
            <w:shd w:val="clear" w:color="auto" w:fill="DCE2EF"/>
            <w:tcMar>
              <w:top w:w="30" w:type="dxa"/>
              <w:left w:w="0" w:type="dxa"/>
              <w:bottom w:w="30" w:type="dxa"/>
              <w:right w:w="20" w:type="dxa"/>
            </w:tcMar>
            <w:vAlign w:val="bottom"/>
            <w:hideMark/>
          </w:tcPr>
          <w:p w14:paraId="0698140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448BC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B2808E" w14:textId="77777777" w:rsidR="00000000" w:rsidRDefault="001D0688">
            <w:pPr>
              <w:jc w:val="right"/>
              <w:rPr>
                <w:rFonts w:eastAsia="Times New Roman"/>
              </w:rPr>
            </w:pPr>
            <w:r>
              <w:rPr>
                <w:rFonts w:ascii="Arial" w:eastAsia="Times New Roman" w:hAnsi="Arial" w:cs="Arial"/>
                <w:color w:val="000000"/>
                <w:sz w:val="18"/>
                <w:szCs w:val="18"/>
              </w:rPr>
              <w:t>335.3 </w:t>
            </w:r>
          </w:p>
        </w:tc>
        <w:tc>
          <w:tcPr>
            <w:tcW w:w="0" w:type="auto"/>
            <w:shd w:val="clear" w:color="auto" w:fill="DCE2EF"/>
            <w:tcMar>
              <w:top w:w="30" w:type="dxa"/>
              <w:left w:w="0" w:type="dxa"/>
              <w:bottom w:w="30" w:type="dxa"/>
              <w:right w:w="20" w:type="dxa"/>
            </w:tcMar>
            <w:vAlign w:val="bottom"/>
            <w:hideMark/>
          </w:tcPr>
          <w:p w14:paraId="25FA917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AAA7D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F6C73D"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74655F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5CA04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7E6CF6" w14:textId="77777777" w:rsidR="00000000" w:rsidRDefault="001D0688">
            <w:pPr>
              <w:jc w:val="right"/>
              <w:rPr>
                <w:rFonts w:eastAsia="Times New Roman"/>
              </w:rPr>
            </w:pPr>
            <w:r>
              <w:rPr>
                <w:rFonts w:ascii="Arial" w:eastAsia="Times New Roman" w:hAnsi="Arial" w:cs="Arial"/>
                <w:color w:val="000000"/>
                <w:sz w:val="18"/>
                <w:szCs w:val="18"/>
              </w:rPr>
              <w:t>875.8 </w:t>
            </w:r>
          </w:p>
        </w:tc>
        <w:tc>
          <w:tcPr>
            <w:tcW w:w="0" w:type="auto"/>
            <w:shd w:val="clear" w:color="auto" w:fill="DCE2EF"/>
            <w:tcMar>
              <w:top w:w="30" w:type="dxa"/>
              <w:left w:w="0" w:type="dxa"/>
              <w:bottom w:w="30" w:type="dxa"/>
              <w:right w:w="20" w:type="dxa"/>
            </w:tcMar>
            <w:vAlign w:val="bottom"/>
            <w:hideMark/>
          </w:tcPr>
          <w:p w14:paraId="0926DBD5" w14:textId="77777777" w:rsidR="00000000" w:rsidRDefault="001D0688">
            <w:pPr>
              <w:jc w:val="right"/>
              <w:rPr>
                <w:rFonts w:eastAsia="Times New Roman"/>
              </w:rPr>
            </w:pPr>
          </w:p>
        </w:tc>
      </w:tr>
      <w:tr w:rsidR="00000000" w14:paraId="6EA8E594" w14:textId="77777777">
        <w:trPr>
          <w:divId w:val="1836873310"/>
        </w:trPr>
        <w:tc>
          <w:tcPr>
            <w:tcW w:w="0" w:type="auto"/>
            <w:gridSpan w:val="3"/>
            <w:shd w:val="clear" w:color="auto" w:fill="FFFFFF"/>
            <w:tcMar>
              <w:top w:w="30" w:type="dxa"/>
              <w:left w:w="20" w:type="dxa"/>
              <w:bottom w:w="30" w:type="dxa"/>
              <w:right w:w="20" w:type="dxa"/>
            </w:tcMar>
            <w:vAlign w:val="bottom"/>
            <w:hideMark/>
          </w:tcPr>
          <w:p w14:paraId="5EB19499" w14:textId="77777777" w:rsidR="00000000" w:rsidRDefault="001D0688">
            <w:pPr>
              <w:divId w:val="1584680211"/>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D9EA45F"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14B4D8" w14:textId="77777777" w:rsidR="00000000" w:rsidRDefault="001D0688">
            <w:pPr>
              <w:jc w:val="right"/>
              <w:rPr>
                <w:rFonts w:eastAsia="Times New Roman"/>
              </w:rPr>
            </w:pPr>
            <w:r>
              <w:rPr>
                <w:rFonts w:ascii="Arial" w:eastAsia="Times New Roman" w:hAnsi="Arial" w:cs="Arial"/>
                <w:color w:val="000000"/>
                <w:sz w:val="18"/>
                <w:szCs w:val="18"/>
              </w:rPr>
              <w:t>423.1 </w:t>
            </w:r>
          </w:p>
        </w:tc>
        <w:tc>
          <w:tcPr>
            <w:tcW w:w="0" w:type="auto"/>
            <w:shd w:val="clear" w:color="auto" w:fill="FFFFFF"/>
            <w:tcMar>
              <w:top w:w="30" w:type="dxa"/>
              <w:left w:w="0" w:type="dxa"/>
              <w:bottom w:w="30" w:type="dxa"/>
              <w:right w:w="20" w:type="dxa"/>
            </w:tcMar>
            <w:vAlign w:val="bottom"/>
            <w:hideMark/>
          </w:tcPr>
          <w:p w14:paraId="776A7E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AA83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4BBD2" w14:textId="77777777" w:rsidR="00000000" w:rsidRDefault="001D0688">
            <w:pPr>
              <w:jc w:val="right"/>
              <w:rPr>
                <w:rFonts w:eastAsia="Times New Roman"/>
              </w:rPr>
            </w:pPr>
            <w:r>
              <w:rPr>
                <w:rFonts w:ascii="Arial" w:eastAsia="Times New Roman" w:hAnsi="Arial" w:cs="Arial"/>
                <w:color w:val="000000"/>
                <w:sz w:val="18"/>
                <w:szCs w:val="18"/>
              </w:rPr>
              <w:t>151.4 </w:t>
            </w:r>
          </w:p>
        </w:tc>
        <w:tc>
          <w:tcPr>
            <w:tcW w:w="0" w:type="auto"/>
            <w:shd w:val="clear" w:color="auto" w:fill="FFFFFF"/>
            <w:tcMar>
              <w:top w:w="30" w:type="dxa"/>
              <w:left w:w="0" w:type="dxa"/>
              <w:bottom w:w="30" w:type="dxa"/>
              <w:right w:w="20" w:type="dxa"/>
            </w:tcMar>
            <w:vAlign w:val="bottom"/>
            <w:hideMark/>
          </w:tcPr>
          <w:p w14:paraId="53F63FB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6C31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830DD" w14:textId="77777777" w:rsidR="00000000" w:rsidRDefault="001D0688">
            <w:pPr>
              <w:jc w:val="right"/>
              <w:rPr>
                <w:rFonts w:eastAsia="Times New Roman"/>
              </w:rPr>
            </w:pPr>
            <w:r>
              <w:rPr>
                <w:rFonts w:ascii="Arial" w:eastAsia="Times New Roman" w:hAnsi="Arial" w:cs="Arial"/>
                <w:color w:val="000000"/>
                <w:sz w:val="18"/>
                <w:szCs w:val="18"/>
              </w:rPr>
              <w:t>88.0 </w:t>
            </w:r>
          </w:p>
        </w:tc>
        <w:tc>
          <w:tcPr>
            <w:tcW w:w="0" w:type="auto"/>
            <w:shd w:val="clear" w:color="auto" w:fill="FFFFFF"/>
            <w:tcMar>
              <w:top w:w="30" w:type="dxa"/>
              <w:left w:w="0" w:type="dxa"/>
              <w:bottom w:w="30" w:type="dxa"/>
              <w:right w:w="20" w:type="dxa"/>
            </w:tcMar>
            <w:vAlign w:val="bottom"/>
            <w:hideMark/>
          </w:tcPr>
          <w:p w14:paraId="5867556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3C5A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18555" w14:textId="77777777" w:rsidR="00000000" w:rsidRDefault="001D0688">
            <w:pPr>
              <w:jc w:val="right"/>
              <w:rPr>
                <w:rFonts w:eastAsia="Times New Roman"/>
              </w:rPr>
            </w:pPr>
            <w:r>
              <w:rPr>
                <w:rFonts w:ascii="Arial" w:eastAsia="Times New Roman" w:hAnsi="Arial" w:cs="Arial"/>
                <w:color w:val="000000"/>
                <w:sz w:val="18"/>
                <w:szCs w:val="18"/>
              </w:rPr>
              <w:t>72.1 </w:t>
            </w:r>
          </w:p>
        </w:tc>
        <w:tc>
          <w:tcPr>
            <w:tcW w:w="0" w:type="auto"/>
            <w:shd w:val="clear" w:color="auto" w:fill="FFFFFF"/>
            <w:tcMar>
              <w:top w:w="30" w:type="dxa"/>
              <w:left w:w="0" w:type="dxa"/>
              <w:bottom w:w="30" w:type="dxa"/>
              <w:right w:w="20" w:type="dxa"/>
            </w:tcMar>
            <w:vAlign w:val="bottom"/>
            <w:hideMark/>
          </w:tcPr>
          <w:p w14:paraId="7364F18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2DE9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18418"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8E56CA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53A2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49F98" w14:textId="77777777" w:rsidR="00000000" w:rsidRDefault="001D0688">
            <w:pPr>
              <w:jc w:val="right"/>
              <w:rPr>
                <w:rFonts w:eastAsia="Times New Roman"/>
              </w:rPr>
            </w:pPr>
            <w:r>
              <w:rPr>
                <w:rFonts w:ascii="Arial" w:eastAsia="Times New Roman" w:hAnsi="Arial" w:cs="Arial"/>
                <w:color w:val="000000"/>
                <w:sz w:val="18"/>
                <w:szCs w:val="18"/>
              </w:rPr>
              <w:t>734.6 </w:t>
            </w:r>
          </w:p>
        </w:tc>
        <w:tc>
          <w:tcPr>
            <w:tcW w:w="0" w:type="auto"/>
            <w:shd w:val="clear" w:color="auto" w:fill="FFFFFF"/>
            <w:tcMar>
              <w:top w:w="30" w:type="dxa"/>
              <w:left w:w="0" w:type="dxa"/>
              <w:bottom w:w="30" w:type="dxa"/>
              <w:right w:w="20" w:type="dxa"/>
            </w:tcMar>
            <w:vAlign w:val="bottom"/>
            <w:hideMark/>
          </w:tcPr>
          <w:p w14:paraId="303B5141" w14:textId="77777777" w:rsidR="00000000" w:rsidRDefault="001D0688">
            <w:pPr>
              <w:jc w:val="right"/>
              <w:rPr>
                <w:rFonts w:eastAsia="Times New Roman"/>
              </w:rPr>
            </w:pPr>
          </w:p>
        </w:tc>
      </w:tr>
      <w:tr w:rsidR="00000000" w14:paraId="456BE04B" w14:textId="77777777">
        <w:trPr>
          <w:divId w:val="1836873310"/>
        </w:trPr>
        <w:tc>
          <w:tcPr>
            <w:tcW w:w="0" w:type="auto"/>
            <w:gridSpan w:val="3"/>
            <w:shd w:val="clear" w:color="auto" w:fill="DCE2EF"/>
            <w:tcMar>
              <w:top w:w="30" w:type="dxa"/>
              <w:left w:w="20" w:type="dxa"/>
              <w:bottom w:w="30" w:type="dxa"/>
              <w:right w:w="20" w:type="dxa"/>
            </w:tcMar>
            <w:vAlign w:val="bottom"/>
            <w:hideMark/>
          </w:tcPr>
          <w:p w14:paraId="607C5D18" w14:textId="77777777" w:rsidR="00000000" w:rsidRDefault="001D0688">
            <w:pPr>
              <w:divId w:val="1932929040"/>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1E0C4527"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7C59E11"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34DD52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F7375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1326AE"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7BF907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16FCD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EF112F"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D7317C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63459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71A313"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C89D4F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BCB38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3FC558" w14:textId="77777777" w:rsidR="00000000" w:rsidRDefault="001D0688">
            <w:pPr>
              <w:jc w:val="right"/>
              <w:rPr>
                <w:rFonts w:eastAsia="Times New Roman"/>
              </w:rPr>
            </w:pPr>
            <w:r>
              <w:rPr>
                <w:rFonts w:ascii="Arial" w:eastAsia="Times New Roman" w:hAnsi="Arial" w:cs="Arial"/>
                <w:color w:val="000000"/>
                <w:sz w:val="18"/>
                <w:szCs w:val="18"/>
              </w:rPr>
              <w:t>593.2 </w:t>
            </w:r>
          </w:p>
        </w:tc>
        <w:tc>
          <w:tcPr>
            <w:tcW w:w="0" w:type="auto"/>
            <w:shd w:val="clear" w:color="auto" w:fill="DCE2EF"/>
            <w:tcMar>
              <w:top w:w="30" w:type="dxa"/>
              <w:left w:w="0" w:type="dxa"/>
              <w:bottom w:w="30" w:type="dxa"/>
              <w:right w:w="20" w:type="dxa"/>
            </w:tcMar>
            <w:vAlign w:val="bottom"/>
            <w:hideMark/>
          </w:tcPr>
          <w:p w14:paraId="1182742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AE8B9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2E7CD2" w14:textId="77777777" w:rsidR="00000000" w:rsidRDefault="001D0688">
            <w:pPr>
              <w:jc w:val="right"/>
              <w:rPr>
                <w:rFonts w:eastAsia="Times New Roman"/>
              </w:rPr>
            </w:pPr>
            <w:r>
              <w:rPr>
                <w:rFonts w:ascii="Arial" w:eastAsia="Times New Roman" w:hAnsi="Arial" w:cs="Arial"/>
                <w:color w:val="000000"/>
                <w:sz w:val="18"/>
                <w:szCs w:val="18"/>
              </w:rPr>
              <w:t>593.2 </w:t>
            </w:r>
          </w:p>
        </w:tc>
        <w:tc>
          <w:tcPr>
            <w:tcW w:w="0" w:type="auto"/>
            <w:shd w:val="clear" w:color="auto" w:fill="DCE2EF"/>
            <w:tcMar>
              <w:top w:w="30" w:type="dxa"/>
              <w:left w:w="0" w:type="dxa"/>
              <w:bottom w:w="30" w:type="dxa"/>
              <w:right w:w="20" w:type="dxa"/>
            </w:tcMar>
            <w:vAlign w:val="bottom"/>
            <w:hideMark/>
          </w:tcPr>
          <w:p w14:paraId="5D775104" w14:textId="77777777" w:rsidR="00000000" w:rsidRDefault="001D0688">
            <w:pPr>
              <w:jc w:val="right"/>
              <w:rPr>
                <w:rFonts w:eastAsia="Times New Roman"/>
              </w:rPr>
            </w:pPr>
          </w:p>
        </w:tc>
      </w:tr>
      <w:tr w:rsidR="00000000" w14:paraId="483BA8CA" w14:textId="77777777">
        <w:trPr>
          <w:divId w:val="1836873310"/>
        </w:trPr>
        <w:tc>
          <w:tcPr>
            <w:tcW w:w="0" w:type="auto"/>
            <w:gridSpan w:val="3"/>
            <w:shd w:val="clear" w:color="auto" w:fill="FFFFFF"/>
            <w:tcMar>
              <w:top w:w="30" w:type="dxa"/>
              <w:left w:w="20" w:type="dxa"/>
              <w:bottom w:w="30" w:type="dxa"/>
              <w:right w:w="20" w:type="dxa"/>
            </w:tcMar>
            <w:vAlign w:val="bottom"/>
            <w:hideMark/>
          </w:tcPr>
          <w:p w14:paraId="56886EEB" w14:textId="77777777" w:rsidR="00000000" w:rsidRDefault="001D0688">
            <w:pPr>
              <w:divId w:val="216937981"/>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B1406C3"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543510" w14:textId="77777777" w:rsidR="00000000" w:rsidRDefault="001D0688">
            <w:pPr>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14:paraId="6B8498E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BAE7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FDFB8"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7E86784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1EF6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901C7"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1296093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C0EE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043C76" w14:textId="77777777" w:rsidR="00000000" w:rsidRDefault="001D0688">
            <w:pPr>
              <w:jc w:val="right"/>
              <w:rPr>
                <w:rFonts w:eastAsia="Times New Roman"/>
              </w:rPr>
            </w:pPr>
            <w:r>
              <w:rPr>
                <w:rFonts w:ascii="Arial" w:eastAsia="Times New Roman" w:hAnsi="Arial" w:cs="Arial"/>
                <w:color w:val="000000"/>
                <w:sz w:val="18"/>
                <w:szCs w:val="18"/>
              </w:rPr>
              <w:t>484.1 </w:t>
            </w:r>
          </w:p>
        </w:tc>
        <w:tc>
          <w:tcPr>
            <w:tcW w:w="0" w:type="auto"/>
            <w:shd w:val="clear" w:color="auto" w:fill="FFFFFF"/>
            <w:tcMar>
              <w:top w:w="30" w:type="dxa"/>
              <w:left w:w="0" w:type="dxa"/>
              <w:bottom w:w="30" w:type="dxa"/>
              <w:right w:w="20" w:type="dxa"/>
            </w:tcMar>
            <w:vAlign w:val="bottom"/>
            <w:hideMark/>
          </w:tcPr>
          <w:p w14:paraId="0C90497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F48D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79A463"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5A44CB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0181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4A189C" w14:textId="77777777" w:rsidR="00000000" w:rsidRDefault="001D0688">
            <w:pPr>
              <w:jc w:val="right"/>
              <w:rPr>
                <w:rFonts w:eastAsia="Times New Roman"/>
              </w:rPr>
            </w:pPr>
            <w:r>
              <w:rPr>
                <w:rFonts w:ascii="Arial" w:eastAsia="Times New Roman" w:hAnsi="Arial" w:cs="Arial"/>
                <w:color w:val="000000"/>
                <w:sz w:val="18"/>
                <w:szCs w:val="18"/>
              </w:rPr>
              <w:t>484.8 </w:t>
            </w:r>
          </w:p>
        </w:tc>
        <w:tc>
          <w:tcPr>
            <w:tcW w:w="0" w:type="auto"/>
            <w:shd w:val="clear" w:color="auto" w:fill="FFFFFF"/>
            <w:tcMar>
              <w:top w:w="30" w:type="dxa"/>
              <w:left w:w="0" w:type="dxa"/>
              <w:bottom w:w="30" w:type="dxa"/>
              <w:right w:w="20" w:type="dxa"/>
            </w:tcMar>
            <w:vAlign w:val="bottom"/>
            <w:hideMark/>
          </w:tcPr>
          <w:p w14:paraId="4A9EC6C1" w14:textId="77777777" w:rsidR="00000000" w:rsidRDefault="001D0688">
            <w:pPr>
              <w:jc w:val="right"/>
              <w:rPr>
                <w:rFonts w:eastAsia="Times New Roman"/>
              </w:rPr>
            </w:pPr>
          </w:p>
        </w:tc>
      </w:tr>
      <w:tr w:rsidR="00000000" w14:paraId="204F447A" w14:textId="77777777">
        <w:trPr>
          <w:divId w:val="1836873310"/>
        </w:trPr>
        <w:tc>
          <w:tcPr>
            <w:tcW w:w="0" w:type="auto"/>
            <w:gridSpan w:val="3"/>
            <w:shd w:val="clear" w:color="auto" w:fill="DCE2EF"/>
            <w:tcMar>
              <w:top w:w="0" w:type="dxa"/>
              <w:left w:w="20" w:type="dxa"/>
              <w:bottom w:w="0" w:type="dxa"/>
              <w:right w:w="20" w:type="dxa"/>
            </w:tcMar>
            <w:vAlign w:val="center"/>
            <w:hideMark/>
          </w:tcPr>
          <w:p w14:paraId="33C71C95"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A059BD" w14:textId="77777777" w:rsidR="00000000" w:rsidRDefault="001D0688">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A9FB127"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B5C0B00" w14:textId="77777777" w:rsidR="00000000" w:rsidRDefault="001D0688">
            <w:pPr>
              <w:jc w:val="right"/>
              <w:rPr>
                <w:rFonts w:eastAsia="Times New Roman"/>
              </w:rPr>
            </w:pPr>
            <w:r>
              <w:rPr>
                <w:rFonts w:ascii="Arial" w:eastAsia="Times New Roman" w:hAnsi="Arial" w:cs="Arial"/>
                <w:color w:val="000000"/>
                <w:sz w:val="18"/>
                <w:szCs w:val="18"/>
              </w:rPr>
              <w:t>3,251.4 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1EACB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D46DF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8AE716"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FCFE85F" w14:textId="77777777" w:rsidR="00000000" w:rsidRDefault="001D0688">
            <w:pPr>
              <w:jc w:val="right"/>
              <w:rPr>
                <w:rFonts w:eastAsia="Times New Roman"/>
              </w:rPr>
            </w:pPr>
            <w:r>
              <w:rPr>
                <w:rFonts w:ascii="Arial" w:eastAsia="Times New Roman" w:hAnsi="Arial" w:cs="Arial"/>
                <w:color w:val="000000"/>
                <w:sz w:val="18"/>
                <w:szCs w:val="18"/>
              </w:rPr>
              <w:t>917.0 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61252E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02A82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8F9CA4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1D17455" w14:textId="77777777" w:rsidR="00000000" w:rsidRDefault="001D0688">
            <w:pPr>
              <w:jc w:val="right"/>
              <w:rPr>
                <w:rFonts w:eastAsia="Times New Roman"/>
              </w:rPr>
            </w:pPr>
            <w:r>
              <w:rPr>
                <w:rFonts w:ascii="Arial" w:eastAsia="Times New Roman" w:hAnsi="Arial" w:cs="Arial"/>
                <w:color w:val="000000"/>
                <w:sz w:val="18"/>
                <w:szCs w:val="18"/>
              </w:rPr>
              <w:t>847.4 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68D4B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B569A4"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DA28767"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F31578E" w14:textId="77777777" w:rsidR="00000000" w:rsidRDefault="001D0688">
            <w:pPr>
              <w:jc w:val="right"/>
              <w:rPr>
                <w:rFonts w:eastAsia="Times New Roman"/>
              </w:rPr>
            </w:pPr>
            <w:r>
              <w:rPr>
                <w:rFonts w:ascii="Arial" w:eastAsia="Times New Roman" w:hAnsi="Arial" w:cs="Arial"/>
                <w:color w:val="000000"/>
                <w:sz w:val="18"/>
                <w:szCs w:val="18"/>
              </w:rPr>
              <w:t>1,017.3 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2F8B3F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1CA1E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77B39D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D65AAD2" w14:textId="77777777" w:rsidR="00000000" w:rsidRDefault="001D0688">
            <w:pPr>
              <w:jc w:val="right"/>
              <w:rPr>
                <w:rFonts w:eastAsia="Times New Roman"/>
              </w:rPr>
            </w:pPr>
            <w:r>
              <w:rPr>
                <w:rFonts w:ascii="Arial" w:eastAsia="Times New Roman" w:hAnsi="Arial" w:cs="Arial"/>
                <w:color w:val="000000"/>
                <w:sz w:val="18"/>
                <w:szCs w:val="18"/>
              </w:rPr>
              <w:t>593.2 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056EDF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F4E97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BAE2D7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411F10A" w14:textId="77777777" w:rsidR="00000000" w:rsidRDefault="001D0688">
            <w:pPr>
              <w:jc w:val="right"/>
              <w:rPr>
                <w:rFonts w:eastAsia="Times New Roman"/>
              </w:rPr>
            </w:pPr>
            <w:r>
              <w:rPr>
                <w:rFonts w:ascii="Arial" w:eastAsia="Times New Roman" w:hAnsi="Arial" w:cs="Arial"/>
                <w:color w:val="000000"/>
                <w:sz w:val="18"/>
                <w:szCs w:val="18"/>
              </w:rPr>
              <w:t>6,626.3 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58E4D3" w14:textId="77777777" w:rsidR="00000000" w:rsidRDefault="001D0688">
            <w:pPr>
              <w:jc w:val="right"/>
              <w:rPr>
                <w:rFonts w:eastAsia="Times New Roman"/>
              </w:rPr>
            </w:pPr>
          </w:p>
        </w:tc>
      </w:tr>
      <w:tr w:rsidR="00000000" w14:paraId="62C8CBBA" w14:textId="77777777">
        <w:trPr>
          <w:divId w:val="1836873310"/>
        </w:trPr>
        <w:tc>
          <w:tcPr>
            <w:tcW w:w="0" w:type="auto"/>
            <w:gridSpan w:val="3"/>
            <w:shd w:val="clear" w:color="auto" w:fill="FFFFFF"/>
            <w:tcMar>
              <w:top w:w="30" w:type="dxa"/>
              <w:left w:w="20" w:type="dxa"/>
              <w:bottom w:w="30" w:type="dxa"/>
              <w:right w:w="20" w:type="dxa"/>
            </w:tcMar>
            <w:vAlign w:val="bottom"/>
            <w:hideMark/>
          </w:tcPr>
          <w:p w14:paraId="1C02BD49" w14:textId="77777777" w:rsidR="00000000" w:rsidRDefault="001D0688">
            <w:pPr>
              <w:ind w:hanging="180"/>
              <w:divId w:val="1289824429"/>
              <w:rPr>
                <w:rFonts w:eastAsia="Times New Roman"/>
              </w:rPr>
            </w:pPr>
            <w:r>
              <w:rPr>
                <w:rFonts w:ascii="Arial" w:eastAsia="Times New Roman" w:hAnsi="Arial" w:cs="Arial"/>
                <w:color w:val="000000"/>
                <w:sz w:val="18"/>
                <w:szCs w:val="18"/>
              </w:rPr>
              <w:t>Elimination of inter-segment revenues</w:t>
            </w:r>
          </w:p>
        </w:tc>
        <w:tc>
          <w:tcPr>
            <w:tcW w:w="0" w:type="auto"/>
            <w:gridSpan w:val="3"/>
            <w:shd w:val="clear" w:color="auto" w:fill="FFFFFF"/>
            <w:tcMar>
              <w:top w:w="0" w:type="dxa"/>
              <w:left w:w="20" w:type="dxa"/>
              <w:bottom w:w="0" w:type="dxa"/>
              <w:right w:w="20" w:type="dxa"/>
            </w:tcMar>
            <w:vAlign w:val="center"/>
            <w:hideMark/>
          </w:tcPr>
          <w:p w14:paraId="30245F81" w14:textId="77777777" w:rsidR="00000000" w:rsidRDefault="001D0688">
            <w:pPr>
              <w:ind w:hanging="18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70A45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5E6F15"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D856A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819005"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7F0EF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6E235F"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4FE73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57ABF"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22EED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30A476"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22938" w14:textId="77777777" w:rsidR="00000000" w:rsidRDefault="001D0688">
            <w:pPr>
              <w:jc w:val="right"/>
              <w:rPr>
                <w:rFonts w:eastAsia="Times New Roman"/>
              </w:rPr>
            </w:pPr>
            <w:r>
              <w:rPr>
                <w:rFonts w:ascii="Arial" w:eastAsia="Times New Roman" w:hAnsi="Arial" w:cs="Arial"/>
                <w:color w:val="000000"/>
                <w:sz w:val="18"/>
                <w:szCs w:val="18"/>
              </w:rPr>
              <w:t>(127.7)</w:t>
            </w:r>
          </w:p>
        </w:tc>
        <w:tc>
          <w:tcPr>
            <w:tcW w:w="0" w:type="auto"/>
            <w:shd w:val="clear" w:color="auto" w:fill="FFFFFF"/>
            <w:tcMar>
              <w:top w:w="30" w:type="dxa"/>
              <w:left w:w="0" w:type="dxa"/>
              <w:bottom w:w="30" w:type="dxa"/>
              <w:right w:w="20" w:type="dxa"/>
            </w:tcMar>
            <w:vAlign w:val="bottom"/>
            <w:hideMark/>
          </w:tcPr>
          <w:p w14:paraId="249427D5" w14:textId="77777777" w:rsidR="00000000" w:rsidRDefault="001D0688">
            <w:pPr>
              <w:jc w:val="right"/>
              <w:rPr>
                <w:rFonts w:eastAsia="Times New Roman"/>
              </w:rPr>
            </w:pPr>
          </w:p>
        </w:tc>
      </w:tr>
      <w:tr w:rsidR="00000000" w14:paraId="00209649" w14:textId="77777777">
        <w:trPr>
          <w:divId w:val="1836873310"/>
        </w:trPr>
        <w:tc>
          <w:tcPr>
            <w:tcW w:w="0" w:type="auto"/>
            <w:gridSpan w:val="3"/>
            <w:shd w:val="clear" w:color="auto" w:fill="DCE2EF"/>
            <w:tcMar>
              <w:top w:w="30" w:type="dxa"/>
              <w:left w:w="20" w:type="dxa"/>
              <w:bottom w:w="30" w:type="dxa"/>
              <w:right w:w="20" w:type="dxa"/>
            </w:tcMar>
            <w:vAlign w:val="bottom"/>
            <w:hideMark/>
          </w:tcPr>
          <w:p w14:paraId="4C3C84FF" w14:textId="77777777" w:rsidR="00000000" w:rsidRDefault="001D0688">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48C71017"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C119F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60D3FB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552316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3E727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BB347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BD7F01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622E47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A4A7D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C6C21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A109292" w14:textId="77777777" w:rsidR="00000000" w:rsidRDefault="001D0688">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8D3B6F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D1E1577" w14:textId="77777777" w:rsidR="00000000" w:rsidRDefault="001D0688">
            <w:pPr>
              <w:jc w:val="right"/>
              <w:rPr>
                <w:rFonts w:eastAsia="Times New Roman"/>
              </w:rPr>
            </w:pPr>
            <w:r>
              <w:rPr>
                <w:rFonts w:ascii="Arial" w:eastAsia="Times New Roman" w:hAnsi="Arial" w:cs="Arial"/>
                <w:color w:val="000000"/>
                <w:sz w:val="18"/>
                <w:szCs w:val="18"/>
              </w:rPr>
              <w:t>6,498.6 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62A4EDE" w14:textId="77777777" w:rsidR="00000000" w:rsidRDefault="001D0688">
            <w:pPr>
              <w:jc w:val="right"/>
              <w:rPr>
                <w:rFonts w:eastAsia="Times New Roman"/>
              </w:rPr>
            </w:pPr>
          </w:p>
        </w:tc>
      </w:tr>
    </w:tbl>
    <w:p w14:paraId="7D3216C1" w14:textId="77777777" w:rsidR="00000000" w:rsidRDefault="001D0688">
      <w:pPr>
        <w:ind w:hanging="180"/>
        <w:jc w:val="both"/>
        <w:divId w:val="56827290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Janitorial arrangements provide a wide range of essential cleaning services for commercial office buildings, airports and other transportation centers, educational institutions, government buildings, health facilities, industrial buildings, retail stores, </w:t>
      </w:r>
      <w:r>
        <w:rPr>
          <w:rFonts w:ascii="Arial" w:eastAsia="Times New Roman" w:hAnsi="Arial" w:cs="Arial"/>
          <w:color w:val="000000"/>
          <w:sz w:val="18"/>
          <w:szCs w:val="18"/>
        </w:rPr>
        <w:t xml:space="preserve">and stadiums and arenas. These arrangements are often structured as monthly fixed-price, square-foot, cost-plus, and work order contracts. </w:t>
      </w:r>
    </w:p>
    <w:p w14:paraId="059FD8B6" w14:textId="77777777" w:rsidR="00000000" w:rsidRDefault="001D0688">
      <w:pPr>
        <w:ind w:hanging="180"/>
        <w:jc w:val="both"/>
        <w:divId w:val="978412903"/>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Parking arrangements provide parking and transportation services for clients at various locations, including airports and other transportation centers, commercial office buildings, educational institutions, health facilities, hotels, and stadiums and arena</w:t>
      </w:r>
      <w:r>
        <w:rPr>
          <w:rFonts w:ascii="Arial" w:eastAsia="Times New Roman" w:hAnsi="Arial" w:cs="Arial"/>
          <w:color w:val="000000"/>
          <w:sz w:val="18"/>
          <w:szCs w:val="18"/>
        </w:rPr>
        <w:t xml:space="preserve">s. These arrangements are structured as management reimbursement, leased location, and allowance contracts. Certain of these arrangements are considered service concession agreements and are accounted for under the guidance of Topic 853; accordingly, rent </w:t>
      </w:r>
      <w:r>
        <w:rPr>
          <w:rFonts w:ascii="Arial" w:eastAsia="Times New Roman" w:hAnsi="Arial" w:cs="Arial"/>
          <w:color w:val="000000"/>
          <w:sz w:val="18"/>
          <w:szCs w:val="18"/>
        </w:rPr>
        <w:t xml:space="preserve">expense related to these arrangements is recorded as a reduction of the related parking service revenues. </w:t>
      </w:r>
    </w:p>
    <w:p w14:paraId="604983E0" w14:textId="77777777" w:rsidR="00000000" w:rsidRDefault="001D0688">
      <w:pPr>
        <w:ind w:hanging="180"/>
        <w:jc w:val="both"/>
        <w:divId w:val="1386218046"/>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w:t>
      </w:r>
      <w:r>
        <w:rPr>
          <w:rFonts w:ascii="Arial" w:eastAsia="Times New Roman" w:hAnsi="Arial" w:cs="Arial"/>
          <w:color w:val="000000"/>
          <w:sz w:val="18"/>
          <w:szCs w:val="18"/>
        </w:rPr>
        <w:t xml:space="preserve"> and infrastructure systems that are designed to extend the useful life of facility fixed assets, improve equipment operating efficiencies, reduce energy consumption, lower overall operational costs for clients, and enhance the sustainability of client loc</w:t>
      </w:r>
      <w:r>
        <w:rPr>
          <w:rFonts w:ascii="Arial" w:eastAsia="Times New Roman" w:hAnsi="Arial" w:cs="Arial"/>
          <w:color w:val="000000"/>
          <w:sz w:val="18"/>
          <w:szCs w:val="18"/>
        </w:rPr>
        <w:t>ations. These arrangements are generally structured as monthly fixed-price, cost-plus, and work order contracts.</w:t>
      </w:r>
    </w:p>
    <w:p w14:paraId="7F550655" w14:textId="77777777" w:rsidR="00000000" w:rsidRDefault="001D0688">
      <w:pPr>
        <w:ind w:hanging="180"/>
        <w:jc w:val="both"/>
        <w:divId w:val="182208893"/>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 provide custom energy solutions, electrical, HVAC, lighting, and other general maintenance and rep</w:t>
      </w:r>
      <w:r>
        <w:rPr>
          <w:rFonts w:ascii="Arial" w:eastAsia="Times New Roman" w:hAnsi="Arial" w:cs="Arial"/>
          <w:color w:val="000000"/>
          <w:sz w:val="18"/>
          <w:szCs w:val="18"/>
        </w:rPr>
        <w:t>air services for clients in the public and private sectors and are generally structured as Energy Savings and Fixed-Price Repair and Refurbishment contracts. We also franchise certain operations under franchise agreements relating to our Linc Network and T</w:t>
      </w:r>
      <w:r>
        <w:rPr>
          <w:rFonts w:ascii="Arial" w:eastAsia="Times New Roman" w:hAnsi="Arial" w:cs="Arial"/>
          <w:color w:val="000000"/>
          <w:sz w:val="18"/>
          <w:szCs w:val="18"/>
        </w:rPr>
        <w:t>EGG brands pursuant to franchise contracts.</w:t>
      </w:r>
    </w:p>
    <w:p w14:paraId="7BE0E289" w14:textId="77777777" w:rsidR="00000000" w:rsidRDefault="001D0688">
      <w:pPr>
        <w:jc w:val="center"/>
        <w:divId w:val="1867785825"/>
        <w:rPr>
          <w:rFonts w:eastAsia="Times New Roman"/>
        </w:rPr>
      </w:pPr>
      <w:r>
        <w:rPr>
          <w:rFonts w:ascii="Arial" w:eastAsia="Times New Roman" w:hAnsi="Arial" w:cs="Arial"/>
          <w:color w:val="000000"/>
          <w:sz w:val="20"/>
          <w:szCs w:val="20"/>
        </w:rPr>
        <w:t>68</w:t>
      </w:r>
    </w:p>
    <w:p w14:paraId="7D5FA51E" w14:textId="77777777" w:rsidR="00000000" w:rsidRDefault="001D0688">
      <w:pPr>
        <w:rPr>
          <w:rFonts w:eastAsia="Times New Roman"/>
        </w:rPr>
      </w:pPr>
      <w:r>
        <w:rPr>
          <w:rFonts w:eastAsia="Times New Roman"/>
        </w:rPr>
        <w:pict w14:anchorId="47BC2229">
          <v:rect id="_x0000_i1105" style="width:0;height:1.5pt" o:hralign="center" o:hrstd="t" o:hr="t" fillcolor="#a0a0a0" stroked="f"/>
        </w:pict>
      </w:r>
    </w:p>
    <w:p w14:paraId="594E59C5" w14:textId="77777777" w:rsidR="00000000" w:rsidRDefault="001D0688">
      <w:pPr>
        <w:divId w:val="994723179"/>
        <w:rPr>
          <w:rFonts w:eastAsia="Times New Roman"/>
        </w:rPr>
      </w:pPr>
    </w:p>
    <w:p w14:paraId="2DD6CDBC" w14:textId="77777777" w:rsidR="00000000" w:rsidRDefault="001D0688">
      <w:pPr>
        <w:ind w:hanging="180"/>
        <w:jc w:val="both"/>
        <w:divId w:val="10684956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services such as passenger assistance, catering logistics, and airplane cabin maintenance. These arra</w:t>
      </w:r>
      <w:r>
        <w:rPr>
          <w:rFonts w:ascii="Arial" w:eastAsia="Times New Roman" w:hAnsi="Arial" w:cs="Arial"/>
          <w:color w:val="000000"/>
          <w:sz w:val="18"/>
          <w:szCs w:val="18"/>
        </w:rPr>
        <w:t>ngements are often structured as monthly fixed-price, cost-plus, transaction price, and hourly contracts.</w:t>
      </w:r>
    </w:p>
    <w:p w14:paraId="249F5FBE" w14:textId="77777777" w:rsidR="00000000" w:rsidRDefault="001D0688">
      <w:pPr>
        <w:jc w:val="both"/>
        <w:divId w:val="438305028"/>
        <w:rPr>
          <w:rFonts w:eastAsia="Times New Roman"/>
        </w:rPr>
      </w:pPr>
      <w:r>
        <w:rPr>
          <w:rFonts w:ascii="Arial" w:eastAsia="Times New Roman" w:hAnsi="Arial" w:cs="Arial"/>
          <w:b/>
          <w:bCs/>
          <w:color w:val="0046AD"/>
          <w:sz w:val="20"/>
          <w:szCs w:val="20"/>
        </w:rPr>
        <w:t>Remaining Performance Obligations</w:t>
      </w:r>
    </w:p>
    <w:p w14:paraId="1128C994" w14:textId="77777777" w:rsidR="00000000" w:rsidRDefault="001D0688">
      <w:pPr>
        <w:ind w:firstLine="720"/>
        <w:jc w:val="both"/>
        <w:divId w:val="1967080154"/>
        <w:rPr>
          <w:rFonts w:eastAsia="Times New Roman"/>
        </w:rPr>
      </w:pPr>
      <w:r>
        <w:rPr>
          <w:rFonts w:ascii="Arial" w:eastAsia="Times New Roman" w:hAnsi="Arial" w:cs="Arial"/>
          <w:color w:val="000000"/>
          <w:sz w:val="20"/>
          <w:szCs w:val="20"/>
        </w:rPr>
        <w:t>At October 31, 2020, performance obligations that were unsatisfied or partially unsatisfied for which we expect to recognize revenue totaled $266.3 million. We expect to recognize revenue on approximately 61% of the remaining performance obligations over t</w:t>
      </w:r>
      <w:r>
        <w:rPr>
          <w:rFonts w:ascii="Arial" w:eastAsia="Times New Roman" w:hAnsi="Arial" w:cs="Arial"/>
          <w:color w:val="000000"/>
          <w:sz w:val="20"/>
          <w:szCs w:val="20"/>
        </w:rPr>
        <w:t>he next 12 months, with the remainder recognized thereafter, based on our estimates of project timing.</w:t>
      </w:r>
    </w:p>
    <w:p w14:paraId="64C9E62A" w14:textId="77777777" w:rsidR="00000000" w:rsidRDefault="001D0688">
      <w:pPr>
        <w:ind w:firstLine="720"/>
        <w:jc w:val="both"/>
        <w:divId w:val="1101876341"/>
        <w:rPr>
          <w:rFonts w:eastAsia="Times New Roman"/>
        </w:rPr>
      </w:pPr>
      <w:r>
        <w:rPr>
          <w:rFonts w:ascii="Arial" w:eastAsia="Times New Roman" w:hAnsi="Arial" w:cs="Arial"/>
          <w:color w:val="000000"/>
          <w:sz w:val="20"/>
          <w:szCs w:val="20"/>
        </w:rPr>
        <w:t>These amounts exclude variable consideration primarily related to: (i) contracts where we have determined that the contract consists of a series of disti</w:t>
      </w:r>
      <w:r>
        <w:rPr>
          <w:rFonts w:ascii="Arial" w:eastAsia="Times New Roman" w:hAnsi="Arial" w:cs="Arial"/>
          <w:color w:val="000000"/>
          <w:sz w:val="20"/>
          <w:szCs w:val="20"/>
        </w:rPr>
        <w:t>nct service periods and revenues are based on future performance that cannot be estimated at contract inception; (ii) parking contracts where we and the customer share the gross revenues or operating profit for the location; and (iii) contracts where trans</w:t>
      </w:r>
      <w:r>
        <w:rPr>
          <w:rFonts w:ascii="Arial" w:eastAsia="Times New Roman" w:hAnsi="Arial" w:cs="Arial"/>
          <w:color w:val="000000"/>
          <w:sz w:val="20"/>
          <w:szCs w:val="20"/>
        </w:rPr>
        <w:t>action prices include performance incentives that are based on future performance and therefore cannot be estimated at contract inception. We apply the practical expedient that permits exclusion of information about the remaining performance obligations wi</w:t>
      </w:r>
      <w:r>
        <w:rPr>
          <w:rFonts w:ascii="Arial" w:eastAsia="Times New Roman" w:hAnsi="Arial" w:cs="Arial"/>
          <w:color w:val="000000"/>
          <w:sz w:val="20"/>
          <w:szCs w:val="20"/>
        </w:rPr>
        <w:t>th original expected durations of one year or less.</w:t>
      </w:r>
    </w:p>
    <w:p w14:paraId="308FCA53" w14:textId="77777777" w:rsidR="00000000" w:rsidRDefault="001D0688">
      <w:pPr>
        <w:divId w:val="820929824"/>
        <w:rPr>
          <w:rFonts w:eastAsia="Times New Roman"/>
        </w:rPr>
      </w:pPr>
      <w:r>
        <w:rPr>
          <w:rFonts w:ascii="Arial" w:eastAsia="Times New Roman" w:hAnsi="Arial" w:cs="Arial"/>
          <w:b/>
          <w:bCs/>
          <w:color w:val="164FA2"/>
          <w:sz w:val="20"/>
          <w:szCs w:val="20"/>
        </w:rPr>
        <w:t xml:space="preserve">Contract Balances </w:t>
      </w:r>
    </w:p>
    <w:p w14:paraId="1751AFAA" w14:textId="77777777" w:rsidR="00000000" w:rsidRDefault="001D0688">
      <w:pPr>
        <w:ind w:firstLine="720"/>
        <w:jc w:val="both"/>
        <w:divId w:val="298846830"/>
        <w:rPr>
          <w:rFonts w:eastAsia="Times New Roman"/>
        </w:rPr>
      </w:pPr>
      <w:r>
        <w:rPr>
          <w:rFonts w:ascii="Arial" w:eastAsia="Times New Roman" w:hAnsi="Arial" w:cs="Arial"/>
          <w:color w:val="000000"/>
          <w:sz w:val="20"/>
          <w:szCs w:val="20"/>
        </w:rPr>
        <w:t xml:space="preserve">The following tables present the 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18"/>
        <w:gridCol w:w="38"/>
        <w:gridCol w:w="36"/>
        <w:gridCol w:w="36"/>
        <w:gridCol w:w="36"/>
        <w:gridCol w:w="133"/>
        <w:gridCol w:w="1301"/>
        <w:gridCol w:w="36"/>
        <w:gridCol w:w="36"/>
        <w:gridCol w:w="36"/>
        <w:gridCol w:w="36"/>
        <w:gridCol w:w="133"/>
        <w:gridCol w:w="1355"/>
        <w:gridCol w:w="36"/>
      </w:tblGrid>
      <w:tr w:rsidR="00000000" w14:paraId="4BEF9A14" w14:textId="77777777">
        <w:trPr>
          <w:divId w:val="1913814910"/>
          <w:jc w:val="center"/>
        </w:trPr>
        <w:tc>
          <w:tcPr>
            <w:tcW w:w="50" w:type="pct"/>
            <w:vAlign w:val="center"/>
            <w:hideMark/>
          </w:tcPr>
          <w:p w14:paraId="33CCDA9C" w14:textId="77777777" w:rsidR="00000000" w:rsidRDefault="001D0688">
            <w:pPr>
              <w:ind w:firstLine="720"/>
              <w:jc w:val="both"/>
              <w:rPr>
                <w:rFonts w:eastAsia="Times New Roman"/>
              </w:rPr>
            </w:pPr>
          </w:p>
        </w:tc>
        <w:tc>
          <w:tcPr>
            <w:tcW w:w="3066" w:type="pct"/>
            <w:vAlign w:val="center"/>
            <w:hideMark/>
          </w:tcPr>
          <w:p w14:paraId="54EB61F2" w14:textId="77777777" w:rsidR="00000000" w:rsidRDefault="001D0688">
            <w:pPr>
              <w:rPr>
                <w:rFonts w:eastAsia="Times New Roman"/>
                <w:sz w:val="20"/>
                <w:szCs w:val="20"/>
              </w:rPr>
            </w:pPr>
          </w:p>
        </w:tc>
        <w:tc>
          <w:tcPr>
            <w:tcW w:w="5" w:type="pct"/>
            <w:vAlign w:val="center"/>
            <w:hideMark/>
          </w:tcPr>
          <w:p w14:paraId="6519617F" w14:textId="77777777" w:rsidR="00000000" w:rsidRDefault="001D0688">
            <w:pPr>
              <w:rPr>
                <w:rFonts w:eastAsia="Times New Roman"/>
                <w:sz w:val="20"/>
                <w:szCs w:val="20"/>
              </w:rPr>
            </w:pPr>
          </w:p>
        </w:tc>
        <w:tc>
          <w:tcPr>
            <w:tcW w:w="5" w:type="pct"/>
            <w:vAlign w:val="center"/>
            <w:hideMark/>
          </w:tcPr>
          <w:p w14:paraId="19BE2426" w14:textId="77777777" w:rsidR="00000000" w:rsidRDefault="001D0688">
            <w:pPr>
              <w:rPr>
                <w:rFonts w:eastAsia="Times New Roman"/>
                <w:sz w:val="20"/>
                <w:szCs w:val="20"/>
              </w:rPr>
            </w:pPr>
          </w:p>
        </w:tc>
        <w:tc>
          <w:tcPr>
            <w:tcW w:w="26" w:type="pct"/>
            <w:vAlign w:val="center"/>
            <w:hideMark/>
          </w:tcPr>
          <w:p w14:paraId="2E7D8592" w14:textId="77777777" w:rsidR="00000000" w:rsidRDefault="001D0688">
            <w:pPr>
              <w:rPr>
                <w:rFonts w:eastAsia="Times New Roman"/>
                <w:sz w:val="20"/>
                <w:szCs w:val="20"/>
              </w:rPr>
            </w:pPr>
          </w:p>
        </w:tc>
        <w:tc>
          <w:tcPr>
            <w:tcW w:w="5" w:type="pct"/>
            <w:vAlign w:val="center"/>
            <w:hideMark/>
          </w:tcPr>
          <w:p w14:paraId="2079FB9F" w14:textId="77777777" w:rsidR="00000000" w:rsidRDefault="001D0688">
            <w:pPr>
              <w:rPr>
                <w:rFonts w:eastAsia="Times New Roman"/>
                <w:sz w:val="20"/>
                <w:szCs w:val="20"/>
              </w:rPr>
            </w:pPr>
          </w:p>
        </w:tc>
        <w:tc>
          <w:tcPr>
            <w:tcW w:w="50" w:type="pct"/>
            <w:vAlign w:val="center"/>
            <w:hideMark/>
          </w:tcPr>
          <w:p w14:paraId="02B6C47A" w14:textId="77777777" w:rsidR="00000000" w:rsidRDefault="001D0688">
            <w:pPr>
              <w:rPr>
                <w:rFonts w:eastAsia="Times New Roman"/>
                <w:sz w:val="20"/>
                <w:szCs w:val="20"/>
              </w:rPr>
            </w:pPr>
          </w:p>
        </w:tc>
        <w:tc>
          <w:tcPr>
            <w:tcW w:w="851" w:type="pct"/>
            <w:vAlign w:val="center"/>
            <w:hideMark/>
          </w:tcPr>
          <w:p w14:paraId="389C3B43" w14:textId="77777777" w:rsidR="00000000" w:rsidRDefault="001D0688">
            <w:pPr>
              <w:rPr>
                <w:rFonts w:eastAsia="Times New Roman"/>
                <w:sz w:val="20"/>
                <w:szCs w:val="20"/>
              </w:rPr>
            </w:pPr>
          </w:p>
        </w:tc>
        <w:tc>
          <w:tcPr>
            <w:tcW w:w="5" w:type="pct"/>
            <w:vAlign w:val="center"/>
            <w:hideMark/>
          </w:tcPr>
          <w:p w14:paraId="5C9A42FF" w14:textId="77777777" w:rsidR="00000000" w:rsidRDefault="001D0688">
            <w:pPr>
              <w:rPr>
                <w:rFonts w:eastAsia="Times New Roman"/>
                <w:sz w:val="20"/>
                <w:szCs w:val="20"/>
              </w:rPr>
            </w:pPr>
          </w:p>
        </w:tc>
        <w:tc>
          <w:tcPr>
            <w:tcW w:w="5" w:type="pct"/>
            <w:vAlign w:val="center"/>
            <w:hideMark/>
          </w:tcPr>
          <w:p w14:paraId="25091052" w14:textId="77777777" w:rsidR="00000000" w:rsidRDefault="001D0688">
            <w:pPr>
              <w:rPr>
                <w:rFonts w:eastAsia="Times New Roman"/>
                <w:sz w:val="20"/>
                <w:szCs w:val="20"/>
              </w:rPr>
            </w:pPr>
          </w:p>
        </w:tc>
        <w:tc>
          <w:tcPr>
            <w:tcW w:w="19" w:type="pct"/>
            <w:vAlign w:val="center"/>
            <w:hideMark/>
          </w:tcPr>
          <w:p w14:paraId="67C3F1E7" w14:textId="77777777" w:rsidR="00000000" w:rsidRDefault="001D0688">
            <w:pPr>
              <w:rPr>
                <w:rFonts w:eastAsia="Times New Roman"/>
                <w:sz w:val="20"/>
                <w:szCs w:val="20"/>
              </w:rPr>
            </w:pPr>
          </w:p>
        </w:tc>
        <w:tc>
          <w:tcPr>
            <w:tcW w:w="5" w:type="pct"/>
            <w:vAlign w:val="center"/>
            <w:hideMark/>
          </w:tcPr>
          <w:p w14:paraId="63241C22" w14:textId="77777777" w:rsidR="00000000" w:rsidRDefault="001D0688">
            <w:pPr>
              <w:rPr>
                <w:rFonts w:eastAsia="Times New Roman"/>
                <w:sz w:val="20"/>
                <w:szCs w:val="20"/>
              </w:rPr>
            </w:pPr>
          </w:p>
        </w:tc>
        <w:tc>
          <w:tcPr>
            <w:tcW w:w="50" w:type="pct"/>
            <w:vAlign w:val="center"/>
            <w:hideMark/>
          </w:tcPr>
          <w:p w14:paraId="7B582FCC" w14:textId="77777777" w:rsidR="00000000" w:rsidRDefault="001D0688">
            <w:pPr>
              <w:rPr>
                <w:rFonts w:eastAsia="Times New Roman"/>
                <w:sz w:val="20"/>
                <w:szCs w:val="20"/>
              </w:rPr>
            </w:pPr>
          </w:p>
        </w:tc>
        <w:tc>
          <w:tcPr>
            <w:tcW w:w="851" w:type="pct"/>
            <w:vAlign w:val="center"/>
            <w:hideMark/>
          </w:tcPr>
          <w:p w14:paraId="012E9116" w14:textId="77777777" w:rsidR="00000000" w:rsidRDefault="001D0688">
            <w:pPr>
              <w:rPr>
                <w:rFonts w:eastAsia="Times New Roman"/>
                <w:sz w:val="20"/>
                <w:szCs w:val="20"/>
              </w:rPr>
            </w:pPr>
          </w:p>
        </w:tc>
        <w:tc>
          <w:tcPr>
            <w:tcW w:w="5" w:type="pct"/>
            <w:vAlign w:val="center"/>
            <w:hideMark/>
          </w:tcPr>
          <w:p w14:paraId="7280A2B9" w14:textId="77777777" w:rsidR="00000000" w:rsidRDefault="001D0688">
            <w:pPr>
              <w:rPr>
                <w:rFonts w:eastAsia="Times New Roman"/>
                <w:sz w:val="20"/>
                <w:szCs w:val="20"/>
              </w:rPr>
            </w:pPr>
          </w:p>
        </w:tc>
      </w:tr>
      <w:tr w:rsidR="00000000" w14:paraId="5745CAD6" w14:textId="77777777">
        <w:trPr>
          <w:divId w:val="1913814910"/>
          <w:jc w:val="center"/>
        </w:trPr>
        <w:tc>
          <w:tcPr>
            <w:tcW w:w="0" w:type="auto"/>
            <w:gridSpan w:val="3"/>
            <w:tcMar>
              <w:top w:w="30" w:type="dxa"/>
              <w:left w:w="20" w:type="dxa"/>
              <w:bottom w:w="30" w:type="dxa"/>
              <w:right w:w="20" w:type="dxa"/>
            </w:tcMar>
            <w:vAlign w:val="bottom"/>
            <w:hideMark/>
          </w:tcPr>
          <w:p w14:paraId="41F6D4D8"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35504BAB"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6473B9DB"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c>
          <w:tcPr>
            <w:tcW w:w="0" w:type="auto"/>
            <w:gridSpan w:val="3"/>
            <w:tcMar>
              <w:top w:w="0" w:type="dxa"/>
              <w:left w:w="20" w:type="dxa"/>
              <w:bottom w:w="0" w:type="dxa"/>
              <w:right w:w="20" w:type="dxa"/>
            </w:tcMar>
            <w:vAlign w:val="center"/>
            <w:hideMark/>
          </w:tcPr>
          <w:p w14:paraId="46AE057D"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D155AB6" w14:textId="77777777" w:rsidR="00000000" w:rsidRDefault="001D0688">
            <w:pPr>
              <w:jc w:val="center"/>
              <w:rPr>
                <w:rFonts w:eastAsia="Times New Roman"/>
              </w:rPr>
            </w:pPr>
            <w:r>
              <w:rPr>
                <w:rFonts w:ascii="Arial" w:eastAsia="Times New Roman" w:hAnsi="Arial" w:cs="Arial"/>
                <w:b/>
                <w:bCs/>
                <w:color w:val="000000"/>
                <w:sz w:val="20"/>
                <w:szCs w:val="20"/>
              </w:rPr>
              <w:t>October 31, 2019</w:t>
            </w:r>
          </w:p>
        </w:tc>
      </w:tr>
      <w:tr w:rsidR="00000000" w14:paraId="0FD14A80" w14:textId="77777777">
        <w:trPr>
          <w:divId w:val="1913814910"/>
          <w:jc w:val="center"/>
        </w:trPr>
        <w:tc>
          <w:tcPr>
            <w:tcW w:w="0" w:type="auto"/>
            <w:gridSpan w:val="3"/>
            <w:shd w:val="clear" w:color="auto" w:fill="DCE2EF"/>
            <w:tcMar>
              <w:top w:w="30" w:type="dxa"/>
              <w:left w:w="20" w:type="dxa"/>
              <w:bottom w:w="30" w:type="dxa"/>
              <w:right w:w="20" w:type="dxa"/>
            </w:tcMar>
            <w:vAlign w:val="bottom"/>
            <w:hideMark/>
          </w:tcPr>
          <w:p w14:paraId="2B8361F7" w14:textId="77777777" w:rsidR="00000000" w:rsidRDefault="001D0688">
            <w:pPr>
              <w:rPr>
                <w:rFonts w:eastAsia="Times New Roman"/>
              </w:rPr>
            </w:pPr>
            <w:r>
              <w:rPr>
                <w:rFonts w:ascii="Arial" w:eastAsia="Times New Roman" w:hAnsi="Arial" w:cs="Arial"/>
                <w:b/>
                <w:bCs/>
                <w:color w:val="000000"/>
                <w:sz w:val="20"/>
                <w:szCs w:val="20"/>
              </w:rPr>
              <w:t>Contract assets</w:t>
            </w:r>
          </w:p>
        </w:tc>
        <w:tc>
          <w:tcPr>
            <w:tcW w:w="0" w:type="auto"/>
            <w:gridSpan w:val="3"/>
            <w:shd w:val="clear" w:color="auto" w:fill="DCE2EF"/>
            <w:tcMar>
              <w:top w:w="0" w:type="dxa"/>
              <w:left w:w="20" w:type="dxa"/>
              <w:bottom w:w="0" w:type="dxa"/>
              <w:right w:w="20" w:type="dxa"/>
            </w:tcMar>
            <w:vAlign w:val="center"/>
            <w:hideMark/>
          </w:tcPr>
          <w:p w14:paraId="6A51FB9F"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62EFA1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3E5EAA"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AC26CB5" w14:textId="77777777" w:rsidR="00000000" w:rsidRDefault="001D0688">
            <w:pPr>
              <w:rPr>
                <w:rFonts w:eastAsia="Times New Roman"/>
                <w:sz w:val="20"/>
                <w:szCs w:val="20"/>
              </w:rPr>
            </w:pPr>
          </w:p>
        </w:tc>
      </w:tr>
      <w:tr w:rsidR="00000000" w14:paraId="005E81B2" w14:textId="77777777">
        <w:trPr>
          <w:divId w:val="1913814910"/>
          <w:jc w:val="center"/>
        </w:trPr>
        <w:tc>
          <w:tcPr>
            <w:tcW w:w="0" w:type="auto"/>
            <w:gridSpan w:val="3"/>
            <w:shd w:val="clear" w:color="auto" w:fill="FFFFFF"/>
            <w:tcMar>
              <w:top w:w="30" w:type="dxa"/>
              <w:left w:w="20" w:type="dxa"/>
              <w:bottom w:w="30" w:type="dxa"/>
              <w:right w:w="20" w:type="dxa"/>
            </w:tcMar>
            <w:vAlign w:val="bottom"/>
            <w:hideMark/>
          </w:tcPr>
          <w:p w14:paraId="6B23D5F5" w14:textId="77777777" w:rsidR="00000000" w:rsidRDefault="001D0688">
            <w:pPr>
              <w:divId w:val="509416266"/>
              <w:rPr>
                <w:rFonts w:eastAsia="Times New Roman"/>
              </w:rPr>
            </w:pPr>
            <w:r>
              <w:rPr>
                <w:rFonts w:ascii="Arial" w:eastAsia="Times New Roman" w:hAnsi="Arial" w:cs="Arial"/>
                <w:color w:val="000000"/>
                <w:sz w:val="20"/>
                <w:szCs w:val="20"/>
              </w:rPr>
              <w:t>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8D40074"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5822441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59A4FE4" w14:textId="77777777" w:rsidR="00000000" w:rsidRDefault="001D0688">
            <w:pPr>
              <w:jc w:val="right"/>
              <w:rPr>
                <w:rFonts w:eastAsia="Times New Roman"/>
              </w:rPr>
            </w:pPr>
            <w:r>
              <w:rPr>
                <w:rFonts w:ascii="Arial" w:eastAsia="Times New Roman" w:hAnsi="Arial" w:cs="Arial"/>
                <w:color w:val="000000"/>
                <w:sz w:val="20"/>
                <w:szCs w:val="20"/>
              </w:rPr>
              <w:t>835.8 </w:t>
            </w:r>
          </w:p>
        </w:tc>
        <w:tc>
          <w:tcPr>
            <w:tcW w:w="0" w:type="auto"/>
            <w:shd w:val="clear" w:color="auto" w:fill="FFFFFF"/>
            <w:tcMar>
              <w:top w:w="30" w:type="dxa"/>
              <w:left w:w="0" w:type="dxa"/>
              <w:bottom w:w="30" w:type="dxa"/>
              <w:right w:w="20" w:type="dxa"/>
            </w:tcMar>
            <w:vAlign w:val="bottom"/>
            <w:hideMark/>
          </w:tcPr>
          <w:p w14:paraId="7BF7A02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75566"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241F7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3D80A46" w14:textId="77777777" w:rsidR="00000000" w:rsidRDefault="001D0688">
            <w:pPr>
              <w:jc w:val="right"/>
              <w:rPr>
                <w:rFonts w:eastAsia="Times New Roman"/>
              </w:rPr>
            </w:pPr>
            <w:r>
              <w:rPr>
                <w:rFonts w:ascii="Arial" w:eastAsia="Times New Roman" w:hAnsi="Arial" w:cs="Arial"/>
                <w:color w:val="000000"/>
                <w:sz w:val="20"/>
                <w:szCs w:val="20"/>
              </w:rPr>
              <w:t>978.7 </w:t>
            </w:r>
          </w:p>
        </w:tc>
        <w:tc>
          <w:tcPr>
            <w:tcW w:w="0" w:type="auto"/>
            <w:shd w:val="clear" w:color="auto" w:fill="FFFFFF"/>
            <w:tcMar>
              <w:top w:w="30" w:type="dxa"/>
              <w:left w:w="0" w:type="dxa"/>
              <w:bottom w:w="30" w:type="dxa"/>
              <w:right w:w="20" w:type="dxa"/>
            </w:tcMar>
            <w:vAlign w:val="bottom"/>
            <w:hideMark/>
          </w:tcPr>
          <w:p w14:paraId="320EE471" w14:textId="77777777" w:rsidR="00000000" w:rsidRDefault="001D0688">
            <w:pPr>
              <w:jc w:val="right"/>
              <w:rPr>
                <w:rFonts w:eastAsia="Times New Roman"/>
              </w:rPr>
            </w:pPr>
          </w:p>
        </w:tc>
      </w:tr>
      <w:tr w:rsidR="00000000" w14:paraId="6628253D" w14:textId="77777777">
        <w:trPr>
          <w:divId w:val="1913814910"/>
          <w:jc w:val="center"/>
        </w:trPr>
        <w:tc>
          <w:tcPr>
            <w:tcW w:w="0" w:type="auto"/>
            <w:gridSpan w:val="3"/>
            <w:shd w:val="clear" w:color="auto" w:fill="DCE2EF"/>
            <w:tcMar>
              <w:top w:w="30" w:type="dxa"/>
              <w:left w:w="20" w:type="dxa"/>
              <w:bottom w:w="30" w:type="dxa"/>
              <w:right w:w="20" w:type="dxa"/>
            </w:tcMar>
            <w:vAlign w:val="bottom"/>
            <w:hideMark/>
          </w:tcPr>
          <w:p w14:paraId="44A23772" w14:textId="77777777" w:rsidR="00000000" w:rsidRDefault="001D0688">
            <w:pPr>
              <w:divId w:val="130560295"/>
              <w:rPr>
                <w:rFonts w:eastAsia="Times New Roman"/>
              </w:rPr>
            </w:pPr>
            <w:r>
              <w:rPr>
                <w:rFonts w:ascii="Arial" w:eastAsia="Times New Roman" w:hAnsi="Arial" w:cs="Arial"/>
                <w:color w:val="000000"/>
                <w:sz w:val="20"/>
                <w:szCs w:val="20"/>
              </w:rPr>
              <w:t>Unbilled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1E35E995"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54EC0D7" w14:textId="77777777" w:rsidR="00000000" w:rsidRDefault="001D0688">
            <w:pPr>
              <w:jc w:val="right"/>
              <w:rPr>
                <w:rFonts w:eastAsia="Times New Roman"/>
              </w:rPr>
            </w:pPr>
            <w:r>
              <w:rPr>
                <w:rFonts w:ascii="Arial" w:eastAsia="Times New Roman" w:hAnsi="Arial" w:cs="Arial"/>
                <w:color w:val="000000"/>
                <w:sz w:val="20"/>
                <w:szCs w:val="20"/>
              </w:rPr>
              <w:t>53.9 </w:t>
            </w:r>
          </w:p>
        </w:tc>
        <w:tc>
          <w:tcPr>
            <w:tcW w:w="0" w:type="auto"/>
            <w:shd w:val="clear" w:color="auto" w:fill="DCE2EF"/>
            <w:tcMar>
              <w:top w:w="30" w:type="dxa"/>
              <w:left w:w="0" w:type="dxa"/>
              <w:bottom w:w="30" w:type="dxa"/>
              <w:right w:w="20" w:type="dxa"/>
            </w:tcMar>
            <w:vAlign w:val="bottom"/>
            <w:hideMark/>
          </w:tcPr>
          <w:p w14:paraId="0948A51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F1300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CD4960" w14:textId="77777777" w:rsidR="00000000" w:rsidRDefault="001D0688">
            <w:pPr>
              <w:jc w:val="right"/>
              <w:rPr>
                <w:rFonts w:eastAsia="Times New Roman"/>
              </w:rPr>
            </w:pPr>
            <w:r>
              <w:rPr>
                <w:rFonts w:ascii="Arial" w:eastAsia="Times New Roman" w:hAnsi="Arial" w:cs="Arial"/>
                <w:color w:val="000000"/>
                <w:sz w:val="20"/>
                <w:szCs w:val="20"/>
              </w:rPr>
              <w:t>56.9 </w:t>
            </w:r>
          </w:p>
        </w:tc>
        <w:tc>
          <w:tcPr>
            <w:tcW w:w="0" w:type="auto"/>
            <w:shd w:val="clear" w:color="auto" w:fill="DCE2EF"/>
            <w:tcMar>
              <w:top w:w="30" w:type="dxa"/>
              <w:left w:w="0" w:type="dxa"/>
              <w:bottom w:w="30" w:type="dxa"/>
              <w:right w:w="20" w:type="dxa"/>
            </w:tcMar>
            <w:vAlign w:val="bottom"/>
            <w:hideMark/>
          </w:tcPr>
          <w:p w14:paraId="1384BBDF" w14:textId="77777777" w:rsidR="00000000" w:rsidRDefault="001D0688">
            <w:pPr>
              <w:jc w:val="right"/>
              <w:rPr>
                <w:rFonts w:eastAsia="Times New Roman"/>
              </w:rPr>
            </w:pPr>
          </w:p>
        </w:tc>
      </w:tr>
      <w:tr w:rsidR="00000000" w14:paraId="6560AFD7" w14:textId="77777777">
        <w:trPr>
          <w:divId w:val="1913814910"/>
          <w:jc w:val="center"/>
        </w:trPr>
        <w:tc>
          <w:tcPr>
            <w:tcW w:w="0" w:type="auto"/>
            <w:gridSpan w:val="3"/>
            <w:shd w:val="clear" w:color="auto" w:fill="FFFFFF"/>
            <w:tcMar>
              <w:top w:w="30" w:type="dxa"/>
              <w:left w:w="20" w:type="dxa"/>
              <w:bottom w:w="30" w:type="dxa"/>
              <w:right w:w="20" w:type="dxa"/>
            </w:tcMar>
            <w:vAlign w:val="bottom"/>
            <w:hideMark/>
          </w:tcPr>
          <w:p w14:paraId="2D297D16" w14:textId="77777777" w:rsidR="00000000" w:rsidRDefault="001D0688">
            <w:pPr>
              <w:divId w:val="1160005004"/>
              <w:rPr>
                <w:rFonts w:eastAsia="Times New Roman"/>
              </w:rPr>
            </w:pPr>
            <w:r>
              <w:rPr>
                <w:rFonts w:ascii="Arial" w:eastAsia="Times New Roman" w:hAnsi="Arial" w:cs="Arial"/>
                <w:color w:val="000000"/>
                <w:sz w:val="20"/>
                <w:szCs w:val="20"/>
              </w:rPr>
              <w:t>Costs incurred in excess of amounts bille</w:t>
            </w:r>
            <w:r>
              <w:rPr>
                <w:rFonts w:ascii="Arial" w:eastAsia="Times New Roman" w:hAnsi="Arial" w:cs="Arial"/>
                <w:color w:val="000000"/>
                <w:sz w:val="20"/>
                <w:szCs w:val="20"/>
              </w:rPr>
              <w:t>d</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BB08C5C"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057752" w14:textId="77777777" w:rsidR="00000000" w:rsidRDefault="001D0688">
            <w:pPr>
              <w:jc w:val="right"/>
              <w:rPr>
                <w:rFonts w:eastAsia="Times New Roman"/>
              </w:rPr>
            </w:pPr>
            <w:r>
              <w:rPr>
                <w:rFonts w:ascii="Arial" w:eastAsia="Times New Roman" w:hAnsi="Arial" w:cs="Arial"/>
                <w:color w:val="000000"/>
                <w:sz w:val="20"/>
                <w:szCs w:val="20"/>
              </w:rPr>
              <w:t>52.2 </w:t>
            </w:r>
          </w:p>
        </w:tc>
        <w:tc>
          <w:tcPr>
            <w:tcW w:w="0" w:type="auto"/>
            <w:shd w:val="clear" w:color="auto" w:fill="FFFFFF"/>
            <w:tcMar>
              <w:top w:w="30" w:type="dxa"/>
              <w:left w:w="0" w:type="dxa"/>
              <w:bottom w:w="30" w:type="dxa"/>
              <w:right w:w="20" w:type="dxa"/>
            </w:tcMar>
            <w:vAlign w:val="bottom"/>
            <w:hideMark/>
          </w:tcPr>
          <w:p w14:paraId="7FBF4CB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F171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4DA7E" w14:textId="77777777" w:rsidR="00000000" w:rsidRDefault="001D0688">
            <w:pPr>
              <w:jc w:val="right"/>
              <w:rPr>
                <w:rFonts w:eastAsia="Times New Roman"/>
              </w:rPr>
            </w:pPr>
            <w:r>
              <w:rPr>
                <w:rFonts w:ascii="Arial" w:eastAsia="Times New Roman" w:hAnsi="Arial" w:cs="Arial"/>
                <w:color w:val="000000"/>
                <w:sz w:val="20"/>
                <w:szCs w:val="20"/>
              </w:rPr>
              <w:t>72.6 </w:t>
            </w:r>
          </w:p>
        </w:tc>
        <w:tc>
          <w:tcPr>
            <w:tcW w:w="0" w:type="auto"/>
            <w:shd w:val="clear" w:color="auto" w:fill="FFFFFF"/>
            <w:tcMar>
              <w:top w:w="30" w:type="dxa"/>
              <w:left w:w="0" w:type="dxa"/>
              <w:bottom w:w="30" w:type="dxa"/>
              <w:right w:w="20" w:type="dxa"/>
            </w:tcMar>
            <w:vAlign w:val="bottom"/>
            <w:hideMark/>
          </w:tcPr>
          <w:p w14:paraId="4D4EDC27" w14:textId="77777777" w:rsidR="00000000" w:rsidRDefault="001D0688">
            <w:pPr>
              <w:jc w:val="right"/>
              <w:rPr>
                <w:rFonts w:eastAsia="Times New Roman"/>
              </w:rPr>
            </w:pPr>
          </w:p>
        </w:tc>
      </w:tr>
      <w:tr w:rsidR="00000000" w14:paraId="082F7792" w14:textId="77777777">
        <w:trPr>
          <w:divId w:val="1913814910"/>
          <w:jc w:val="center"/>
        </w:trPr>
        <w:tc>
          <w:tcPr>
            <w:tcW w:w="0" w:type="auto"/>
            <w:gridSpan w:val="3"/>
            <w:shd w:val="clear" w:color="auto" w:fill="DCE2EF"/>
            <w:tcMar>
              <w:top w:w="30" w:type="dxa"/>
              <w:left w:w="20" w:type="dxa"/>
              <w:bottom w:w="30" w:type="dxa"/>
              <w:right w:w="20" w:type="dxa"/>
            </w:tcMar>
            <w:vAlign w:val="bottom"/>
            <w:hideMark/>
          </w:tcPr>
          <w:p w14:paraId="4946A59E" w14:textId="77777777" w:rsidR="00000000" w:rsidRDefault="001D0688">
            <w:pPr>
              <w:divId w:val="492184960"/>
              <w:rPr>
                <w:rFonts w:eastAsia="Times New Roman"/>
              </w:rPr>
            </w:pPr>
            <w:r>
              <w:rPr>
                <w:rFonts w:ascii="Arial" w:eastAsia="Times New Roman" w:hAnsi="Arial" w:cs="Arial"/>
                <w:color w:val="000000"/>
                <w:sz w:val="20"/>
                <w:szCs w:val="20"/>
              </w:rPr>
              <w:t>Capitalized commission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364C886C"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11A71E6" w14:textId="77777777" w:rsidR="00000000" w:rsidRDefault="001D0688">
            <w:pPr>
              <w:jc w:val="right"/>
              <w:rPr>
                <w:rFonts w:eastAsia="Times New Roman"/>
              </w:rPr>
            </w:pPr>
            <w:r>
              <w:rPr>
                <w:rFonts w:ascii="Arial" w:eastAsia="Times New Roman" w:hAnsi="Arial" w:cs="Arial"/>
                <w:color w:val="000000"/>
                <w:sz w:val="20"/>
                <w:szCs w:val="20"/>
              </w:rPr>
              <w:t>25.2 </w:t>
            </w:r>
          </w:p>
        </w:tc>
        <w:tc>
          <w:tcPr>
            <w:tcW w:w="0" w:type="auto"/>
            <w:shd w:val="clear" w:color="auto" w:fill="DCE2EF"/>
            <w:tcMar>
              <w:top w:w="30" w:type="dxa"/>
              <w:left w:w="0" w:type="dxa"/>
              <w:bottom w:w="30" w:type="dxa"/>
              <w:right w:w="20" w:type="dxa"/>
            </w:tcMar>
            <w:vAlign w:val="bottom"/>
            <w:hideMark/>
          </w:tcPr>
          <w:p w14:paraId="5E90562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45E89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F8BB34" w14:textId="77777777" w:rsidR="00000000" w:rsidRDefault="001D0688">
            <w:pPr>
              <w:jc w:val="right"/>
              <w:rPr>
                <w:rFonts w:eastAsia="Times New Roman"/>
              </w:rPr>
            </w:pPr>
            <w:r>
              <w:rPr>
                <w:rFonts w:ascii="Arial" w:eastAsia="Times New Roman" w:hAnsi="Arial" w:cs="Arial"/>
                <w:color w:val="000000"/>
                <w:sz w:val="20"/>
                <w:szCs w:val="20"/>
              </w:rPr>
              <w:t>21.8 </w:t>
            </w:r>
          </w:p>
        </w:tc>
        <w:tc>
          <w:tcPr>
            <w:tcW w:w="0" w:type="auto"/>
            <w:shd w:val="clear" w:color="auto" w:fill="DCE2EF"/>
            <w:tcMar>
              <w:top w:w="30" w:type="dxa"/>
              <w:left w:w="0" w:type="dxa"/>
              <w:bottom w:w="30" w:type="dxa"/>
              <w:right w:w="20" w:type="dxa"/>
            </w:tcMar>
            <w:vAlign w:val="bottom"/>
            <w:hideMark/>
          </w:tcPr>
          <w:p w14:paraId="17328545" w14:textId="77777777" w:rsidR="00000000" w:rsidRDefault="001D0688">
            <w:pPr>
              <w:jc w:val="right"/>
              <w:rPr>
                <w:rFonts w:eastAsia="Times New Roman"/>
              </w:rPr>
            </w:pPr>
          </w:p>
        </w:tc>
      </w:tr>
    </w:tbl>
    <w:p w14:paraId="200AC4CD" w14:textId="77777777" w:rsidR="00000000" w:rsidRDefault="001D0688">
      <w:pPr>
        <w:ind w:hanging="180"/>
        <w:jc w:val="both"/>
        <w:divId w:val="82644126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Consolidated Balance Sheets. The fluctuations correlate directly to the execution of new customer contracts and to invoicing and collections from customers in the normal course of business. </w:t>
      </w:r>
    </w:p>
    <w:p w14:paraId="582CBF1E" w14:textId="77777777" w:rsidR="00000000" w:rsidRDefault="001D0688">
      <w:pPr>
        <w:ind w:hanging="180"/>
        <w:jc w:val="both"/>
        <w:divId w:val="46413046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Fluctuatio</w:t>
      </w:r>
      <w:r>
        <w:rPr>
          <w:rFonts w:ascii="Arial" w:eastAsia="Times New Roman" w:hAnsi="Arial" w:cs="Arial"/>
          <w:color w:val="000000"/>
          <w:sz w:val="18"/>
          <w:szCs w:val="18"/>
        </w:rPr>
        <w:t xml:space="preserve">n is primarily due to the timing of payments on our contracts measured using the cost-to-cost method of revenue recognition. </w:t>
      </w:r>
    </w:p>
    <w:p w14:paraId="47ACC926" w14:textId="77777777" w:rsidR="00000000" w:rsidRDefault="001D0688">
      <w:pPr>
        <w:ind w:hanging="180"/>
        <w:jc w:val="both"/>
        <w:divId w:val="1529293428"/>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current assets and other noncurrent assets on the Consolidated Balance Sheets. During the year ended October</w:t>
      </w:r>
      <w:r>
        <w:rPr>
          <w:rFonts w:ascii="Arial" w:eastAsia="Times New Roman" w:hAnsi="Arial" w:cs="Arial"/>
          <w:color w:val="000000"/>
          <w:sz w:val="18"/>
          <w:szCs w:val="18"/>
        </w:rPr>
        <w:t> 31, 2020, we capitalized</w:t>
      </w:r>
      <w:r>
        <w:rPr>
          <w:rFonts w:ascii="Arial" w:eastAsia="Times New Roman" w:hAnsi="Arial" w:cs="Arial"/>
          <w:color w:val="000000"/>
          <w:sz w:val="18"/>
          <w:szCs w:val="18"/>
          <w:shd w:val="clear" w:color="auto" w:fill="FFFFFF"/>
        </w:rPr>
        <w:t xml:space="preserve"> $16.4 million of new costs and amortized $13.0 million</w:t>
      </w:r>
      <w:r>
        <w:rPr>
          <w:rFonts w:ascii="Arial" w:eastAsia="Times New Roman" w:hAnsi="Arial" w:cs="Arial"/>
          <w:color w:val="000000"/>
          <w:sz w:val="18"/>
          <w:szCs w:val="18"/>
        </w:rPr>
        <w:t xml:space="preserve"> of previously capitalized costs. There was no impairment loss recorded on the costs capitalized.</w:t>
      </w:r>
    </w:p>
    <w:tbl>
      <w:tblPr>
        <w:tblW w:w="4985" w:type="pct"/>
        <w:tblCellMar>
          <w:top w:w="15" w:type="dxa"/>
          <w:left w:w="15" w:type="dxa"/>
          <w:bottom w:w="15" w:type="dxa"/>
          <w:right w:w="15" w:type="dxa"/>
        </w:tblCellMar>
        <w:tblLook w:val="04A0" w:firstRow="1" w:lastRow="0" w:firstColumn="1" w:lastColumn="0" w:noHBand="0" w:noVBand="1"/>
      </w:tblPr>
      <w:tblGrid>
        <w:gridCol w:w="42"/>
        <w:gridCol w:w="6584"/>
        <w:gridCol w:w="37"/>
        <w:gridCol w:w="36"/>
        <w:gridCol w:w="36"/>
        <w:gridCol w:w="36"/>
        <w:gridCol w:w="133"/>
        <w:gridCol w:w="1341"/>
        <w:gridCol w:w="36"/>
      </w:tblGrid>
      <w:tr w:rsidR="00000000" w14:paraId="21717848" w14:textId="77777777">
        <w:trPr>
          <w:divId w:val="599291891"/>
        </w:trPr>
        <w:tc>
          <w:tcPr>
            <w:tcW w:w="50" w:type="pct"/>
            <w:vAlign w:val="center"/>
            <w:hideMark/>
          </w:tcPr>
          <w:p w14:paraId="4AAD9C2F" w14:textId="77777777" w:rsidR="00000000" w:rsidRDefault="001D0688">
            <w:pPr>
              <w:ind w:hanging="180"/>
              <w:jc w:val="both"/>
              <w:rPr>
                <w:rFonts w:eastAsia="Times New Roman"/>
              </w:rPr>
            </w:pPr>
          </w:p>
        </w:tc>
        <w:tc>
          <w:tcPr>
            <w:tcW w:w="3999" w:type="pct"/>
            <w:vAlign w:val="center"/>
            <w:hideMark/>
          </w:tcPr>
          <w:p w14:paraId="014D87B4" w14:textId="77777777" w:rsidR="00000000" w:rsidRDefault="001D0688">
            <w:pPr>
              <w:rPr>
                <w:rFonts w:eastAsia="Times New Roman"/>
                <w:sz w:val="20"/>
                <w:szCs w:val="20"/>
              </w:rPr>
            </w:pPr>
          </w:p>
        </w:tc>
        <w:tc>
          <w:tcPr>
            <w:tcW w:w="5" w:type="pct"/>
            <w:vAlign w:val="center"/>
            <w:hideMark/>
          </w:tcPr>
          <w:p w14:paraId="165BA297" w14:textId="77777777" w:rsidR="00000000" w:rsidRDefault="001D0688">
            <w:pPr>
              <w:rPr>
                <w:rFonts w:eastAsia="Times New Roman"/>
                <w:sz w:val="20"/>
                <w:szCs w:val="20"/>
              </w:rPr>
            </w:pPr>
          </w:p>
        </w:tc>
        <w:tc>
          <w:tcPr>
            <w:tcW w:w="5" w:type="pct"/>
            <w:vAlign w:val="center"/>
            <w:hideMark/>
          </w:tcPr>
          <w:p w14:paraId="5479360D" w14:textId="77777777" w:rsidR="00000000" w:rsidRDefault="001D0688">
            <w:pPr>
              <w:rPr>
                <w:rFonts w:eastAsia="Times New Roman"/>
                <w:sz w:val="20"/>
                <w:szCs w:val="20"/>
              </w:rPr>
            </w:pPr>
          </w:p>
        </w:tc>
        <w:tc>
          <w:tcPr>
            <w:tcW w:w="26" w:type="pct"/>
            <w:vAlign w:val="center"/>
            <w:hideMark/>
          </w:tcPr>
          <w:p w14:paraId="491B62BB" w14:textId="77777777" w:rsidR="00000000" w:rsidRDefault="001D0688">
            <w:pPr>
              <w:rPr>
                <w:rFonts w:eastAsia="Times New Roman"/>
                <w:sz w:val="20"/>
                <w:szCs w:val="20"/>
              </w:rPr>
            </w:pPr>
          </w:p>
        </w:tc>
        <w:tc>
          <w:tcPr>
            <w:tcW w:w="5" w:type="pct"/>
            <w:vAlign w:val="center"/>
            <w:hideMark/>
          </w:tcPr>
          <w:p w14:paraId="3AA78589" w14:textId="77777777" w:rsidR="00000000" w:rsidRDefault="001D0688">
            <w:pPr>
              <w:rPr>
                <w:rFonts w:eastAsia="Times New Roman"/>
                <w:sz w:val="20"/>
                <w:szCs w:val="20"/>
              </w:rPr>
            </w:pPr>
          </w:p>
        </w:tc>
        <w:tc>
          <w:tcPr>
            <w:tcW w:w="50" w:type="pct"/>
            <w:vAlign w:val="center"/>
            <w:hideMark/>
          </w:tcPr>
          <w:p w14:paraId="47BABE4C" w14:textId="77777777" w:rsidR="00000000" w:rsidRDefault="001D0688">
            <w:pPr>
              <w:rPr>
                <w:rFonts w:eastAsia="Times New Roman"/>
                <w:sz w:val="20"/>
                <w:szCs w:val="20"/>
              </w:rPr>
            </w:pPr>
          </w:p>
        </w:tc>
        <w:tc>
          <w:tcPr>
            <w:tcW w:w="854" w:type="pct"/>
            <w:vAlign w:val="center"/>
            <w:hideMark/>
          </w:tcPr>
          <w:p w14:paraId="6223482B" w14:textId="77777777" w:rsidR="00000000" w:rsidRDefault="001D0688">
            <w:pPr>
              <w:rPr>
                <w:rFonts w:eastAsia="Times New Roman"/>
                <w:sz w:val="20"/>
                <w:szCs w:val="20"/>
              </w:rPr>
            </w:pPr>
          </w:p>
        </w:tc>
        <w:tc>
          <w:tcPr>
            <w:tcW w:w="5" w:type="pct"/>
            <w:vAlign w:val="center"/>
            <w:hideMark/>
          </w:tcPr>
          <w:p w14:paraId="7E947C4C" w14:textId="77777777" w:rsidR="00000000" w:rsidRDefault="001D0688">
            <w:pPr>
              <w:rPr>
                <w:rFonts w:eastAsia="Times New Roman"/>
                <w:sz w:val="20"/>
                <w:szCs w:val="20"/>
              </w:rPr>
            </w:pPr>
          </w:p>
        </w:tc>
      </w:tr>
      <w:tr w:rsidR="00000000" w14:paraId="60EC5835" w14:textId="77777777">
        <w:trPr>
          <w:divId w:val="599291891"/>
        </w:trPr>
        <w:tc>
          <w:tcPr>
            <w:tcW w:w="0" w:type="auto"/>
            <w:gridSpan w:val="3"/>
            <w:tcMar>
              <w:top w:w="30" w:type="dxa"/>
              <w:left w:w="20" w:type="dxa"/>
              <w:bottom w:w="30" w:type="dxa"/>
              <w:right w:w="20" w:type="dxa"/>
            </w:tcMar>
            <w:vAlign w:val="bottom"/>
            <w:hideMark/>
          </w:tcPr>
          <w:p w14:paraId="192021A0"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00B6A4D6"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79DE5192" w14:textId="77777777" w:rsidR="00000000" w:rsidRDefault="001D0688">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2020</w:t>
            </w:r>
          </w:p>
        </w:tc>
      </w:tr>
      <w:tr w:rsidR="00000000" w14:paraId="78F3449D" w14:textId="77777777">
        <w:trPr>
          <w:divId w:val="599291891"/>
        </w:trPr>
        <w:tc>
          <w:tcPr>
            <w:tcW w:w="0" w:type="auto"/>
            <w:gridSpan w:val="3"/>
            <w:shd w:val="clear" w:color="auto" w:fill="DCE2EF"/>
            <w:tcMar>
              <w:top w:w="30" w:type="dxa"/>
              <w:left w:w="20" w:type="dxa"/>
              <w:bottom w:w="30" w:type="dxa"/>
              <w:right w:w="20" w:type="dxa"/>
            </w:tcMar>
            <w:vAlign w:val="bottom"/>
            <w:hideMark/>
          </w:tcPr>
          <w:p w14:paraId="6600CC88" w14:textId="77777777" w:rsidR="00000000" w:rsidRDefault="001D0688">
            <w:pPr>
              <w:divId w:val="949551988"/>
              <w:rPr>
                <w:rFonts w:eastAsia="Times New Roman"/>
              </w:rPr>
            </w:pPr>
            <w:r>
              <w:rPr>
                <w:rFonts w:ascii="Arial" w:eastAsia="Times New Roman" w:hAnsi="Arial" w:cs="Arial"/>
                <w:b/>
                <w:bCs/>
                <w:color w:val="000000"/>
                <w:sz w:val="20"/>
                <w:szCs w:val="20"/>
              </w:rPr>
              <w:t>Contract liabilitie</w:t>
            </w:r>
            <w:r>
              <w:rPr>
                <w:rFonts w:ascii="Arial" w:eastAsia="Times New Roman" w:hAnsi="Arial" w:cs="Arial"/>
                <w:b/>
                <w:bCs/>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47B37118"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A0690F1" w14:textId="77777777" w:rsidR="00000000" w:rsidRDefault="001D0688">
            <w:pPr>
              <w:rPr>
                <w:rFonts w:eastAsia="Times New Roman"/>
                <w:sz w:val="20"/>
                <w:szCs w:val="20"/>
              </w:rPr>
            </w:pPr>
          </w:p>
        </w:tc>
      </w:tr>
      <w:tr w:rsidR="00000000" w14:paraId="292B52AB" w14:textId="77777777">
        <w:trPr>
          <w:divId w:val="599291891"/>
        </w:trPr>
        <w:tc>
          <w:tcPr>
            <w:tcW w:w="0" w:type="auto"/>
            <w:gridSpan w:val="3"/>
            <w:shd w:val="clear" w:color="auto" w:fill="FFFFFF"/>
            <w:tcMar>
              <w:top w:w="30" w:type="dxa"/>
              <w:left w:w="245" w:type="dxa"/>
              <w:bottom w:w="30" w:type="dxa"/>
              <w:right w:w="20" w:type="dxa"/>
            </w:tcMar>
            <w:vAlign w:val="bottom"/>
            <w:hideMark/>
          </w:tcPr>
          <w:p w14:paraId="279C3DC9" w14:textId="77777777" w:rsidR="00000000" w:rsidRDefault="001D0688">
            <w:pPr>
              <w:rPr>
                <w:rFonts w:eastAsia="Times New Roman"/>
              </w:rPr>
            </w:pPr>
            <w:r>
              <w:rPr>
                <w:rFonts w:ascii="Arial" w:eastAsia="Times New Roman" w:hAnsi="Arial" w:cs="Arial"/>
                <w:color w:val="000000"/>
                <w:sz w:val="20"/>
                <w:szCs w:val="20"/>
              </w:rPr>
              <w:t>Balance at beginning of year</w:t>
            </w:r>
          </w:p>
        </w:tc>
        <w:tc>
          <w:tcPr>
            <w:tcW w:w="0" w:type="auto"/>
            <w:gridSpan w:val="3"/>
            <w:shd w:val="clear" w:color="auto" w:fill="FFFFFF"/>
            <w:tcMar>
              <w:top w:w="0" w:type="dxa"/>
              <w:left w:w="20" w:type="dxa"/>
              <w:bottom w:w="0" w:type="dxa"/>
              <w:right w:w="20" w:type="dxa"/>
            </w:tcMar>
            <w:vAlign w:val="center"/>
            <w:hideMark/>
          </w:tcPr>
          <w:p w14:paraId="2FFB2083"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501B08E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8321C94" w14:textId="77777777" w:rsidR="00000000" w:rsidRDefault="001D0688">
            <w:pPr>
              <w:jc w:val="right"/>
              <w:rPr>
                <w:rFonts w:eastAsia="Times New Roman"/>
              </w:rPr>
            </w:pPr>
            <w:r>
              <w:rPr>
                <w:rFonts w:ascii="Arial" w:eastAsia="Times New Roman" w:hAnsi="Arial" w:cs="Arial"/>
                <w:color w:val="000000"/>
                <w:sz w:val="20"/>
                <w:szCs w:val="20"/>
              </w:rPr>
              <w:t>38.0 </w:t>
            </w:r>
          </w:p>
        </w:tc>
        <w:tc>
          <w:tcPr>
            <w:tcW w:w="0" w:type="auto"/>
            <w:shd w:val="clear" w:color="auto" w:fill="FFFFFF"/>
            <w:tcMar>
              <w:top w:w="30" w:type="dxa"/>
              <w:left w:w="0" w:type="dxa"/>
              <w:bottom w:w="30" w:type="dxa"/>
              <w:right w:w="20" w:type="dxa"/>
            </w:tcMar>
            <w:vAlign w:val="bottom"/>
            <w:hideMark/>
          </w:tcPr>
          <w:p w14:paraId="757F213F" w14:textId="77777777" w:rsidR="00000000" w:rsidRDefault="001D0688">
            <w:pPr>
              <w:jc w:val="right"/>
              <w:rPr>
                <w:rFonts w:eastAsia="Times New Roman"/>
              </w:rPr>
            </w:pPr>
          </w:p>
        </w:tc>
      </w:tr>
      <w:tr w:rsidR="00000000" w14:paraId="0E78F3EA" w14:textId="77777777">
        <w:trPr>
          <w:divId w:val="599291891"/>
        </w:trPr>
        <w:tc>
          <w:tcPr>
            <w:tcW w:w="0" w:type="auto"/>
            <w:gridSpan w:val="3"/>
            <w:shd w:val="clear" w:color="auto" w:fill="DCE2EF"/>
            <w:tcMar>
              <w:top w:w="30" w:type="dxa"/>
              <w:left w:w="245" w:type="dxa"/>
              <w:bottom w:w="30" w:type="dxa"/>
              <w:right w:w="20" w:type="dxa"/>
            </w:tcMar>
            <w:vAlign w:val="bottom"/>
            <w:hideMark/>
          </w:tcPr>
          <w:p w14:paraId="7E0F296F" w14:textId="77777777" w:rsidR="00000000" w:rsidRDefault="001D0688">
            <w:pPr>
              <w:rPr>
                <w:rFonts w:eastAsia="Times New Roman"/>
              </w:rPr>
            </w:pPr>
            <w:r>
              <w:rPr>
                <w:rFonts w:ascii="Arial" w:eastAsia="Times New Roman" w:hAnsi="Arial" w:cs="Arial"/>
                <w:color w:val="000000"/>
                <w:sz w:val="20"/>
                <w:szCs w:val="20"/>
              </w:rPr>
              <w:t>Additional contract liabilities</w:t>
            </w:r>
          </w:p>
        </w:tc>
        <w:tc>
          <w:tcPr>
            <w:tcW w:w="0" w:type="auto"/>
            <w:gridSpan w:val="3"/>
            <w:shd w:val="clear" w:color="auto" w:fill="DCE2EF"/>
            <w:tcMar>
              <w:top w:w="0" w:type="dxa"/>
              <w:left w:w="20" w:type="dxa"/>
              <w:bottom w:w="0" w:type="dxa"/>
              <w:right w:w="20" w:type="dxa"/>
            </w:tcMar>
            <w:vAlign w:val="center"/>
            <w:hideMark/>
          </w:tcPr>
          <w:p w14:paraId="26B573D2"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A2919BB" w14:textId="77777777" w:rsidR="00000000" w:rsidRDefault="001D0688">
            <w:pPr>
              <w:jc w:val="right"/>
              <w:rPr>
                <w:rFonts w:eastAsia="Times New Roman"/>
              </w:rPr>
            </w:pPr>
            <w:r>
              <w:rPr>
                <w:rFonts w:ascii="Arial" w:eastAsia="Times New Roman" w:hAnsi="Arial" w:cs="Arial"/>
                <w:color w:val="000000"/>
                <w:sz w:val="20"/>
                <w:szCs w:val="20"/>
              </w:rPr>
              <w:t>315.5 </w:t>
            </w:r>
          </w:p>
        </w:tc>
        <w:tc>
          <w:tcPr>
            <w:tcW w:w="0" w:type="auto"/>
            <w:shd w:val="clear" w:color="auto" w:fill="DCE2EF"/>
            <w:tcMar>
              <w:top w:w="30" w:type="dxa"/>
              <w:left w:w="0" w:type="dxa"/>
              <w:bottom w:w="30" w:type="dxa"/>
              <w:right w:w="20" w:type="dxa"/>
            </w:tcMar>
            <w:vAlign w:val="bottom"/>
            <w:hideMark/>
          </w:tcPr>
          <w:p w14:paraId="35CCD7A0" w14:textId="77777777" w:rsidR="00000000" w:rsidRDefault="001D0688">
            <w:pPr>
              <w:jc w:val="right"/>
              <w:rPr>
                <w:rFonts w:eastAsia="Times New Roman"/>
              </w:rPr>
            </w:pPr>
          </w:p>
        </w:tc>
      </w:tr>
      <w:tr w:rsidR="00000000" w14:paraId="600DD392" w14:textId="77777777">
        <w:trPr>
          <w:divId w:val="599291891"/>
        </w:trPr>
        <w:tc>
          <w:tcPr>
            <w:tcW w:w="0" w:type="auto"/>
            <w:gridSpan w:val="3"/>
            <w:shd w:val="clear" w:color="auto" w:fill="FFFFFF"/>
            <w:tcMar>
              <w:top w:w="30" w:type="dxa"/>
              <w:left w:w="20" w:type="dxa"/>
              <w:bottom w:w="30" w:type="dxa"/>
              <w:right w:w="20" w:type="dxa"/>
            </w:tcMar>
            <w:vAlign w:val="bottom"/>
            <w:hideMark/>
          </w:tcPr>
          <w:p w14:paraId="513202DE" w14:textId="77777777" w:rsidR="00000000" w:rsidRDefault="001D0688">
            <w:pPr>
              <w:ind w:hanging="180"/>
              <w:divId w:val="275258885"/>
              <w:rPr>
                <w:rFonts w:eastAsia="Times New Roman"/>
              </w:rPr>
            </w:pPr>
            <w:r>
              <w:rPr>
                <w:rFonts w:ascii="Arial" w:eastAsia="Times New Roman" w:hAnsi="Arial" w:cs="Arial"/>
                <w:color w:val="000000"/>
                <w:sz w:val="20"/>
                <w:szCs w:val="20"/>
              </w:rPr>
              <w:t>Recognition of deferred revenue</w:t>
            </w:r>
          </w:p>
        </w:tc>
        <w:tc>
          <w:tcPr>
            <w:tcW w:w="0" w:type="auto"/>
            <w:gridSpan w:val="3"/>
            <w:shd w:val="clear" w:color="auto" w:fill="FFFFFF"/>
            <w:tcMar>
              <w:top w:w="0" w:type="dxa"/>
              <w:left w:w="20" w:type="dxa"/>
              <w:bottom w:w="0" w:type="dxa"/>
              <w:right w:w="20" w:type="dxa"/>
            </w:tcMar>
            <w:vAlign w:val="center"/>
            <w:hideMark/>
          </w:tcPr>
          <w:p w14:paraId="06A4D498" w14:textId="77777777" w:rsidR="00000000" w:rsidRDefault="001D0688">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7C8BCE" w14:textId="77777777" w:rsidR="00000000" w:rsidRDefault="001D0688">
            <w:pPr>
              <w:jc w:val="right"/>
              <w:rPr>
                <w:rFonts w:eastAsia="Times New Roman"/>
              </w:rPr>
            </w:pPr>
            <w:r>
              <w:rPr>
                <w:rFonts w:ascii="Arial" w:eastAsia="Times New Roman" w:hAnsi="Arial" w:cs="Arial"/>
                <w:color w:val="000000"/>
                <w:sz w:val="20"/>
                <w:szCs w:val="20"/>
              </w:rPr>
              <w:t>(317.1)</w:t>
            </w:r>
          </w:p>
        </w:tc>
        <w:tc>
          <w:tcPr>
            <w:tcW w:w="0" w:type="auto"/>
            <w:shd w:val="clear" w:color="auto" w:fill="FFFFFF"/>
            <w:tcMar>
              <w:top w:w="30" w:type="dxa"/>
              <w:left w:w="0" w:type="dxa"/>
              <w:bottom w:w="30" w:type="dxa"/>
              <w:right w:w="20" w:type="dxa"/>
            </w:tcMar>
            <w:vAlign w:val="bottom"/>
            <w:hideMark/>
          </w:tcPr>
          <w:p w14:paraId="510C4DB4" w14:textId="77777777" w:rsidR="00000000" w:rsidRDefault="001D0688">
            <w:pPr>
              <w:jc w:val="right"/>
              <w:rPr>
                <w:rFonts w:eastAsia="Times New Roman"/>
              </w:rPr>
            </w:pPr>
          </w:p>
        </w:tc>
      </w:tr>
      <w:tr w:rsidR="00000000" w14:paraId="7FB47924" w14:textId="77777777">
        <w:trPr>
          <w:divId w:val="599291891"/>
        </w:trPr>
        <w:tc>
          <w:tcPr>
            <w:tcW w:w="0" w:type="auto"/>
            <w:gridSpan w:val="3"/>
            <w:shd w:val="clear" w:color="auto" w:fill="DCE2EF"/>
            <w:tcMar>
              <w:top w:w="30" w:type="dxa"/>
              <w:left w:w="20" w:type="dxa"/>
              <w:bottom w:w="30" w:type="dxa"/>
              <w:right w:w="20" w:type="dxa"/>
            </w:tcMar>
            <w:vAlign w:val="bottom"/>
            <w:hideMark/>
          </w:tcPr>
          <w:p w14:paraId="0D7A786F" w14:textId="77777777" w:rsidR="00000000" w:rsidRDefault="001D0688">
            <w:pPr>
              <w:ind w:hanging="180"/>
              <w:divId w:val="1033001421"/>
              <w:rPr>
                <w:rFonts w:eastAsia="Times New Roman"/>
              </w:rPr>
            </w:pPr>
            <w:r>
              <w:rPr>
                <w:rFonts w:ascii="Arial" w:eastAsia="Times New Roman" w:hAnsi="Arial" w:cs="Arial"/>
                <w:color w:val="000000"/>
                <w:sz w:val="20"/>
                <w:szCs w:val="20"/>
              </w:rPr>
              <w:t>Balance at end of year</w:t>
            </w:r>
          </w:p>
        </w:tc>
        <w:tc>
          <w:tcPr>
            <w:tcW w:w="0" w:type="auto"/>
            <w:gridSpan w:val="3"/>
            <w:shd w:val="clear" w:color="auto" w:fill="DCE2EF"/>
            <w:tcMar>
              <w:top w:w="0" w:type="dxa"/>
              <w:left w:w="20" w:type="dxa"/>
              <w:bottom w:w="0" w:type="dxa"/>
              <w:right w:w="20" w:type="dxa"/>
            </w:tcMar>
            <w:vAlign w:val="center"/>
            <w:hideMark/>
          </w:tcPr>
          <w:p w14:paraId="2E6AFF7C" w14:textId="77777777" w:rsidR="00000000" w:rsidRDefault="001D0688">
            <w:pPr>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9D8049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F363A07" w14:textId="77777777" w:rsidR="00000000" w:rsidRDefault="001D0688">
            <w:pPr>
              <w:jc w:val="right"/>
              <w:rPr>
                <w:rFonts w:eastAsia="Times New Roman"/>
              </w:rPr>
            </w:pPr>
            <w:r>
              <w:rPr>
                <w:rFonts w:ascii="Arial" w:eastAsia="Times New Roman" w:hAnsi="Arial" w:cs="Arial"/>
                <w:color w:val="000000"/>
                <w:sz w:val="20"/>
                <w:szCs w:val="20"/>
              </w:rPr>
              <w:t>36.4 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E5CF874" w14:textId="77777777" w:rsidR="00000000" w:rsidRDefault="001D0688">
            <w:pPr>
              <w:jc w:val="right"/>
              <w:rPr>
                <w:rFonts w:eastAsia="Times New Roman"/>
              </w:rPr>
            </w:pPr>
          </w:p>
        </w:tc>
      </w:tr>
    </w:tbl>
    <w:p w14:paraId="499855C9" w14:textId="77777777" w:rsidR="00000000" w:rsidRDefault="001D0688">
      <w:pPr>
        <w:jc w:val="both"/>
        <w:divId w:val="145505532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other accrued liabilities on the Consolidated Balance Sheets. </w:t>
      </w:r>
    </w:p>
    <w:p w14:paraId="741FD5A9" w14:textId="77777777" w:rsidR="00000000" w:rsidRDefault="001D0688">
      <w:pPr>
        <w:divId w:val="634258656"/>
        <w:rPr>
          <w:rFonts w:eastAsia="Times New Roman"/>
        </w:rPr>
      </w:pPr>
    </w:p>
    <w:p w14:paraId="0454A5D7" w14:textId="77777777" w:rsidR="00000000" w:rsidRDefault="001D0688">
      <w:pPr>
        <w:jc w:val="center"/>
        <w:divId w:val="343284611"/>
        <w:rPr>
          <w:rFonts w:eastAsia="Times New Roman"/>
        </w:rPr>
      </w:pPr>
      <w:r>
        <w:rPr>
          <w:rFonts w:ascii="Arial" w:eastAsia="Times New Roman" w:hAnsi="Arial" w:cs="Arial"/>
          <w:color w:val="000000"/>
          <w:sz w:val="20"/>
          <w:szCs w:val="20"/>
        </w:rPr>
        <w:t>69</w:t>
      </w:r>
    </w:p>
    <w:p w14:paraId="3E6ADCE2" w14:textId="77777777" w:rsidR="00000000" w:rsidRDefault="001D0688">
      <w:pPr>
        <w:rPr>
          <w:rFonts w:eastAsia="Times New Roman"/>
        </w:rPr>
      </w:pPr>
      <w:r>
        <w:rPr>
          <w:rFonts w:eastAsia="Times New Roman"/>
        </w:rPr>
        <w:pict w14:anchorId="1777628D">
          <v:rect id="_x0000_i1106" style="width:0;height:1.5pt" o:hralign="center" o:hrstd="t" o:hr="t" fillcolor="#a0a0a0" stroked="f"/>
        </w:pict>
      </w:r>
    </w:p>
    <w:p w14:paraId="24A89149" w14:textId="77777777" w:rsidR="00000000" w:rsidRDefault="001D0688">
      <w:pPr>
        <w:divId w:val="319778001"/>
        <w:rPr>
          <w:rFonts w:eastAsia="Times New Roman"/>
        </w:rPr>
      </w:pPr>
    </w:p>
    <w:p w14:paraId="71DA666C" w14:textId="77777777" w:rsidR="00000000" w:rsidRDefault="001D0688">
      <w:pPr>
        <w:divId w:val="2091656823"/>
        <w:rPr>
          <w:rFonts w:eastAsia="Times New Roman"/>
        </w:rPr>
      </w:pPr>
      <w:r>
        <w:rPr>
          <w:rFonts w:ascii="Arial" w:eastAsia="Times New Roman" w:hAnsi="Arial" w:cs="Arial"/>
          <w:b/>
          <w:bCs/>
          <w:color w:val="0046AD"/>
          <w:sz w:val="20"/>
          <w:szCs w:val="20"/>
        </w:rPr>
        <w:t>4. LEASES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41DAB355" w14:textId="77777777">
        <w:trPr>
          <w:divId w:val="820733533"/>
        </w:trPr>
        <w:tc>
          <w:tcPr>
            <w:tcW w:w="5" w:type="pct"/>
            <w:vAlign w:val="center"/>
            <w:hideMark/>
          </w:tcPr>
          <w:p w14:paraId="62983352" w14:textId="77777777" w:rsidR="00000000" w:rsidRDefault="001D0688">
            <w:pPr>
              <w:rPr>
                <w:rFonts w:eastAsia="Times New Roman"/>
              </w:rPr>
            </w:pPr>
          </w:p>
        </w:tc>
        <w:tc>
          <w:tcPr>
            <w:tcW w:w="129" w:type="pct"/>
            <w:vAlign w:val="center"/>
            <w:hideMark/>
          </w:tcPr>
          <w:p w14:paraId="03F5B4D3" w14:textId="77777777" w:rsidR="00000000" w:rsidRDefault="001D0688">
            <w:pPr>
              <w:rPr>
                <w:rFonts w:eastAsia="Times New Roman"/>
                <w:sz w:val="20"/>
                <w:szCs w:val="20"/>
              </w:rPr>
            </w:pPr>
          </w:p>
        </w:tc>
        <w:tc>
          <w:tcPr>
            <w:tcW w:w="5" w:type="pct"/>
            <w:vAlign w:val="center"/>
            <w:hideMark/>
          </w:tcPr>
          <w:p w14:paraId="0426A293" w14:textId="77777777" w:rsidR="00000000" w:rsidRDefault="001D0688">
            <w:pPr>
              <w:rPr>
                <w:rFonts w:eastAsia="Times New Roman"/>
                <w:sz w:val="20"/>
                <w:szCs w:val="20"/>
              </w:rPr>
            </w:pPr>
          </w:p>
        </w:tc>
        <w:tc>
          <w:tcPr>
            <w:tcW w:w="50" w:type="pct"/>
            <w:vAlign w:val="center"/>
            <w:hideMark/>
          </w:tcPr>
          <w:p w14:paraId="5937A36A" w14:textId="77777777" w:rsidR="00000000" w:rsidRDefault="001D0688">
            <w:pPr>
              <w:rPr>
                <w:rFonts w:eastAsia="Times New Roman"/>
                <w:sz w:val="20"/>
                <w:szCs w:val="20"/>
              </w:rPr>
            </w:pPr>
          </w:p>
        </w:tc>
        <w:tc>
          <w:tcPr>
            <w:tcW w:w="4805" w:type="pct"/>
            <w:vAlign w:val="center"/>
            <w:hideMark/>
          </w:tcPr>
          <w:p w14:paraId="4684F452" w14:textId="77777777" w:rsidR="00000000" w:rsidRDefault="001D0688">
            <w:pPr>
              <w:rPr>
                <w:rFonts w:eastAsia="Times New Roman"/>
                <w:sz w:val="20"/>
                <w:szCs w:val="20"/>
              </w:rPr>
            </w:pPr>
          </w:p>
        </w:tc>
        <w:tc>
          <w:tcPr>
            <w:tcW w:w="5" w:type="pct"/>
            <w:vAlign w:val="center"/>
            <w:hideMark/>
          </w:tcPr>
          <w:p w14:paraId="759DCD52" w14:textId="77777777" w:rsidR="00000000" w:rsidRDefault="001D0688">
            <w:pPr>
              <w:rPr>
                <w:rFonts w:eastAsia="Times New Roman"/>
                <w:sz w:val="20"/>
                <w:szCs w:val="20"/>
              </w:rPr>
            </w:pPr>
          </w:p>
        </w:tc>
      </w:tr>
      <w:tr w:rsidR="00000000" w14:paraId="5262D41D" w14:textId="77777777">
        <w:trPr>
          <w:divId w:val="820733533"/>
          <w:trHeight w:val="60"/>
        </w:trPr>
        <w:tc>
          <w:tcPr>
            <w:tcW w:w="0" w:type="auto"/>
            <w:gridSpan w:val="3"/>
            <w:tcBorders>
              <w:top w:val="single" w:sz="8" w:space="0" w:color="E98300"/>
            </w:tcBorders>
            <w:tcMar>
              <w:top w:w="0" w:type="dxa"/>
              <w:left w:w="20" w:type="dxa"/>
              <w:bottom w:w="0" w:type="dxa"/>
              <w:right w:w="20" w:type="dxa"/>
            </w:tcMar>
            <w:vAlign w:val="center"/>
            <w:hideMark/>
          </w:tcPr>
          <w:p w14:paraId="7E1E971F"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769878E5" w14:textId="77777777" w:rsidR="00000000" w:rsidRDefault="001D0688">
            <w:pPr>
              <w:rPr>
                <w:rFonts w:eastAsia="Times New Roman"/>
                <w:sz w:val="20"/>
                <w:szCs w:val="20"/>
              </w:rPr>
            </w:pPr>
          </w:p>
        </w:tc>
      </w:tr>
    </w:tbl>
    <w:p w14:paraId="34703E2B" w14:textId="77777777" w:rsidR="00000000" w:rsidRDefault="001D0688">
      <w:pPr>
        <w:ind w:firstLine="720"/>
        <w:jc w:val="both"/>
        <w:divId w:val="840661705"/>
        <w:rPr>
          <w:rFonts w:eastAsia="Times New Roman"/>
        </w:rPr>
      </w:pPr>
      <w:r>
        <w:rPr>
          <w:rFonts w:ascii="Arial" w:eastAsia="Times New Roman" w:hAnsi="Arial" w:cs="Arial"/>
          <w:color w:val="000000"/>
          <w:sz w:val="20"/>
          <w:szCs w:val="20"/>
        </w:rPr>
        <w:t>The components of lease assets and liabilities and their classification on our Consolidated Balance Sheets as of October 31,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2289"/>
        <w:gridCol w:w="40"/>
        <w:gridCol w:w="36"/>
        <w:gridCol w:w="36"/>
        <w:gridCol w:w="36"/>
        <w:gridCol w:w="37"/>
        <w:gridCol w:w="3840"/>
        <w:gridCol w:w="36"/>
        <w:gridCol w:w="36"/>
        <w:gridCol w:w="36"/>
        <w:gridCol w:w="36"/>
        <w:gridCol w:w="133"/>
        <w:gridCol w:w="1631"/>
        <w:gridCol w:w="36"/>
      </w:tblGrid>
      <w:tr w:rsidR="00000000" w14:paraId="46D5EBFC" w14:textId="77777777">
        <w:trPr>
          <w:divId w:val="911089404"/>
        </w:trPr>
        <w:tc>
          <w:tcPr>
            <w:tcW w:w="50" w:type="pct"/>
            <w:vAlign w:val="center"/>
            <w:hideMark/>
          </w:tcPr>
          <w:p w14:paraId="510DC519" w14:textId="77777777" w:rsidR="00000000" w:rsidRDefault="001D0688">
            <w:pPr>
              <w:ind w:firstLine="720"/>
              <w:jc w:val="both"/>
              <w:rPr>
                <w:rFonts w:eastAsia="Times New Roman"/>
              </w:rPr>
            </w:pPr>
          </w:p>
        </w:tc>
        <w:tc>
          <w:tcPr>
            <w:tcW w:w="1399" w:type="pct"/>
            <w:vAlign w:val="center"/>
            <w:hideMark/>
          </w:tcPr>
          <w:p w14:paraId="184F22E1" w14:textId="77777777" w:rsidR="00000000" w:rsidRDefault="001D0688">
            <w:pPr>
              <w:rPr>
                <w:rFonts w:eastAsia="Times New Roman"/>
                <w:sz w:val="20"/>
                <w:szCs w:val="20"/>
              </w:rPr>
            </w:pPr>
          </w:p>
        </w:tc>
        <w:tc>
          <w:tcPr>
            <w:tcW w:w="5" w:type="pct"/>
            <w:vAlign w:val="center"/>
            <w:hideMark/>
          </w:tcPr>
          <w:p w14:paraId="2EF9E090" w14:textId="77777777" w:rsidR="00000000" w:rsidRDefault="001D0688">
            <w:pPr>
              <w:rPr>
                <w:rFonts w:eastAsia="Times New Roman"/>
                <w:sz w:val="20"/>
                <w:szCs w:val="20"/>
              </w:rPr>
            </w:pPr>
          </w:p>
        </w:tc>
        <w:tc>
          <w:tcPr>
            <w:tcW w:w="5" w:type="pct"/>
            <w:vAlign w:val="center"/>
            <w:hideMark/>
          </w:tcPr>
          <w:p w14:paraId="4328D173" w14:textId="77777777" w:rsidR="00000000" w:rsidRDefault="001D0688">
            <w:pPr>
              <w:rPr>
                <w:rFonts w:eastAsia="Times New Roman"/>
                <w:sz w:val="20"/>
                <w:szCs w:val="20"/>
              </w:rPr>
            </w:pPr>
          </w:p>
        </w:tc>
        <w:tc>
          <w:tcPr>
            <w:tcW w:w="26" w:type="pct"/>
            <w:vAlign w:val="center"/>
            <w:hideMark/>
          </w:tcPr>
          <w:p w14:paraId="0FF7FA27" w14:textId="77777777" w:rsidR="00000000" w:rsidRDefault="001D0688">
            <w:pPr>
              <w:rPr>
                <w:rFonts w:eastAsia="Times New Roman"/>
                <w:sz w:val="20"/>
                <w:szCs w:val="20"/>
              </w:rPr>
            </w:pPr>
          </w:p>
        </w:tc>
        <w:tc>
          <w:tcPr>
            <w:tcW w:w="5" w:type="pct"/>
            <w:vAlign w:val="center"/>
            <w:hideMark/>
          </w:tcPr>
          <w:p w14:paraId="374467AF" w14:textId="77777777" w:rsidR="00000000" w:rsidRDefault="001D0688">
            <w:pPr>
              <w:rPr>
                <w:rFonts w:eastAsia="Times New Roman"/>
                <w:sz w:val="20"/>
                <w:szCs w:val="20"/>
              </w:rPr>
            </w:pPr>
          </w:p>
        </w:tc>
        <w:tc>
          <w:tcPr>
            <w:tcW w:w="50" w:type="pct"/>
            <w:vAlign w:val="center"/>
            <w:hideMark/>
          </w:tcPr>
          <w:p w14:paraId="564A8348" w14:textId="77777777" w:rsidR="00000000" w:rsidRDefault="001D0688">
            <w:pPr>
              <w:rPr>
                <w:rFonts w:eastAsia="Times New Roman"/>
                <w:sz w:val="20"/>
                <w:szCs w:val="20"/>
              </w:rPr>
            </w:pPr>
          </w:p>
        </w:tc>
        <w:tc>
          <w:tcPr>
            <w:tcW w:w="2342" w:type="pct"/>
            <w:vAlign w:val="center"/>
            <w:hideMark/>
          </w:tcPr>
          <w:p w14:paraId="039B51C7" w14:textId="77777777" w:rsidR="00000000" w:rsidRDefault="001D0688">
            <w:pPr>
              <w:rPr>
                <w:rFonts w:eastAsia="Times New Roman"/>
                <w:sz w:val="20"/>
                <w:szCs w:val="20"/>
              </w:rPr>
            </w:pPr>
          </w:p>
        </w:tc>
        <w:tc>
          <w:tcPr>
            <w:tcW w:w="5" w:type="pct"/>
            <w:vAlign w:val="center"/>
            <w:hideMark/>
          </w:tcPr>
          <w:p w14:paraId="789CF2FE" w14:textId="77777777" w:rsidR="00000000" w:rsidRDefault="001D0688">
            <w:pPr>
              <w:rPr>
                <w:rFonts w:eastAsia="Times New Roman"/>
                <w:sz w:val="20"/>
                <w:szCs w:val="20"/>
              </w:rPr>
            </w:pPr>
          </w:p>
        </w:tc>
        <w:tc>
          <w:tcPr>
            <w:tcW w:w="5" w:type="pct"/>
            <w:vAlign w:val="center"/>
            <w:hideMark/>
          </w:tcPr>
          <w:p w14:paraId="3822E0DA" w14:textId="77777777" w:rsidR="00000000" w:rsidRDefault="001D0688">
            <w:pPr>
              <w:rPr>
                <w:rFonts w:eastAsia="Times New Roman"/>
                <w:sz w:val="20"/>
                <w:szCs w:val="20"/>
              </w:rPr>
            </w:pPr>
          </w:p>
        </w:tc>
        <w:tc>
          <w:tcPr>
            <w:tcW w:w="26" w:type="pct"/>
            <w:vAlign w:val="center"/>
            <w:hideMark/>
          </w:tcPr>
          <w:p w14:paraId="2D18D84C" w14:textId="77777777" w:rsidR="00000000" w:rsidRDefault="001D0688">
            <w:pPr>
              <w:rPr>
                <w:rFonts w:eastAsia="Times New Roman"/>
                <w:sz w:val="20"/>
                <w:szCs w:val="20"/>
              </w:rPr>
            </w:pPr>
          </w:p>
        </w:tc>
        <w:tc>
          <w:tcPr>
            <w:tcW w:w="5" w:type="pct"/>
            <w:vAlign w:val="center"/>
            <w:hideMark/>
          </w:tcPr>
          <w:p w14:paraId="2D2EB1EE" w14:textId="77777777" w:rsidR="00000000" w:rsidRDefault="001D0688">
            <w:pPr>
              <w:rPr>
                <w:rFonts w:eastAsia="Times New Roman"/>
                <w:sz w:val="20"/>
                <w:szCs w:val="20"/>
              </w:rPr>
            </w:pPr>
          </w:p>
        </w:tc>
        <w:tc>
          <w:tcPr>
            <w:tcW w:w="50" w:type="pct"/>
            <w:vAlign w:val="center"/>
            <w:hideMark/>
          </w:tcPr>
          <w:p w14:paraId="736CB486" w14:textId="77777777" w:rsidR="00000000" w:rsidRDefault="001D0688">
            <w:pPr>
              <w:rPr>
                <w:rFonts w:eastAsia="Times New Roman"/>
                <w:sz w:val="20"/>
                <w:szCs w:val="20"/>
              </w:rPr>
            </w:pPr>
          </w:p>
        </w:tc>
        <w:tc>
          <w:tcPr>
            <w:tcW w:w="1019" w:type="pct"/>
            <w:vAlign w:val="center"/>
            <w:hideMark/>
          </w:tcPr>
          <w:p w14:paraId="2C567A4F" w14:textId="77777777" w:rsidR="00000000" w:rsidRDefault="001D0688">
            <w:pPr>
              <w:rPr>
                <w:rFonts w:eastAsia="Times New Roman"/>
                <w:sz w:val="20"/>
                <w:szCs w:val="20"/>
              </w:rPr>
            </w:pPr>
          </w:p>
        </w:tc>
        <w:tc>
          <w:tcPr>
            <w:tcW w:w="5" w:type="pct"/>
            <w:vAlign w:val="center"/>
            <w:hideMark/>
          </w:tcPr>
          <w:p w14:paraId="0C9EE578" w14:textId="77777777" w:rsidR="00000000" w:rsidRDefault="001D0688">
            <w:pPr>
              <w:rPr>
                <w:rFonts w:eastAsia="Times New Roman"/>
                <w:sz w:val="20"/>
                <w:szCs w:val="20"/>
              </w:rPr>
            </w:pPr>
          </w:p>
        </w:tc>
      </w:tr>
      <w:tr w:rsidR="00000000" w14:paraId="1001E291" w14:textId="77777777">
        <w:trPr>
          <w:divId w:val="911089404"/>
        </w:trPr>
        <w:tc>
          <w:tcPr>
            <w:tcW w:w="0" w:type="auto"/>
            <w:gridSpan w:val="3"/>
            <w:tcMar>
              <w:top w:w="0" w:type="dxa"/>
              <w:left w:w="20" w:type="dxa"/>
              <w:bottom w:w="0" w:type="dxa"/>
              <w:right w:w="20" w:type="dxa"/>
            </w:tcMar>
            <w:vAlign w:val="center"/>
            <w:hideMark/>
          </w:tcPr>
          <w:p w14:paraId="17CAEFA7"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F58899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2A47C3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B3D3F10"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57A92BCB" w14:textId="77777777" w:rsidR="00000000" w:rsidRDefault="001D0688">
            <w:pPr>
              <w:jc w:val="center"/>
              <w:rPr>
                <w:rFonts w:eastAsia="Times New Roman"/>
              </w:rPr>
            </w:pPr>
            <w:r>
              <w:rPr>
                <w:rFonts w:ascii="Arial" w:eastAsia="Times New Roman" w:hAnsi="Arial" w:cs="Arial"/>
                <w:b/>
                <w:bCs/>
                <w:color w:val="000000"/>
                <w:sz w:val="20"/>
                <w:szCs w:val="20"/>
              </w:rPr>
              <w:t>Balance at</w:t>
            </w:r>
          </w:p>
        </w:tc>
      </w:tr>
      <w:tr w:rsidR="00000000" w14:paraId="1479F6BA" w14:textId="77777777">
        <w:trPr>
          <w:divId w:val="911089404"/>
        </w:trPr>
        <w:tc>
          <w:tcPr>
            <w:tcW w:w="0" w:type="auto"/>
            <w:gridSpan w:val="3"/>
            <w:tcMar>
              <w:top w:w="30" w:type="dxa"/>
              <w:left w:w="20" w:type="dxa"/>
              <w:bottom w:w="30" w:type="dxa"/>
              <w:right w:w="20" w:type="dxa"/>
            </w:tcMar>
            <w:vAlign w:val="bottom"/>
            <w:hideMark/>
          </w:tcPr>
          <w:p w14:paraId="335D83A8"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590999A"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37616D0E" w14:textId="77777777" w:rsidR="00000000" w:rsidRDefault="001D0688">
            <w:pPr>
              <w:jc w:val="center"/>
              <w:rPr>
                <w:rFonts w:eastAsia="Times New Roman"/>
              </w:rPr>
            </w:pPr>
            <w:r>
              <w:rPr>
                <w:rFonts w:ascii="Arial" w:eastAsia="Times New Roman" w:hAnsi="Arial" w:cs="Arial"/>
                <w:b/>
                <w:bCs/>
                <w:color w:val="000000"/>
                <w:sz w:val="20"/>
                <w:szCs w:val="20"/>
              </w:rPr>
              <w:t>Classification</w:t>
            </w:r>
          </w:p>
        </w:tc>
        <w:tc>
          <w:tcPr>
            <w:tcW w:w="0" w:type="auto"/>
            <w:gridSpan w:val="3"/>
            <w:tcMar>
              <w:top w:w="0" w:type="dxa"/>
              <w:left w:w="20" w:type="dxa"/>
              <w:bottom w:w="0" w:type="dxa"/>
              <w:right w:w="20" w:type="dxa"/>
            </w:tcMar>
            <w:vAlign w:val="center"/>
            <w:hideMark/>
          </w:tcPr>
          <w:p w14:paraId="2FA19032"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425AD65"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r>
      <w:tr w:rsidR="00000000" w14:paraId="75CDA6B1" w14:textId="77777777">
        <w:trPr>
          <w:divId w:val="911089404"/>
        </w:trPr>
        <w:tc>
          <w:tcPr>
            <w:tcW w:w="0" w:type="auto"/>
            <w:gridSpan w:val="3"/>
            <w:shd w:val="clear" w:color="auto" w:fill="DCE2EF"/>
            <w:tcMar>
              <w:top w:w="30" w:type="dxa"/>
              <w:left w:w="20" w:type="dxa"/>
              <w:bottom w:w="30" w:type="dxa"/>
              <w:right w:w="20" w:type="dxa"/>
            </w:tcMar>
            <w:vAlign w:val="bottom"/>
            <w:hideMark/>
          </w:tcPr>
          <w:p w14:paraId="25FAFACA" w14:textId="77777777" w:rsidR="00000000" w:rsidRDefault="001D0688">
            <w:pPr>
              <w:rPr>
                <w:rFonts w:eastAsia="Times New Roman"/>
              </w:rPr>
            </w:pPr>
            <w:r>
              <w:rPr>
                <w:rFonts w:ascii="Arial" w:eastAsia="Times New Roman" w:hAnsi="Arial" w:cs="Arial"/>
                <w:b/>
                <w:bCs/>
                <w:color w:val="000000"/>
                <w:sz w:val="20"/>
                <w:szCs w:val="20"/>
              </w:rPr>
              <w:t>Lease assets</w:t>
            </w:r>
          </w:p>
        </w:tc>
        <w:tc>
          <w:tcPr>
            <w:tcW w:w="0" w:type="auto"/>
            <w:gridSpan w:val="3"/>
            <w:shd w:val="clear" w:color="auto" w:fill="DCE2EF"/>
            <w:tcMar>
              <w:top w:w="0" w:type="dxa"/>
              <w:left w:w="20" w:type="dxa"/>
              <w:bottom w:w="0" w:type="dxa"/>
              <w:right w:w="20" w:type="dxa"/>
            </w:tcMar>
            <w:vAlign w:val="center"/>
            <w:hideMark/>
          </w:tcPr>
          <w:p w14:paraId="2873DA38"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F87711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A0A0B33"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E5C4B9D" w14:textId="77777777" w:rsidR="00000000" w:rsidRDefault="001D0688">
            <w:pPr>
              <w:rPr>
                <w:rFonts w:eastAsia="Times New Roman"/>
                <w:sz w:val="20"/>
                <w:szCs w:val="20"/>
              </w:rPr>
            </w:pPr>
          </w:p>
        </w:tc>
      </w:tr>
      <w:tr w:rsidR="00000000" w14:paraId="2B42DA55" w14:textId="77777777">
        <w:trPr>
          <w:divId w:val="911089404"/>
        </w:trPr>
        <w:tc>
          <w:tcPr>
            <w:tcW w:w="0" w:type="auto"/>
            <w:gridSpan w:val="3"/>
            <w:shd w:val="clear" w:color="auto" w:fill="FFFFFF"/>
            <w:tcMar>
              <w:top w:w="30" w:type="dxa"/>
              <w:left w:w="20" w:type="dxa"/>
              <w:bottom w:w="30" w:type="dxa"/>
              <w:right w:w="20" w:type="dxa"/>
            </w:tcMar>
            <w:vAlign w:val="bottom"/>
            <w:hideMark/>
          </w:tcPr>
          <w:p w14:paraId="6D80BA47" w14:textId="77777777" w:rsidR="00000000" w:rsidRDefault="001D0688">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7E7717DF"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DBBD60" w14:textId="77777777" w:rsidR="00000000" w:rsidRDefault="001D0688">
            <w:pPr>
              <w:rPr>
                <w:rFonts w:eastAsia="Times New Roman"/>
              </w:rPr>
            </w:pPr>
            <w:r>
              <w:rPr>
                <w:rFonts w:ascii="Arial" w:eastAsia="Times New Roman" w:hAnsi="Arial" w:cs="Arial"/>
                <w:color w:val="000000"/>
                <w:sz w:val="20"/>
                <w:szCs w:val="20"/>
              </w:rPr>
              <w:t>Right-of-use assets</w:t>
            </w:r>
          </w:p>
        </w:tc>
        <w:tc>
          <w:tcPr>
            <w:tcW w:w="0" w:type="auto"/>
            <w:gridSpan w:val="3"/>
            <w:shd w:val="clear" w:color="auto" w:fill="FFFFFF"/>
            <w:tcMar>
              <w:top w:w="0" w:type="dxa"/>
              <w:left w:w="20" w:type="dxa"/>
              <w:bottom w:w="0" w:type="dxa"/>
              <w:right w:w="20" w:type="dxa"/>
            </w:tcMar>
            <w:vAlign w:val="center"/>
            <w:hideMark/>
          </w:tcPr>
          <w:p w14:paraId="3DFCCCFD"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2650D9D5"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6C184A4" w14:textId="77777777" w:rsidR="00000000" w:rsidRDefault="001D0688">
            <w:pPr>
              <w:jc w:val="right"/>
              <w:rPr>
                <w:rFonts w:eastAsia="Times New Roman"/>
              </w:rPr>
            </w:pPr>
            <w:r>
              <w:rPr>
                <w:rFonts w:ascii="Arial" w:eastAsia="Times New Roman" w:hAnsi="Arial" w:cs="Arial"/>
                <w:color w:val="000000"/>
                <w:sz w:val="20"/>
                <w:szCs w:val="20"/>
              </w:rPr>
              <w:t>143.1 </w:t>
            </w:r>
          </w:p>
        </w:tc>
        <w:tc>
          <w:tcPr>
            <w:tcW w:w="0" w:type="auto"/>
            <w:shd w:val="clear" w:color="auto" w:fill="FFFFFF"/>
            <w:tcMar>
              <w:top w:w="30" w:type="dxa"/>
              <w:left w:w="0" w:type="dxa"/>
              <w:bottom w:w="30" w:type="dxa"/>
              <w:right w:w="20" w:type="dxa"/>
            </w:tcMar>
            <w:vAlign w:val="bottom"/>
            <w:hideMark/>
          </w:tcPr>
          <w:p w14:paraId="490A4D43" w14:textId="77777777" w:rsidR="00000000" w:rsidRDefault="001D0688">
            <w:pPr>
              <w:jc w:val="right"/>
              <w:rPr>
                <w:rFonts w:eastAsia="Times New Roman"/>
              </w:rPr>
            </w:pPr>
          </w:p>
        </w:tc>
      </w:tr>
      <w:tr w:rsidR="00000000" w14:paraId="5959D91A" w14:textId="77777777">
        <w:trPr>
          <w:divId w:val="911089404"/>
        </w:trPr>
        <w:tc>
          <w:tcPr>
            <w:tcW w:w="0" w:type="auto"/>
            <w:gridSpan w:val="3"/>
            <w:shd w:val="clear" w:color="auto" w:fill="DCE2EF"/>
            <w:tcMar>
              <w:top w:w="30" w:type="dxa"/>
              <w:left w:w="20" w:type="dxa"/>
              <w:bottom w:w="30" w:type="dxa"/>
              <w:right w:w="20" w:type="dxa"/>
            </w:tcMar>
            <w:vAlign w:val="bottom"/>
            <w:hideMark/>
          </w:tcPr>
          <w:p w14:paraId="3EBEC44C" w14:textId="77777777" w:rsidR="00000000" w:rsidRDefault="001D0688">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14:paraId="377D7426"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2DD95CB" w14:textId="77777777" w:rsidR="00000000" w:rsidRDefault="001D0688">
            <w:pPr>
              <w:divId w:val="452098718"/>
              <w:rPr>
                <w:rFonts w:eastAsia="Times New Roman"/>
              </w:rPr>
            </w:pPr>
            <w:r>
              <w:rPr>
                <w:rFonts w:ascii="Arial" w:eastAsia="Times New Roman" w:hAnsi="Arial" w:cs="Arial"/>
                <w:color w:val="000000"/>
                <w:sz w:val="20"/>
                <w:szCs w:val="20"/>
              </w:rPr>
              <w:t>Property, plant and equipment, ne</w:t>
            </w:r>
            <w:r>
              <w:rPr>
                <w:rFonts w:ascii="Arial" w:eastAsia="Times New Roman" w:hAnsi="Arial" w:cs="Arial"/>
                <w:color w:val="000000"/>
                <w:sz w:val="20"/>
                <w:szCs w:val="20"/>
              </w:rPr>
              <w:t>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69C86B3A"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8C69225" w14:textId="77777777" w:rsidR="00000000" w:rsidRDefault="001D0688">
            <w:pPr>
              <w:jc w:val="right"/>
              <w:rPr>
                <w:rFonts w:eastAsia="Times New Roman"/>
              </w:rPr>
            </w:pPr>
            <w:r>
              <w:rPr>
                <w:rFonts w:ascii="Arial" w:eastAsia="Times New Roman" w:hAnsi="Arial" w:cs="Arial"/>
                <w:color w:val="000000"/>
                <w:sz w:val="20"/>
                <w:szCs w:val="20"/>
              </w:rPr>
              <w:t>6.1 </w:t>
            </w:r>
          </w:p>
        </w:tc>
        <w:tc>
          <w:tcPr>
            <w:tcW w:w="0" w:type="auto"/>
            <w:shd w:val="clear" w:color="auto" w:fill="DCE2EF"/>
            <w:tcMar>
              <w:top w:w="30" w:type="dxa"/>
              <w:left w:w="0" w:type="dxa"/>
              <w:bottom w:w="30" w:type="dxa"/>
              <w:right w:w="20" w:type="dxa"/>
            </w:tcMar>
            <w:vAlign w:val="bottom"/>
            <w:hideMark/>
          </w:tcPr>
          <w:p w14:paraId="04E17BDF" w14:textId="77777777" w:rsidR="00000000" w:rsidRDefault="001D0688">
            <w:pPr>
              <w:jc w:val="right"/>
              <w:rPr>
                <w:rFonts w:eastAsia="Times New Roman"/>
              </w:rPr>
            </w:pPr>
          </w:p>
        </w:tc>
      </w:tr>
      <w:tr w:rsidR="00000000" w14:paraId="3F333B1B" w14:textId="77777777">
        <w:trPr>
          <w:divId w:val="911089404"/>
        </w:trPr>
        <w:tc>
          <w:tcPr>
            <w:tcW w:w="0" w:type="auto"/>
            <w:gridSpan w:val="3"/>
            <w:shd w:val="clear" w:color="auto" w:fill="FFFFFF"/>
            <w:tcMar>
              <w:top w:w="30" w:type="dxa"/>
              <w:left w:w="500" w:type="dxa"/>
              <w:bottom w:w="30" w:type="dxa"/>
              <w:right w:w="20" w:type="dxa"/>
            </w:tcMar>
            <w:vAlign w:val="bottom"/>
            <w:hideMark/>
          </w:tcPr>
          <w:p w14:paraId="66EA9209" w14:textId="77777777" w:rsidR="00000000" w:rsidRDefault="001D0688">
            <w:pPr>
              <w:rPr>
                <w:rFonts w:eastAsia="Times New Roman"/>
              </w:rPr>
            </w:pPr>
            <w:r>
              <w:rPr>
                <w:rFonts w:ascii="Arial" w:eastAsia="Times New Roman" w:hAnsi="Arial" w:cs="Arial"/>
                <w:b/>
                <w:bCs/>
                <w:color w:val="000000"/>
                <w:sz w:val="20"/>
                <w:szCs w:val="20"/>
              </w:rPr>
              <w:t>Total lease assets</w:t>
            </w:r>
          </w:p>
        </w:tc>
        <w:tc>
          <w:tcPr>
            <w:tcW w:w="0" w:type="auto"/>
            <w:gridSpan w:val="3"/>
            <w:shd w:val="clear" w:color="auto" w:fill="FFFFFF"/>
            <w:tcMar>
              <w:top w:w="0" w:type="dxa"/>
              <w:left w:w="20" w:type="dxa"/>
              <w:bottom w:w="0" w:type="dxa"/>
              <w:right w:w="20" w:type="dxa"/>
            </w:tcMar>
            <w:vAlign w:val="center"/>
            <w:hideMark/>
          </w:tcPr>
          <w:p w14:paraId="4FF14A12"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3767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D4C2F1" w14:textId="77777777" w:rsidR="00000000" w:rsidRDefault="001D0688">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47806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14C123" w14:textId="77777777" w:rsidR="00000000" w:rsidRDefault="001D0688">
            <w:pPr>
              <w:jc w:val="right"/>
              <w:rPr>
                <w:rFonts w:eastAsia="Times New Roman"/>
              </w:rPr>
            </w:pPr>
            <w:r>
              <w:rPr>
                <w:rFonts w:ascii="Arial" w:eastAsia="Times New Roman" w:hAnsi="Arial" w:cs="Arial"/>
                <w:color w:val="000000"/>
                <w:sz w:val="20"/>
                <w:szCs w:val="20"/>
              </w:rPr>
              <w:t>149.2 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422285" w14:textId="77777777" w:rsidR="00000000" w:rsidRDefault="001D0688">
            <w:pPr>
              <w:jc w:val="right"/>
              <w:rPr>
                <w:rFonts w:eastAsia="Times New Roman"/>
              </w:rPr>
            </w:pPr>
          </w:p>
        </w:tc>
      </w:tr>
      <w:tr w:rsidR="00000000" w14:paraId="1C57D197" w14:textId="77777777">
        <w:trPr>
          <w:divId w:val="911089404"/>
          <w:trHeight w:val="300"/>
        </w:trPr>
        <w:tc>
          <w:tcPr>
            <w:tcW w:w="0" w:type="auto"/>
            <w:gridSpan w:val="3"/>
            <w:shd w:val="clear" w:color="auto" w:fill="DCE2EF"/>
            <w:tcMar>
              <w:top w:w="0" w:type="dxa"/>
              <w:left w:w="20" w:type="dxa"/>
              <w:bottom w:w="0" w:type="dxa"/>
              <w:right w:w="20" w:type="dxa"/>
            </w:tcMar>
            <w:vAlign w:val="center"/>
            <w:hideMark/>
          </w:tcPr>
          <w:p w14:paraId="2B6F5F24"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AA1A3D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61879E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4096F3C"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8FCFBE1" w14:textId="77777777" w:rsidR="00000000" w:rsidRDefault="001D0688">
            <w:pPr>
              <w:rPr>
                <w:rFonts w:eastAsia="Times New Roman"/>
                <w:sz w:val="20"/>
                <w:szCs w:val="20"/>
              </w:rPr>
            </w:pPr>
          </w:p>
        </w:tc>
      </w:tr>
      <w:tr w:rsidR="00000000" w14:paraId="748C9FFA" w14:textId="77777777">
        <w:trPr>
          <w:divId w:val="911089404"/>
        </w:trPr>
        <w:tc>
          <w:tcPr>
            <w:tcW w:w="0" w:type="auto"/>
            <w:gridSpan w:val="3"/>
            <w:shd w:val="clear" w:color="auto" w:fill="FFFFFF"/>
            <w:tcMar>
              <w:top w:w="30" w:type="dxa"/>
              <w:left w:w="20" w:type="dxa"/>
              <w:bottom w:w="30" w:type="dxa"/>
              <w:right w:w="20" w:type="dxa"/>
            </w:tcMar>
            <w:vAlign w:val="bottom"/>
            <w:hideMark/>
          </w:tcPr>
          <w:p w14:paraId="7010423A" w14:textId="77777777" w:rsidR="00000000" w:rsidRDefault="001D0688">
            <w:pPr>
              <w:rPr>
                <w:rFonts w:eastAsia="Times New Roman"/>
              </w:rPr>
            </w:pPr>
            <w:r>
              <w:rPr>
                <w:rFonts w:ascii="Arial" w:eastAsia="Times New Roman" w:hAnsi="Arial" w:cs="Arial"/>
                <w:b/>
                <w:bCs/>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14:paraId="3AC9AA00"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B907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316C7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19C44E" w14:textId="77777777" w:rsidR="00000000" w:rsidRDefault="001D0688">
            <w:pPr>
              <w:rPr>
                <w:rFonts w:eastAsia="Times New Roman"/>
                <w:sz w:val="20"/>
                <w:szCs w:val="20"/>
              </w:rPr>
            </w:pPr>
          </w:p>
        </w:tc>
      </w:tr>
      <w:tr w:rsidR="00000000" w14:paraId="32FA57B2" w14:textId="77777777">
        <w:trPr>
          <w:divId w:val="911089404"/>
        </w:trPr>
        <w:tc>
          <w:tcPr>
            <w:tcW w:w="0" w:type="auto"/>
            <w:gridSpan w:val="3"/>
            <w:shd w:val="clear" w:color="auto" w:fill="DCE2EF"/>
            <w:tcMar>
              <w:top w:w="30" w:type="dxa"/>
              <w:left w:w="20" w:type="dxa"/>
              <w:bottom w:w="30" w:type="dxa"/>
              <w:right w:w="20" w:type="dxa"/>
            </w:tcMar>
            <w:vAlign w:val="bottom"/>
            <w:hideMark/>
          </w:tcPr>
          <w:p w14:paraId="51E22A23" w14:textId="77777777" w:rsidR="00000000" w:rsidRDefault="001D0688">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14:paraId="6C776557"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77B8A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AF30CC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93DCD50" w14:textId="77777777" w:rsidR="00000000" w:rsidRDefault="001D0688">
            <w:pPr>
              <w:rPr>
                <w:rFonts w:eastAsia="Times New Roman"/>
                <w:sz w:val="20"/>
                <w:szCs w:val="20"/>
              </w:rPr>
            </w:pPr>
          </w:p>
        </w:tc>
      </w:tr>
      <w:tr w:rsidR="00000000" w14:paraId="56EE47AD" w14:textId="77777777">
        <w:trPr>
          <w:divId w:val="911089404"/>
        </w:trPr>
        <w:tc>
          <w:tcPr>
            <w:tcW w:w="0" w:type="auto"/>
            <w:gridSpan w:val="3"/>
            <w:shd w:val="clear" w:color="auto" w:fill="FFFFFF"/>
            <w:tcMar>
              <w:top w:w="30" w:type="dxa"/>
              <w:left w:w="260" w:type="dxa"/>
              <w:bottom w:w="30" w:type="dxa"/>
              <w:right w:w="20" w:type="dxa"/>
            </w:tcMar>
            <w:vAlign w:val="bottom"/>
            <w:hideMark/>
          </w:tcPr>
          <w:p w14:paraId="49031524" w14:textId="77777777" w:rsidR="00000000" w:rsidRDefault="001D0688">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164ED8E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E2D833" w14:textId="77777777" w:rsidR="00000000" w:rsidRDefault="001D0688">
            <w:pPr>
              <w:rPr>
                <w:rFonts w:eastAsia="Times New Roman"/>
              </w:rPr>
            </w:pPr>
            <w:r>
              <w:rPr>
                <w:rFonts w:ascii="Arial" w:eastAsia="Times New Roman" w:hAnsi="Arial" w:cs="Arial"/>
                <w:color w:val="000000"/>
                <w:sz w:val="20"/>
                <w:szCs w:val="20"/>
              </w:rPr>
              <w:t>Current portion of lease liabilities</w:t>
            </w:r>
          </w:p>
        </w:tc>
        <w:tc>
          <w:tcPr>
            <w:tcW w:w="0" w:type="auto"/>
            <w:gridSpan w:val="3"/>
            <w:shd w:val="clear" w:color="auto" w:fill="FFFFFF"/>
            <w:tcMar>
              <w:top w:w="0" w:type="dxa"/>
              <w:left w:w="20" w:type="dxa"/>
              <w:bottom w:w="0" w:type="dxa"/>
              <w:right w:w="20" w:type="dxa"/>
            </w:tcMar>
            <w:vAlign w:val="center"/>
            <w:hideMark/>
          </w:tcPr>
          <w:p w14:paraId="3E8CF9AA"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4152C02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EA195DF" w14:textId="77777777" w:rsidR="00000000" w:rsidRDefault="001D0688">
            <w:pPr>
              <w:jc w:val="right"/>
              <w:rPr>
                <w:rFonts w:eastAsia="Times New Roman"/>
              </w:rPr>
            </w:pPr>
            <w:r>
              <w:rPr>
                <w:rFonts w:ascii="Arial" w:eastAsia="Times New Roman" w:hAnsi="Arial" w:cs="Arial"/>
                <w:color w:val="000000"/>
                <w:sz w:val="20"/>
                <w:szCs w:val="20"/>
              </w:rPr>
              <w:t>35.0 </w:t>
            </w:r>
          </w:p>
        </w:tc>
        <w:tc>
          <w:tcPr>
            <w:tcW w:w="0" w:type="auto"/>
            <w:shd w:val="clear" w:color="auto" w:fill="FFFFFF"/>
            <w:tcMar>
              <w:top w:w="30" w:type="dxa"/>
              <w:left w:w="0" w:type="dxa"/>
              <w:bottom w:w="30" w:type="dxa"/>
              <w:right w:w="20" w:type="dxa"/>
            </w:tcMar>
            <w:vAlign w:val="bottom"/>
            <w:hideMark/>
          </w:tcPr>
          <w:p w14:paraId="37FF445C" w14:textId="77777777" w:rsidR="00000000" w:rsidRDefault="001D0688">
            <w:pPr>
              <w:jc w:val="right"/>
              <w:rPr>
                <w:rFonts w:eastAsia="Times New Roman"/>
              </w:rPr>
            </w:pPr>
          </w:p>
        </w:tc>
      </w:tr>
      <w:tr w:rsidR="00000000" w14:paraId="683442A3" w14:textId="77777777">
        <w:trPr>
          <w:divId w:val="911089404"/>
        </w:trPr>
        <w:tc>
          <w:tcPr>
            <w:tcW w:w="0" w:type="auto"/>
            <w:gridSpan w:val="3"/>
            <w:shd w:val="clear" w:color="auto" w:fill="DCE2EF"/>
            <w:tcMar>
              <w:top w:w="30" w:type="dxa"/>
              <w:left w:w="260" w:type="dxa"/>
              <w:bottom w:w="30" w:type="dxa"/>
              <w:right w:w="20" w:type="dxa"/>
            </w:tcMar>
            <w:vAlign w:val="bottom"/>
            <w:hideMark/>
          </w:tcPr>
          <w:p w14:paraId="0E4091EA" w14:textId="77777777" w:rsidR="00000000" w:rsidRDefault="001D0688">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14:paraId="5E2A7E38"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F391DBC" w14:textId="77777777" w:rsidR="00000000" w:rsidRDefault="001D0688">
            <w:pPr>
              <w:rPr>
                <w:rFonts w:eastAsia="Times New Roman"/>
              </w:rPr>
            </w:pPr>
            <w:r>
              <w:rPr>
                <w:rFonts w:ascii="Arial" w:eastAsia="Times New Roman" w:hAnsi="Arial" w:cs="Arial"/>
                <w:color w:val="000000"/>
                <w:sz w:val="20"/>
                <w:szCs w:val="20"/>
              </w:rPr>
              <w:t>Other accrued liabilities</w:t>
            </w:r>
          </w:p>
        </w:tc>
        <w:tc>
          <w:tcPr>
            <w:tcW w:w="0" w:type="auto"/>
            <w:gridSpan w:val="3"/>
            <w:shd w:val="clear" w:color="auto" w:fill="DCE2EF"/>
            <w:tcMar>
              <w:top w:w="0" w:type="dxa"/>
              <w:left w:w="20" w:type="dxa"/>
              <w:bottom w:w="0" w:type="dxa"/>
              <w:right w:w="20" w:type="dxa"/>
            </w:tcMar>
            <w:vAlign w:val="center"/>
            <w:hideMark/>
          </w:tcPr>
          <w:p w14:paraId="6D3684A5"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F8B957E" w14:textId="77777777" w:rsidR="00000000" w:rsidRDefault="001D0688">
            <w:pPr>
              <w:jc w:val="right"/>
              <w:rPr>
                <w:rFonts w:eastAsia="Times New Roman"/>
              </w:rPr>
            </w:pPr>
            <w:r>
              <w:rPr>
                <w:rFonts w:ascii="Arial" w:eastAsia="Times New Roman" w:hAnsi="Arial" w:cs="Arial"/>
                <w:color w:val="000000"/>
                <w:sz w:val="20"/>
                <w:szCs w:val="20"/>
              </w:rPr>
              <w:t>2.3 </w:t>
            </w:r>
          </w:p>
        </w:tc>
        <w:tc>
          <w:tcPr>
            <w:tcW w:w="0" w:type="auto"/>
            <w:shd w:val="clear" w:color="auto" w:fill="DCE2EF"/>
            <w:tcMar>
              <w:top w:w="30" w:type="dxa"/>
              <w:left w:w="0" w:type="dxa"/>
              <w:bottom w:w="30" w:type="dxa"/>
              <w:right w:w="20" w:type="dxa"/>
            </w:tcMar>
            <w:vAlign w:val="bottom"/>
            <w:hideMark/>
          </w:tcPr>
          <w:p w14:paraId="08F2DDD1" w14:textId="77777777" w:rsidR="00000000" w:rsidRDefault="001D0688">
            <w:pPr>
              <w:jc w:val="right"/>
              <w:rPr>
                <w:rFonts w:eastAsia="Times New Roman"/>
              </w:rPr>
            </w:pPr>
          </w:p>
        </w:tc>
      </w:tr>
      <w:tr w:rsidR="00000000" w14:paraId="2C6B880E" w14:textId="77777777">
        <w:trPr>
          <w:divId w:val="911089404"/>
        </w:trPr>
        <w:tc>
          <w:tcPr>
            <w:tcW w:w="0" w:type="auto"/>
            <w:gridSpan w:val="3"/>
            <w:shd w:val="clear" w:color="auto" w:fill="FFFFFF"/>
            <w:tcMar>
              <w:top w:w="30" w:type="dxa"/>
              <w:left w:w="20" w:type="dxa"/>
              <w:bottom w:w="30" w:type="dxa"/>
              <w:right w:w="20" w:type="dxa"/>
            </w:tcMar>
            <w:vAlign w:val="bottom"/>
            <w:hideMark/>
          </w:tcPr>
          <w:p w14:paraId="37ED4B65" w14:textId="77777777" w:rsidR="00000000" w:rsidRDefault="001D0688">
            <w:pPr>
              <w:rPr>
                <w:rFonts w:eastAsia="Times New Roman"/>
              </w:rPr>
            </w:pPr>
            <w:r>
              <w:rPr>
                <w:rFonts w:ascii="Arial" w:eastAsia="Times New Roman" w:hAnsi="Arial" w:cs="Arial"/>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14:paraId="257235EA"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B0BC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4FACD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A7260C" w14:textId="77777777" w:rsidR="00000000" w:rsidRDefault="001D0688">
            <w:pPr>
              <w:rPr>
                <w:rFonts w:eastAsia="Times New Roman"/>
                <w:sz w:val="20"/>
                <w:szCs w:val="20"/>
              </w:rPr>
            </w:pPr>
          </w:p>
        </w:tc>
      </w:tr>
      <w:tr w:rsidR="00000000" w14:paraId="1F567337" w14:textId="77777777">
        <w:trPr>
          <w:divId w:val="911089404"/>
        </w:trPr>
        <w:tc>
          <w:tcPr>
            <w:tcW w:w="0" w:type="auto"/>
            <w:gridSpan w:val="3"/>
            <w:shd w:val="clear" w:color="auto" w:fill="DCE2EF"/>
            <w:tcMar>
              <w:top w:w="30" w:type="dxa"/>
              <w:left w:w="260" w:type="dxa"/>
              <w:bottom w:w="30" w:type="dxa"/>
              <w:right w:w="20" w:type="dxa"/>
            </w:tcMar>
            <w:vAlign w:val="bottom"/>
            <w:hideMark/>
          </w:tcPr>
          <w:p w14:paraId="344F57EE" w14:textId="77777777" w:rsidR="00000000" w:rsidRDefault="001D0688">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14:paraId="62ED0CF1"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B165E54" w14:textId="77777777" w:rsidR="00000000" w:rsidRDefault="001D0688">
            <w:pPr>
              <w:rPr>
                <w:rFonts w:eastAsia="Times New Roman"/>
              </w:rPr>
            </w:pPr>
            <w:r>
              <w:rPr>
                <w:rFonts w:ascii="Arial" w:eastAsia="Times New Roman" w:hAnsi="Arial" w:cs="Arial"/>
                <w:color w:val="000000"/>
                <w:sz w:val="20"/>
                <w:szCs w:val="20"/>
              </w:rPr>
              <w:t>Long-term lease liabilities</w:t>
            </w:r>
          </w:p>
        </w:tc>
        <w:tc>
          <w:tcPr>
            <w:tcW w:w="0" w:type="auto"/>
            <w:gridSpan w:val="3"/>
            <w:shd w:val="clear" w:color="auto" w:fill="DCE2EF"/>
            <w:tcMar>
              <w:top w:w="0" w:type="dxa"/>
              <w:left w:w="20" w:type="dxa"/>
              <w:bottom w:w="0" w:type="dxa"/>
              <w:right w:w="20" w:type="dxa"/>
            </w:tcMar>
            <w:vAlign w:val="center"/>
            <w:hideMark/>
          </w:tcPr>
          <w:p w14:paraId="642DA21E"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5B13E6D" w14:textId="77777777" w:rsidR="00000000" w:rsidRDefault="001D0688">
            <w:pPr>
              <w:jc w:val="right"/>
              <w:rPr>
                <w:rFonts w:eastAsia="Times New Roman"/>
              </w:rPr>
            </w:pPr>
            <w:r>
              <w:rPr>
                <w:rFonts w:ascii="Arial" w:eastAsia="Times New Roman" w:hAnsi="Arial" w:cs="Arial"/>
                <w:color w:val="000000"/>
                <w:sz w:val="20"/>
                <w:szCs w:val="20"/>
              </w:rPr>
              <w:t>131.4 </w:t>
            </w:r>
          </w:p>
        </w:tc>
        <w:tc>
          <w:tcPr>
            <w:tcW w:w="0" w:type="auto"/>
            <w:shd w:val="clear" w:color="auto" w:fill="DCE2EF"/>
            <w:tcMar>
              <w:top w:w="30" w:type="dxa"/>
              <w:left w:w="0" w:type="dxa"/>
              <w:bottom w:w="30" w:type="dxa"/>
              <w:right w:w="20" w:type="dxa"/>
            </w:tcMar>
            <w:vAlign w:val="bottom"/>
            <w:hideMark/>
          </w:tcPr>
          <w:p w14:paraId="3BB4BA28" w14:textId="77777777" w:rsidR="00000000" w:rsidRDefault="001D0688">
            <w:pPr>
              <w:jc w:val="right"/>
              <w:rPr>
                <w:rFonts w:eastAsia="Times New Roman"/>
              </w:rPr>
            </w:pPr>
          </w:p>
        </w:tc>
      </w:tr>
      <w:tr w:rsidR="00000000" w14:paraId="1693ED21" w14:textId="77777777">
        <w:trPr>
          <w:divId w:val="911089404"/>
        </w:trPr>
        <w:tc>
          <w:tcPr>
            <w:tcW w:w="0" w:type="auto"/>
            <w:gridSpan w:val="3"/>
            <w:shd w:val="clear" w:color="auto" w:fill="FFFFFF"/>
            <w:tcMar>
              <w:top w:w="30" w:type="dxa"/>
              <w:left w:w="260" w:type="dxa"/>
              <w:bottom w:w="30" w:type="dxa"/>
              <w:right w:w="20" w:type="dxa"/>
            </w:tcMar>
            <w:vAlign w:val="bottom"/>
            <w:hideMark/>
          </w:tcPr>
          <w:p w14:paraId="528EC0EC" w14:textId="77777777" w:rsidR="00000000" w:rsidRDefault="001D0688">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498C039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717F62" w14:textId="77777777" w:rsidR="00000000" w:rsidRDefault="001D0688">
            <w:pPr>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14:paraId="6C30A4CC"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2F09EB" w14:textId="77777777" w:rsidR="00000000" w:rsidRDefault="001D0688">
            <w:pPr>
              <w:jc w:val="right"/>
              <w:rPr>
                <w:rFonts w:eastAsia="Times New Roman"/>
              </w:rPr>
            </w:pPr>
            <w:r>
              <w:rPr>
                <w:rFonts w:ascii="Arial" w:eastAsia="Times New Roman" w:hAnsi="Arial" w:cs="Arial"/>
                <w:color w:val="000000"/>
                <w:sz w:val="20"/>
                <w:szCs w:val="20"/>
              </w:rPr>
              <w:t>2.8 </w:t>
            </w:r>
          </w:p>
        </w:tc>
        <w:tc>
          <w:tcPr>
            <w:tcW w:w="0" w:type="auto"/>
            <w:shd w:val="clear" w:color="auto" w:fill="FFFFFF"/>
            <w:tcMar>
              <w:top w:w="30" w:type="dxa"/>
              <w:left w:w="0" w:type="dxa"/>
              <w:bottom w:w="30" w:type="dxa"/>
              <w:right w:w="20" w:type="dxa"/>
            </w:tcMar>
            <w:vAlign w:val="bottom"/>
            <w:hideMark/>
          </w:tcPr>
          <w:p w14:paraId="249C2DC0" w14:textId="77777777" w:rsidR="00000000" w:rsidRDefault="001D0688">
            <w:pPr>
              <w:jc w:val="right"/>
              <w:rPr>
                <w:rFonts w:eastAsia="Times New Roman"/>
              </w:rPr>
            </w:pPr>
          </w:p>
        </w:tc>
      </w:tr>
      <w:tr w:rsidR="00000000" w14:paraId="20D32C53" w14:textId="77777777">
        <w:trPr>
          <w:divId w:val="911089404"/>
        </w:trPr>
        <w:tc>
          <w:tcPr>
            <w:tcW w:w="0" w:type="auto"/>
            <w:gridSpan w:val="3"/>
            <w:shd w:val="clear" w:color="auto" w:fill="DCE2EF"/>
            <w:tcMar>
              <w:top w:w="30" w:type="dxa"/>
              <w:left w:w="500" w:type="dxa"/>
              <w:bottom w:w="30" w:type="dxa"/>
              <w:right w:w="20" w:type="dxa"/>
            </w:tcMar>
            <w:vAlign w:val="bottom"/>
            <w:hideMark/>
          </w:tcPr>
          <w:p w14:paraId="43FCBE50" w14:textId="77777777" w:rsidR="00000000" w:rsidRDefault="001D0688">
            <w:pPr>
              <w:rPr>
                <w:rFonts w:eastAsia="Times New Roman"/>
              </w:rPr>
            </w:pPr>
            <w:r>
              <w:rPr>
                <w:rFonts w:ascii="Arial" w:eastAsia="Times New Roman" w:hAnsi="Arial" w:cs="Arial"/>
                <w:b/>
                <w:bCs/>
                <w:color w:val="000000"/>
                <w:sz w:val="20"/>
                <w:szCs w:val="20"/>
              </w:rPr>
              <w:t>Total lease liabilities</w:t>
            </w:r>
          </w:p>
        </w:tc>
        <w:tc>
          <w:tcPr>
            <w:tcW w:w="0" w:type="auto"/>
            <w:gridSpan w:val="3"/>
            <w:shd w:val="clear" w:color="auto" w:fill="DCE2EF"/>
            <w:tcMar>
              <w:top w:w="0" w:type="dxa"/>
              <w:left w:w="20" w:type="dxa"/>
              <w:bottom w:w="0" w:type="dxa"/>
              <w:right w:w="20" w:type="dxa"/>
            </w:tcMar>
            <w:vAlign w:val="center"/>
            <w:hideMark/>
          </w:tcPr>
          <w:p w14:paraId="521DED29"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201F8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8664B85" w14:textId="77777777" w:rsidR="00000000" w:rsidRDefault="001D0688">
            <w:pPr>
              <w:rPr>
                <w:rFonts w:eastAsia="Times New Roman"/>
                <w:sz w:val="20"/>
                <w:szCs w:val="20"/>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14:paraId="776C001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14:paraId="054D275D" w14:textId="77777777" w:rsidR="00000000" w:rsidRDefault="001D0688">
            <w:pPr>
              <w:jc w:val="right"/>
              <w:rPr>
                <w:rFonts w:eastAsia="Times New Roman"/>
              </w:rPr>
            </w:pPr>
            <w:r>
              <w:rPr>
                <w:rFonts w:ascii="Arial" w:eastAsia="Times New Roman" w:hAnsi="Arial" w:cs="Arial"/>
                <w:color w:val="000000"/>
                <w:sz w:val="20"/>
                <w:szCs w:val="20"/>
              </w:rPr>
              <w:t>171.4 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14:paraId="7BEBD18E" w14:textId="77777777" w:rsidR="00000000" w:rsidRDefault="001D0688">
            <w:pPr>
              <w:jc w:val="right"/>
              <w:rPr>
                <w:rFonts w:eastAsia="Times New Roman"/>
              </w:rPr>
            </w:pPr>
          </w:p>
        </w:tc>
      </w:tr>
    </w:tbl>
    <w:p w14:paraId="605829D1" w14:textId="77777777" w:rsidR="00000000" w:rsidRDefault="001D0688">
      <w:pPr>
        <w:ind w:hanging="180"/>
        <w:jc w:val="both"/>
        <w:divId w:val="94007083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Finance lease assets are recorded net of accumulated amortization of $13.6 million as of October 31, 2020. </w:t>
      </w:r>
    </w:p>
    <w:p w14:paraId="31492393" w14:textId="77777777" w:rsidR="00000000" w:rsidRDefault="001D0688">
      <w:pPr>
        <w:ind w:firstLine="720"/>
        <w:jc w:val="both"/>
        <w:divId w:val="386497580"/>
        <w:rPr>
          <w:rFonts w:eastAsia="Times New Roman"/>
        </w:rPr>
      </w:pPr>
      <w:r>
        <w:rPr>
          <w:rFonts w:ascii="Arial" w:eastAsia="Times New Roman" w:hAnsi="Arial" w:cs="Arial"/>
          <w:color w:val="000000"/>
          <w:sz w:val="20"/>
          <w:szCs w:val="20"/>
        </w:rPr>
        <w:t>Total lease costs for the year ended October 31, 2020 were $100.4 million, including operating leases of $96.4 million and finance leases of $4.0 mi</w:t>
      </w:r>
      <w:r>
        <w:rPr>
          <w:rFonts w:ascii="Arial" w:eastAsia="Times New Roman" w:hAnsi="Arial" w:cs="Arial"/>
          <w:color w:val="000000"/>
          <w:sz w:val="20"/>
          <w:szCs w:val="20"/>
        </w:rPr>
        <w:t>llion. The components of lease costs and classification within the Consolidated Statements of Comprehensive (Loss) Income were as follows: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6330"/>
        <w:gridCol w:w="38"/>
        <w:gridCol w:w="36"/>
        <w:gridCol w:w="36"/>
        <w:gridCol w:w="36"/>
        <w:gridCol w:w="133"/>
        <w:gridCol w:w="1619"/>
        <w:gridCol w:w="36"/>
      </w:tblGrid>
      <w:tr w:rsidR="00000000" w14:paraId="69523BEC" w14:textId="77777777">
        <w:trPr>
          <w:divId w:val="693651116"/>
        </w:trPr>
        <w:tc>
          <w:tcPr>
            <w:tcW w:w="50" w:type="pct"/>
            <w:vAlign w:val="center"/>
            <w:hideMark/>
          </w:tcPr>
          <w:p w14:paraId="5DE6806A" w14:textId="77777777" w:rsidR="00000000" w:rsidRDefault="001D0688">
            <w:pPr>
              <w:ind w:firstLine="720"/>
              <w:jc w:val="both"/>
              <w:rPr>
                <w:rFonts w:eastAsia="Times New Roman"/>
              </w:rPr>
            </w:pPr>
          </w:p>
        </w:tc>
        <w:tc>
          <w:tcPr>
            <w:tcW w:w="3833" w:type="pct"/>
            <w:vAlign w:val="center"/>
            <w:hideMark/>
          </w:tcPr>
          <w:p w14:paraId="6ED93D52" w14:textId="77777777" w:rsidR="00000000" w:rsidRDefault="001D0688">
            <w:pPr>
              <w:rPr>
                <w:rFonts w:eastAsia="Times New Roman"/>
                <w:sz w:val="20"/>
                <w:szCs w:val="20"/>
              </w:rPr>
            </w:pPr>
          </w:p>
        </w:tc>
        <w:tc>
          <w:tcPr>
            <w:tcW w:w="5" w:type="pct"/>
            <w:vAlign w:val="center"/>
            <w:hideMark/>
          </w:tcPr>
          <w:p w14:paraId="1F125253" w14:textId="77777777" w:rsidR="00000000" w:rsidRDefault="001D0688">
            <w:pPr>
              <w:rPr>
                <w:rFonts w:eastAsia="Times New Roman"/>
                <w:sz w:val="20"/>
                <w:szCs w:val="20"/>
              </w:rPr>
            </w:pPr>
          </w:p>
        </w:tc>
        <w:tc>
          <w:tcPr>
            <w:tcW w:w="5" w:type="pct"/>
            <w:vAlign w:val="center"/>
            <w:hideMark/>
          </w:tcPr>
          <w:p w14:paraId="1CED0469" w14:textId="77777777" w:rsidR="00000000" w:rsidRDefault="001D0688">
            <w:pPr>
              <w:rPr>
                <w:rFonts w:eastAsia="Times New Roman"/>
                <w:sz w:val="20"/>
                <w:szCs w:val="20"/>
              </w:rPr>
            </w:pPr>
          </w:p>
        </w:tc>
        <w:tc>
          <w:tcPr>
            <w:tcW w:w="26" w:type="pct"/>
            <w:vAlign w:val="center"/>
            <w:hideMark/>
          </w:tcPr>
          <w:p w14:paraId="4BCEE3D8" w14:textId="77777777" w:rsidR="00000000" w:rsidRDefault="001D0688">
            <w:pPr>
              <w:rPr>
                <w:rFonts w:eastAsia="Times New Roman"/>
                <w:sz w:val="20"/>
                <w:szCs w:val="20"/>
              </w:rPr>
            </w:pPr>
          </w:p>
        </w:tc>
        <w:tc>
          <w:tcPr>
            <w:tcW w:w="5" w:type="pct"/>
            <w:vAlign w:val="center"/>
            <w:hideMark/>
          </w:tcPr>
          <w:p w14:paraId="5B07BC0B" w14:textId="77777777" w:rsidR="00000000" w:rsidRDefault="001D0688">
            <w:pPr>
              <w:rPr>
                <w:rFonts w:eastAsia="Times New Roman"/>
                <w:sz w:val="20"/>
                <w:szCs w:val="20"/>
              </w:rPr>
            </w:pPr>
          </w:p>
        </w:tc>
        <w:tc>
          <w:tcPr>
            <w:tcW w:w="50" w:type="pct"/>
            <w:vAlign w:val="center"/>
            <w:hideMark/>
          </w:tcPr>
          <w:p w14:paraId="52C5E563" w14:textId="77777777" w:rsidR="00000000" w:rsidRDefault="001D0688">
            <w:pPr>
              <w:rPr>
                <w:rFonts w:eastAsia="Times New Roman"/>
                <w:sz w:val="20"/>
                <w:szCs w:val="20"/>
              </w:rPr>
            </w:pPr>
          </w:p>
        </w:tc>
        <w:tc>
          <w:tcPr>
            <w:tcW w:w="1019" w:type="pct"/>
            <w:vAlign w:val="center"/>
            <w:hideMark/>
          </w:tcPr>
          <w:p w14:paraId="0CFDD651" w14:textId="77777777" w:rsidR="00000000" w:rsidRDefault="001D0688">
            <w:pPr>
              <w:rPr>
                <w:rFonts w:eastAsia="Times New Roman"/>
                <w:sz w:val="20"/>
                <w:szCs w:val="20"/>
              </w:rPr>
            </w:pPr>
          </w:p>
        </w:tc>
        <w:tc>
          <w:tcPr>
            <w:tcW w:w="5" w:type="pct"/>
            <w:vAlign w:val="center"/>
            <w:hideMark/>
          </w:tcPr>
          <w:p w14:paraId="0113A29E" w14:textId="77777777" w:rsidR="00000000" w:rsidRDefault="001D0688">
            <w:pPr>
              <w:rPr>
                <w:rFonts w:eastAsia="Times New Roman"/>
                <w:sz w:val="20"/>
                <w:szCs w:val="20"/>
              </w:rPr>
            </w:pPr>
          </w:p>
        </w:tc>
      </w:tr>
      <w:tr w:rsidR="00000000" w14:paraId="43079003" w14:textId="77777777">
        <w:trPr>
          <w:divId w:val="693651116"/>
        </w:trPr>
        <w:tc>
          <w:tcPr>
            <w:tcW w:w="0" w:type="auto"/>
            <w:gridSpan w:val="3"/>
            <w:tcMar>
              <w:top w:w="30" w:type="dxa"/>
              <w:left w:w="20" w:type="dxa"/>
              <w:bottom w:w="30" w:type="dxa"/>
              <w:right w:w="20" w:type="dxa"/>
            </w:tcMar>
            <w:vAlign w:val="bottom"/>
            <w:hideMark/>
          </w:tcPr>
          <w:p w14:paraId="12D1B33E"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11D5FCAF"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594B9107" w14:textId="77777777" w:rsidR="00000000" w:rsidRDefault="001D0688">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2020</w:t>
            </w:r>
          </w:p>
        </w:tc>
      </w:tr>
      <w:tr w:rsidR="00000000" w14:paraId="08CA341B" w14:textId="77777777">
        <w:trPr>
          <w:divId w:val="693651116"/>
        </w:trPr>
        <w:tc>
          <w:tcPr>
            <w:tcW w:w="0" w:type="auto"/>
            <w:gridSpan w:val="3"/>
            <w:shd w:val="clear" w:color="auto" w:fill="DCE2EF"/>
            <w:tcMar>
              <w:top w:w="30" w:type="dxa"/>
              <w:left w:w="20" w:type="dxa"/>
              <w:bottom w:w="30" w:type="dxa"/>
              <w:right w:w="20" w:type="dxa"/>
            </w:tcMar>
            <w:vAlign w:val="bottom"/>
            <w:hideMark/>
          </w:tcPr>
          <w:p w14:paraId="142C8E19" w14:textId="77777777" w:rsidR="00000000" w:rsidRDefault="001D0688">
            <w:pPr>
              <w:rPr>
                <w:rFonts w:eastAsia="Times New Roman"/>
              </w:rPr>
            </w:pPr>
            <w:r>
              <w:rPr>
                <w:rFonts w:ascii="Arial" w:eastAsia="Times New Roman" w:hAnsi="Arial" w:cs="Arial"/>
                <w:color w:val="000000"/>
                <w:sz w:val="20"/>
                <w:szCs w:val="20"/>
              </w:rPr>
              <w:t>Operating lease costs:</w:t>
            </w:r>
          </w:p>
        </w:tc>
        <w:tc>
          <w:tcPr>
            <w:tcW w:w="0" w:type="auto"/>
            <w:gridSpan w:val="3"/>
            <w:shd w:val="clear" w:color="auto" w:fill="DCE2EF"/>
            <w:tcMar>
              <w:top w:w="0" w:type="dxa"/>
              <w:left w:w="20" w:type="dxa"/>
              <w:bottom w:w="0" w:type="dxa"/>
              <w:right w:w="20" w:type="dxa"/>
            </w:tcMar>
            <w:vAlign w:val="center"/>
            <w:hideMark/>
          </w:tcPr>
          <w:p w14:paraId="0C5401BE"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DD39365" w14:textId="77777777" w:rsidR="00000000" w:rsidRDefault="001D0688">
            <w:pPr>
              <w:rPr>
                <w:rFonts w:eastAsia="Times New Roman"/>
                <w:sz w:val="20"/>
                <w:szCs w:val="20"/>
              </w:rPr>
            </w:pPr>
          </w:p>
        </w:tc>
      </w:tr>
      <w:tr w:rsidR="00000000" w14:paraId="37CE1EC2" w14:textId="77777777">
        <w:trPr>
          <w:divId w:val="693651116"/>
        </w:trPr>
        <w:tc>
          <w:tcPr>
            <w:tcW w:w="0" w:type="auto"/>
            <w:gridSpan w:val="3"/>
            <w:shd w:val="clear" w:color="auto" w:fill="FFFFFF"/>
            <w:tcMar>
              <w:top w:w="30" w:type="dxa"/>
              <w:left w:w="20" w:type="dxa"/>
              <w:bottom w:w="30" w:type="dxa"/>
              <w:right w:w="20" w:type="dxa"/>
            </w:tcMar>
            <w:vAlign w:val="bottom"/>
            <w:hideMark/>
          </w:tcPr>
          <w:p w14:paraId="503D9BF1" w14:textId="77777777" w:rsidR="00000000" w:rsidRDefault="001D0688">
            <w:pPr>
              <w:divId w:val="1638756867"/>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69445DD"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61491CE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CE6C028" w14:textId="77777777" w:rsidR="00000000" w:rsidRDefault="001D0688">
            <w:pPr>
              <w:jc w:val="right"/>
              <w:rPr>
                <w:rFonts w:eastAsia="Times New Roman"/>
              </w:rPr>
            </w:pPr>
            <w:r>
              <w:rPr>
                <w:rFonts w:ascii="Arial" w:eastAsia="Times New Roman" w:hAnsi="Arial" w:cs="Arial"/>
                <w:color w:val="000000"/>
                <w:sz w:val="20"/>
                <w:szCs w:val="20"/>
              </w:rPr>
              <w:t>67.9 </w:t>
            </w:r>
          </w:p>
        </w:tc>
        <w:tc>
          <w:tcPr>
            <w:tcW w:w="0" w:type="auto"/>
            <w:shd w:val="clear" w:color="auto" w:fill="FFFFFF"/>
            <w:tcMar>
              <w:top w:w="30" w:type="dxa"/>
              <w:left w:w="0" w:type="dxa"/>
              <w:bottom w:w="30" w:type="dxa"/>
              <w:right w:w="20" w:type="dxa"/>
            </w:tcMar>
            <w:vAlign w:val="bottom"/>
            <w:hideMark/>
          </w:tcPr>
          <w:p w14:paraId="4B668A22" w14:textId="77777777" w:rsidR="00000000" w:rsidRDefault="001D0688">
            <w:pPr>
              <w:jc w:val="right"/>
              <w:rPr>
                <w:rFonts w:eastAsia="Times New Roman"/>
              </w:rPr>
            </w:pPr>
          </w:p>
        </w:tc>
      </w:tr>
      <w:tr w:rsidR="00000000" w14:paraId="45264FF5" w14:textId="77777777">
        <w:trPr>
          <w:divId w:val="693651116"/>
        </w:trPr>
        <w:tc>
          <w:tcPr>
            <w:tcW w:w="0" w:type="auto"/>
            <w:gridSpan w:val="3"/>
            <w:shd w:val="clear" w:color="auto" w:fill="DCE2EF"/>
            <w:tcMar>
              <w:top w:w="30" w:type="dxa"/>
              <w:left w:w="20" w:type="dxa"/>
              <w:bottom w:w="30" w:type="dxa"/>
              <w:right w:w="20" w:type="dxa"/>
            </w:tcMar>
            <w:vAlign w:val="bottom"/>
            <w:hideMark/>
          </w:tcPr>
          <w:p w14:paraId="797EBB3C" w14:textId="77777777" w:rsidR="00000000" w:rsidRDefault="001D0688">
            <w:pPr>
              <w:divId w:val="2068528885"/>
              <w:rPr>
                <w:rFonts w:eastAsia="Times New Roman"/>
              </w:rPr>
            </w:pP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0DE1E6EF"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E65154C" w14:textId="77777777" w:rsidR="00000000" w:rsidRDefault="001D0688">
            <w:pPr>
              <w:jc w:val="right"/>
              <w:rPr>
                <w:rFonts w:eastAsia="Times New Roman"/>
              </w:rPr>
            </w:pPr>
            <w:r>
              <w:rPr>
                <w:rFonts w:ascii="Arial" w:eastAsia="Times New Roman" w:hAnsi="Arial" w:cs="Arial"/>
                <w:color w:val="000000"/>
                <w:sz w:val="20"/>
                <w:szCs w:val="20"/>
              </w:rPr>
              <w:t>28.5 </w:t>
            </w:r>
          </w:p>
        </w:tc>
        <w:tc>
          <w:tcPr>
            <w:tcW w:w="0" w:type="auto"/>
            <w:shd w:val="clear" w:color="auto" w:fill="DCE2EF"/>
            <w:tcMar>
              <w:top w:w="30" w:type="dxa"/>
              <w:left w:w="0" w:type="dxa"/>
              <w:bottom w:w="30" w:type="dxa"/>
              <w:right w:w="20" w:type="dxa"/>
            </w:tcMar>
            <w:vAlign w:val="bottom"/>
            <w:hideMark/>
          </w:tcPr>
          <w:p w14:paraId="76EEE078" w14:textId="77777777" w:rsidR="00000000" w:rsidRDefault="001D0688">
            <w:pPr>
              <w:jc w:val="right"/>
              <w:rPr>
                <w:rFonts w:eastAsia="Times New Roman"/>
              </w:rPr>
            </w:pPr>
          </w:p>
        </w:tc>
      </w:tr>
      <w:tr w:rsidR="00000000" w14:paraId="6F1BB825" w14:textId="77777777">
        <w:trPr>
          <w:divId w:val="693651116"/>
        </w:trPr>
        <w:tc>
          <w:tcPr>
            <w:tcW w:w="0" w:type="auto"/>
            <w:gridSpan w:val="3"/>
            <w:shd w:val="clear" w:color="auto" w:fill="FFFFFF"/>
            <w:tcMar>
              <w:top w:w="30" w:type="dxa"/>
              <w:left w:w="20" w:type="dxa"/>
              <w:bottom w:w="30" w:type="dxa"/>
              <w:right w:w="20" w:type="dxa"/>
            </w:tcMar>
            <w:vAlign w:val="bottom"/>
            <w:hideMark/>
          </w:tcPr>
          <w:p w14:paraId="69D6474A" w14:textId="77777777" w:rsidR="00000000" w:rsidRDefault="001D0688">
            <w:pPr>
              <w:rPr>
                <w:rFonts w:eastAsia="Times New Roman"/>
              </w:rPr>
            </w:pPr>
            <w:r>
              <w:rPr>
                <w:rFonts w:ascii="Arial" w:eastAsia="Times New Roman" w:hAnsi="Arial" w:cs="Arial"/>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14:paraId="5C79C131"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55070" w14:textId="77777777" w:rsidR="00000000" w:rsidRDefault="001D0688">
            <w:pPr>
              <w:rPr>
                <w:rFonts w:eastAsia="Times New Roman"/>
                <w:sz w:val="20"/>
                <w:szCs w:val="20"/>
              </w:rPr>
            </w:pPr>
          </w:p>
        </w:tc>
      </w:tr>
      <w:tr w:rsidR="00000000" w14:paraId="691F4A2B" w14:textId="77777777">
        <w:trPr>
          <w:divId w:val="693651116"/>
        </w:trPr>
        <w:tc>
          <w:tcPr>
            <w:tcW w:w="0" w:type="auto"/>
            <w:gridSpan w:val="3"/>
            <w:shd w:val="clear" w:color="auto" w:fill="DCE2EF"/>
            <w:tcMar>
              <w:top w:w="30" w:type="dxa"/>
              <w:left w:w="20" w:type="dxa"/>
              <w:bottom w:w="30" w:type="dxa"/>
              <w:right w:w="20" w:type="dxa"/>
            </w:tcMar>
            <w:vAlign w:val="bottom"/>
            <w:hideMark/>
          </w:tcPr>
          <w:p w14:paraId="15744D05" w14:textId="77777777" w:rsidR="00000000" w:rsidRDefault="001D0688">
            <w:pPr>
              <w:divId w:val="1706368346"/>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29BB69BF"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5D48F51" w14:textId="77777777" w:rsidR="00000000" w:rsidRDefault="001D0688">
            <w:pPr>
              <w:jc w:val="right"/>
              <w:rPr>
                <w:rFonts w:eastAsia="Times New Roman"/>
              </w:rPr>
            </w:pPr>
            <w:r>
              <w:rPr>
                <w:rFonts w:ascii="Arial" w:eastAsia="Times New Roman" w:hAnsi="Arial" w:cs="Arial"/>
                <w:color w:val="000000"/>
                <w:sz w:val="20"/>
                <w:szCs w:val="20"/>
              </w:rPr>
              <w:t>3.5 </w:t>
            </w:r>
          </w:p>
        </w:tc>
        <w:tc>
          <w:tcPr>
            <w:tcW w:w="0" w:type="auto"/>
            <w:shd w:val="clear" w:color="auto" w:fill="DCE2EF"/>
            <w:tcMar>
              <w:top w:w="30" w:type="dxa"/>
              <w:left w:w="0" w:type="dxa"/>
              <w:bottom w:w="30" w:type="dxa"/>
              <w:right w:w="20" w:type="dxa"/>
            </w:tcMar>
            <w:vAlign w:val="bottom"/>
            <w:hideMark/>
          </w:tcPr>
          <w:p w14:paraId="168AE27B" w14:textId="77777777" w:rsidR="00000000" w:rsidRDefault="001D0688">
            <w:pPr>
              <w:jc w:val="right"/>
              <w:rPr>
                <w:rFonts w:eastAsia="Times New Roman"/>
              </w:rPr>
            </w:pPr>
          </w:p>
        </w:tc>
      </w:tr>
      <w:tr w:rsidR="00000000" w14:paraId="4D263D2C" w14:textId="77777777">
        <w:trPr>
          <w:divId w:val="693651116"/>
        </w:trPr>
        <w:tc>
          <w:tcPr>
            <w:tcW w:w="0" w:type="auto"/>
            <w:gridSpan w:val="3"/>
            <w:vAlign w:val="center"/>
            <w:hideMark/>
          </w:tcPr>
          <w:p w14:paraId="706D4A61" w14:textId="77777777" w:rsidR="00000000" w:rsidRDefault="001D0688">
            <w:pPr>
              <w:jc w:val="right"/>
              <w:rPr>
                <w:rFonts w:eastAsia="Times New Roman"/>
                <w:sz w:val="20"/>
                <w:szCs w:val="20"/>
              </w:rPr>
            </w:pPr>
          </w:p>
        </w:tc>
        <w:tc>
          <w:tcPr>
            <w:tcW w:w="0" w:type="auto"/>
            <w:gridSpan w:val="3"/>
            <w:vAlign w:val="center"/>
            <w:hideMark/>
          </w:tcPr>
          <w:p w14:paraId="2BCB679F" w14:textId="77777777" w:rsidR="00000000" w:rsidRDefault="001D0688">
            <w:pPr>
              <w:rPr>
                <w:rFonts w:eastAsia="Times New Roman"/>
                <w:sz w:val="20"/>
                <w:szCs w:val="20"/>
              </w:rPr>
            </w:pPr>
          </w:p>
        </w:tc>
        <w:tc>
          <w:tcPr>
            <w:tcW w:w="0" w:type="auto"/>
            <w:gridSpan w:val="3"/>
            <w:vAlign w:val="center"/>
            <w:hideMark/>
          </w:tcPr>
          <w:p w14:paraId="35530652" w14:textId="77777777" w:rsidR="00000000" w:rsidRDefault="001D0688">
            <w:pPr>
              <w:rPr>
                <w:rFonts w:eastAsia="Times New Roman"/>
                <w:sz w:val="20"/>
                <w:szCs w:val="20"/>
              </w:rPr>
            </w:pPr>
          </w:p>
        </w:tc>
      </w:tr>
      <w:tr w:rsidR="00000000" w14:paraId="1528699A" w14:textId="77777777">
        <w:trPr>
          <w:divId w:val="693651116"/>
        </w:trPr>
        <w:tc>
          <w:tcPr>
            <w:tcW w:w="0" w:type="auto"/>
            <w:gridSpan w:val="3"/>
            <w:shd w:val="clear" w:color="auto" w:fill="FFFFFF"/>
            <w:tcMar>
              <w:top w:w="30" w:type="dxa"/>
              <w:left w:w="20" w:type="dxa"/>
              <w:bottom w:w="30" w:type="dxa"/>
              <w:right w:w="20" w:type="dxa"/>
            </w:tcMar>
            <w:vAlign w:val="bottom"/>
            <w:hideMark/>
          </w:tcPr>
          <w:p w14:paraId="4F05A277" w14:textId="77777777" w:rsidR="00000000" w:rsidRDefault="001D0688">
            <w:pPr>
              <w:divId w:val="246967087"/>
              <w:rPr>
                <w:rFonts w:eastAsia="Times New Roman"/>
              </w:rPr>
            </w:pPr>
            <w:r>
              <w:rPr>
                <w:rFonts w:ascii="Arial" w:eastAsia="Times New Roman" w:hAnsi="Arial" w:cs="Arial"/>
                <w:color w:val="000000"/>
                <w:sz w:val="20"/>
                <w:szCs w:val="20"/>
              </w:rPr>
              <w:t>Interest expens</w:t>
            </w:r>
            <w:r>
              <w:rPr>
                <w:rFonts w:ascii="Arial" w:eastAsia="Times New Roman" w:hAnsi="Arial" w:cs="Arial"/>
                <w:color w:val="000000"/>
                <w:sz w:val="20"/>
                <w:szCs w:val="20"/>
              </w:rPr>
              <w:t>e</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6369523"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041464" w14:textId="77777777" w:rsidR="00000000" w:rsidRDefault="001D0688">
            <w:pPr>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14:paraId="128F0E68" w14:textId="77777777" w:rsidR="00000000" w:rsidRDefault="001D0688">
            <w:pPr>
              <w:jc w:val="right"/>
              <w:rPr>
                <w:rFonts w:eastAsia="Times New Roman"/>
              </w:rPr>
            </w:pPr>
          </w:p>
        </w:tc>
      </w:tr>
      <w:tr w:rsidR="00000000" w14:paraId="78A38B01" w14:textId="77777777">
        <w:trPr>
          <w:divId w:val="693651116"/>
        </w:trPr>
        <w:tc>
          <w:tcPr>
            <w:tcW w:w="0" w:type="auto"/>
            <w:gridSpan w:val="3"/>
            <w:shd w:val="clear" w:color="auto" w:fill="DCE2EF"/>
            <w:tcMar>
              <w:top w:w="30" w:type="dxa"/>
              <w:left w:w="500" w:type="dxa"/>
              <w:bottom w:w="30" w:type="dxa"/>
              <w:right w:w="20" w:type="dxa"/>
            </w:tcMar>
            <w:vAlign w:val="bottom"/>
            <w:hideMark/>
          </w:tcPr>
          <w:p w14:paraId="4A67E6CD" w14:textId="77777777" w:rsidR="00000000" w:rsidRDefault="001D0688">
            <w:pPr>
              <w:rPr>
                <w:rFonts w:eastAsia="Times New Roman"/>
              </w:rPr>
            </w:pPr>
            <w:r>
              <w:rPr>
                <w:rFonts w:ascii="Arial" w:eastAsia="Times New Roman" w:hAnsi="Arial" w:cs="Arial"/>
                <w:b/>
                <w:bCs/>
                <w:color w:val="000000"/>
                <w:sz w:val="20"/>
                <w:szCs w:val="20"/>
              </w:rPr>
              <w:t>Total lease costs</w:t>
            </w:r>
          </w:p>
        </w:tc>
        <w:tc>
          <w:tcPr>
            <w:tcW w:w="0" w:type="auto"/>
            <w:gridSpan w:val="3"/>
            <w:shd w:val="clear" w:color="auto" w:fill="DCE2EF"/>
            <w:tcMar>
              <w:top w:w="0" w:type="dxa"/>
              <w:left w:w="20" w:type="dxa"/>
              <w:bottom w:w="0" w:type="dxa"/>
              <w:right w:w="20" w:type="dxa"/>
            </w:tcMar>
            <w:vAlign w:val="center"/>
            <w:hideMark/>
          </w:tcPr>
          <w:p w14:paraId="0F0E269C" w14:textId="77777777" w:rsidR="00000000" w:rsidRDefault="001D0688">
            <w:pPr>
              <w:rPr>
                <w:rFonts w:eastAsia="Times New Roman"/>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14:paraId="2CEBE3D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14:paraId="7091BA80" w14:textId="77777777" w:rsidR="00000000" w:rsidRDefault="001D0688">
            <w:pPr>
              <w:jc w:val="right"/>
              <w:rPr>
                <w:rFonts w:eastAsia="Times New Roman"/>
              </w:rPr>
            </w:pPr>
            <w:r>
              <w:rPr>
                <w:rFonts w:ascii="Arial" w:eastAsia="Times New Roman" w:hAnsi="Arial" w:cs="Arial"/>
                <w:color w:val="000000"/>
                <w:sz w:val="20"/>
                <w:szCs w:val="20"/>
              </w:rPr>
              <w:t>100.4 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14:paraId="21ACAE32" w14:textId="77777777" w:rsidR="00000000" w:rsidRDefault="001D0688">
            <w:pPr>
              <w:jc w:val="right"/>
              <w:rPr>
                <w:rFonts w:eastAsia="Times New Roman"/>
              </w:rPr>
            </w:pPr>
          </w:p>
        </w:tc>
      </w:tr>
    </w:tbl>
    <w:p w14:paraId="35189336" w14:textId="77777777" w:rsidR="00000000" w:rsidRDefault="001D0688">
      <w:pPr>
        <w:ind w:hanging="180"/>
        <w:jc w:val="both"/>
        <w:divId w:val="125694087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Related to certain parking arrangements.</w:t>
      </w:r>
    </w:p>
    <w:p w14:paraId="0AD43D30" w14:textId="77777777" w:rsidR="00000000" w:rsidRDefault="001D0688">
      <w:pPr>
        <w:ind w:hanging="180"/>
        <w:jc w:val="both"/>
        <w:divId w:val="15769691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 and variable lease costs. </w:t>
      </w:r>
    </w:p>
    <w:p w14:paraId="0B3C0141" w14:textId="77777777" w:rsidR="00000000" w:rsidRDefault="001D0688">
      <w:pPr>
        <w:ind w:hanging="180"/>
        <w:jc w:val="both"/>
        <w:divId w:val="1324619"/>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w:t>
      </w:r>
    </w:p>
    <w:p w14:paraId="1808D18A" w14:textId="77777777" w:rsidR="00000000" w:rsidRDefault="001D0688">
      <w:pPr>
        <w:ind w:hanging="180"/>
        <w:jc w:val="both"/>
        <w:divId w:val="2052610683"/>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amortization of leased assets.</w:t>
      </w:r>
    </w:p>
    <w:p w14:paraId="255B5415" w14:textId="77777777" w:rsidR="00000000" w:rsidRDefault="001D0688">
      <w:pPr>
        <w:ind w:hanging="180"/>
        <w:jc w:val="both"/>
        <w:divId w:val="1095326350"/>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Interest on lease liabilities.</w:t>
      </w:r>
    </w:p>
    <w:p w14:paraId="3BB55EE7" w14:textId="77777777" w:rsidR="00000000" w:rsidRDefault="001D0688">
      <w:pPr>
        <w:ind w:firstLine="720"/>
        <w:jc w:val="both"/>
        <w:divId w:val="329913982"/>
        <w:rPr>
          <w:rFonts w:eastAsia="Times New Roman"/>
        </w:rPr>
      </w:pPr>
      <w:r>
        <w:rPr>
          <w:rFonts w:ascii="Arial" w:eastAsia="Times New Roman" w:hAnsi="Arial" w:cs="Arial"/>
          <w:color w:val="000000"/>
          <w:sz w:val="20"/>
          <w:szCs w:val="20"/>
        </w:rPr>
        <w:t>The following table presents i</w:t>
      </w:r>
      <w:r>
        <w:rPr>
          <w:rFonts w:ascii="Arial" w:eastAsia="Times New Roman" w:hAnsi="Arial" w:cs="Arial"/>
          <w:color w:val="000000"/>
          <w:sz w:val="20"/>
          <w:szCs w:val="20"/>
        </w:rPr>
        <w:t>nformation on short-term and variable lease costs:</w:t>
      </w:r>
    </w:p>
    <w:tbl>
      <w:tblPr>
        <w:tblW w:w="5000" w:type="pct"/>
        <w:tblCellMar>
          <w:top w:w="15" w:type="dxa"/>
          <w:left w:w="15" w:type="dxa"/>
          <w:bottom w:w="15" w:type="dxa"/>
          <w:right w:w="15" w:type="dxa"/>
        </w:tblCellMar>
        <w:tblLook w:val="04A0" w:firstRow="1" w:lastRow="0" w:firstColumn="1" w:lastColumn="0" w:noHBand="0" w:noVBand="1"/>
      </w:tblPr>
      <w:tblGrid>
        <w:gridCol w:w="42"/>
        <w:gridCol w:w="6330"/>
        <w:gridCol w:w="37"/>
        <w:gridCol w:w="36"/>
        <w:gridCol w:w="36"/>
        <w:gridCol w:w="36"/>
        <w:gridCol w:w="133"/>
        <w:gridCol w:w="1620"/>
        <w:gridCol w:w="36"/>
      </w:tblGrid>
      <w:tr w:rsidR="00000000" w14:paraId="3621BA57" w14:textId="77777777">
        <w:trPr>
          <w:divId w:val="946540773"/>
        </w:trPr>
        <w:tc>
          <w:tcPr>
            <w:tcW w:w="50" w:type="pct"/>
            <w:vAlign w:val="center"/>
            <w:hideMark/>
          </w:tcPr>
          <w:p w14:paraId="3806A361" w14:textId="77777777" w:rsidR="00000000" w:rsidRDefault="001D0688">
            <w:pPr>
              <w:ind w:firstLine="720"/>
              <w:jc w:val="both"/>
              <w:rPr>
                <w:rFonts w:eastAsia="Times New Roman"/>
              </w:rPr>
            </w:pPr>
          </w:p>
        </w:tc>
        <w:tc>
          <w:tcPr>
            <w:tcW w:w="3833" w:type="pct"/>
            <w:vAlign w:val="center"/>
            <w:hideMark/>
          </w:tcPr>
          <w:p w14:paraId="71B68372" w14:textId="77777777" w:rsidR="00000000" w:rsidRDefault="001D0688">
            <w:pPr>
              <w:rPr>
                <w:rFonts w:eastAsia="Times New Roman"/>
                <w:sz w:val="20"/>
                <w:szCs w:val="20"/>
              </w:rPr>
            </w:pPr>
          </w:p>
        </w:tc>
        <w:tc>
          <w:tcPr>
            <w:tcW w:w="5" w:type="pct"/>
            <w:vAlign w:val="center"/>
            <w:hideMark/>
          </w:tcPr>
          <w:p w14:paraId="01DDA9FF" w14:textId="77777777" w:rsidR="00000000" w:rsidRDefault="001D0688">
            <w:pPr>
              <w:rPr>
                <w:rFonts w:eastAsia="Times New Roman"/>
                <w:sz w:val="20"/>
                <w:szCs w:val="20"/>
              </w:rPr>
            </w:pPr>
          </w:p>
        </w:tc>
        <w:tc>
          <w:tcPr>
            <w:tcW w:w="5" w:type="pct"/>
            <w:vAlign w:val="center"/>
            <w:hideMark/>
          </w:tcPr>
          <w:p w14:paraId="2FCF5F99" w14:textId="77777777" w:rsidR="00000000" w:rsidRDefault="001D0688">
            <w:pPr>
              <w:rPr>
                <w:rFonts w:eastAsia="Times New Roman"/>
                <w:sz w:val="20"/>
                <w:szCs w:val="20"/>
              </w:rPr>
            </w:pPr>
          </w:p>
        </w:tc>
        <w:tc>
          <w:tcPr>
            <w:tcW w:w="26" w:type="pct"/>
            <w:vAlign w:val="center"/>
            <w:hideMark/>
          </w:tcPr>
          <w:p w14:paraId="419340C2" w14:textId="77777777" w:rsidR="00000000" w:rsidRDefault="001D0688">
            <w:pPr>
              <w:rPr>
                <w:rFonts w:eastAsia="Times New Roman"/>
                <w:sz w:val="20"/>
                <w:szCs w:val="20"/>
              </w:rPr>
            </w:pPr>
          </w:p>
        </w:tc>
        <w:tc>
          <w:tcPr>
            <w:tcW w:w="5" w:type="pct"/>
            <w:vAlign w:val="center"/>
            <w:hideMark/>
          </w:tcPr>
          <w:p w14:paraId="49282A98" w14:textId="77777777" w:rsidR="00000000" w:rsidRDefault="001D0688">
            <w:pPr>
              <w:rPr>
                <w:rFonts w:eastAsia="Times New Roman"/>
                <w:sz w:val="20"/>
                <w:szCs w:val="20"/>
              </w:rPr>
            </w:pPr>
          </w:p>
        </w:tc>
        <w:tc>
          <w:tcPr>
            <w:tcW w:w="50" w:type="pct"/>
            <w:vAlign w:val="center"/>
            <w:hideMark/>
          </w:tcPr>
          <w:p w14:paraId="24F6D413" w14:textId="77777777" w:rsidR="00000000" w:rsidRDefault="001D0688">
            <w:pPr>
              <w:rPr>
                <w:rFonts w:eastAsia="Times New Roman"/>
                <w:sz w:val="20"/>
                <w:szCs w:val="20"/>
              </w:rPr>
            </w:pPr>
          </w:p>
        </w:tc>
        <w:tc>
          <w:tcPr>
            <w:tcW w:w="1019" w:type="pct"/>
            <w:vAlign w:val="center"/>
            <w:hideMark/>
          </w:tcPr>
          <w:p w14:paraId="2C32A1FD" w14:textId="77777777" w:rsidR="00000000" w:rsidRDefault="001D0688">
            <w:pPr>
              <w:rPr>
                <w:rFonts w:eastAsia="Times New Roman"/>
                <w:sz w:val="20"/>
                <w:szCs w:val="20"/>
              </w:rPr>
            </w:pPr>
          </w:p>
        </w:tc>
        <w:tc>
          <w:tcPr>
            <w:tcW w:w="5" w:type="pct"/>
            <w:vAlign w:val="center"/>
            <w:hideMark/>
          </w:tcPr>
          <w:p w14:paraId="2D7D2C85" w14:textId="77777777" w:rsidR="00000000" w:rsidRDefault="001D0688">
            <w:pPr>
              <w:rPr>
                <w:rFonts w:eastAsia="Times New Roman"/>
                <w:sz w:val="20"/>
                <w:szCs w:val="20"/>
              </w:rPr>
            </w:pPr>
          </w:p>
        </w:tc>
      </w:tr>
      <w:tr w:rsidR="00000000" w14:paraId="5C835617" w14:textId="77777777">
        <w:trPr>
          <w:divId w:val="946540773"/>
        </w:trPr>
        <w:tc>
          <w:tcPr>
            <w:tcW w:w="0" w:type="auto"/>
            <w:gridSpan w:val="3"/>
            <w:tcMar>
              <w:top w:w="30" w:type="dxa"/>
              <w:left w:w="20" w:type="dxa"/>
              <w:bottom w:w="30" w:type="dxa"/>
              <w:right w:w="20" w:type="dxa"/>
            </w:tcMar>
            <w:vAlign w:val="bottom"/>
            <w:hideMark/>
          </w:tcPr>
          <w:p w14:paraId="46F67525"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7F8E89A"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230045D2" w14:textId="77777777" w:rsidR="00000000" w:rsidRDefault="001D0688">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2020</w:t>
            </w:r>
          </w:p>
        </w:tc>
      </w:tr>
      <w:tr w:rsidR="00000000" w14:paraId="193CEB98" w14:textId="77777777">
        <w:trPr>
          <w:divId w:val="946540773"/>
        </w:trPr>
        <w:tc>
          <w:tcPr>
            <w:tcW w:w="0" w:type="auto"/>
            <w:gridSpan w:val="3"/>
            <w:shd w:val="clear" w:color="auto" w:fill="DCE2EF"/>
            <w:tcMar>
              <w:top w:w="30" w:type="dxa"/>
              <w:left w:w="20" w:type="dxa"/>
              <w:bottom w:w="30" w:type="dxa"/>
              <w:right w:w="20" w:type="dxa"/>
            </w:tcMar>
            <w:vAlign w:val="bottom"/>
            <w:hideMark/>
          </w:tcPr>
          <w:p w14:paraId="358A912A" w14:textId="77777777" w:rsidR="00000000" w:rsidRDefault="001D0688">
            <w:pPr>
              <w:rPr>
                <w:rFonts w:eastAsia="Times New Roman"/>
              </w:rPr>
            </w:pPr>
            <w:r>
              <w:rPr>
                <w:rFonts w:ascii="Arial" w:eastAsia="Times New Roman" w:hAnsi="Arial" w:cs="Arial"/>
                <w:color w:val="000000"/>
                <w:sz w:val="20"/>
                <w:szCs w:val="20"/>
              </w:rPr>
              <w:t>Short-term lease costs</w:t>
            </w:r>
          </w:p>
        </w:tc>
        <w:tc>
          <w:tcPr>
            <w:tcW w:w="0" w:type="auto"/>
            <w:gridSpan w:val="3"/>
            <w:shd w:val="clear" w:color="auto" w:fill="DCE2EF"/>
            <w:tcMar>
              <w:top w:w="0" w:type="dxa"/>
              <w:left w:w="20" w:type="dxa"/>
              <w:bottom w:w="0" w:type="dxa"/>
              <w:right w:w="20" w:type="dxa"/>
            </w:tcMar>
            <w:vAlign w:val="center"/>
            <w:hideMark/>
          </w:tcPr>
          <w:p w14:paraId="1FEFC5D0"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C846FF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FC82170" w14:textId="77777777" w:rsidR="00000000" w:rsidRDefault="001D0688">
            <w:pPr>
              <w:jc w:val="right"/>
              <w:rPr>
                <w:rFonts w:eastAsia="Times New Roman"/>
              </w:rPr>
            </w:pPr>
            <w:r>
              <w:rPr>
                <w:rFonts w:ascii="Arial" w:eastAsia="Times New Roman" w:hAnsi="Arial" w:cs="Arial"/>
                <w:color w:val="000000"/>
                <w:sz w:val="20"/>
                <w:szCs w:val="20"/>
              </w:rPr>
              <w:t>47.0 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BB77CD7" w14:textId="77777777" w:rsidR="00000000" w:rsidRDefault="001D0688">
            <w:pPr>
              <w:jc w:val="right"/>
              <w:rPr>
                <w:rFonts w:eastAsia="Times New Roman"/>
              </w:rPr>
            </w:pPr>
          </w:p>
        </w:tc>
      </w:tr>
      <w:tr w:rsidR="00000000" w14:paraId="5CFAC4FD" w14:textId="77777777">
        <w:trPr>
          <w:divId w:val="946540773"/>
        </w:trPr>
        <w:tc>
          <w:tcPr>
            <w:tcW w:w="0" w:type="auto"/>
            <w:gridSpan w:val="3"/>
            <w:shd w:val="clear" w:color="auto" w:fill="FFFFFF"/>
            <w:tcMar>
              <w:top w:w="30" w:type="dxa"/>
              <w:left w:w="20" w:type="dxa"/>
              <w:bottom w:w="30" w:type="dxa"/>
              <w:right w:w="20" w:type="dxa"/>
            </w:tcMar>
            <w:hideMark/>
          </w:tcPr>
          <w:p w14:paraId="5126F57E" w14:textId="77777777" w:rsidR="00000000" w:rsidRDefault="001D0688">
            <w:pPr>
              <w:rPr>
                <w:rFonts w:eastAsia="Times New Roman"/>
              </w:rPr>
            </w:pPr>
            <w:r>
              <w:rPr>
                <w:rFonts w:ascii="Arial" w:eastAsia="Times New Roman" w:hAnsi="Arial" w:cs="Arial"/>
                <w:color w:val="000000"/>
                <w:sz w:val="20"/>
                <w:szCs w:val="20"/>
              </w:rPr>
              <w:t>Variable lease costs</w:t>
            </w:r>
          </w:p>
        </w:tc>
        <w:tc>
          <w:tcPr>
            <w:tcW w:w="0" w:type="auto"/>
            <w:gridSpan w:val="3"/>
            <w:shd w:val="clear" w:color="auto" w:fill="FFFFFF"/>
            <w:tcMar>
              <w:top w:w="0" w:type="dxa"/>
              <w:left w:w="20" w:type="dxa"/>
              <w:bottom w:w="0" w:type="dxa"/>
              <w:right w:w="20" w:type="dxa"/>
            </w:tcMar>
            <w:vAlign w:val="center"/>
            <w:hideMark/>
          </w:tcPr>
          <w:p w14:paraId="5EA4C35B"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E75911" w14:textId="77777777" w:rsidR="00000000" w:rsidRDefault="001D0688">
            <w:pPr>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14:paraId="5350C74D" w14:textId="77777777" w:rsidR="00000000" w:rsidRDefault="001D0688">
            <w:pPr>
              <w:jc w:val="right"/>
              <w:rPr>
                <w:rFonts w:eastAsia="Times New Roman"/>
              </w:rPr>
            </w:pPr>
          </w:p>
        </w:tc>
      </w:tr>
      <w:tr w:rsidR="00000000" w14:paraId="50654847" w14:textId="77777777">
        <w:trPr>
          <w:divId w:val="946540773"/>
        </w:trPr>
        <w:tc>
          <w:tcPr>
            <w:tcW w:w="0" w:type="auto"/>
            <w:gridSpan w:val="3"/>
            <w:shd w:val="clear" w:color="auto" w:fill="DCE2EF"/>
            <w:tcMar>
              <w:top w:w="30" w:type="dxa"/>
              <w:left w:w="20" w:type="dxa"/>
              <w:bottom w:w="30" w:type="dxa"/>
              <w:right w:w="20" w:type="dxa"/>
            </w:tcMar>
            <w:vAlign w:val="bottom"/>
            <w:hideMark/>
          </w:tcPr>
          <w:p w14:paraId="1B640CF5" w14:textId="77777777" w:rsidR="00000000" w:rsidRDefault="001D0688">
            <w:pPr>
              <w:rPr>
                <w:rFonts w:eastAsia="Times New Roman"/>
              </w:rPr>
            </w:pPr>
            <w:r>
              <w:rPr>
                <w:rFonts w:ascii="Arial" w:eastAsia="Times New Roman" w:hAnsi="Arial" w:cs="Arial"/>
                <w:b/>
                <w:bCs/>
                <w:color w:val="000000"/>
                <w:sz w:val="20"/>
                <w:szCs w:val="20"/>
              </w:rPr>
              <w:t>Total short-term and variable lease costs</w:t>
            </w:r>
          </w:p>
        </w:tc>
        <w:tc>
          <w:tcPr>
            <w:tcW w:w="0" w:type="auto"/>
            <w:gridSpan w:val="3"/>
            <w:shd w:val="clear" w:color="auto" w:fill="DCE2EF"/>
            <w:tcMar>
              <w:top w:w="0" w:type="dxa"/>
              <w:left w:w="20" w:type="dxa"/>
              <w:bottom w:w="0" w:type="dxa"/>
              <w:right w:w="20" w:type="dxa"/>
            </w:tcMar>
            <w:vAlign w:val="center"/>
            <w:hideMark/>
          </w:tcPr>
          <w:p w14:paraId="6851CDD2" w14:textId="77777777" w:rsidR="00000000" w:rsidRDefault="001D0688">
            <w:pPr>
              <w:rPr>
                <w:rFonts w:eastAsia="Times New Roman"/>
              </w:rPr>
            </w:pPr>
          </w:p>
        </w:tc>
        <w:tc>
          <w:tcPr>
            <w:tcW w:w="0" w:type="auto"/>
            <w:tcBorders>
              <w:top w:val="single" w:sz="8" w:space="0" w:color="000000"/>
              <w:bottom w:val="single" w:sz="8" w:space="0" w:color="000000"/>
            </w:tcBorders>
            <w:shd w:val="clear" w:color="auto" w:fill="DCE2EF"/>
            <w:tcMar>
              <w:top w:w="30" w:type="dxa"/>
              <w:left w:w="20" w:type="dxa"/>
              <w:bottom w:w="30" w:type="dxa"/>
              <w:right w:w="0" w:type="dxa"/>
            </w:tcMar>
            <w:vAlign w:val="bottom"/>
            <w:hideMark/>
          </w:tcPr>
          <w:p w14:paraId="2551E1A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single" w:sz="8" w:space="0" w:color="000000"/>
            </w:tcBorders>
            <w:shd w:val="clear" w:color="auto" w:fill="DCE2EF"/>
            <w:tcMar>
              <w:top w:w="30" w:type="dxa"/>
              <w:left w:w="0" w:type="dxa"/>
              <w:bottom w:w="30" w:type="dxa"/>
              <w:right w:w="0" w:type="dxa"/>
            </w:tcMar>
            <w:vAlign w:val="bottom"/>
            <w:hideMark/>
          </w:tcPr>
          <w:p w14:paraId="514BBBBB" w14:textId="77777777" w:rsidR="00000000" w:rsidRDefault="001D0688">
            <w:pPr>
              <w:jc w:val="right"/>
              <w:rPr>
                <w:rFonts w:eastAsia="Times New Roman"/>
              </w:rPr>
            </w:pPr>
            <w:r>
              <w:rPr>
                <w:rFonts w:ascii="Arial" w:eastAsia="Times New Roman" w:hAnsi="Arial" w:cs="Arial"/>
                <w:color w:val="000000"/>
                <w:sz w:val="20"/>
                <w:szCs w:val="20"/>
              </w:rPr>
              <w:t>50.5 </w:t>
            </w:r>
          </w:p>
        </w:tc>
        <w:tc>
          <w:tcPr>
            <w:tcW w:w="0" w:type="auto"/>
            <w:tcBorders>
              <w:top w:val="single" w:sz="8" w:space="0" w:color="000000"/>
              <w:bottom w:val="single" w:sz="8" w:space="0" w:color="000000"/>
            </w:tcBorders>
            <w:shd w:val="clear" w:color="auto" w:fill="DCE2EF"/>
            <w:tcMar>
              <w:top w:w="30" w:type="dxa"/>
              <w:left w:w="0" w:type="dxa"/>
              <w:bottom w:w="30" w:type="dxa"/>
              <w:right w:w="20" w:type="dxa"/>
            </w:tcMar>
            <w:vAlign w:val="bottom"/>
            <w:hideMark/>
          </w:tcPr>
          <w:p w14:paraId="616DE7DF" w14:textId="77777777" w:rsidR="00000000" w:rsidRDefault="001D0688">
            <w:pPr>
              <w:jc w:val="right"/>
              <w:rPr>
                <w:rFonts w:eastAsia="Times New Roman"/>
              </w:rPr>
            </w:pPr>
          </w:p>
        </w:tc>
      </w:tr>
    </w:tbl>
    <w:p w14:paraId="5892A5B5" w14:textId="77777777" w:rsidR="00000000" w:rsidRDefault="001D0688">
      <w:pPr>
        <w:jc w:val="center"/>
        <w:divId w:val="656541542"/>
        <w:rPr>
          <w:rFonts w:eastAsia="Times New Roman"/>
        </w:rPr>
      </w:pPr>
      <w:r>
        <w:rPr>
          <w:rFonts w:ascii="Arial" w:eastAsia="Times New Roman" w:hAnsi="Arial" w:cs="Arial"/>
          <w:color w:val="000000"/>
          <w:sz w:val="20"/>
          <w:szCs w:val="20"/>
        </w:rPr>
        <w:t>70</w:t>
      </w:r>
    </w:p>
    <w:p w14:paraId="0CEBE966" w14:textId="77777777" w:rsidR="00000000" w:rsidRDefault="001D0688">
      <w:pPr>
        <w:rPr>
          <w:rFonts w:eastAsia="Times New Roman"/>
        </w:rPr>
      </w:pPr>
      <w:r>
        <w:rPr>
          <w:rFonts w:eastAsia="Times New Roman"/>
        </w:rPr>
        <w:pict w14:anchorId="5A0C8507">
          <v:rect id="_x0000_i1107" style="width:0;height:1.5pt" o:hralign="center" o:hrstd="t" o:hr="t" fillcolor="#a0a0a0" stroked="f"/>
        </w:pict>
      </w:r>
    </w:p>
    <w:p w14:paraId="51659CF6" w14:textId="77777777" w:rsidR="00000000" w:rsidRDefault="001D0688">
      <w:pPr>
        <w:divId w:val="1469349580"/>
        <w:rPr>
          <w:rFonts w:eastAsia="Times New Roman"/>
        </w:rPr>
      </w:pPr>
    </w:p>
    <w:p w14:paraId="424357F8" w14:textId="77777777" w:rsidR="00000000" w:rsidRDefault="001D0688">
      <w:pPr>
        <w:ind w:firstLine="720"/>
        <w:jc w:val="both"/>
        <w:divId w:val="1053164648"/>
        <w:rPr>
          <w:rFonts w:eastAsia="Times New Roman"/>
        </w:rPr>
      </w:pPr>
      <w:r>
        <w:rPr>
          <w:rFonts w:ascii="Arial" w:eastAsia="Times New Roman" w:hAnsi="Arial" w:cs="Arial"/>
          <w:color w:val="000000"/>
          <w:sz w:val="20"/>
          <w:szCs w:val="20"/>
        </w:rPr>
        <w:t>Sublease income generated during the year ended October </w:t>
      </w:r>
      <w:r>
        <w:rPr>
          <w:rFonts w:ascii="Arial" w:eastAsia="Times New Roman" w:hAnsi="Arial" w:cs="Arial"/>
          <w:color w:val="000000"/>
          <w:sz w:val="20"/>
          <w:szCs w:val="20"/>
        </w:rPr>
        <w:t>31, 2020 was immaterial. We continue to monitor the impact of the Pandemic on our subleases; however, we do not expect a significant impact.</w:t>
      </w:r>
    </w:p>
    <w:p w14:paraId="2C928D53" w14:textId="77777777" w:rsidR="00000000" w:rsidRDefault="001D0688">
      <w:pPr>
        <w:ind w:firstLine="720"/>
        <w:jc w:val="both"/>
        <w:divId w:val="139083846"/>
        <w:rPr>
          <w:rFonts w:eastAsia="Times New Roman"/>
        </w:rPr>
      </w:pPr>
      <w:r>
        <w:rPr>
          <w:rFonts w:ascii="Arial" w:eastAsia="Times New Roman" w:hAnsi="Arial" w:cs="Arial"/>
          <w:color w:val="000000"/>
          <w:sz w:val="20"/>
          <w:szCs w:val="20"/>
        </w:rPr>
        <w:t>The amounts of future undiscounted cash flows related to the lease payments over the lease terms and the reconcilia</w:t>
      </w:r>
      <w:r>
        <w:rPr>
          <w:rFonts w:ascii="Arial" w:eastAsia="Times New Roman" w:hAnsi="Arial" w:cs="Arial"/>
          <w:color w:val="000000"/>
          <w:sz w:val="20"/>
          <w:szCs w:val="20"/>
        </w:rPr>
        <w:t>tion to the present value of the lease liabilities as recorded on our Consolidated Balance Sheets as of October 31,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583"/>
        <w:gridCol w:w="37"/>
        <w:gridCol w:w="36"/>
        <w:gridCol w:w="36"/>
        <w:gridCol w:w="36"/>
        <w:gridCol w:w="133"/>
        <w:gridCol w:w="1606"/>
        <w:gridCol w:w="36"/>
        <w:gridCol w:w="36"/>
        <w:gridCol w:w="36"/>
        <w:gridCol w:w="36"/>
        <w:gridCol w:w="133"/>
        <w:gridCol w:w="1606"/>
        <w:gridCol w:w="36"/>
        <w:gridCol w:w="36"/>
        <w:gridCol w:w="36"/>
        <w:gridCol w:w="36"/>
        <w:gridCol w:w="132"/>
        <w:gridCol w:w="1606"/>
        <w:gridCol w:w="36"/>
      </w:tblGrid>
      <w:tr w:rsidR="00000000" w14:paraId="4F9DA8B4" w14:textId="77777777">
        <w:trPr>
          <w:divId w:val="1135297541"/>
        </w:trPr>
        <w:tc>
          <w:tcPr>
            <w:tcW w:w="50" w:type="pct"/>
            <w:vAlign w:val="center"/>
            <w:hideMark/>
          </w:tcPr>
          <w:p w14:paraId="0D4486E4" w14:textId="77777777" w:rsidR="00000000" w:rsidRDefault="001D0688">
            <w:pPr>
              <w:ind w:firstLine="720"/>
              <w:jc w:val="both"/>
              <w:rPr>
                <w:rFonts w:eastAsia="Times New Roman"/>
              </w:rPr>
            </w:pPr>
          </w:p>
        </w:tc>
        <w:tc>
          <w:tcPr>
            <w:tcW w:w="1633" w:type="pct"/>
            <w:vAlign w:val="center"/>
            <w:hideMark/>
          </w:tcPr>
          <w:p w14:paraId="18F79539" w14:textId="77777777" w:rsidR="00000000" w:rsidRDefault="001D0688">
            <w:pPr>
              <w:rPr>
                <w:rFonts w:eastAsia="Times New Roman"/>
                <w:sz w:val="20"/>
                <w:szCs w:val="20"/>
              </w:rPr>
            </w:pPr>
          </w:p>
        </w:tc>
        <w:tc>
          <w:tcPr>
            <w:tcW w:w="5" w:type="pct"/>
            <w:vAlign w:val="center"/>
            <w:hideMark/>
          </w:tcPr>
          <w:p w14:paraId="6D246E9E" w14:textId="77777777" w:rsidR="00000000" w:rsidRDefault="001D0688">
            <w:pPr>
              <w:rPr>
                <w:rFonts w:eastAsia="Times New Roman"/>
                <w:sz w:val="20"/>
                <w:szCs w:val="20"/>
              </w:rPr>
            </w:pPr>
          </w:p>
        </w:tc>
        <w:tc>
          <w:tcPr>
            <w:tcW w:w="5" w:type="pct"/>
            <w:vAlign w:val="center"/>
            <w:hideMark/>
          </w:tcPr>
          <w:p w14:paraId="29B4851B" w14:textId="77777777" w:rsidR="00000000" w:rsidRDefault="001D0688">
            <w:pPr>
              <w:rPr>
                <w:rFonts w:eastAsia="Times New Roman"/>
                <w:sz w:val="20"/>
                <w:szCs w:val="20"/>
              </w:rPr>
            </w:pPr>
          </w:p>
        </w:tc>
        <w:tc>
          <w:tcPr>
            <w:tcW w:w="19" w:type="pct"/>
            <w:vAlign w:val="center"/>
            <w:hideMark/>
          </w:tcPr>
          <w:p w14:paraId="0D633142" w14:textId="77777777" w:rsidR="00000000" w:rsidRDefault="001D0688">
            <w:pPr>
              <w:rPr>
                <w:rFonts w:eastAsia="Times New Roman"/>
                <w:sz w:val="20"/>
                <w:szCs w:val="20"/>
              </w:rPr>
            </w:pPr>
          </w:p>
        </w:tc>
        <w:tc>
          <w:tcPr>
            <w:tcW w:w="5" w:type="pct"/>
            <w:vAlign w:val="center"/>
            <w:hideMark/>
          </w:tcPr>
          <w:p w14:paraId="3165594A" w14:textId="77777777" w:rsidR="00000000" w:rsidRDefault="001D0688">
            <w:pPr>
              <w:rPr>
                <w:rFonts w:eastAsia="Times New Roman"/>
                <w:sz w:val="20"/>
                <w:szCs w:val="20"/>
              </w:rPr>
            </w:pPr>
          </w:p>
        </w:tc>
        <w:tc>
          <w:tcPr>
            <w:tcW w:w="50" w:type="pct"/>
            <w:vAlign w:val="center"/>
            <w:hideMark/>
          </w:tcPr>
          <w:p w14:paraId="181F3B16" w14:textId="77777777" w:rsidR="00000000" w:rsidRDefault="001D0688">
            <w:pPr>
              <w:rPr>
                <w:rFonts w:eastAsia="Times New Roman"/>
                <w:sz w:val="20"/>
                <w:szCs w:val="20"/>
              </w:rPr>
            </w:pPr>
          </w:p>
        </w:tc>
        <w:tc>
          <w:tcPr>
            <w:tcW w:w="1019" w:type="pct"/>
            <w:vAlign w:val="center"/>
            <w:hideMark/>
          </w:tcPr>
          <w:p w14:paraId="012A6E3F" w14:textId="77777777" w:rsidR="00000000" w:rsidRDefault="001D0688">
            <w:pPr>
              <w:rPr>
                <w:rFonts w:eastAsia="Times New Roman"/>
                <w:sz w:val="20"/>
                <w:szCs w:val="20"/>
              </w:rPr>
            </w:pPr>
          </w:p>
        </w:tc>
        <w:tc>
          <w:tcPr>
            <w:tcW w:w="5" w:type="pct"/>
            <w:vAlign w:val="center"/>
            <w:hideMark/>
          </w:tcPr>
          <w:p w14:paraId="53D423A7" w14:textId="77777777" w:rsidR="00000000" w:rsidRDefault="001D0688">
            <w:pPr>
              <w:rPr>
                <w:rFonts w:eastAsia="Times New Roman"/>
                <w:sz w:val="20"/>
                <w:szCs w:val="20"/>
              </w:rPr>
            </w:pPr>
          </w:p>
        </w:tc>
        <w:tc>
          <w:tcPr>
            <w:tcW w:w="5" w:type="pct"/>
            <w:vAlign w:val="center"/>
            <w:hideMark/>
          </w:tcPr>
          <w:p w14:paraId="0C68A36D" w14:textId="77777777" w:rsidR="00000000" w:rsidRDefault="001D0688">
            <w:pPr>
              <w:rPr>
                <w:rFonts w:eastAsia="Times New Roman"/>
                <w:sz w:val="20"/>
                <w:szCs w:val="20"/>
              </w:rPr>
            </w:pPr>
          </w:p>
        </w:tc>
        <w:tc>
          <w:tcPr>
            <w:tcW w:w="19" w:type="pct"/>
            <w:vAlign w:val="center"/>
            <w:hideMark/>
          </w:tcPr>
          <w:p w14:paraId="25523ECD" w14:textId="77777777" w:rsidR="00000000" w:rsidRDefault="001D0688">
            <w:pPr>
              <w:rPr>
                <w:rFonts w:eastAsia="Times New Roman"/>
                <w:sz w:val="20"/>
                <w:szCs w:val="20"/>
              </w:rPr>
            </w:pPr>
          </w:p>
        </w:tc>
        <w:tc>
          <w:tcPr>
            <w:tcW w:w="5" w:type="pct"/>
            <w:vAlign w:val="center"/>
            <w:hideMark/>
          </w:tcPr>
          <w:p w14:paraId="5F400CC5" w14:textId="77777777" w:rsidR="00000000" w:rsidRDefault="001D0688">
            <w:pPr>
              <w:rPr>
                <w:rFonts w:eastAsia="Times New Roman"/>
                <w:sz w:val="20"/>
                <w:szCs w:val="20"/>
              </w:rPr>
            </w:pPr>
          </w:p>
        </w:tc>
        <w:tc>
          <w:tcPr>
            <w:tcW w:w="50" w:type="pct"/>
            <w:vAlign w:val="center"/>
            <w:hideMark/>
          </w:tcPr>
          <w:p w14:paraId="3736DAA7" w14:textId="77777777" w:rsidR="00000000" w:rsidRDefault="001D0688">
            <w:pPr>
              <w:rPr>
                <w:rFonts w:eastAsia="Times New Roman"/>
                <w:sz w:val="20"/>
                <w:szCs w:val="20"/>
              </w:rPr>
            </w:pPr>
          </w:p>
        </w:tc>
        <w:tc>
          <w:tcPr>
            <w:tcW w:w="1019" w:type="pct"/>
            <w:vAlign w:val="center"/>
            <w:hideMark/>
          </w:tcPr>
          <w:p w14:paraId="4E6F0086" w14:textId="77777777" w:rsidR="00000000" w:rsidRDefault="001D0688">
            <w:pPr>
              <w:rPr>
                <w:rFonts w:eastAsia="Times New Roman"/>
                <w:sz w:val="20"/>
                <w:szCs w:val="20"/>
              </w:rPr>
            </w:pPr>
          </w:p>
        </w:tc>
        <w:tc>
          <w:tcPr>
            <w:tcW w:w="5" w:type="pct"/>
            <w:vAlign w:val="center"/>
            <w:hideMark/>
          </w:tcPr>
          <w:p w14:paraId="1373F5F1" w14:textId="77777777" w:rsidR="00000000" w:rsidRDefault="001D0688">
            <w:pPr>
              <w:rPr>
                <w:rFonts w:eastAsia="Times New Roman"/>
                <w:sz w:val="20"/>
                <w:szCs w:val="20"/>
              </w:rPr>
            </w:pPr>
          </w:p>
        </w:tc>
        <w:tc>
          <w:tcPr>
            <w:tcW w:w="5" w:type="pct"/>
            <w:vAlign w:val="center"/>
            <w:hideMark/>
          </w:tcPr>
          <w:p w14:paraId="62AEC92F" w14:textId="77777777" w:rsidR="00000000" w:rsidRDefault="001D0688">
            <w:pPr>
              <w:rPr>
                <w:rFonts w:eastAsia="Times New Roman"/>
                <w:sz w:val="20"/>
                <w:szCs w:val="20"/>
              </w:rPr>
            </w:pPr>
          </w:p>
        </w:tc>
        <w:tc>
          <w:tcPr>
            <w:tcW w:w="19" w:type="pct"/>
            <w:vAlign w:val="center"/>
            <w:hideMark/>
          </w:tcPr>
          <w:p w14:paraId="6668F779" w14:textId="77777777" w:rsidR="00000000" w:rsidRDefault="001D0688">
            <w:pPr>
              <w:rPr>
                <w:rFonts w:eastAsia="Times New Roman"/>
                <w:sz w:val="20"/>
                <w:szCs w:val="20"/>
              </w:rPr>
            </w:pPr>
          </w:p>
        </w:tc>
        <w:tc>
          <w:tcPr>
            <w:tcW w:w="5" w:type="pct"/>
            <w:vAlign w:val="center"/>
            <w:hideMark/>
          </w:tcPr>
          <w:p w14:paraId="63EAD045" w14:textId="77777777" w:rsidR="00000000" w:rsidRDefault="001D0688">
            <w:pPr>
              <w:rPr>
                <w:rFonts w:eastAsia="Times New Roman"/>
                <w:sz w:val="20"/>
                <w:szCs w:val="20"/>
              </w:rPr>
            </w:pPr>
          </w:p>
        </w:tc>
        <w:tc>
          <w:tcPr>
            <w:tcW w:w="50" w:type="pct"/>
            <w:vAlign w:val="center"/>
            <w:hideMark/>
          </w:tcPr>
          <w:p w14:paraId="4244D5D0" w14:textId="77777777" w:rsidR="00000000" w:rsidRDefault="001D0688">
            <w:pPr>
              <w:rPr>
                <w:rFonts w:eastAsia="Times New Roman"/>
                <w:sz w:val="20"/>
                <w:szCs w:val="20"/>
              </w:rPr>
            </w:pPr>
          </w:p>
        </w:tc>
        <w:tc>
          <w:tcPr>
            <w:tcW w:w="1019" w:type="pct"/>
            <w:vAlign w:val="center"/>
            <w:hideMark/>
          </w:tcPr>
          <w:p w14:paraId="65CB51DF" w14:textId="77777777" w:rsidR="00000000" w:rsidRDefault="001D0688">
            <w:pPr>
              <w:rPr>
                <w:rFonts w:eastAsia="Times New Roman"/>
                <w:sz w:val="20"/>
                <w:szCs w:val="20"/>
              </w:rPr>
            </w:pPr>
          </w:p>
        </w:tc>
        <w:tc>
          <w:tcPr>
            <w:tcW w:w="5" w:type="pct"/>
            <w:vAlign w:val="center"/>
            <w:hideMark/>
          </w:tcPr>
          <w:p w14:paraId="4410B286" w14:textId="77777777" w:rsidR="00000000" w:rsidRDefault="001D0688">
            <w:pPr>
              <w:rPr>
                <w:rFonts w:eastAsia="Times New Roman"/>
                <w:sz w:val="20"/>
                <w:szCs w:val="20"/>
              </w:rPr>
            </w:pPr>
          </w:p>
        </w:tc>
      </w:tr>
      <w:tr w:rsidR="00000000" w14:paraId="5F237932" w14:textId="77777777">
        <w:trPr>
          <w:divId w:val="1135297541"/>
        </w:trPr>
        <w:tc>
          <w:tcPr>
            <w:tcW w:w="0" w:type="auto"/>
            <w:gridSpan w:val="3"/>
            <w:tcMar>
              <w:top w:w="30" w:type="dxa"/>
              <w:left w:w="20" w:type="dxa"/>
              <w:bottom w:w="30" w:type="dxa"/>
              <w:right w:w="20" w:type="dxa"/>
            </w:tcMar>
            <w:vAlign w:val="bottom"/>
            <w:hideMark/>
          </w:tcPr>
          <w:p w14:paraId="6E5DDC0D"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1CFD6AF"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3D6BCA12" w14:textId="77777777" w:rsidR="00000000" w:rsidRDefault="001D0688">
            <w:pPr>
              <w:jc w:val="center"/>
              <w:rPr>
                <w:rFonts w:eastAsia="Times New Roman"/>
              </w:rPr>
            </w:pPr>
            <w:r>
              <w:rPr>
                <w:rFonts w:ascii="Arial" w:eastAsia="Times New Roman" w:hAnsi="Arial" w:cs="Arial"/>
                <w:b/>
                <w:bCs/>
                <w:color w:val="000000"/>
                <w:sz w:val="20"/>
                <w:szCs w:val="20"/>
              </w:rPr>
              <w:t xml:space="preserve">Operating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14:paraId="6B33EDDA"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238B1D1" w14:textId="77777777" w:rsidR="00000000" w:rsidRDefault="001D0688">
            <w:pPr>
              <w:jc w:val="center"/>
              <w:rPr>
                <w:rFonts w:eastAsia="Times New Roman"/>
              </w:rPr>
            </w:pPr>
            <w:r>
              <w:rPr>
                <w:rFonts w:ascii="Arial" w:eastAsia="Times New Roman" w:hAnsi="Arial" w:cs="Arial"/>
                <w:b/>
                <w:bCs/>
                <w:color w:val="000000"/>
                <w:sz w:val="20"/>
                <w:szCs w:val="20"/>
              </w:rPr>
              <w:t xml:space="preserve">Finance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14:paraId="140A6EE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F4C59F2" w14:textId="77777777" w:rsidR="00000000" w:rsidRDefault="001D0688">
            <w:pPr>
              <w:jc w:val="center"/>
              <w:rPr>
                <w:rFonts w:eastAsia="Times New Roman"/>
              </w:rPr>
            </w:pPr>
            <w:r>
              <w:rPr>
                <w:rFonts w:ascii="Arial" w:eastAsia="Times New Roman" w:hAnsi="Arial" w:cs="Arial"/>
                <w:b/>
                <w:bCs/>
                <w:color w:val="000000"/>
                <w:sz w:val="20"/>
                <w:szCs w:val="20"/>
              </w:rPr>
              <w:t>Total</w:t>
            </w:r>
          </w:p>
        </w:tc>
      </w:tr>
      <w:tr w:rsidR="00000000" w14:paraId="41C60824" w14:textId="77777777">
        <w:trPr>
          <w:divId w:val="1135297541"/>
        </w:trPr>
        <w:tc>
          <w:tcPr>
            <w:tcW w:w="0" w:type="auto"/>
            <w:gridSpan w:val="3"/>
            <w:shd w:val="clear" w:color="auto" w:fill="DCE2EF"/>
            <w:tcMar>
              <w:top w:w="30" w:type="dxa"/>
              <w:left w:w="20" w:type="dxa"/>
              <w:bottom w:w="30" w:type="dxa"/>
              <w:right w:w="20" w:type="dxa"/>
            </w:tcMar>
            <w:vAlign w:val="bottom"/>
            <w:hideMark/>
          </w:tcPr>
          <w:p w14:paraId="6EED5CBC" w14:textId="77777777" w:rsidR="00000000" w:rsidRDefault="001D0688">
            <w:pPr>
              <w:rPr>
                <w:rFonts w:eastAsia="Times New Roman"/>
              </w:rPr>
            </w:pPr>
            <w:r>
              <w:rPr>
                <w:rFonts w:ascii="Arial" w:eastAsia="Times New Roman" w:hAnsi="Arial" w:cs="Arial"/>
                <w:color w:val="000000"/>
                <w:sz w:val="20"/>
                <w:szCs w:val="20"/>
              </w:rPr>
              <w:t>Fiscal 2021</w:t>
            </w:r>
          </w:p>
        </w:tc>
        <w:tc>
          <w:tcPr>
            <w:tcW w:w="0" w:type="auto"/>
            <w:gridSpan w:val="3"/>
            <w:shd w:val="clear" w:color="auto" w:fill="DCE2EF"/>
            <w:tcMar>
              <w:top w:w="0" w:type="dxa"/>
              <w:left w:w="20" w:type="dxa"/>
              <w:bottom w:w="0" w:type="dxa"/>
              <w:right w:w="20" w:type="dxa"/>
            </w:tcMar>
            <w:vAlign w:val="center"/>
            <w:hideMark/>
          </w:tcPr>
          <w:p w14:paraId="230B95E1"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E819CB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D654F34" w14:textId="77777777" w:rsidR="00000000" w:rsidRDefault="001D0688">
            <w:pPr>
              <w:jc w:val="right"/>
              <w:rPr>
                <w:rFonts w:eastAsia="Times New Roman"/>
              </w:rPr>
            </w:pPr>
            <w:r>
              <w:rPr>
                <w:rFonts w:ascii="Arial" w:eastAsia="Times New Roman" w:hAnsi="Arial" w:cs="Arial"/>
                <w:color w:val="000000"/>
                <w:sz w:val="20"/>
                <w:szCs w:val="20"/>
              </w:rPr>
              <w:t>41.3 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9C3F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29DD4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1AFDC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A86A756" w14:textId="77777777" w:rsidR="00000000" w:rsidRDefault="001D0688">
            <w:pPr>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CE8B9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CE41FF"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3C6D68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E212C32" w14:textId="77777777" w:rsidR="00000000" w:rsidRDefault="001D0688">
            <w:pPr>
              <w:jc w:val="right"/>
              <w:rPr>
                <w:rFonts w:eastAsia="Times New Roman"/>
              </w:rPr>
            </w:pPr>
            <w:r>
              <w:rPr>
                <w:rFonts w:ascii="Arial" w:eastAsia="Times New Roman" w:hAnsi="Arial" w:cs="Arial"/>
                <w:color w:val="000000"/>
                <w:sz w:val="20"/>
                <w:szCs w:val="20"/>
              </w:rPr>
              <w:t>44.6 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A95F9F" w14:textId="77777777" w:rsidR="00000000" w:rsidRDefault="001D0688">
            <w:pPr>
              <w:jc w:val="right"/>
              <w:rPr>
                <w:rFonts w:eastAsia="Times New Roman"/>
              </w:rPr>
            </w:pPr>
          </w:p>
        </w:tc>
      </w:tr>
      <w:tr w:rsidR="00000000" w14:paraId="17672049" w14:textId="77777777">
        <w:trPr>
          <w:divId w:val="1135297541"/>
        </w:trPr>
        <w:tc>
          <w:tcPr>
            <w:tcW w:w="0" w:type="auto"/>
            <w:gridSpan w:val="3"/>
            <w:shd w:val="clear" w:color="auto" w:fill="FFFFFF"/>
            <w:tcMar>
              <w:top w:w="30" w:type="dxa"/>
              <w:left w:w="20" w:type="dxa"/>
              <w:bottom w:w="30" w:type="dxa"/>
              <w:right w:w="20" w:type="dxa"/>
            </w:tcMar>
            <w:vAlign w:val="bottom"/>
            <w:hideMark/>
          </w:tcPr>
          <w:p w14:paraId="65331B74" w14:textId="77777777" w:rsidR="00000000" w:rsidRDefault="001D0688">
            <w:pPr>
              <w:rPr>
                <w:rFonts w:eastAsia="Times New Roman"/>
              </w:rPr>
            </w:pPr>
            <w:r>
              <w:rPr>
                <w:rFonts w:ascii="Arial" w:eastAsia="Times New Roman" w:hAnsi="Arial" w:cs="Arial"/>
                <w:color w:val="000000"/>
                <w:sz w:val="20"/>
                <w:szCs w:val="20"/>
              </w:rPr>
              <w:t>Fiscal 2022</w:t>
            </w:r>
          </w:p>
        </w:tc>
        <w:tc>
          <w:tcPr>
            <w:tcW w:w="0" w:type="auto"/>
            <w:gridSpan w:val="3"/>
            <w:shd w:val="clear" w:color="auto" w:fill="FFFFFF"/>
            <w:tcMar>
              <w:top w:w="0" w:type="dxa"/>
              <w:left w:w="20" w:type="dxa"/>
              <w:bottom w:w="0" w:type="dxa"/>
              <w:right w:w="20" w:type="dxa"/>
            </w:tcMar>
            <w:vAlign w:val="center"/>
            <w:hideMark/>
          </w:tcPr>
          <w:p w14:paraId="74B10AD4"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hideMark/>
          </w:tcPr>
          <w:p w14:paraId="46F9511D" w14:textId="77777777" w:rsidR="00000000" w:rsidRDefault="001D0688">
            <w:pPr>
              <w:jc w:val="right"/>
              <w:rPr>
                <w:rFonts w:eastAsia="Times New Roman"/>
              </w:rPr>
            </w:pPr>
            <w:r>
              <w:rPr>
                <w:rFonts w:ascii="Arial" w:eastAsia="Times New Roman" w:hAnsi="Arial" w:cs="Arial"/>
                <w:color w:val="000000"/>
                <w:sz w:val="20"/>
                <w:szCs w:val="20"/>
              </w:rPr>
              <w:t>34.3 </w:t>
            </w:r>
          </w:p>
        </w:tc>
        <w:tc>
          <w:tcPr>
            <w:tcW w:w="0" w:type="auto"/>
            <w:shd w:val="clear" w:color="auto" w:fill="FFFFFF"/>
            <w:tcMar>
              <w:top w:w="30" w:type="dxa"/>
              <w:left w:w="0" w:type="dxa"/>
              <w:bottom w:w="30" w:type="dxa"/>
              <w:right w:w="20" w:type="dxa"/>
            </w:tcMar>
            <w:hideMark/>
          </w:tcPr>
          <w:p w14:paraId="65A9A72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EEA1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E793E0" w14:textId="77777777" w:rsidR="00000000" w:rsidRDefault="001D0688">
            <w:pPr>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14:paraId="0A20ED9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68A7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A2F27" w14:textId="77777777" w:rsidR="00000000" w:rsidRDefault="001D0688">
            <w:pPr>
              <w:jc w:val="right"/>
              <w:rPr>
                <w:rFonts w:eastAsia="Times New Roman"/>
              </w:rPr>
            </w:pPr>
            <w:r>
              <w:rPr>
                <w:rFonts w:ascii="Arial" w:eastAsia="Times New Roman" w:hAnsi="Arial" w:cs="Arial"/>
                <w:color w:val="000000"/>
                <w:sz w:val="20"/>
                <w:szCs w:val="20"/>
              </w:rPr>
              <w:t>36.0 </w:t>
            </w:r>
          </w:p>
        </w:tc>
        <w:tc>
          <w:tcPr>
            <w:tcW w:w="0" w:type="auto"/>
            <w:shd w:val="clear" w:color="auto" w:fill="FFFFFF"/>
            <w:tcMar>
              <w:top w:w="30" w:type="dxa"/>
              <w:left w:w="0" w:type="dxa"/>
              <w:bottom w:w="30" w:type="dxa"/>
              <w:right w:w="20" w:type="dxa"/>
            </w:tcMar>
            <w:vAlign w:val="bottom"/>
            <w:hideMark/>
          </w:tcPr>
          <w:p w14:paraId="382FA8AF" w14:textId="77777777" w:rsidR="00000000" w:rsidRDefault="001D0688">
            <w:pPr>
              <w:jc w:val="right"/>
              <w:rPr>
                <w:rFonts w:eastAsia="Times New Roman"/>
              </w:rPr>
            </w:pPr>
          </w:p>
        </w:tc>
      </w:tr>
      <w:tr w:rsidR="00000000" w14:paraId="3F103033" w14:textId="77777777">
        <w:trPr>
          <w:divId w:val="1135297541"/>
        </w:trPr>
        <w:tc>
          <w:tcPr>
            <w:tcW w:w="0" w:type="auto"/>
            <w:gridSpan w:val="3"/>
            <w:shd w:val="clear" w:color="auto" w:fill="DCE2EF"/>
            <w:tcMar>
              <w:top w:w="30" w:type="dxa"/>
              <w:left w:w="20" w:type="dxa"/>
              <w:bottom w:w="30" w:type="dxa"/>
              <w:right w:w="20" w:type="dxa"/>
            </w:tcMar>
            <w:hideMark/>
          </w:tcPr>
          <w:p w14:paraId="6A4E5AC5" w14:textId="77777777" w:rsidR="00000000" w:rsidRDefault="001D0688">
            <w:pPr>
              <w:rPr>
                <w:rFonts w:eastAsia="Times New Roman"/>
              </w:rPr>
            </w:pPr>
            <w:r>
              <w:rPr>
                <w:rFonts w:ascii="Arial" w:eastAsia="Times New Roman" w:hAnsi="Arial" w:cs="Arial"/>
                <w:color w:val="000000"/>
                <w:sz w:val="20"/>
                <w:szCs w:val="20"/>
              </w:rPr>
              <w:t>Fiscal 2023</w:t>
            </w:r>
          </w:p>
        </w:tc>
        <w:tc>
          <w:tcPr>
            <w:tcW w:w="0" w:type="auto"/>
            <w:gridSpan w:val="3"/>
            <w:shd w:val="clear" w:color="auto" w:fill="DCE2EF"/>
            <w:tcMar>
              <w:top w:w="0" w:type="dxa"/>
              <w:left w:w="20" w:type="dxa"/>
              <w:bottom w:w="0" w:type="dxa"/>
              <w:right w:w="20" w:type="dxa"/>
            </w:tcMar>
            <w:vAlign w:val="center"/>
            <w:hideMark/>
          </w:tcPr>
          <w:p w14:paraId="5AFD37FE"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hideMark/>
          </w:tcPr>
          <w:p w14:paraId="3F59F1DA" w14:textId="77777777" w:rsidR="00000000" w:rsidRDefault="001D0688">
            <w:pPr>
              <w:jc w:val="right"/>
              <w:rPr>
                <w:rFonts w:eastAsia="Times New Roman"/>
              </w:rPr>
            </w:pPr>
            <w:r>
              <w:rPr>
                <w:rFonts w:ascii="Arial" w:eastAsia="Times New Roman" w:hAnsi="Arial" w:cs="Arial"/>
                <w:color w:val="000000"/>
                <w:sz w:val="20"/>
                <w:szCs w:val="20"/>
              </w:rPr>
              <w:t>29.2 </w:t>
            </w:r>
          </w:p>
        </w:tc>
        <w:tc>
          <w:tcPr>
            <w:tcW w:w="0" w:type="auto"/>
            <w:shd w:val="clear" w:color="auto" w:fill="DCE2EF"/>
            <w:tcMar>
              <w:top w:w="30" w:type="dxa"/>
              <w:left w:w="0" w:type="dxa"/>
              <w:bottom w:w="30" w:type="dxa"/>
              <w:right w:w="20" w:type="dxa"/>
            </w:tcMar>
            <w:hideMark/>
          </w:tcPr>
          <w:p w14:paraId="78A0053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F52B0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819FB7" w14:textId="77777777" w:rsidR="00000000" w:rsidRDefault="001D0688">
            <w:pPr>
              <w:jc w:val="right"/>
              <w:rPr>
                <w:rFonts w:eastAsia="Times New Roman"/>
              </w:rPr>
            </w:pPr>
            <w:r>
              <w:rPr>
                <w:rFonts w:ascii="Arial" w:eastAsia="Times New Roman" w:hAnsi="Arial" w:cs="Arial"/>
                <w:color w:val="000000"/>
                <w:sz w:val="20"/>
                <w:szCs w:val="20"/>
              </w:rPr>
              <w:t>0.9 </w:t>
            </w:r>
          </w:p>
        </w:tc>
        <w:tc>
          <w:tcPr>
            <w:tcW w:w="0" w:type="auto"/>
            <w:shd w:val="clear" w:color="auto" w:fill="DCE2EF"/>
            <w:tcMar>
              <w:top w:w="30" w:type="dxa"/>
              <w:left w:w="0" w:type="dxa"/>
              <w:bottom w:w="30" w:type="dxa"/>
              <w:right w:w="20" w:type="dxa"/>
            </w:tcMar>
            <w:vAlign w:val="bottom"/>
            <w:hideMark/>
          </w:tcPr>
          <w:p w14:paraId="54D8EAF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BB34D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E6E28A" w14:textId="77777777" w:rsidR="00000000" w:rsidRDefault="001D0688">
            <w:pPr>
              <w:jc w:val="right"/>
              <w:rPr>
                <w:rFonts w:eastAsia="Times New Roman"/>
              </w:rPr>
            </w:pPr>
            <w:r>
              <w:rPr>
                <w:rFonts w:ascii="Arial" w:eastAsia="Times New Roman" w:hAnsi="Arial" w:cs="Arial"/>
                <w:color w:val="000000"/>
                <w:sz w:val="20"/>
                <w:szCs w:val="20"/>
              </w:rPr>
              <w:t>30.1 </w:t>
            </w:r>
          </w:p>
        </w:tc>
        <w:tc>
          <w:tcPr>
            <w:tcW w:w="0" w:type="auto"/>
            <w:shd w:val="clear" w:color="auto" w:fill="DCE2EF"/>
            <w:tcMar>
              <w:top w:w="30" w:type="dxa"/>
              <w:left w:w="0" w:type="dxa"/>
              <w:bottom w:w="30" w:type="dxa"/>
              <w:right w:w="20" w:type="dxa"/>
            </w:tcMar>
            <w:vAlign w:val="bottom"/>
            <w:hideMark/>
          </w:tcPr>
          <w:p w14:paraId="5C8D9814" w14:textId="77777777" w:rsidR="00000000" w:rsidRDefault="001D0688">
            <w:pPr>
              <w:jc w:val="right"/>
              <w:rPr>
                <w:rFonts w:eastAsia="Times New Roman"/>
              </w:rPr>
            </w:pPr>
          </w:p>
        </w:tc>
      </w:tr>
      <w:tr w:rsidR="00000000" w14:paraId="7EF52FEA" w14:textId="77777777">
        <w:trPr>
          <w:divId w:val="1135297541"/>
        </w:trPr>
        <w:tc>
          <w:tcPr>
            <w:tcW w:w="0" w:type="auto"/>
            <w:gridSpan w:val="3"/>
            <w:shd w:val="clear" w:color="auto" w:fill="FFFFFF"/>
            <w:tcMar>
              <w:top w:w="30" w:type="dxa"/>
              <w:left w:w="20" w:type="dxa"/>
              <w:bottom w:w="30" w:type="dxa"/>
              <w:right w:w="20" w:type="dxa"/>
            </w:tcMar>
            <w:vAlign w:val="bottom"/>
            <w:hideMark/>
          </w:tcPr>
          <w:p w14:paraId="6B15F4CF" w14:textId="77777777" w:rsidR="00000000" w:rsidRDefault="001D0688">
            <w:pPr>
              <w:rPr>
                <w:rFonts w:eastAsia="Times New Roman"/>
              </w:rPr>
            </w:pPr>
            <w:r>
              <w:rPr>
                <w:rFonts w:ascii="Arial" w:eastAsia="Times New Roman" w:hAnsi="Arial" w:cs="Arial"/>
                <w:color w:val="000000"/>
                <w:sz w:val="20"/>
                <w:szCs w:val="20"/>
              </w:rPr>
              <w:t>Fiscal 2024</w:t>
            </w:r>
          </w:p>
        </w:tc>
        <w:tc>
          <w:tcPr>
            <w:tcW w:w="0" w:type="auto"/>
            <w:gridSpan w:val="3"/>
            <w:shd w:val="clear" w:color="auto" w:fill="FFFFFF"/>
            <w:tcMar>
              <w:top w:w="0" w:type="dxa"/>
              <w:left w:w="20" w:type="dxa"/>
              <w:bottom w:w="0" w:type="dxa"/>
              <w:right w:w="20" w:type="dxa"/>
            </w:tcMar>
            <w:vAlign w:val="center"/>
            <w:hideMark/>
          </w:tcPr>
          <w:p w14:paraId="445D92B3"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D1AD46" w14:textId="77777777" w:rsidR="00000000" w:rsidRDefault="001D0688">
            <w:pPr>
              <w:jc w:val="right"/>
              <w:rPr>
                <w:rFonts w:eastAsia="Times New Roman"/>
              </w:rPr>
            </w:pPr>
            <w:r>
              <w:rPr>
                <w:rFonts w:ascii="Arial" w:eastAsia="Times New Roman" w:hAnsi="Arial" w:cs="Arial"/>
                <w:color w:val="000000"/>
                <w:sz w:val="20"/>
                <w:szCs w:val="20"/>
              </w:rPr>
              <w:t>24.1 </w:t>
            </w:r>
          </w:p>
        </w:tc>
        <w:tc>
          <w:tcPr>
            <w:tcW w:w="0" w:type="auto"/>
            <w:shd w:val="clear" w:color="auto" w:fill="FFFFFF"/>
            <w:tcMar>
              <w:top w:w="30" w:type="dxa"/>
              <w:left w:w="0" w:type="dxa"/>
              <w:bottom w:w="30" w:type="dxa"/>
              <w:right w:w="20" w:type="dxa"/>
            </w:tcMar>
            <w:vAlign w:val="bottom"/>
            <w:hideMark/>
          </w:tcPr>
          <w:p w14:paraId="0AF144E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C152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523FB"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A723CB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FD48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D83028" w14:textId="77777777" w:rsidR="00000000" w:rsidRDefault="001D0688">
            <w:pPr>
              <w:jc w:val="right"/>
              <w:rPr>
                <w:rFonts w:eastAsia="Times New Roman"/>
              </w:rPr>
            </w:pPr>
            <w:r>
              <w:rPr>
                <w:rFonts w:ascii="Arial" w:eastAsia="Times New Roman" w:hAnsi="Arial" w:cs="Arial"/>
                <w:color w:val="000000"/>
                <w:sz w:val="20"/>
                <w:szCs w:val="20"/>
              </w:rPr>
              <w:t>24.1 </w:t>
            </w:r>
          </w:p>
        </w:tc>
        <w:tc>
          <w:tcPr>
            <w:tcW w:w="0" w:type="auto"/>
            <w:shd w:val="clear" w:color="auto" w:fill="FFFFFF"/>
            <w:tcMar>
              <w:top w:w="30" w:type="dxa"/>
              <w:left w:w="0" w:type="dxa"/>
              <w:bottom w:w="30" w:type="dxa"/>
              <w:right w:w="20" w:type="dxa"/>
            </w:tcMar>
            <w:vAlign w:val="bottom"/>
            <w:hideMark/>
          </w:tcPr>
          <w:p w14:paraId="7BBC3975" w14:textId="77777777" w:rsidR="00000000" w:rsidRDefault="001D0688">
            <w:pPr>
              <w:jc w:val="right"/>
              <w:rPr>
                <w:rFonts w:eastAsia="Times New Roman"/>
              </w:rPr>
            </w:pPr>
          </w:p>
        </w:tc>
      </w:tr>
      <w:tr w:rsidR="00000000" w14:paraId="50E73105" w14:textId="77777777">
        <w:trPr>
          <w:divId w:val="1135297541"/>
        </w:trPr>
        <w:tc>
          <w:tcPr>
            <w:tcW w:w="0" w:type="auto"/>
            <w:gridSpan w:val="3"/>
            <w:shd w:val="clear" w:color="auto" w:fill="DCE2EF"/>
            <w:tcMar>
              <w:top w:w="30" w:type="dxa"/>
              <w:left w:w="20" w:type="dxa"/>
              <w:bottom w:w="30" w:type="dxa"/>
              <w:right w:w="20" w:type="dxa"/>
            </w:tcMar>
            <w:vAlign w:val="bottom"/>
            <w:hideMark/>
          </w:tcPr>
          <w:p w14:paraId="1F3C324D" w14:textId="77777777" w:rsidR="00000000" w:rsidRDefault="001D0688">
            <w:pPr>
              <w:rPr>
                <w:rFonts w:eastAsia="Times New Roman"/>
              </w:rPr>
            </w:pPr>
            <w:r>
              <w:rPr>
                <w:rFonts w:ascii="Arial" w:eastAsia="Times New Roman" w:hAnsi="Arial" w:cs="Arial"/>
                <w:color w:val="000000"/>
                <w:sz w:val="20"/>
                <w:szCs w:val="20"/>
              </w:rPr>
              <w:t>Fiscal 2025</w:t>
            </w:r>
          </w:p>
        </w:tc>
        <w:tc>
          <w:tcPr>
            <w:tcW w:w="0" w:type="auto"/>
            <w:gridSpan w:val="3"/>
            <w:shd w:val="clear" w:color="auto" w:fill="DCE2EF"/>
            <w:tcMar>
              <w:top w:w="0" w:type="dxa"/>
              <w:left w:w="20" w:type="dxa"/>
              <w:bottom w:w="0" w:type="dxa"/>
              <w:right w:w="20" w:type="dxa"/>
            </w:tcMar>
            <w:vAlign w:val="center"/>
            <w:hideMark/>
          </w:tcPr>
          <w:p w14:paraId="6362650D"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0CB7C96" w14:textId="77777777" w:rsidR="00000000" w:rsidRDefault="001D0688">
            <w:pPr>
              <w:jc w:val="right"/>
              <w:rPr>
                <w:rFonts w:eastAsia="Times New Roman"/>
              </w:rPr>
            </w:pPr>
            <w:r>
              <w:rPr>
                <w:rFonts w:ascii="Arial" w:eastAsia="Times New Roman" w:hAnsi="Arial" w:cs="Arial"/>
                <w:color w:val="000000"/>
                <w:sz w:val="20"/>
                <w:szCs w:val="20"/>
              </w:rPr>
              <w:t>18.2 </w:t>
            </w:r>
          </w:p>
        </w:tc>
        <w:tc>
          <w:tcPr>
            <w:tcW w:w="0" w:type="auto"/>
            <w:shd w:val="clear" w:color="auto" w:fill="DCE2EF"/>
            <w:tcMar>
              <w:top w:w="30" w:type="dxa"/>
              <w:left w:w="0" w:type="dxa"/>
              <w:bottom w:w="30" w:type="dxa"/>
              <w:right w:w="20" w:type="dxa"/>
            </w:tcMar>
            <w:vAlign w:val="bottom"/>
            <w:hideMark/>
          </w:tcPr>
          <w:p w14:paraId="297770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2A125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0F1CC6"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19CFD1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A38DA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7F490B" w14:textId="77777777" w:rsidR="00000000" w:rsidRDefault="001D0688">
            <w:pPr>
              <w:jc w:val="right"/>
              <w:rPr>
                <w:rFonts w:eastAsia="Times New Roman"/>
              </w:rPr>
            </w:pPr>
            <w:r>
              <w:rPr>
                <w:rFonts w:ascii="Arial" w:eastAsia="Times New Roman" w:hAnsi="Arial" w:cs="Arial"/>
                <w:color w:val="000000"/>
                <w:sz w:val="20"/>
                <w:szCs w:val="20"/>
              </w:rPr>
              <w:t>18.2 </w:t>
            </w:r>
          </w:p>
        </w:tc>
        <w:tc>
          <w:tcPr>
            <w:tcW w:w="0" w:type="auto"/>
            <w:shd w:val="clear" w:color="auto" w:fill="DCE2EF"/>
            <w:tcMar>
              <w:top w:w="30" w:type="dxa"/>
              <w:left w:w="0" w:type="dxa"/>
              <w:bottom w:w="30" w:type="dxa"/>
              <w:right w:w="20" w:type="dxa"/>
            </w:tcMar>
            <w:vAlign w:val="bottom"/>
            <w:hideMark/>
          </w:tcPr>
          <w:p w14:paraId="2B21F600" w14:textId="77777777" w:rsidR="00000000" w:rsidRDefault="001D0688">
            <w:pPr>
              <w:jc w:val="right"/>
              <w:rPr>
                <w:rFonts w:eastAsia="Times New Roman"/>
              </w:rPr>
            </w:pPr>
          </w:p>
        </w:tc>
      </w:tr>
      <w:tr w:rsidR="00000000" w14:paraId="64BB3AD9" w14:textId="77777777">
        <w:trPr>
          <w:divId w:val="1135297541"/>
        </w:trPr>
        <w:tc>
          <w:tcPr>
            <w:tcW w:w="0" w:type="auto"/>
            <w:gridSpan w:val="3"/>
            <w:shd w:val="clear" w:color="auto" w:fill="FFFFFF"/>
            <w:tcMar>
              <w:top w:w="30" w:type="dxa"/>
              <w:left w:w="20" w:type="dxa"/>
              <w:bottom w:w="30" w:type="dxa"/>
              <w:right w:w="20" w:type="dxa"/>
            </w:tcMar>
            <w:vAlign w:val="bottom"/>
            <w:hideMark/>
          </w:tcPr>
          <w:p w14:paraId="5050708C" w14:textId="77777777" w:rsidR="00000000" w:rsidRDefault="001D0688">
            <w:pPr>
              <w:rPr>
                <w:rFonts w:eastAsia="Times New Roman"/>
              </w:rPr>
            </w:pPr>
            <w:r>
              <w:rPr>
                <w:rFonts w:ascii="Arial" w:eastAsia="Times New Roman" w:hAnsi="Arial" w:cs="Arial"/>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14:paraId="38FA7BA2"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65C858" w14:textId="77777777" w:rsidR="00000000" w:rsidRDefault="001D0688">
            <w:pPr>
              <w:jc w:val="right"/>
              <w:rPr>
                <w:rFonts w:eastAsia="Times New Roman"/>
              </w:rPr>
            </w:pPr>
            <w:r>
              <w:rPr>
                <w:rFonts w:ascii="Arial" w:eastAsia="Times New Roman" w:hAnsi="Arial" w:cs="Arial"/>
                <w:color w:val="000000"/>
                <w:sz w:val="20"/>
                <w:szCs w:val="20"/>
              </w:rPr>
              <w:t>43.3 </w:t>
            </w:r>
          </w:p>
        </w:tc>
        <w:tc>
          <w:tcPr>
            <w:tcW w:w="0" w:type="auto"/>
            <w:shd w:val="clear" w:color="auto" w:fill="FFFFFF"/>
            <w:tcMar>
              <w:top w:w="30" w:type="dxa"/>
              <w:left w:w="0" w:type="dxa"/>
              <w:bottom w:w="30" w:type="dxa"/>
              <w:right w:w="20" w:type="dxa"/>
            </w:tcMar>
            <w:vAlign w:val="bottom"/>
            <w:hideMark/>
          </w:tcPr>
          <w:p w14:paraId="67C3D7A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4C28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8DE31"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310A30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B9B0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879165" w14:textId="77777777" w:rsidR="00000000" w:rsidRDefault="001D0688">
            <w:pPr>
              <w:jc w:val="right"/>
              <w:rPr>
                <w:rFonts w:eastAsia="Times New Roman"/>
              </w:rPr>
            </w:pPr>
            <w:r>
              <w:rPr>
                <w:rFonts w:ascii="Arial" w:eastAsia="Times New Roman" w:hAnsi="Arial" w:cs="Arial"/>
                <w:color w:val="000000"/>
                <w:sz w:val="20"/>
                <w:szCs w:val="20"/>
              </w:rPr>
              <w:t>43.3 </w:t>
            </w:r>
          </w:p>
        </w:tc>
        <w:tc>
          <w:tcPr>
            <w:tcW w:w="0" w:type="auto"/>
            <w:shd w:val="clear" w:color="auto" w:fill="FFFFFF"/>
            <w:tcMar>
              <w:top w:w="30" w:type="dxa"/>
              <w:left w:w="0" w:type="dxa"/>
              <w:bottom w:w="30" w:type="dxa"/>
              <w:right w:w="20" w:type="dxa"/>
            </w:tcMar>
            <w:vAlign w:val="bottom"/>
            <w:hideMark/>
          </w:tcPr>
          <w:p w14:paraId="6EE1BA76" w14:textId="77777777" w:rsidR="00000000" w:rsidRDefault="001D0688">
            <w:pPr>
              <w:jc w:val="right"/>
              <w:rPr>
                <w:rFonts w:eastAsia="Times New Roman"/>
              </w:rPr>
            </w:pPr>
          </w:p>
        </w:tc>
      </w:tr>
      <w:tr w:rsidR="00000000" w14:paraId="04D41BFB" w14:textId="77777777">
        <w:trPr>
          <w:divId w:val="1135297541"/>
        </w:trPr>
        <w:tc>
          <w:tcPr>
            <w:tcW w:w="0" w:type="auto"/>
            <w:gridSpan w:val="3"/>
            <w:shd w:val="clear" w:color="auto" w:fill="DCE2EF"/>
            <w:tcMar>
              <w:top w:w="30" w:type="dxa"/>
              <w:left w:w="20" w:type="dxa"/>
              <w:bottom w:w="30" w:type="dxa"/>
              <w:right w:w="20" w:type="dxa"/>
            </w:tcMar>
            <w:vAlign w:val="bottom"/>
            <w:hideMark/>
          </w:tcPr>
          <w:p w14:paraId="7DCD8BF1" w14:textId="77777777" w:rsidR="00000000" w:rsidRDefault="001D0688">
            <w:pPr>
              <w:rPr>
                <w:rFonts w:eastAsia="Times New Roman"/>
              </w:rPr>
            </w:pPr>
            <w:r>
              <w:rPr>
                <w:rFonts w:ascii="Arial" w:eastAsia="Times New Roman" w:hAnsi="Arial" w:cs="Arial"/>
                <w:color w:val="000000"/>
                <w:sz w:val="20"/>
                <w:szCs w:val="20"/>
              </w:rPr>
              <w:t>Total lease payments</w:t>
            </w:r>
          </w:p>
        </w:tc>
        <w:tc>
          <w:tcPr>
            <w:tcW w:w="0" w:type="auto"/>
            <w:gridSpan w:val="3"/>
            <w:shd w:val="clear" w:color="auto" w:fill="DCE2EF"/>
            <w:tcMar>
              <w:top w:w="0" w:type="dxa"/>
              <w:left w:w="20" w:type="dxa"/>
              <w:bottom w:w="0" w:type="dxa"/>
              <w:right w:w="20" w:type="dxa"/>
            </w:tcMar>
            <w:vAlign w:val="center"/>
            <w:hideMark/>
          </w:tcPr>
          <w:p w14:paraId="517E9915" w14:textId="77777777" w:rsidR="00000000" w:rsidRDefault="001D0688">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0C39047" w14:textId="77777777" w:rsidR="00000000" w:rsidRDefault="001D0688">
            <w:pPr>
              <w:jc w:val="right"/>
              <w:rPr>
                <w:rFonts w:eastAsia="Times New Roman"/>
              </w:rPr>
            </w:pPr>
            <w:r>
              <w:rPr>
                <w:rFonts w:ascii="Arial" w:eastAsia="Times New Roman" w:hAnsi="Arial" w:cs="Arial"/>
                <w:color w:val="000000"/>
                <w:sz w:val="20"/>
                <w:szCs w:val="20"/>
              </w:rPr>
              <w:t>190.4 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982988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218D37"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C33620D" w14:textId="77777777" w:rsidR="00000000" w:rsidRDefault="001D0688">
            <w:pPr>
              <w:jc w:val="right"/>
              <w:rPr>
                <w:rFonts w:eastAsia="Times New Roman"/>
              </w:rPr>
            </w:pPr>
            <w:r>
              <w:rPr>
                <w:rFonts w:ascii="Arial" w:eastAsia="Times New Roman" w:hAnsi="Arial" w:cs="Arial"/>
                <w:color w:val="000000"/>
                <w:sz w:val="20"/>
                <w:szCs w:val="20"/>
              </w:rPr>
              <w:t>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A457C3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6BB2E9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5F7EE56" w14:textId="77777777" w:rsidR="00000000" w:rsidRDefault="001D0688">
            <w:pPr>
              <w:jc w:val="right"/>
              <w:rPr>
                <w:rFonts w:eastAsia="Times New Roman"/>
              </w:rPr>
            </w:pPr>
            <w:r>
              <w:rPr>
                <w:rFonts w:ascii="Arial" w:eastAsia="Times New Roman" w:hAnsi="Arial" w:cs="Arial"/>
                <w:color w:val="000000"/>
                <w:sz w:val="20"/>
                <w:szCs w:val="20"/>
              </w:rPr>
              <w:t>196.3 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7F4703" w14:textId="77777777" w:rsidR="00000000" w:rsidRDefault="001D0688">
            <w:pPr>
              <w:jc w:val="right"/>
              <w:rPr>
                <w:rFonts w:eastAsia="Times New Roman"/>
              </w:rPr>
            </w:pPr>
          </w:p>
        </w:tc>
      </w:tr>
      <w:tr w:rsidR="00000000" w14:paraId="52C213BA" w14:textId="77777777">
        <w:trPr>
          <w:divId w:val="1135297541"/>
        </w:trPr>
        <w:tc>
          <w:tcPr>
            <w:tcW w:w="0" w:type="auto"/>
            <w:gridSpan w:val="3"/>
            <w:shd w:val="clear" w:color="auto" w:fill="FFFFFF"/>
            <w:tcMar>
              <w:top w:w="30" w:type="dxa"/>
              <w:left w:w="20" w:type="dxa"/>
              <w:bottom w:w="30" w:type="dxa"/>
              <w:right w:w="20" w:type="dxa"/>
            </w:tcMar>
            <w:vAlign w:val="bottom"/>
            <w:hideMark/>
          </w:tcPr>
          <w:p w14:paraId="58421026" w14:textId="77777777" w:rsidR="00000000" w:rsidRDefault="001D0688">
            <w:pPr>
              <w:rPr>
                <w:rFonts w:eastAsia="Times New Roman"/>
              </w:rPr>
            </w:pPr>
            <w:r>
              <w:rPr>
                <w:rFonts w:ascii="Arial" w:eastAsia="Times New Roman" w:hAnsi="Arial" w:cs="Arial"/>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14:paraId="797262D5"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468E33" w14:textId="77777777" w:rsidR="00000000" w:rsidRDefault="001D0688">
            <w:pPr>
              <w:jc w:val="right"/>
              <w:rPr>
                <w:rFonts w:eastAsia="Times New Roman"/>
              </w:rPr>
            </w:pPr>
            <w:r>
              <w:rPr>
                <w:rFonts w:ascii="Arial" w:eastAsia="Times New Roman" w:hAnsi="Arial" w:cs="Arial"/>
                <w:color w:val="000000"/>
                <w:sz w:val="20"/>
                <w:szCs w:val="20"/>
              </w:rPr>
              <w:t>24.0 </w:t>
            </w:r>
          </w:p>
        </w:tc>
        <w:tc>
          <w:tcPr>
            <w:tcW w:w="0" w:type="auto"/>
            <w:shd w:val="clear" w:color="auto" w:fill="FFFFFF"/>
            <w:tcMar>
              <w:top w:w="30" w:type="dxa"/>
              <w:left w:w="0" w:type="dxa"/>
              <w:bottom w:w="30" w:type="dxa"/>
              <w:right w:w="20" w:type="dxa"/>
            </w:tcMar>
            <w:vAlign w:val="bottom"/>
            <w:hideMark/>
          </w:tcPr>
          <w:p w14:paraId="11CA081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4C10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E1A9C" w14:textId="77777777" w:rsidR="00000000" w:rsidRDefault="001D0688">
            <w:pPr>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14:paraId="239FB02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36C8E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C6FB60" w14:textId="77777777" w:rsidR="00000000" w:rsidRDefault="001D0688">
            <w:pPr>
              <w:jc w:val="right"/>
              <w:rPr>
                <w:rFonts w:eastAsia="Times New Roman"/>
              </w:rPr>
            </w:pPr>
            <w:r>
              <w:rPr>
                <w:rFonts w:ascii="Arial" w:eastAsia="Times New Roman" w:hAnsi="Arial" w:cs="Arial"/>
                <w:color w:val="000000"/>
                <w:sz w:val="20"/>
                <w:szCs w:val="20"/>
              </w:rPr>
              <w:t>24.9 </w:t>
            </w:r>
          </w:p>
        </w:tc>
        <w:tc>
          <w:tcPr>
            <w:tcW w:w="0" w:type="auto"/>
            <w:shd w:val="clear" w:color="auto" w:fill="FFFFFF"/>
            <w:tcMar>
              <w:top w:w="30" w:type="dxa"/>
              <w:left w:w="0" w:type="dxa"/>
              <w:bottom w:w="30" w:type="dxa"/>
              <w:right w:w="20" w:type="dxa"/>
            </w:tcMar>
            <w:vAlign w:val="bottom"/>
            <w:hideMark/>
          </w:tcPr>
          <w:p w14:paraId="3CA64C18" w14:textId="77777777" w:rsidR="00000000" w:rsidRDefault="001D0688">
            <w:pPr>
              <w:jc w:val="right"/>
              <w:rPr>
                <w:rFonts w:eastAsia="Times New Roman"/>
              </w:rPr>
            </w:pPr>
          </w:p>
        </w:tc>
      </w:tr>
      <w:tr w:rsidR="00000000" w14:paraId="48D54C85" w14:textId="77777777">
        <w:trPr>
          <w:divId w:val="1135297541"/>
        </w:trPr>
        <w:tc>
          <w:tcPr>
            <w:tcW w:w="0" w:type="auto"/>
            <w:gridSpan w:val="3"/>
            <w:shd w:val="clear" w:color="auto" w:fill="DCE2EF"/>
            <w:tcMar>
              <w:top w:w="30" w:type="dxa"/>
              <w:left w:w="20" w:type="dxa"/>
              <w:bottom w:w="30" w:type="dxa"/>
              <w:right w:w="20" w:type="dxa"/>
            </w:tcMar>
            <w:vAlign w:val="bottom"/>
            <w:hideMark/>
          </w:tcPr>
          <w:p w14:paraId="7A7BACB2" w14:textId="77777777" w:rsidR="00000000" w:rsidRDefault="001D0688">
            <w:pPr>
              <w:rPr>
                <w:rFonts w:eastAsia="Times New Roman"/>
              </w:rPr>
            </w:pPr>
            <w:r>
              <w:rPr>
                <w:rFonts w:ascii="Arial" w:eastAsia="Times New Roman" w:hAnsi="Arial" w:cs="Arial"/>
                <w:color w:val="000000"/>
                <w:sz w:val="20"/>
                <w:szCs w:val="20"/>
              </w:rPr>
              <w:t>Present value of lease liabilities</w:t>
            </w:r>
          </w:p>
        </w:tc>
        <w:tc>
          <w:tcPr>
            <w:tcW w:w="0" w:type="auto"/>
            <w:gridSpan w:val="3"/>
            <w:shd w:val="clear" w:color="auto" w:fill="DCE2EF"/>
            <w:tcMar>
              <w:top w:w="0" w:type="dxa"/>
              <w:left w:w="20" w:type="dxa"/>
              <w:bottom w:w="0" w:type="dxa"/>
              <w:right w:w="20" w:type="dxa"/>
            </w:tcMar>
            <w:vAlign w:val="center"/>
            <w:hideMark/>
          </w:tcPr>
          <w:p w14:paraId="759D189B" w14:textId="77777777" w:rsidR="00000000" w:rsidRDefault="001D0688">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6C5DA8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F5D86B9" w14:textId="77777777" w:rsidR="00000000" w:rsidRDefault="001D0688">
            <w:pPr>
              <w:jc w:val="right"/>
              <w:rPr>
                <w:rFonts w:eastAsia="Times New Roman"/>
              </w:rPr>
            </w:pPr>
            <w:r>
              <w:rPr>
                <w:rFonts w:ascii="Arial" w:eastAsia="Times New Roman" w:hAnsi="Arial" w:cs="Arial"/>
                <w:color w:val="000000"/>
                <w:sz w:val="20"/>
                <w:szCs w:val="20"/>
              </w:rPr>
              <w:t>166.4 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2062F9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5C792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0A11AC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F8CE197" w14:textId="77777777" w:rsidR="00000000" w:rsidRDefault="001D0688">
            <w:pPr>
              <w:jc w:val="right"/>
              <w:rPr>
                <w:rFonts w:eastAsia="Times New Roman"/>
              </w:rPr>
            </w:pPr>
            <w:r>
              <w:rPr>
                <w:rFonts w:ascii="Arial" w:eastAsia="Times New Roman" w:hAnsi="Arial" w:cs="Arial"/>
                <w:color w:val="000000"/>
                <w:sz w:val="20"/>
                <w:szCs w:val="20"/>
              </w:rPr>
              <w:t>5.1 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AB7388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002362"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A5A0AA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B571D95" w14:textId="77777777" w:rsidR="00000000" w:rsidRDefault="001D0688">
            <w:pPr>
              <w:jc w:val="right"/>
              <w:rPr>
                <w:rFonts w:eastAsia="Times New Roman"/>
              </w:rPr>
            </w:pPr>
            <w:r>
              <w:rPr>
                <w:rFonts w:ascii="Arial" w:eastAsia="Times New Roman" w:hAnsi="Arial" w:cs="Arial"/>
                <w:color w:val="000000"/>
                <w:sz w:val="20"/>
                <w:szCs w:val="20"/>
              </w:rPr>
              <w:t>171.4 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816AC1A" w14:textId="77777777" w:rsidR="00000000" w:rsidRDefault="001D0688">
            <w:pPr>
              <w:jc w:val="right"/>
              <w:rPr>
                <w:rFonts w:eastAsia="Times New Roman"/>
              </w:rPr>
            </w:pPr>
          </w:p>
        </w:tc>
      </w:tr>
    </w:tbl>
    <w:p w14:paraId="39E55372" w14:textId="77777777" w:rsidR="00000000" w:rsidRDefault="001D0688">
      <w:pPr>
        <w:ind w:firstLine="720"/>
        <w:jc w:val="both"/>
        <w:divId w:val="264581425"/>
        <w:rPr>
          <w:rFonts w:eastAsia="Times New Roman"/>
        </w:rPr>
      </w:pPr>
      <w:r>
        <w:rPr>
          <w:rFonts w:ascii="Arial" w:eastAsia="Times New Roman" w:hAnsi="Arial" w:cs="Arial"/>
          <w:color w:val="000000"/>
          <w:sz w:val="20"/>
          <w:szCs w:val="20"/>
        </w:rPr>
        <w:t>Future sublease rental income was excluded for the periods shown above as the amounts are immaterial.</w:t>
      </w:r>
    </w:p>
    <w:p w14:paraId="2DBF210B" w14:textId="77777777" w:rsidR="00000000" w:rsidRDefault="001D0688">
      <w:pPr>
        <w:ind w:firstLine="720"/>
        <w:jc w:val="both"/>
        <w:divId w:val="1281912789"/>
        <w:rPr>
          <w:rFonts w:eastAsia="Times New Roman"/>
        </w:rPr>
      </w:pPr>
      <w:r>
        <w:rPr>
          <w:rFonts w:ascii="Arial" w:eastAsia="Times New Roman" w:hAnsi="Arial" w:cs="Arial"/>
          <w:color w:val="000000"/>
          <w:sz w:val="20"/>
          <w:szCs w:val="20"/>
        </w:rPr>
        <w:t>We have entered into operating lease arrangements as of Octo</w:t>
      </w:r>
      <w:r>
        <w:rPr>
          <w:rFonts w:ascii="Arial" w:eastAsia="Times New Roman" w:hAnsi="Arial" w:cs="Arial"/>
          <w:color w:val="000000"/>
          <w:sz w:val="20"/>
          <w:szCs w:val="20"/>
        </w:rPr>
        <w:t>ber 31, 2020 that are effective for future periods. The total amount of ROU assets and lease liabilities related to these arrangements is immaterial.</w:t>
      </w:r>
    </w:p>
    <w:p w14:paraId="18637AAA" w14:textId="77777777" w:rsidR="00000000" w:rsidRDefault="001D0688">
      <w:pPr>
        <w:ind w:firstLine="720"/>
        <w:jc w:val="both"/>
        <w:divId w:val="1622109673"/>
        <w:rPr>
          <w:rFonts w:eastAsia="Times New Roman"/>
        </w:rPr>
      </w:pPr>
      <w:r>
        <w:rPr>
          <w:rFonts w:ascii="Arial" w:eastAsia="Times New Roman" w:hAnsi="Arial" w:cs="Arial"/>
          <w:color w:val="000000"/>
          <w:sz w:val="20"/>
          <w:szCs w:val="20"/>
        </w:rPr>
        <w:t>The following table includes the weighted-average remaining lease terms, in years, and the weighted-averag</w:t>
      </w:r>
      <w:r>
        <w:rPr>
          <w:rFonts w:ascii="Arial" w:eastAsia="Times New Roman" w:hAnsi="Arial" w:cs="Arial"/>
          <w:color w:val="000000"/>
          <w:sz w:val="20"/>
          <w:szCs w:val="20"/>
        </w:rPr>
        <w:t>e discount rate used to calculate the present value of operating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306"/>
        <w:gridCol w:w="37"/>
        <w:gridCol w:w="36"/>
        <w:gridCol w:w="36"/>
        <w:gridCol w:w="36"/>
        <w:gridCol w:w="38"/>
        <w:gridCol w:w="1581"/>
        <w:gridCol w:w="198"/>
      </w:tblGrid>
      <w:tr w:rsidR="00000000" w14:paraId="752F8B6E" w14:textId="77777777">
        <w:trPr>
          <w:divId w:val="1167670769"/>
        </w:trPr>
        <w:tc>
          <w:tcPr>
            <w:tcW w:w="50" w:type="pct"/>
            <w:vAlign w:val="center"/>
            <w:hideMark/>
          </w:tcPr>
          <w:p w14:paraId="3B65932A" w14:textId="77777777" w:rsidR="00000000" w:rsidRDefault="001D0688">
            <w:pPr>
              <w:ind w:firstLine="720"/>
              <w:jc w:val="both"/>
              <w:rPr>
                <w:rFonts w:eastAsia="Times New Roman"/>
              </w:rPr>
            </w:pPr>
          </w:p>
        </w:tc>
        <w:tc>
          <w:tcPr>
            <w:tcW w:w="3833" w:type="pct"/>
            <w:vAlign w:val="center"/>
            <w:hideMark/>
          </w:tcPr>
          <w:p w14:paraId="42CB9011" w14:textId="77777777" w:rsidR="00000000" w:rsidRDefault="001D0688">
            <w:pPr>
              <w:rPr>
                <w:rFonts w:eastAsia="Times New Roman"/>
                <w:sz w:val="20"/>
                <w:szCs w:val="20"/>
              </w:rPr>
            </w:pPr>
          </w:p>
        </w:tc>
        <w:tc>
          <w:tcPr>
            <w:tcW w:w="5" w:type="pct"/>
            <w:vAlign w:val="center"/>
            <w:hideMark/>
          </w:tcPr>
          <w:p w14:paraId="1662C5E7" w14:textId="77777777" w:rsidR="00000000" w:rsidRDefault="001D0688">
            <w:pPr>
              <w:rPr>
                <w:rFonts w:eastAsia="Times New Roman"/>
                <w:sz w:val="20"/>
                <w:szCs w:val="20"/>
              </w:rPr>
            </w:pPr>
          </w:p>
        </w:tc>
        <w:tc>
          <w:tcPr>
            <w:tcW w:w="5" w:type="pct"/>
            <w:vAlign w:val="center"/>
            <w:hideMark/>
          </w:tcPr>
          <w:p w14:paraId="664EEDB5" w14:textId="77777777" w:rsidR="00000000" w:rsidRDefault="001D0688">
            <w:pPr>
              <w:rPr>
                <w:rFonts w:eastAsia="Times New Roman"/>
                <w:sz w:val="20"/>
                <w:szCs w:val="20"/>
              </w:rPr>
            </w:pPr>
          </w:p>
        </w:tc>
        <w:tc>
          <w:tcPr>
            <w:tcW w:w="26" w:type="pct"/>
            <w:vAlign w:val="center"/>
            <w:hideMark/>
          </w:tcPr>
          <w:p w14:paraId="7D021AD5" w14:textId="77777777" w:rsidR="00000000" w:rsidRDefault="001D0688">
            <w:pPr>
              <w:rPr>
                <w:rFonts w:eastAsia="Times New Roman"/>
                <w:sz w:val="20"/>
                <w:szCs w:val="20"/>
              </w:rPr>
            </w:pPr>
          </w:p>
        </w:tc>
        <w:tc>
          <w:tcPr>
            <w:tcW w:w="5" w:type="pct"/>
            <w:vAlign w:val="center"/>
            <w:hideMark/>
          </w:tcPr>
          <w:p w14:paraId="54CC54AA" w14:textId="77777777" w:rsidR="00000000" w:rsidRDefault="001D0688">
            <w:pPr>
              <w:rPr>
                <w:rFonts w:eastAsia="Times New Roman"/>
                <w:sz w:val="20"/>
                <w:szCs w:val="20"/>
              </w:rPr>
            </w:pPr>
          </w:p>
        </w:tc>
        <w:tc>
          <w:tcPr>
            <w:tcW w:w="50" w:type="pct"/>
            <w:vAlign w:val="center"/>
            <w:hideMark/>
          </w:tcPr>
          <w:p w14:paraId="3DD8DE31" w14:textId="77777777" w:rsidR="00000000" w:rsidRDefault="001D0688">
            <w:pPr>
              <w:rPr>
                <w:rFonts w:eastAsia="Times New Roman"/>
                <w:sz w:val="20"/>
                <w:szCs w:val="20"/>
              </w:rPr>
            </w:pPr>
          </w:p>
        </w:tc>
        <w:tc>
          <w:tcPr>
            <w:tcW w:w="1019" w:type="pct"/>
            <w:vAlign w:val="center"/>
            <w:hideMark/>
          </w:tcPr>
          <w:p w14:paraId="43D0CEE0" w14:textId="77777777" w:rsidR="00000000" w:rsidRDefault="001D0688">
            <w:pPr>
              <w:rPr>
                <w:rFonts w:eastAsia="Times New Roman"/>
                <w:sz w:val="20"/>
                <w:szCs w:val="20"/>
              </w:rPr>
            </w:pPr>
          </w:p>
        </w:tc>
        <w:tc>
          <w:tcPr>
            <w:tcW w:w="5" w:type="pct"/>
            <w:vAlign w:val="center"/>
            <w:hideMark/>
          </w:tcPr>
          <w:p w14:paraId="3C9D2F62" w14:textId="77777777" w:rsidR="00000000" w:rsidRDefault="001D0688">
            <w:pPr>
              <w:rPr>
                <w:rFonts w:eastAsia="Times New Roman"/>
                <w:sz w:val="20"/>
                <w:szCs w:val="20"/>
              </w:rPr>
            </w:pPr>
          </w:p>
        </w:tc>
      </w:tr>
      <w:tr w:rsidR="00000000" w14:paraId="606BEF14" w14:textId="77777777">
        <w:trPr>
          <w:divId w:val="1167670769"/>
        </w:trPr>
        <w:tc>
          <w:tcPr>
            <w:tcW w:w="0" w:type="auto"/>
            <w:gridSpan w:val="3"/>
            <w:tcMar>
              <w:top w:w="0" w:type="dxa"/>
              <w:left w:w="20" w:type="dxa"/>
              <w:bottom w:w="0" w:type="dxa"/>
              <w:right w:w="20" w:type="dxa"/>
            </w:tcMar>
            <w:vAlign w:val="center"/>
            <w:hideMark/>
          </w:tcPr>
          <w:p w14:paraId="3C04EA1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394E97E"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22CE53A7" w14:textId="77777777" w:rsidR="00000000" w:rsidRDefault="001D0688">
            <w:pPr>
              <w:jc w:val="center"/>
              <w:rPr>
                <w:rFonts w:eastAsia="Times New Roman"/>
              </w:rPr>
            </w:pPr>
            <w:r>
              <w:rPr>
                <w:rFonts w:ascii="Arial" w:eastAsia="Times New Roman" w:hAnsi="Arial" w:cs="Arial"/>
                <w:b/>
                <w:bCs/>
                <w:color w:val="000000"/>
                <w:sz w:val="20"/>
                <w:szCs w:val="20"/>
              </w:rPr>
              <w:t>As of</w:t>
            </w:r>
          </w:p>
        </w:tc>
      </w:tr>
      <w:tr w:rsidR="00000000" w14:paraId="3FF97B8A" w14:textId="77777777">
        <w:trPr>
          <w:divId w:val="1167670769"/>
        </w:trPr>
        <w:tc>
          <w:tcPr>
            <w:tcW w:w="0" w:type="auto"/>
            <w:gridSpan w:val="3"/>
            <w:tcMar>
              <w:top w:w="0" w:type="dxa"/>
              <w:left w:w="20" w:type="dxa"/>
              <w:bottom w:w="0" w:type="dxa"/>
              <w:right w:w="20" w:type="dxa"/>
            </w:tcMar>
            <w:vAlign w:val="center"/>
            <w:hideMark/>
          </w:tcPr>
          <w:p w14:paraId="27BFC20F"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02849398"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331ECF0A"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r>
      <w:tr w:rsidR="00000000" w14:paraId="00BAB958" w14:textId="77777777">
        <w:trPr>
          <w:divId w:val="1167670769"/>
        </w:trPr>
        <w:tc>
          <w:tcPr>
            <w:tcW w:w="0" w:type="auto"/>
            <w:gridSpan w:val="3"/>
            <w:shd w:val="clear" w:color="auto" w:fill="DCE2EF"/>
            <w:tcMar>
              <w:top w:w="30" w:type="dxa"/>
              <w:left w:w="20" w:type="dxa"/>
              <w:bottom w:w="30" w:type="dxa"/>
              <w:right w:w="20" w:type="dxa"/>
            </w:tcMar>
            <w:vAlign w:val="bottom"/>
            <w:hideMark/>
          </w:tcPr>
          <w:p w14:paraId="610543DC" w14:textId="77777777" w:rsidR="00000000" w:rsidRDefault="001D0688">
            <w:pPr>
              <w:rPr>
                <w:rFonts w:eastAsia="Times New Roman"/>
              </w:rPr>
            </w:pPr>
            <w:r>
              <w:rPr>
                <w:rFonts w:ascii="Arial" w:eastAsia="Times New Roman" w:hAnsi="Arial" w:cs="Arial"/>
                <w:color w:val="000000"/>
                <w:sz w:val="20"/>
                <w:szCs w:val="20"/>
              </w:rPr>
              <w:t>Weighted-average remaining lease term (years)</w:t>
            </w:r>
          </w:p>
        </w:tc>
        <w:tc>
          <w:tcPr>
            <w:tcW w:w="0" w:type="auto"/>
            <w:gridSpan w:val="3"/>
            <w:shd w:val="clear" w:color="auto" w:fill="DCE2EF"/>
            <w:tcMar>
              <w:top w:w="0" w:type="dxa"/>
              <w:left w:w="20" w:type="dxa"/>
              <w:bottom w:w="0" w:type="dxa"/>
              <w:right w:w="20" w:type="dxa"/>
            </w:tcMar>
            <w:vAlign w:val="center"/>
            <w:hideMark/>
          </w:tcPr>
          <w:p w14:paraId="220929E3" w14:textId="77777777" w:rsidR="00000000" w:rsidRDefault="001D0688">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498B092" w14:textId="77777777" w:rsidR="00000000" w:rsidRDefault="001D0688">
            <w:pPr>
              <w:rPr>
                <w:rFonts w:eastAsia="Times New Roman"/>
                <w:sz w:val="20"/>
                <w:szCs w:val="20"/>
              </w:rPr>
            </w:pPr>
          </w:p>
        </w:tc>
      </w:tr>
      <w:tr w:rsidR="00000000" w14:paraId="3915F1CB" w14:textId="77777777">
        <w:trPr>
          <w:divId w:val="1167670769"/>
        </w:trPr>
        <w:tc>
          <w:tcPr>
            <w:tcW w:w="0" w:type="auto"/>
            <w:gridSpan w:val="3"/>
            <w:shd w:val="clear" w:color="auto" w:fill="FFFFFF"/>
            <w:tcMar>
              <w:top w:w="30" w:type="dxa"/>
              <w:left w:w="260" w:type="dxa"/>
              <w:bottom w:w="30" w:type="dxa"/>
              <w:right w:w="20" w:type="dxa"/>
            </w:tcMar>
            <w:vAlign w:val="bottom"/>
            <w:hideMark/>
          </w:tcPr>
          <w:p w14:paraId="16651274" w14:textId="77777777" w:rsidR="00000000" w:rsidRDefault="001D0688">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14:paraId="3E81A96F"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4DDCA2" w14:textId="77777777" w:rsidR="00000000" w:rsidRDefault="001D0688">
            <w:pPr>
              <w:jc w:val="right"/>
              <w:rPr>
                <w:rFonts w:eastAsia="Times New Roman"/>
              </w:rPr>
            </w:pPr>
            <w:r>
              <w:rPr>
                <w:rFonts w:ascii="Arial" w:eastAsia="Times New Roman" w:hAnsi="Arial" w:cs="Arial"/>
                <w:color w:val="000000"/>
                <w:sz w:val="20"/>
                <w:szCs w:val="20"/>
              </w:rPr>
              <w:t>6.1</w:t>
            </w:r>
          </w:p>
        </w:tc>
      </w:tr>
      <w:tr w:rsidR="00000000" w14:paraId="5581DCBB" w14:textId="77777777">
        <w:trPr>
          <w:divId w:val="1167670769"/>
        </w:trPr>
        <w:tc>
          <w:tcPr>
            <w:tcW w:w="0" w:type="auto"/>
            <w:gridSpan w:val="3"/>
            <w:shd w:val="clear" w:color="auto" w:fill="DCE2EF"/>
            <w:tcMar>
              <w:top w:w="30" w:type="dxa"/>
              <w:left w:w="260" w:type="dxa"/>
              <w:bottom w:w="30" w:type="dxa"/>
              <w:right w:w="20" w:type="dxa"/>
            </w:tcMar>
            <w:vAlign w:val="bottom"/>
            <w:hideMark/>
          </w:tcPr>
          <w:p w14:paraId="19E9C267" w14:textId="77777777" w:rsidR="00000000" w:rsidRDefault="001D0688">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14:paraId="37D3B21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F644A43" w14:textId="77777777" w:rsidR="00000000" w:rsidRDefault="001D0688">
            <w:pPr>
              <w:jc w:val="right"/>
              <w:rPr>
                <w:rFonts w:eastAsia="Times New Roman"/>
              </w:rPr>
            </w:pPr>
            <w:r>
              <w:rPr>
                <w:rFonts w:ascii="Arial" w:eastAsia="Times New Roman" w:hAnsi="Arial" w:cs="Arial"/>
                <w:color w:val="000000"/>
                <w:sz w:val="20"/>
                <w:szCs w:val="20"/>
              </w:rPr>
              <w:t>2.0</w:t>
            </w:r>
          </w:p>
        </w:tc>
      </w:tr>
      <w:tr w:rsidR="00000000" w14:paraId="1DE69610" w14:textId="77777777">
        <w:trPr>
          <w:divId w:val="1167670769"/>
        </w:trPr>
        <w:tc>
          <w:tcPr>
            <w:tcW w:w="0" w:type="auto"/>
            <w:gridSpan w:val="3"/>
            <w:shd w:val="clear" w:color="auto" w:fill="FFFFFF"/>
            <w:tcMar>
              <w:top w:w="30" w:type="dxa"/>
              <w:left w:w="20" w:type="dxa"/>
              <w:bottom w:w="30" w:type="dxa"/>
              <w:right w:w="20" w:type="dxa"/>
            </w:tcMar>
            <w:hideMark/>
          </w:tcPr>
          <w:p w14:paraId="71FDDD74" w14:textId="77777777" w:rsidR="00000000" w:rsidRDefault="001D0688">
            <w:pPr>
              <w:rPr>
                <w:rFonts w:eastAsia="Times New Roman"/>
              </w:rPr>
            </w:pPr>
            <w:r>
              <w:rPr>
                <w:rFonts w:ascii="Arial" w:eastAsia="Times New Roman" w:hAnsi="Arial" w:cs="Arial"/>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14:paraId="33259E15"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E57AE" w14:textId="77777777" w:rsidR="00000000" w:rsidRDefault="001D0688">
            <w:pPr>
              <w:rPr>
                <w:rFonts w:eastAsia="Times New Roman"/>
                <w:sz w:val="20"/>
                <w:szCs w:val="20"/>
              </w:rPr>
            </w:pPr>
          </w:p>
        </w:tc>
      </w:tr>
      <w:tr w:rsidR="00000000" w14:paraId="003A548C" w14:textId="77777777">
        <w:trPr>
          <w:divId w:val="1167670769"/>
        </w:trPr>
        <w:tc>
          <w:tcPr>
            <w:tcW w:w="0" w:type="auto"/>
            <w:gridSpan w:val="3"/>
            <w:shd w:val="clear" w:color="auto" w:fill="DCE2EF"/>
            <w:tcMar>
              <w:top w:w="30" w:type="dxa"/>
              <w:left w:w="260" w:type="dxa"/>
              <w:bottom w:w="30" w:type="dxa"/>
              <w:right w:w="20" w:type="dxa"/>
            </w:tcMar>
            <w:vAlign w:val="bottom"/>
            <w:hideMark/>
          </w:tcPr>
          <w:p w14:paraId="3217B436" w14:textId="77777777" w:rsidR="00000000" w:rsidRDefault="001D0688">
            <w:pPr>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14:paraId="526951A2"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D6DA1C6" w14:textId="77777777" w:rsidR="00000000" w:rsidRDefault="001D0688">
            <w:pPr>
              <w:jc w:val="right"/>
              <w:rPr>
                <w:rFonts w:eastAsia="Times New Roman"/>
              </w:rPr>
            </w:pPr>
            <w:r>
              <w:rPr>
                <w:rFonts w:ascii="Arial" w:eastAsia="Times New Roman" w:hAnsi="Arial" w:cs="Arial"/>
                <w:color w:val="000000"/>
                <w:sz w:val="20"/>
                <w:szCs w:val="20"/>
              </w:rPr>
              <w:t>4.14 </w:t>
            </w:r>
          </w:p>
        </w:tc>
        <w:tc>
          <w:tcPr>
            <w:tcW w:w="0" w:type="auto"/>
            <w:shd w:val="clear" w:color="auto" w:fill="DCE2EF"/>
            <w:tcMar>
              <w:top w:w="30" w:type="dxa"/>
              <w:left w:w="0" w:type="dxa"/>
              <w:bottom w:w="30" w:type="dxa"/>
              <w:right w:w="20" w:type="dxa"/>
            </w:tcMar>
            <w:vAlign w:val="bottom"/>
            <w:hideMark/>
          </w:tcPr>
          <w:p w14:paraId="61E3EE50" w14:textId="77777777" w:rsidR="00000000" w:rsidRDefault="001D0688">
            <w:pPr>
              <w:jc w:val="right"/>
              <w:rPr>
                <w:rFonts w:eastAsia="Times New Roman"/>
              </w:rPr>
            </w:pPr>
            <w:r>
              <w:rPr>
                <w:rFonts w:ascii="Arial" w:eastAsia="Times New Roman" w:hAnsi="Arial" w:cs="Arial"/>
                <w:color w:val="000000"/>
                <w:sz w:val="20"/>
                <w:szCs w:val="20"/>
              </w:rPr>
              <w:t>%</w:t>
            </w:r>
          </w:p>
        </w:tc>
      </w:tr>
      <w:tr w:rsidR="00000000" w14:paraId="5D5EDE53" w14:textId="77777777">
        <w:trPr>
          <w:divId w:val="1167670769"/>
        </w:trPr>
        <w:tc>
          <w:tcPr>
            <w:tcW w:w="0" w:type="auto"/>
            <w:gridSpan w:val="3"/>
            <w:shd w:val="clear" w:color="auto" w:fill="FFFFFF"/>
            <w:tcMar>
              <w:top w:w="30" w:type="dxa"/>
              <w:left w:w="260" w:type="dxa"/>
              <w:bottom w:w="30" w:type="dxa"/>
              <w:right w:w="20" w:type="dxa"/>
            </w:tcMar>
            <w:vAlign w:val="bottom"/>
            <w:hideMark/>
          </w:tcPr>
          <w:p w14:paraId="58CA3E66" w14:textId="77777777" w:rsidR="00000000" w:rsidRDefault="001D0688">
            <w:pPr>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14:paraId="61C8AA18"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32372E" w14:textId="77777777" w:rsidR="00000000" w:rsidRDefault="001D0688">
            <w:pPr>
              <w:jc w:val="right"/>
              <w:rPr>
                <w:rFonts w:eastAsia="Times New Roman"/>
              </w:rPr>
            </w:pPr>
            <w:r>
              <w:rPr>
                <w:rFonts w:ascii="Arial" w:eastAsia="Times New Roman" w:hAnsi="Arial" w:cs="Arial"/>
                <w:color w:val="000000"/>
                <w:sz w:val="20"/>
                <w:szCs w:val="20"/>
              </w:rPr>
              <w:t>4.55 </w:t>
            </w:r>
          </w:p>
        </w:tc>
        <w:tc>
          <w:tcPr>
            <w:tcW w:w="0" w:type="auto"/>
            <w:shd w:val="clear" w:color="auto" w:fill="FFFFFF"/>
            <w:tcMar>
              <w:top w:w="30" w:type="dxa"/>
              <w:left w:w="0" w:type="dxa"/>
              <w:bottom w:w="30" w:type="dxa"/>
              <w:right w:w="20" w:type="dxa"/>
            </w:tcMar>
            <w:vAlign w:val="bottom"/>
            <w:hideMark/>
          </w:tcPr>
          <w:p w14:paraId="237BBF19" w14:textId="77777777" w:rsidR="00000000" w:rsidRDefault="001D0688">
            <w:pPr>
              <w:jc w:val="right"/>
              <w:rPr>
                <w:rFonts w:eastAsia="Times New Roman"/>
              </w:rPr>
            </w:pPr>
            <w:r>
              <w:rPr>
                <w:rFonts w:ascii="Arial" w:eastAsia="Times New Roman" w:hAnsi="Arial" w:cs="Arial"/>
                <w:color w:val="000000"/>
                <w:sz w:val="20"/>
                <w:szCs w:val="20"/>
              </w:rPr>
              <w:t>%</w:t>
            </w:r>
          </w:p>
        </w:tc>
      </w:tr>
    </w:tbl>
    <w:p w14:paraId="1B83F17E" w14:textId="77777777" w:rsidR="00000000" w:rsidRDefault="001D0688">
      <w:pPr>
        <w:ind w:firstLine="720"/>
        <w:jc w:val="both"/>
        <w:divId w:val="1875997603"/>
        <w:rPr>
          <w:rFonts w:eastAsia="Times New Roman"/>
        </w:rPr>
      </w:pPr>
      <w:r>
        <w:rPr>
          <w:rFonts w:ascii="Arial" w:eastAsia="Times New Roman" w:hAnsi="Arial" w:cs="Arial"/>
          <w:color w:val="000000"/>
          <w:sz w:val="20"/>
          <w:szCs w:val="20"/>
        </w:rPr>
        <w:t>The following table includes supplemental cash and non-cash information related to operating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6261"/>
        <w:gridCol w:w="36"/>
        <w:gridCol w:w="36"/>
        <w:gridCol w:w="36"/>
        <w:gridCol w:w="36"/>
        <w:gridCol w:w="36"/>
        <w:gridCol w:w="36"/>
        <w:gridCol w:w="133"/>
        <w:gridCol w:w="1622"/>
        <w:gridCol w:w="36"/>
      </w:tblGrid>
      <w:tr w:rsidR="00000000" w14:paraId="42AA41CC" w14:textId="77777777">
        <w:trPr>
          <w:divId w:val="1289314771"/>
        </w:trPr>
        <w:tc>
          <w:tcPr>
            <w:tcW w:w="50" w:type="pct"/>
            <w:vAlign w:val="center"/>
            <w:hideMark/>
          </w:tcPr>
          <w:p w14:paraId="2FD4325C" w14:textId="77777777" w:rsidR="00000000" w:rsidRDefault="001D0688">
            <w:pPr>
              <w:ind w:firstLine="720"/>
              <w:jc w:val="both"/>
              <w:rPr>
                <w:rFonts w:eastAsia="Times New Roman"/>
              </w:rPr>
            </w:pPr>
          </w:p>
        </w:tc>
        <w:tc>
          <w:tcPr>
            <w:tcW w:w="3841" w:type="pct"/>
            <w:vAlign w:val="center"/>
            <w:hideMark/>
          </w:tcPr>
          <w:p w14:paraId="7A9CC71D" w14:textId="77777777" w:rsidR="00000000" w:rsidRDefault="001D0688">
            <w:pPr>
              <w:rPr>
                <w:rFonts w:eastAsia="Times New Roman"/>
                <w:sz w:val="20"/>
                <w:szCs w:val="20"/>
              </w:rPr>
            </w:pPr>
          </w:p>
        </w:tc>
        <w:tc>
          <w:tcPr>
            <w:tcW w:w="5" w:type="pct"/>
            <w:vAlign w:val="center"/>
            <w:hideMark/>
          </w:tcPr>
          <w:p w14:paraId="6B8F9F9D" w14:textId="77777777" w:rsidR="00000000" w:rsidRDefault="001D0688">
            <w:pPr>
              <w:rPr>
                <w:rFonts w:eastAsia="Times New Roman"/>
                <w:sz w:val="20"/>
                <w:szCs w:val="20"/>
              </w:rPr>
            </w:pPr>
          </w:p>
        </w:tc>
        <w:tc>
          <w:tcPr>
            <w:tcW w:w="5" w:type="pct"/>
            <w:vAlign w:val="center"/>
            <w:hideMark/>
          </w:tcPr>
          <w:p w14:paraId="7FEB4271" w14:textId="77777777" w:rsidR="00000000" w:rsidRDefault="001D0688">
            <w:pPr>
              <w:rPr>
                <w:rFonts w:eastAsia="Times New Roman"/>
                <w:sz w:val="20"/>
                <w:szCs w:val="20"/>
              </w:rPr>
            </w:pPr>
          </w:p>
        </w:tc>
        <w:tc>
          <w:tcPr>
            <w:tcW w:w="19" w:type="pct"/>
            <w:vAlign w:val="center"/>
            <w:hideMark/>
          </w:tcPr>
          <w:p w14:paraId="7F60E55A" w14:textId="77777777" w:rsidR="00000000" w:rsidRDefault="001D0688">
            <w:pPr>
              <w:rPr>
                <w:rFonts w:eastAsia="Times New Roman"/>
                <w:sz w:val="20"/>
                <w:szCs w:val="20"/>
              </w:rPr>
            </w:pPr>
          </w:p>
        </w:tc>
        <w:tc>
          <w:tcPr>
            <w:tcW w:w="5" w:type="pct"/>
            <w:vAlign w:val="center"/>
            <w:hideMark/>
          </w:tcPr>
          <w:p w14:paraId="434BBB16" w14:textId="77777777" w:rsidR="00000000" w:rsidRDefault="001D0688">
            <w:pPr>
              <w:rPr>
                <w:rFonts w:eastAsia="Times New Roman"/>
                <w:sz w:val="20"/>
                <w:szCs w:val="20"/>
              </w:rPr>
            </w:pPr>
          </w:p>
        </w:tc>
        <w:tc>
          <w:tcPr>
            <w:tcW w:w="0" w:type="auto"/>
            <w:vAlign w:val="center"/>
            <w:hideMark/>
          </w:tcPr>
          <w:p w14:paraId="4B550B8A" w14:textId="77777777" w:rsidR="00000000" w:rsidRDefault="001D0688">
            <w:pPr>
              <w:rPr>
                <w:rFonts w:eastAsia="Times New Roman"/>
                <w:sz w:val="20"/>
                <w:szCs w:val="20"/>
              </w:rPr>
            </w:pPr>
          </w:p>
        </w:tc>
        <w:tc>
          <w:tcPr>
            <w:tcW w:w="0" w:type="auto"/>
            <w:vAlign w:val="center"/>
            <w:hideMark/>
          </w:tcPr>
          <w:p w14:paraId="18A89117" w14:textId="77777777" w:rsidR="00000000" w:rsidRDefault="001D0688">
            <w:pPr>
              <w:rPr>
                <w:rFonts w:eastAsia="Times New Roman"/>
                <w:sz w:val="20"/>
                <w:szCs w:val="20"/>
              </w:rPr>
            </w:pPr>
          </w:p>
        </w:tc>
        <w:tc>
          <w:tcPr>
            <w:tcW w:w="50" w:type="pct"/>
            <w:vAlign w:val="center"/>
            <w:hideMark/>
          </w:tcPr>
          <w:p w14:paraId="15D2DEAC" w14:textId="77777777" w:rsidR="00000000" w:rsidRDefault="001D0688">
            <w:pPr>
              <w:rPr>
                <w:rFonts w:eastAsia="Times New Roman"/>
                <w:sz w:val="20"/>
                <w:szCs w:val="20"/>
              </w:rPr>
            </w:pPr>
          </w:p>
        </w:tc>
        <w:tc>
          <w:tcPr>
            <w:tcW w:w="1019" w:type="pct"/>
            <w:vAlign w:val="center"/>
            <w:hideMark/>
          </w:tcPr>
          <w:p w14:paraId="55B5329E" w14:textId="77777777" w:rsidR="00000000" w:rsidRDefault="001D0688">
            <w:pPr>
              <w:rPr>
                <w:rFonts w:eastAsia="Times New Roman"/>
                <w:sz w:val="20"/>
                <w:szCs w:val="20"/>
              </w:rPr>
            </w:pPr>
          </w:p>
        </w:tc>
        <w:tc>
          <w:tcPr>
            <w:tcW w:w="5" w:type="pct"/>
            <w:vAlign w:val="center"/>
            <w:hideMark/>
          </w:tcPr>
          <w:p w14:paraId="2363B1D7" w14:textId="77777777" w:rsidR="00000000" w:rsidRDefault="001D0688">
            <w:pPr>
              <w:rPr>
                <w:rFonts w:eastAsia="Times New Roman"/>
                <w:sz w:val="20"/>
                <w:szCs w:val="20"/>
              </w:rPr>
            </w:pPr>
          </w:p>
        </w:tc>
      </w:tr>
      <w:tr w:rsidR="00000000" w14:paraId="2F135BB0" w14:textId="77777777">
        <w:trPr>
          <w:divId w:val="1289314771"/>
        </w:trPr>
        <w:tc>
          <w:tcPr>
            <w:tcW w:w="0" w:type="auto"/>
            <w:gridSpan w:val="3"/>
            <w:tcMar>
              <w:top w:w="30" w:type="dxa"/>
              <w:left w:w="20" w:type="dxa"/>
              <w:bottom w:w="30" w:type="dxa"/>
              <w:right w:w="20" w:type="dxa"/>
            </w:tcMar>
            <w:vAlign w:val="bottom"/>
            <w:hideMark/>
          </w:tcPr>
          <w:p w14:paraId="18AB0DE5" w14:textId="77777777" w:rsidR="00000000" w:rsidRDefault="001D0688">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540DB69" w14:textId="77777777" w:rsidR="00000000" w:rsidRDefault="001D0688">
            <w:pPr>
              <w:rPr>
                <w:rFonts w:eastAsia="Times New Roman"/>
              </w:rPr>
            </w:pPr>
          </w:p>
        </w:tc>
        <w:tc>
          <w:tcPr>
            <w:tcW w:w="0" w:type="auto"/>
            <w:vAlign w:val="center"/>
            <w:hideMark/>
          </w:tcPr>
          <w:p w14:paraId="542E4773" w14:textId="77777777" w:rsidR="00000000" w:rsidRDefault="001D0688">
            <w:pPr>
              <w:rPr>
                <w:rFonts w:eastAsia="Times New Roman"/>
                <w:sz w:val="20"/>
                <w:szCs w:val="20"/>
              </w:rPr>
            </w:pPr>
          </w:p>
        </w:tc>
        <w:tc>
          <w:tcPr>
            <w:tcW w:w="0" w:type="auto"/>
            <w:vAlign w:val="center"/>
            <w:hideMark/>
          </w:tcPr>
          <w:p w14:paraId="0E77EDCF"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29EAC850" w14:textId="77777777" w:rsidR="00000000" w:rsidRDefault="001D0688">
            <w:pPr>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t>October 31, 2020</w:t>
            </w:r>
          </w:p>
        </w:tc>
      </w:tr>
      <w:tr w:rsidR="00000000" w14:paraId="024D27FF" w14:textId="77777777">
        <w:trPr>
          <w:divId w:val="1289314771"/>
        </w:trPr>
        <w:tc>
          <w:tcPr>
            <w:tcW w:w="0" w:type="auto"/>
            <w:gridSpan w:val="3"/>
            <w:shd w:val="clear" w:color="auto" w:fill="DCE2EF"/>
            <w:tcMar>
              <w:top w:w="30" w:type="dxa"/>
              <w:left w:w="20" w:type="dxa"/>
              <w:bottom w:w="30" w:type="dxa"/>
              <w:right w:w="20" w:type="dxa"/>
            </w:tcMar>
            <w:vAlign w:val="bottom"/>
            <w:hideMark/>
          </w:tcPr>
          <w:p w14:paraId="14B13260" w14:textId="77777777" w:rsidR="00000000" w:rsidRDefault="001D0688">
            <w:pPr>
              <w:rPr>
                <w:rFonts w:eastAsia="Times New Roman"/>
              </w:rPr>
            </w:pPr>
            <w:r>
              <w:rPr>
                <w:rFonts w:ascii="Arial" w:eastAsia="Times New Roman" w:hAnsi="Arial" w:cs="Arial"/>
                <w:color w:val="000000"/>
                <w:sz w:val="20"/>
                <w:szCs w:val="20"/>
              </w:rPr>
              <w:t>Cash paid for amounts included in the measurement of lease liabilities</w:t>
            </w:r>
          </w:p>
        </w:tc>
        <w:tc>
          <w:tcPr>
            <w:tcW w:w="0" w:type="auto"/>
            <w:gridSpan w:val="3"/>
            <w:shd w:val="clear" w:color="auto" w:fill="DCE2EF"/>
            <w:tcMar>
              <w:top w:w="0" w:type="dxa"/>
              <w:left w:w="20" w:type="dxa"/>
              <w:bottom w:w="0" w:type="dxa"/>
              <w:right w:w="20" w:type="dxa"/>
            </w:tcMar>
            <w:vAlign w:val="center"/>
            <w:hideMark/>
          </w:tcPr>
          <w:p w14:paraId="6CE652A1" w14:textId="77777777" w:rsidR="00000000" w:rsidRDefault="001D0688">
            <w:pPr>
              <w:rPr>
                <w:rFonts w:eastAsia="Times New Roman"/>
              </w:rPr>
            </w:pPr>
          </w:p>
        </w:tc>
        <w:tc>
          <w:tcPr>
            <w:tcW w:w="0" w:type="auto"/>
            <w:vAlign w:val="center"/>
            <w:hideMark/>
          </w:tcPr>
          <w:p w14:paraId="5AFCEECF" w14:textId="77777777" w:rsidR="00000000" w:rsidRDefault="001D0688">
            <w:pPr>
              <w:rPr>
                <w:rFonts w:eastAsia="Times New Roman"/>
                <w:sz w:val="20"/>
                <w:szCs w:val="20"/>
              </w:rPr>
            </w:pPr>
          </w:p>
        </w:tc>
        <w:tc>
          <w:tcPr>
            <w:tcW w:w="0" w:type="auto"/>
            <w:vAlign w:val="center"/>
            <w:hideMark/>
          </w:tcPr>
          <w:p w14:paraId="34627303"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FE2FE93" w14:textId="77777777" w:rsidR="00000000" w:rsidRDefault="001D0688">
            <w:pPr>
              <w:rPr>
                <w:rFonts w:eastAsia="Times New Roman"/>
                <w:sz w:val="20"/>
                <w:szCs w:val="20"/>
              </w:rPr>
            </w:pPr>
          </w:p>
        </w:tc>
      </w:tr>
      <w:tr w:rsidR="00000000" w14:paraId="667DF8AC" w14:textId="77777777">
        <w:trPr>
          <w:divId w:val="1289314771"/>
        </w:trPr>
        <w:tc>
          <w:tcPr>
            <w:tcW w:w="0" w:type="auto"/>
            <w:gridSpan w:val="3"/>
            <w:shd w:val="clear" w:color="auto" w:fill="FFFFFF"/>
            <w:tcMar>
              <w:top w:w="30" w:type="dxa"/>
              <w:left w:w="260" w:type="dxa"/>
              <w:bottom w:w="30" w:type="dxa"/>
              <w:right w:w="20" w:type="dxa"/>
            </w:tcMar>
            <w:vAlign w:val="bottom"/>
            <w:hideMark/>
          </w:tcPr>
          <w:p w14:paraId="650405E6" w14:textId="77777777" w:rsidR="00000000" w:rsidRDefault="001D0688">
            <w:pPr>
              <w:rPr>
                <w:rFonts w:eastAsia="Times New Roman"/>
              </w:rPr>
            </w:pPr>
            <w:r>
              <w:rPr>
                <w:rFonts w:ascii="Arial" w:eastAsia="Times New Roman" w:hAnsi="Arial" w:cs="Arial"/>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14:paraId="66634576" w14:textId="77777777" w:rsidR="00000000" w:rsidRDefault="001D0688">
            <w:pPr>
              <w:rPr>
                <w:rFonts w:eastAsia="Times New Roman"/>
              </w:rPr>
            </w:pPr>
          </w:p>
        </w:tc>
        <w:tc>
          <w:tcPr>
            <w:tcW w:w="0" w:type="auto"/>
            <w:vAlign w:val="center"/>
            <w:hideMark/>
          </w:tcPr>
          <w:p w14:paraId="096CA8D8" w14:textId="77777777" w:rsidR="00000000" w:rsidRDefault="001D0688">
            <w:pPr>
              <w:rPr>
                <w:rFonts w:eastAsia="Times New Roman"/>
                <w:sz w:val="20"/>
                <w:szCs w:val="20"/>
              </w:rPr>
            </w:pPr>
          </w:p>
        </w:tc>
        <w:tc>
          <w:tcPr>
            <w:tcW w:w="0" w:type="auto"/>
            <w:vAlign w:val="center"/>
            <w:hideMark/>
          </w:tcPr>
          <w:p w14:paraId="28962C4E" w14:textId="77777777" w:rsidR="00000000" w:rsidRDefault="001D0688">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2E6AE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3C7ED19" w14:textId="77777777" w:rsidR="00000000" w:rsidRDefault="001D0688">
            <w:pPr>
              <w:jc w:val="right"/>
              <w:rPr>
                <w:rFonts w:eastAsia="Times New Roman"/>
              </w:rPr>
            </w:pPr>
            <w:r>
              <w:rPr>
                <w:rFonts w:ascii="Arial" w:eastAsia="Times New Roman" w:hAnsi="Arial" w:cs="Arial"/>
                <w:color w:val="000000"/>
                <w:sz w:val="20"/>
                <w:szCs w:val="20"/>
              </w:rPr>
              <w:t>44.8 </w:t>
            </w:r>
          </w:p>
        </w:tc>
        <w:tc>
          <w:tcPr>
            <w:tcW w:w="0" w:type="auto"/>
            <w:shd w:val="clear" w:color="auto" w:fill="FFFFFF"/>
            <w:tcMar>
              <w:top w:w="30" w:type="dxa"/>
              <w:left w:w="0" w:type="dxa"/>
              <w:bottom w:w="30" w:type="dxa"/>
              <w:right w:w="20" w:type="dxa"/>
            </w:tcMar>
            <w:vAlign w:val="bottom"/>
            <w:hideMark/>
          </w:tcPr>
          <w:p w14:paraId="47DF8F01" w14:textId="77777777" w:rsidR="00000000" w:rsidRDefault="001D0688">
            <w:pPr>
              <w:jc w:val="right"/>
              <w:rPr>
                <w:rFonts w:eastAsia="Times New Roman"/>
              </w:rPr>
            </w:pPr>
          </w:p>
        </w:tc>
      </w:tr>
      <w:tr w:rsidR="00000000" w14:paraId="75CA7C0E" w14:textId="77777777">
        <w:trPr>
          <w:divId w:val="1289314771"/>
        </w:trPr>
        <w:tc>
          <w:tcPr>
            <w:tcW w:w="0" w:type="auto"/>
            <w:gridSpan w:val="3"/>
            <w:shd w:val="clear" w:color="auto" w:fill="DCE2EF"/>
            <w:tcMar>
              <w:top w:w="30" w:type="dxa"/>
              <w:left w:w="260" w:type="dxa"/>
              <w:bottom w:w="30" w:type="dxa"/>
              <w:right w:w="20" w:type="dxa"/>
            </w:tcMar>
            <w:vAlign w:val="bottom"/>
            <w:hideMark/>
          </w:tcPr>
          <w:p w14:paraId="09B9BA20" w14:textId="77777777" w:rsidR="00000000" w:rsidRDefault="001D0688">
            <w:pPr>
              <w:rPr>
                <w:rFonts w:eastAsia="Times New Roman"/>
              </w:rPr>
            </w:pPr>
            <w:r>
              <w:rPr>
                <w:rFonts w:ascii="Arial" w:eastAsia="Times New Roman" w:hAnsi="Arial" w:cs="Arial"/>
                <w:color w:val="000000"/>
                <w:sz w:val="20"/>
                <w:szCs w:val="20"/>
              </w:rPr>
              <w:t>Operating cash flows from finance leases</w:t>
            </w:r>
          </w:p>
        </w:tc>
        <w:tc>
          <w:tcPr>
            <w:tcW w:w="0" w:type="auto"/>
            <w:gridSpan w:val="3"/>
            <w:shd w:val="clear" w:color="auto" w:fill="DCE2EF"/>
            <w:tcMar>
              <w:top w:w="0" w:type="dxa"/>
              <w:left w:w="20" w:type="dxa"/>
              <w:bottom w:w="0" w:type="dxa"/>
              <w:right w:w="20" w:type="dxa"/>
            </w:tcMar>
            <w:vAlign w:val="center"/>
            <w:hideMark/>
          </w:tcPr>
          <w:p w14:paraId="352616B9" w14:textId="77777777" w:rsidR="00000000" w:rsidRDefault="001D0688">
            <w:pPr>
              <w:rPr>
                <w:rFonts w:eastAsia="Times New Roman"/>
              </w:rPr>
            </w:pPr>
          </w:p>
        </w:tc>
        <w:tc>
          <w:tcPr>
            <w:tcW w:w="0" w:type="auto"/>
            <w:vAlign w:val="center"/>
            <w:hideMark/>
          </w:tcPr>
          <w:p w14:paraId="11427A6C" w14:textId="77777777" w:rsidR="00000000" w:rsidRDefault="001D0688">
            <w:pPr>
              <w:rPr>
                <w:rFonts w:eastAsia="Times New Roman"/>
                <w:sz w:val="20"/>
                <w:szCs w:val="20"/>
              </w:rPr>
            </w:pPr>
          </w:p>
        </w:tc>
        <w:tc>
          <w:tcPr>
            <w:tcW w:w="0" w:type="auto"/>
            <w:vAlign w:val="center"/>
            <w:hideMark/>
          </w:tcPr>
          <w:p w14:paraId="3E5F3217"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116050" w14:textId="77777777" w:rsidR="00000000" w:rsidRDefault="001D0688">
            <w:pPr>
              <w:jc w:val="right"/>
              <w:rPr>
                <w:rFonts w:eastAsia="Times New Roman"/>
              </w:rPr>
            </w:pPr>
            <w:r>
              <w:rPr>
                <w:rFonts w:ascii="Arial" w:eastAsia="Times New Roman" w:hAnsi="Arial" w:cs="Arial"/>
                <w:color w:val="000000"/>
                <w:sz w:val="20"/>
                <w:szCs w:val="20"/>
              </w:rPr>
              <w:t>0.5 </w:t>
            </w:r>
          </w:p>
        </w:tc>
        <w:tc>
          <w:tcPr>
            <w:tcW w:w="0" w:type="auto"/>
            <w:shd w:val="clear" w:color="auto" w:fill="DCE2EF"/>
            <w:tcMar>
              <w:top w:w="30" w:type="dxa"/>
              <w:left w:w="0" w:type="dxa"/>
              <w:bottom w:w="30" w:type="dxa"/>
              <w:right w:w="20" w:type="dxa"/>
            </w:tcMar>
            <w:vAlign w:val="bottom"/>
            <w:hideMark/>
          </w:tcPr>
          <w:p w14:paraId="66A8D399" w14:textId="77777777" w:rsidR="00000000" w:rsidRDefault="001D0688">
            <w:pPr>
              <w:jc w:val="right"/>
              <w:rPr>
                <w:rFonts w:eastAsia="Times New Roman"/>
              </w:rPr>
            </w:pPr>
          </w:p>
        </w:tc>
      </w:tr>
      <w:tr w:rsidR="00000000" w14:paraId="616457A3" w14:textId="77777777">
        <w:trPr>
          <w:divId w:val="1289314771"/>
        </w:trPr>
        <w:tc>
          <w:tcPr>
            <w:tcW w:w="0" w:type="auto"/>
            <w:gridSpan w:val="3"/>
            <w:shd w:val="clear" w:color="auto" w:fill="FFFFFF"/>
            <w:tcMar>
              <w:top w:w="30" w:type="dxa"/>
              <w:left w:w="260" w:type="dxa"/>
              <w:bottom w:w="30" w:type="dxa"/>
              <w:right w:w="20" w:type="dxa"/>
            </w:tcMar>
            <w:hideMark/>
          </w:tcPr>
          <w:p w14:paraId="74061F5E" w14:textId="77777777" w:rsidR="00000000" w:rsidRDefault="001D0688">
            <w:pPr>
              <w:rPr>
                <w:rFonts w:eastAsia="Times New Roman"/>
              </w:rPr>
            </w:pPr>
            <w:r>
              <w:rPr>
                <w:rFonts w:ascii="Arial" w:eastAsia="Times New Roman" w:hAnsi="Arial" w:cs="Arial"/>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14:paraId="29EE43C6" w14:textId="77777777" w:rsidR="00000000" w:rsidRDefault="001D0688">
            <w:pPr>
              <w:rPr>
                <w:rFonts w:eastAsia="Times New Roman"/>
              </w:rPr>
            </w:pPr>
          </w:p>
        </w:tc>
        <w:tc>
          <w:tcPr>
            <w:tcW w:w="0" w:type="auto"/>
            <w:vAlign w:val="center"/>
            <w:hideMark/>
          </w:tcPr>
          <w:p w14:paraId="34AAC8B0" w14:textId="77777777" w:rsidR="00000000" w:rsidRDefault="001D0688">
            <w:pPr>
              <w:rPr>
                <w:rFonts w:eastAsia="Times New Roman"/>
                <w:sz w:val="20"/>
                <w:szCs w:val="20"/>
              </w:rPr>
            </w:pPr>
          </w:p>
        </w:tc>
        <w:tc>
          <w:tcPr>
            <w:tcW w:w="0" w:type="auto"/>
            <w:vAlign w:val="center"/>
            <w:hideMark/>
          </w:tcPr>
          <w:p w14:paraId="16E1E5E7"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D79D9" w14:textId="77777777" w:rsidR="00000000" w:rsidRDefault="001D0688">
            <w:pPr>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14:paraId="18787D1C" w14:textId="77777777" w:rsidR="00000000" w:rsidRDefault="001D0688">
            <w:pPr>
              <w:jc w:val="right"/>
              <w:rPr>
                <w:rFonts w:eastAsia="Times New Roman"/>
              </w:rPr>
            </w:pPr>
          </w:p>
        </w:tc>
      </w:tr>
      <w:tr w:rsidR="00000000" w14:paraId="63C8E9CB" w14:textId="77777777">
        <w:trPr>
          <w:divId w:val="1289314771"/>
        </w:trPr>
        <w:tc>
          <w:tcPr>
            <w:tcW w:w="0" w:type="auto"/>
            <w:gridSpan w:val="3"/>
            <w:shd w:val="clear" w:color="auto" w:fill="DCE2EF"/>
            <w:tcMar>
              <w:top w:w="30" w:type="dxa"/>
              <w:left w:w="20" w:type="dxa"/>
              <w:bottom w:w="30" w:type="dxa"/>
              <w:right w:w="20" w:type="dxa"/>
            </w:tcMar>
            <w:vAlign w:val="bottom"/>
            <w:hideMark/>
          </w:tcPr>
          <w:p w14:paraId="6182F875" w14:textId="77777777" w:rsidR="00000000" w:rsidRDefault="001D0688">
            <w:pPr>
              <w:ind w:hanging="180"/>
              <w:divId w:val="1662276070"/>
              <w:rPr>
                <w:rFonts w:eastAsia="Times New Roman"/>
              </w:rPr>
            </w:pPr>
            <w:r>
              <w:rPr>
                <w:rFonts w:ascii="Arial" w:eastAsia="Times New Roman" w:hAnsi="Arial" w:cs="Arial"/>
                <w:color w:val="000000"/>
                <w:sz w:val="20"/>
                <w:szCs w:val="20"/>
              </w:rPr>
              <w:t>Lease assets obtained in exchange for new operating lease liabilitie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78827E16" w14:textId="77777777" w:rsidR="00000000" w:rsidRDefault="001D0688">
            <w:pPr>
              <w:ind w:hanging="180"/>
              <w:rPr>
                <w:rFonts w:eastAsia="Times New Roman"/>
              </w:rPr>
            </w:pPr>
          </w:p>
        </w:tc>
        <w:tc>
          <w:tcPr>
            <w:tcW w:w="0" w:type="auto"/>
            <w:vAlign w:val="center"/>
            <w:hideMark/>
          </w:tcPr>
          <w:p w14:paraId="412C0D2D" w14:textId="77777777" w:rsidR="00000000" w:rsidRDefault="001D0688">
            <w:pPr>
              <w:rPr>
                <w:rFonts w:eastAsia="Times New Roman"/>
                <w:sz w:val="20"/>
                <w:szCs w:val="20"/>
              </w:rPr>
            </w:pPr>
          </w:p>
        </w:tc>
        <w:tc>
          <w:tcPr>
            <w:tcW w:w="0" w:type="auto"/>
            <w:vAlign w:val="center"/>
            <w:hideMark/>
          </w:tcPr>
          <w:p w14:paraId="52024280"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BE0975" w14:textId="77777777" w:rsidR="00000000" w:rsidRDefault="001D0688">
            <w:pPr>
              <w:jc w:val="right"/>
              <w:rPr>
                <w:rFonts w:eastAsia="Times New Roman"/>
              </w:rPr>
            </w:pPr>
            <w:r>
              <w:rPr>
                <w:rFonts w:ascii="Arial" w:eastAsia="Times New Roman" w:hAnsi="Arial" w:cs="Arial"/>
                <w:color w:val="000000"/>
                <w:sz w:val="20"/>
                <w:szCs w:val="20"/>
              </w:rPr>
              <w:t>15.7 </w:t>
            </w:r>
          </w:p>
        </w:tc>
        <w:tc>
          <w:tcPr>
            <w:tcW w:w="0" w:type="auto"/>
            <w:shd w:val="clear" w:color="auto" w:fill="DCE2EF"/>
            <w:tcMar>
              <w:top w:w="30" w:type="dxa"/>
              <w:left w:w="0" w:type="dxa"/>
              <w:bottom w:w="30" w:type="dxa"/>
              <w:right w:w="20" w:type="dxa"/>
            </w:tcMar>
            <w:vAlign w:val="bottom"/>
            <w:hideMark/>
          </w:tcPr>
          <w:p w14:paraId="047DA8FF" w14:textId="77777777" w:rsidR="00000000" w:rsidRDefault="001D0688">
            <w:pPr>
              <w:jc w:val="right"/>
              <w:rPr>
                <w:rFonts w:eastAsia="Times New Roman"/>
              </w:rPr>
            </w:pPr>
          </w:p>
        </w:tc>
      </w:tr>
      <w:tr w:rsidR="00000000" w14:paraId="248255D3" w14:textId="77777777">
        <w:trPr>
          <w:divId w:val="1289314771"/>
        </w:trPr>
        <w:tc>
          <w:tcPr>
            <w:tcW w:w="0" w:type="auto"/>
            <w:gridSpan w:val="3"/>
            <w:vAlign w:val="center"/>
            <w:hideMark/>
          </w:tcPr>
          <w:p w14:paraId="2DBE0290" w14:textId="77777777" w:rsidR="00000000" w:rsidRDefault="001D0688">
            <w:pPr>
              <w:jc w:val="right"/>
              <w:rPr>
                <w:rFonts w:eastAsia="Times New Roman"/>
                <w:sz w:val="20"/>
                <w:szCs w:val="20"/>
              </w:rPr>
            </w:pPr>
          </w:p>
        </w:tc>
        <w:tc>
          <w:tcPr>
            <w:tcW w:w="0" w:type="auto"/>
            <w:gridSpan w:val="3"/>
            <w:vAlign w:val="center"/>
            <w:hideMark/>
          </w:tcPr>
          <w:p w14:paraId="6D7524C7" w14:textId="77777777" w:rsidR="00000000" w:rsidRDefault="001D0688">
            <w:pPr>
              <w:rPr>
                <w:rFonts w:eastAsia="Times New Roman"/>
                <w:sz w:val="20"/>
                <w:szCs w:val="20"/>
              </w:rPr>
            </w:pPr>
          </w:p>
        </w:tc>
        <w:tc>
          <w:tcPr>
            <w:tcW w:w="0" w:type="auto"/>
            <w:vAlign w:val="center"/>
            <w:hideMark/>
          </w:tcPr>
          <w:p w14:paraId="4210D7A9" w14:textId="77777777" w:rsidR="00000000" w:rsidRDefault="001D0688">
            <w:pPr>
              <w:rPr>
                <w:rFonts w:eastAsia="Times New Roman"/>
                <w:sz w:val="20"/>
                <w:szCs w:val="20"/>
              </w:rPr>
            </w:pPr>
          </w:p>
        </w:tc>
        <w:tc>
          <w:tcPr>
            <w:tcW w:w="0" w:type="auto"/>
            <w:vAlign w:val="center"/>
            <w:hideMark/>
          </w:tcPr>
          <w:p w14:paraId="1B2E417E" w14:textId="77777777" w:rsidR="00000000" w:rsidRDefault="001D0688">
            <w:pPr>
              <w:rPr>
                <w:rFonts w:eastAsia="Times New Roman"/>
                <w:sz w:val="20"/>
                <w:szCs w:val="20"/>
              </w:rPr>
            </w:pPr>
          </w:p>
        </w:tc>
        <w:tc>
          <w:tcPr>
            <w:tcW w:w="0" w:type="auto"/>
            <w:gridSpan w:val="3"/>
            <w:vAlign w:val="center"/>
            <w:hideMark/>
          </w:tcPr>
          <w:p w14:paraId="5893431B" w14:textId="77777777" w:rsidR="00000000" w:rsidRDefault="001D0688">
            <w:pPr>
              <w:rPr>
                <w:rFonts w:eastAsia="Times New Roman"/>
                <w:sz w:val="20"/>
                <w:szCs w:val="20"/>
              </w:rPr>
            </w:pPr>
          </w:p>
        </w:tc>
      </w:tr>
    </w:tbl>
    <w:p w14:paraId="37235286" w14:textId="77777777" w:rsidR="00000000" w:rsidRDefault="001D0688">
      <w:pPr>
        <w:ind w:hanging="180"/>
        <w:jc w:val="both"/>
        <w:divId w:val="22611501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Excludes the amount initially capitalized in conjunction with the adoption of Topic 842. </w:t>
      </w:r>
    </w:p>
    <w:p w14:paraId="6121B479" w14:textId="77777777" w:rsidR="00000000" w:rsidRDefault="001D0688">
      <w:pPr>
        <w:ind w:firstLine="720"/>
        <w:jc w:val="both"/>
        <w:divId w:val="1593853188"/>
        <w:rPr>
          <w:rFonts w:eastAsia="Times New Roman"/>
        </w:rPr>
      </w:pPr>
    </w:p>
    <w:p w14:paraId="65155EF8" w14:textId="77777777" w:rsidR="00000000" w:rsidRDefault="001D0688">
      <w:pPr>
        <w:jc w:val="center"/>
        <w:divId w:val="1495146726"/>
        <w:rPr>
          <w:rFonts w:eastAsia="Times New Roman"/>
        </w:rPr>
      </w:pPr>
      <w:r>
        <w:rPr>
          <w:rFonts w:ascii="Arial" w:eastAsia="Times New Roman" w:hAnsi="Arial" w:cs="Arial"/>
          <w:color w:val="000000"/>
          <w:sz w:val="20"/>
          <w:szCs w:val="20"/>
        </w:rPr>
        <w:t>71</w:t>
      </w:r>
    </w:p>
    <w:p w14:paraId="7FE94833" w14:textId="77777777" w:rsidR="00000000" w:rsidRDefault="001D0688">
      <w:pPr>
        <w:rPr>
          <w:rFonts w:eastAsia="Times New Roman"/>
        </w:rPr>
      </w:pPr>
      <w:r>
        <w:rPr>
          <w:rFonts w:eastAsia="Times New Roman"/>
        </w:rPr>
        <w:pict w14:anchorId="2D583429">
          <v:rect id="_x0000_i1108" style="width:0;height:1.5pt" o:hralign="center" o:hrstd="t" o:hr="t" fillcolor="#a0a0a0" stroked="f"/>
        </w:pict>
      </w:r>
    </w:p>
    <w:p w14:paraId="3383D340" w14:textId="77777777" w:rsidR="00000000" w:rsidRDefault="001D0688">
      <w:pPr>
        <w:divId w:val="1582254190"/>
        <w:rPr>
          <w:rFonts w:eastAsia="Times New Roman"/>
        </w:rPr>
      </w:pPr>
    </w:p>
    <w:p w14:paraId="634C0881" w14:textId="77777777" w:rsidR="00000000" w:rsidRDefault="001D0688">
      <w:pPr>
        <w:ind w:firstLine="720"/>
        <w:jc w:val="both"/>
        <w:divId w:val="713701034"/>
        <w:rPr>
          <w:rFonts w:eastAsia="Times New Roman"/>
        </w:rPr>
      </w:pPr>
      <w:r>
        <w:rPr>
          <w:rFonts w:ascii="Arial" w:eastAsia="Times New Roman" w:hAnsi="Arial" w:cs="Arial"/>
          <w:color w:val="000000"/>
          <w:sz w:val="20"/>
          <w:szCs w:val="20"/>
        </w:rPr>
        <w:t>The amounts of minimum future commitments under non-cancelable operating and capital leases as of October 31, 2019, in accordance with Topic 840 were as follows:</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3120"/>
        <w:gridCol w:w="37"/>
        <w:gridCol w:w="36"/>
        <w:gridCol w:w="36"/>
        <w:gridCol w:w="36"/>
        <w:gridCol w:w="133"/>
        <w:gridCol w:w="1408"/>
        <w:gridCol w:w="36"/>
        <w:gridCol w:w="36"/>
        <w:gridCol w:w="36"/>
        <w:gridCol w:w="36"/>
        <w:gridCol w:w="133"/>
        <w:gridCol w:w="1463"/>
        <w:gridCol w:w="36"/>
        <w:gridCol w:w="36"/>
        <w:gridCol w:w="36"/>
        <w:gridCol w:w="36"/>
        <w:gridCol w:w="132"/>
        <w:gridCol w:w="1410"/>
        <w:gridCol w:w="36"/>
      </w:tblGrid>
      <w:tr w:rsidR="00000000" w14:paraId="513A324E" w14:textId="77777777">
        <w:trPr>
          <w:divId w:val="1543516054"/>
          <w:jc w:val="right"/>
        </w:trPr>
        <w:tc>
          <w:tcPr>
            <w:tcW w:w="50" w:type="pct"/>
            <w:vAlign w:val="center"/>
            <w:hideMark/>
          </w:tcPr>
          <w:p w14:paraId="76EF16ED" w14:textId="77777777" w:rsidR="00000000" w:rsidRDefault="001D0688">
            <w:pPr>
              <w:ind w:firstLine="720"/>
              <w:jc w:val="both"/>
              <w:rPr>
                <w:rFonts w:eastAsia="Times New Roman"/>
              </w:rPr>
            </w:pPr>
          </w:p>
        </w:tc>
        <w:tc>
          <w:tcPr>
            <w:tcW w:w="1925" w:type="pct"/>
            <w:vAlign w:val="center"/>
            <w:hideMark/>
          </w:tcPr>
          <w:p w14:paraId="4D4F68AD" w14:textId="77777777" w:rsidR="00000000" w:rsidRDefault="001D0688">
            <w:pPr>
              <w:rPr>
                <w:rFonts w:eastAsia="Times New Roman"/>
                <w:sz w:val="20"/>
                <w:szCs w:val="20"/>
              </w:rPr>
            </w:pPr>
          </w:p>
        </w:tc>
        <w:tc>
          <w:tcPr>
            <w:tcW w:w="5" w:type="pct"/>
            <w:vAlign w:val="center"/>
            <w:hideMark/>
          </w:tcPr>
          <w:p w14:paraId="7A6F81F2" w14:textId="77777777" w:rsidR="00000000" w:rsidRDefault="001D0688">
            <w:pPr>
              <w:rPr>
                <w:rFonts w:eastAsia="Times New Roman"/>
                <w:sz w:val="20"/>
                <w:szCs w:val="20"/>
              </w:rPr>
            </w:pPr>
          </w:p>
        </w:tc>
        <w:tc>
          <w:tcPr>
            <w:tcW w:w="5" w:type="pct"/>
            <w:vAlign w:val="center"/>
            <w:hideMark/>
          </w:tcPr>
          <w:p w14:paraId="22D91D99" w14:textId="77777777" w:rsidR="00000000" w:rsidRDefault="001D0688">
            <w:pPr>
              <w:rPr>
                <w:rFonts w:eastAsia="Times New Roman"/>
                <w:sz w:val="20"/>
                <w:szCs w:val="20"/>
              </w:rPr>
            </w:pPr>
          </w:p>
        </w:tc>
        <w:tc>
          <w:tcPr>
            <w:tcW w:w="26" w:type="pct"/>
            <w:vAlign w:val="center"/>
            <w:hideMark/>
          </w:tcPr>
          <w:p w14:paraId="7E5133A5" w14:textId="77777777" w:rsidR="00000000" w:rsidRDefault="001D0688">
            <w:pPr>
              <w:rPr>
                <w:rFonts w:eastAsia="Times New Roman"/>
                <w:sz w:val="20"/>
                <w:szCs w:val="20"/>
              </w:rPr>
            </w:pPr>
          </w:p>
        </w:tc>
        <w:tc>
          <w:tcPr>
            <w:tcW w:w="5" w:type="pct"/>
            <w:vAlign w:val="center"/>
            <w:hideMark/>
          </w:tcPr>
          <w:p w14:paraId="0C374292" w14:textId="77777777" w:rsidR="00000000" w:rsidRDefault="001D0688">
            <w:pPr>
              <w:rPr>
                <w:rFonts w:eastAsia="Times New Roman"/>
                <w:sz w:val="20"/>
                <w:szCs w:val="20"/>
              </w:rPr>
            </w:pPr>
          </w:p>
        </w:tc>
        <w:tc>
          <w:tcPr>
            <w:tcW w:w="50" w:type="pct"/>
            <w:vAlign w:val="center"/>
            <w:hideMark/>
          </w:tcPr>
          <w:p w14:paraId="3F0197CE" w14:textId="77777777" w:rsidR="00000000" w:rsidRDefault="001D0688">
            <w:pPr>
              <w:rPr>
                <w:rFonts w:eastAsia="Times New Roman"/>
                <w:sz w:val="20"/>
                <w:szCs w:val="20"/>
              </w:rPr>
            </w:pPr>
          </w:p>
        </w:tc>
        <w:tc>
          <w:tcPr>
            <w:tcW w:w="917" w:type="pct"/>
            <w:vAlign w:val="center"/>
            <w:hideMark/>
          </w:tcPr>
          <w:p w14:paraId="3B299F97" w14:textId="77777777" w:rsidR="00000000" w:rsidRDefault="001D0688">
            <w:pPr>
              <w:rPr>
                <w:rFonts w:eastAsia="Times New Roman"/>
                <w:sz w:val="20"/>
                <w:szCs w:val="20"/>
              </w:rPr>
            </w:pPr>
          </w:p>
        </w:tc>
        <w:tc>
          <w:tcPr>
            <w:tcW w:w="5" w:type="pct"/>
            <w:vAlign w:val="center"/>
            <w:hideMark/>
          </w:tcPr>
          <w:p w14:paraId="46DC30F5" w14:textId="77777777" w:rsidR="00000000" w:rsidRDefault="001D0688">
            <w:pPr>
              <w:rPr>
                <w:rFonts w:eastAsia="Times New Roman"/>
                <w:sz w:val="20"/>
                <w:szCs w:val="20"/>
              </w:rPr>
            </w:pPr>
          </w:p>
        </w:tc>
        <w:tc>
          <w:tcPr>
            <w:tcW w:w="5" w:type="pct"/>
            <w:vAlign w:val="center"/>
            <w:hideMark/>
          </w:tcPr>
          <w:p w14:paraId="084EFD53" w14:textId="77777777" w:rsidR="00000000" w:rsidRDefault="001D0688">
            <w:pPr>
              <w:rPr>
                <w:rFonts w:eastAsia="Times New Roman"/>
                <w:sz w:val="20"/>
                <w:szCs w:val="20"/>
              </w:rPr>
            </w:pPr>
          </w:p>
        </w:tc>
        <w:tc>
          <w:tcPr>
            <w:tcW w:w="19" w:type="pct"/>
            <w:vAlign w:val="center"/>
            <w:hideMark/>
          </w:tcPr>
          <w:p w14:paraId="59591638" w14:textId="77777777" w:rsidR="00000000" w:rsidRDefault="001D0688">
            <w:pPr>
              <w:rPr>
                <w:rFonts w:eastAsia="Times New Roman"/>
                <w:sz w:val="20"/>
                <w:szCs w:val="20"/>
              </w:rPr>
            </w:pPr>
          </w:p>
        </w:tc>
        <w:tc>
          <w:tcPr>
            <w:tcW w:w="5" w:type="pct"/>
            <w:vAlign w:val="center"/>
            <w:hideMark/>
          </w:tcPr>
          <w:p w14:paraId="49B63D9B" w14:textId="77777777" w:rsidR="00000000" w:rsidRDefault="001D0688">
            <w:pPr>
              <w:rPr>
                <w:rFonts w:eastAsia="Times New Roman"/>
                <w:sz w:val="20"/>
                <w:szCs w:val="20"/>
              </w:rPr>
            </w:pPr>
          </w:p>
        </w:tc>
        <w:tc>
          <w:tcPr>
            <w:tcW w:w="50" w:type="pct"/>
            <w:vAlign w:val="center"/>
            <w:hideMark/>
          </w:tcPr>
          <w:p w14:paraId="6F664649" w14:textId="77777777" w:rsidR="00000000" w:rsidRDefault="001D0688">
            <w:pPr>
              <w:rPr>
                <w:rFonts w:eastAsia="Times New Roman"/>
                <w:sz w:val="20"/>
                <w:szCs w:val="20"/>
              </w:rPr>
            </w:pPr>
          </w:p>
        </w:tc>
        <w:tc>
          <w:tcPr>
            <w:tcW w:w="917" w:type="pct"/>
            <w:vAlign w:val="center"/>
            <w:hideMark/>
          </w:tcPr>
          <w:p w14:paraId="41A35CB3" w14:textId="77777777" w:rsidR="00000000" w:rsidRDefault="001D0688">
            <w:pPr>
              <w:rPr>
                <w:rFonts w:eastAsia="Times New Roman"/>
                <w:sz w:val="20"/>
                <w:szCs w:val="20"/>
              </w:rPr>
            </w:pPr>
          </w:p>
        </w:tc>
        <w:tc>
          <w:tcPr>
            <w:tcW w:w="5" w:type="pct"/>
            <w:vAlign w:val="center"/>
            <w:hideMark/>
          </w:tcPr>
          <w:p w14:paraId="3328145F" w14:textId="77777777" w:rsidR="00000000" w:rsidRDefault="001D0688">
            <w:pPr>
              <w:rPr>
                <w:rFonts w:eastAsia="Times New Roman"/>
                <w:sz w:val="20"/>
                <w:szCs w:val="20"/>
              </w:rPr>
            </w:pPr>
          </w:p>
        </w:tc>
        <w:tc>
          <w:tcPr>
            <w:tcW w:w="5" w:type="pct"/>
            <w:vAlign w:val="center"/>
            <w:hideMark/>
          </w:tcPr>
          <w:p w14:paraId="23A25615" w14:textId="77777777" w:rsidR="00000000" w:rsidRDefault="001D0688">
            <w:pPr>
              <w:rPr>
                <w:rFonts w:eastAsia="Times New Roman"/>
                <w:sz w:val="20"/>
                <w:szCs w:val="20"/>
              </w:rPr>
            </w:pPr>
          </w:p>
        </w:tc>
        <w:tc>
          <w:tcPr>
            <w:tcW w:w="26" w:type="pct"/>
            <w:vAlign w:val="center"/>
            <w:hideMark/>
          </w:tcPr>
          <w:p w14:paraId="25CD27BE" w14:textId="77777777" w:rsidR="00000000" w:rsidRDefault="001D0688">
            <w:pPr>
              <w:rPr>
                <w:rFonts w:eastAsia="Times New Roman"/>
                <w:sz w:val="20"/>
                <w:szCs w:val="20"/>
              </w:rPr>
            </w:pPr>
          </w:p>
        </w:tc>
        <w:tc>
          <w:tcPr>
            <w:tcW w:w="5" w:type="pct"/>
            <w:vAlign w:val="center"/>
            <w:hideMark/>
          </w:tcPr>
          <w:p w14:paraId="4A7A5BC5" w14:textId="77777777" w:rsidR="00000000" w:rsidRDefault="001D0688">
            <w:pPr>
              <w:rPr>
                <w:rFonts w:eastAsia="Times New Roman"/>
                <w:sz w:val="20"/>
                <w:szCs w:val="20"/>
              </w:rPr>
            </w:pPr>
          </w:p>
        </w:tc>
        <w:tc>
          <w:tcPr>
            <w:tcW w:w="50" w:type="pct"/>
            <w:vAlign w:val="center"/>
            <w:hideMark/>
          </w:tcPr>
          <w:p w14:paraId="531F73CD" w14:textId="77777777" w:rsidR="00000000" w:rsidRDefault="001D0688">
            <w:pPr>
              <w:rPr>
                <w:rFonts w:eastAsia="Times New Roman"/>
                <w:sz w:val="20"/>
                <w:szCs w:val="20"/>
              </w:rPr>
            </w:pPr>
          </w:p>
        </w:tc>
        <w:tc>
          <w:tcPr>
            <w:tcW w:w="917" w:type="pct"/>
            <w:vAlign w:val="center"/>
            <w:hideMark/>
          </w:tcPr>
          <w:p w14:paraId="78AA5423" w14:textId="77777777" w:rsidR="00000000" w:rsidRDefault="001D0688">
            <w:pPr>
              <w:rPr>
                <w:rFonts w:eastAsia="Times New Roman"/>
                <w:sz w:val="20"/>
                <w:szCs w:val="20"/>
              </w:rPr>
            </w:pPr>
          </w:p>
        </w:tc>
        <w:tc>
          <w:tcPr>
            <w:tcW w:w="5" w:type="pct"/>
            <w:vAlign w:val="center"/>
            <w:hideMark/>
          </w:tcPr>
          <w:p w14:paraId="396ACCA9" w14:textId="77777777" w:rsidR="00000000" w:rsidRDefault="001D0688">
            <w:pPr>
              <w:rPr>
                <w:rFonts w:eastAsia="Times New Roman"/>
                <w:sz w:val="20"/>
                <w:szCs w:val="20"/>
              </w:rPr>
            </w:pPr>
          </w:p>
        </w:tc>
      </w:tr>
      <w:tr w:rsidR="00000000" w14:paraId="4C4EC506" w14:textId="77777777">
        <w:trPr>
          <w:divId w:val="1543516054"/>
          <w:jc w:val="right"/>
        </w:trPr>
        <w:tc>
          <w:tcPr>
            <w:tcW w:w="0" w:type="auto"/>
            <w:gridSpan w:val="3"/>
            <w:tcMar>
              <w:top w:w="30" w:type="dxa"/>
              <w:left w:w="20" w:type="dxa"/>
              <w:bottom w:w="30" w:type="dxa"/>
              <w:right w:w="20" w:type="dxa"/>
            </w:tcMar>
            <w:vAlign w:val="bottom"/>
            <w:hideMark/>
          </w:tcPr>
          <w:p w14:paraId="40A8BC0B" w14:textId="77777777" w:rsidR="00000000" w:rsidRDefault="001D0688">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442C671"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30C3ABBA" w14:textId="77777777" w:rsidR="00000000" w:rsidRDefault="001D0688">
            <w:pPr>
              <w:jc w:val="center"/>
              <w:rPr>
                <w:rFonts w:eastAsia="Times New Roman"/>
              </w:rPr>
            </w:pPr>
            <w:r>
              <w:rPr>
                <w:rFonts w:ascii="Arial" w:eastAsia="Times New Roman" w:hAnsi="Arial" w:cs="Arial"/>
                <w:b/>
                <w:bCs/>
                <w:color w:val="000000"/>
                <w:sz w:val="20"/>
                <w:szCs w:val="20"/>
              </w:rPr>
              <w:t>Operating and Othe</w:t>
            </w:r>
            <w:r>
              <w:rPr>
                <w:rFonts w:ascii="Arial" w:eastAsia="Times New Roman" w:hAnsi="Arial" w:cs="Arial"/>
                <w:b/>
                <w:bCs/>
                <w:color w:val="000000"/>
                <w:sz w:val="20"/>
                <w:szCs w:val="20"/>
              </w:rPr>
              <w:t>r</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Mar>
              <w:top w:w="0" w:type="dxa"/>
              <w:left w:w="20" w:type="dxa"/>
              <w:bottom w:w="0" w:type="dxa"/>
              <w:right w:w="20" w:type="dxa"/>
            </w:tcMar>
            <w:vAlign w:val="center"/>
            <w:hideMark/>
          </w:tcPr>
          <w:p w14:paraId="5D9FCDC5"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56A5D82E" w14:textId="77777777" w:rsidR="00000000" w:rsidRDefault="001D0688">
            <w:pPr>
              <w:jc w:val="center"/>
              <w:rPr>
                <w:rFonts w:eastAsia="Times New Roman"/>
              </w:rPr>
            </w:pPr>
            <w:r>
              <w:rPr>
                <w:rFonts w:ascii="Arial" w:eastAsia="Times New Roman" w:hAnsi="Arial" w:cs="Arial"/>
                <w:b/>
                <w:bCs/>
                <w:color w:val="000000"/>
                <w:sz w:val="20"/>
                <w:szCs w:val="20"/>
              </w:rPr>
              <w:t>Capital</w:t>
            </w:r>
          </w:p>
        </w:tc>
        <w:tc>
          <w:tcPr>
            <w:tcW w:w="0" w:type="auto"/>
            <w:gridSpan w:val="3"/>
            <w:tcMar>
              <w:top w:w="0" w:type="dxa"/>
              <w:left w:w="20" w:type="dxa"/>
              <w:bottom w:w="0" w:type="dxa"/>
              <w:right w:w="20" w:type="dxa"/>
            </w:tcMar>
            <w:vAlign w:val="center"/>
            <w:hideMark/>
          </w:tcPr>
          <w:p w14:paraId="33633FD8"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19500DD" w14:textId="77777777" w:rsidR="00000000" w:rsidRDefault="001D0688">
            <w:pPr>
              <w:jc w:val="center"/>
              <w:rPr>
                <w:rFonts w:eastAsia="Times New Roman"/>
              </w:rPr>
            </w:pPr>
            <w:r>
              <w:rPr>
                <w:rFonts w:ascii="Arial" w:eastAsia="Times New Roman" w:hAnsi="Arial" w:cs="Arial"/>
                <w:b/>
                <w:bCs/>
                <w:color w:val="000000"/>
                <w:sz w:val="20"/>
                <w:szCs w:val="20"/>
              </w:rPr>
              <w:t>Total</w:t>
            </w:r>
          </w:p>
        </w:tc>
      </w:tr>
      <w:tr w:rsidR="00000000" w14:paraId="4817D3BD" w14:textId="77777777">
        <w:trPr>
          <w:divId w:val="1543516054"/>
          <w:jc w:val="right"/>
        </w:trPr>
        <w:tc>
          <w:tcPr>
            <w:tcW w:w="0" w:type="auto"/>
            <w:gridSpan w:val="3"/>
            <w:shd w:val="clear" w:color="auto" w:fill="DCE2EF"/>
            <w:tcMar>
              <w:top w:w="30" w:type="dxa"/>
              <w:left w:w="20" w:type="dxa"/>
              <w:bottom w:w="30" w:type="dxa"/>
              <w:right w:w="20" w:type="dxa"/>
            </w:tcMar>
            <w:vAlign w:val="bottom"/>
            <w:hideMark/>
          </w:tcPr>
          <w:p w14:paraId="04E94D81" w14:textId="77777777" w:rsidR="00000000" w:rsidRDefault="001D0688">
            <w:pPr>
              <w:rPr>
                <w:rFonts w:eastAsia="Times New Roman"/>
              </w:rPr>
            </w:pPr>
            <w:r>
              <w:rPr>
                <w:rFonts w:ascii="Arial" w:eastAsia="Times New Roman" w:hAnsi="Arial" w:cs="Arial"/>
                <w:color w:val="000000"/>
                <w:sz w:val="20"/>
                <w:szCs w:val="20"/>
              </w:rPr>
              <w:t>Fiscal 2020</w:t>
            </w:r>
          </w:p>
        </w:tc>
        <w:tc>
          <w:tcPr>
            <w:tcW w:w="0" w:type="auto"/>
            <w:gridSpan w:val="3"/>
            <w:shd w:val="clear" w:color="auto" w:fill="DCE2EF"/>
            <w:tcMar>
              <w:top w:w="0" w:type="dxa"/>
              <w:left w:w="20" w:type="dxa"/>
              <w:bottom w:w="0" w:type="dxa"/>
              <w:right w:w="20" w:type="dxa"/>
            </w:tcMar>
            <w:vAlign w:val="center"/>
            <w:hideMark/>
          </w:tcPr>
          <w:p w14:paraId="054EF009"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hideMark/>
          </w:tcPr>
          <w:p w14:paraId="405B362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hideMark/>
          </w:tcPr>
          <w:p w14:paraId="06394871" w14:textId="77777777" w:rsidR="00000000" w:rsidRDefault="001D0688">
            <w:pPr>
              <w:jc w:val="right"/>
              <w:rPr>
                <w:rFonts w:eastAsia="Times New Roman"/>
              </w:rPr>
            </w:pPr>
            <w:r>
              <w:rPr>
                <w:rFonts w:ascii="Arial" w:eastAsia="Times New Roman" w:hAnsi="Arial" w:cs="Arial"/>
                <w:color w:val="000000"/>
                <w:sz w:val="20"/>
                <w:szCs w:val="20"/>
              </w:rPr>
              <w:t>42.8 </w:t>
            </w:r>
          </w:p>
        </w:tc>
        <w:tc>
          <w:tcPr>
            <w:tcW w:w="0" w:type="auto"/>
            <w:tcBorders>
              <w:top w:val="single" w:sz="8" w:space="0" w:color="000000"/>
            </w:tcBorders>
            <w:shd w:val="clear" w:color="auto" w:fill="DCE2EF"/>
            <w:tcMar>
              <w:top w:w="30" w:type="dxa"/>
              <w:left w:w="0" w:type="dxa"/>
              <w:bottom w:w="30" w:type="dxa"/>
              <w:right w:w="20" w:type="dxa"/>
            </w:tcMar>
            <w:hideMark/>
          </w:tcPr>
          <w:p w14:paraId="5E9CDB7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9C117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hideMark/>
          </w:tcPr>
          <w:p w14:paraId="7857B72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hideMark/>
          </w:tcPr>
          <w:p w14:paraId="581A7610" w14:textId="77777777" w:rsidR="00000000" w:rsidRDefault="001D0688">
            <w:pPr>
              <w:jc w:val="right"/>
              <w:rPr>
                <w:rFonts w:eastAsia="Times New Roman"/>
              </w:rPr>
            </w:pPr>
            <w:r>
              <w:rPr>
                <w:rFonts w:ascii="Arial" w:eastAsia="Times New Roman" w:hAnsi="Arial" w:cs="Arial"/>
                <w:color w:val="000000"/>
                <w:sz w:val="20"/>
                <w:szCs w:val="20"/>
              </w:rPr>
              <w:t>3.1 </w:t>
            </w:r>
          </w:p>
        </w:tc>
        <w:tc>
          <w:tcPr>
            <w:tcW w:w="0" w:type="auto"/>
            <w:tcBorders>
              <w:top w:val="single" w:sz="8" w:space="0" w:color="000000"/>
            </w:tcBorders>
            <w:shd w:val="clear" w:color="auto" w:fill="DCE2EF"/>
            <w:tcMar>
              <w:top w:w="30" w:type="dxa"/>
              <w:left w:w="0" w:type="dxa"/>
              <w:bottom w:w="30" w:type="dxa"/>
              <w:right w:w="20" w:type="dxa"/>
            </w:tcMar>
            <w:hideMark/>
          </w:tcPr>
          <w:p w14:paraId="0A30197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4D6894"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hideMark/>
          </w:tcPr>
          <w:p w14:paraId="1EB1F61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hideMark/>
          </w:tcPr>
          <w:p w14:paraId="2C3BBC95" w14:textId="77777777" w:rsidR="00000000" w:rsidRDefault="001D0688">
            <w:pPr>
              <w:jc w:val="right"/>
              <w:rPr>
                <w:rFonts w:eastAsia="Times New Roman"/>
              </w:rPr>
            </w:pPr>
            <w:r>
              <w:rPr>
                <w:rFonts w:ascii="Arial" w:eastAsia="Times New Roman" w:hAnsi="Arial" w:cs="Arial"/>
                <w:color w:val="000000"/>
                <w:sz w:val="20"/>
                <w:szCs w:val="20"/>
              </w:rPr>
              <w:t>45.9 </w:t>
            </w:r>
          </w:p>
        </w:tc>
        <w:tc>
          <w:tcPr>
            <w:tcW w:w="0" w:type="auto"/>
            <w:tcBorders>
              <w:top w:val="single" w:sz="8" w:space="0" w:color="000000"/>
            </w:tcBorders>
            <w:shd w:val="clear" w:color="auto" w:fill="DCE2EF"/>
            <w:tcMar>
              <w:top w:w="30" w:type="dxa"/>
              <w:left w:w="0" w:type="dxa"/>
              <w:bottom w:w="30" w:type="dxa"/>
              <w:right w:w="20" w:type="dxa"/>
            </w:tcMar>
            <w:hideMark/>
          </w:tcPr>
          <w:p w14:paraId="0ABE7840" w14:textId="77777777" w:rsidR="00000000" w:rsidRDefault="001D0688">
            <w:pPr>
              <w:jc w:val="right"/>
              <w:rPr>
                <w:rFonts w:eastAsia="Times New Roman"/>
              </w:rPr>
            </w:pPr>
          </w:p>
        </w:tc>
      </w:tr>
      <w:tr w:rsidR="00000000" w14:paraId="65324F23" w14:textId="77777777">
        <w:trPr>
          <w:divId w:val="1543516054"/>
          <w:jc w:val="right"/>
        </w:trPr>
        <w:tc>
          <w:tcPr>
            <w:tcW w:w="0" w:type="auto"/>
            <w:gridSpan w:val="3"/>
            <w:shd w:val="clear" w:color="auto" w:fill="FFFFFF"/>
            <w:tcMar>
              <w:top w:w="30" w:type="dxa"/>
              <w:left w:w="20" w:type="dxa"/>
              <w:bottom w:w="30" w:type="dxa"/>
              <w:right w:w="20" w:type="dxa"/>
            </w:tcMar>
            <w:vAlign w:val="bottom"/>
            <w:hideMark/>
          </w:tcPr>
          <w:p w14:paraId="5522E51B" w14:textId="77777777" w:rsidR="00000000" w:rsidRDefault="001D0688">
            <w:pPr>
              <w:rPr>
                <w:rFonts w:eastAsia="Times New Roman"/>
              </w:rPr>
            </w:pPr>
            <w:r>
              <w:rPr>
                <w:rFonts w:ascii="Arial" w:eastAsia="Times New Roman" w:hAnsi="Arial" w:cs="Arial"/>
                <w:color w:val="000000"/>
                <w:sz w:val="20"/>
                <w:szCs w:val="20"/>
              </w:rPr>
              <w:t>Fiscal 2021</w:t>
            </w:r>
          </w:p>
        </w:tc>
        <w:tc>
          <w:tcPr>
            <w:tcW w:w="0" w:type="auto"/>
            <w:gridSpan w:val="3"/>
            <w:tcMar>
              <w:top w:w="0" w:type="dxa"/>
              <w:left w:w="20" w:type="dxa"/>
              <w:bottom w:w="0" w:type="dxa"/>
              <w:right w:w="20" w:type="dxa"/>
            </w:tcMar>
            <w:vAlign w:val="center"/>
            <w:hideMark/>
          </w:tcPr>
          <w:p w14:paraId="36BC28C8" w14:textId="77777777" w:rsidR="00000000" w:rsidRDefault="001D0688">
            <w:pPr>
              <w:rPr>
                <w:rFonts w:eastAsia="Times New Roman"/>
              </w:rPr>
            </w:pPr>
          </w:p>
        </w:tc>
        <w:tc>
          <w:tcPr>
            <w:tcW w:w="0" w:type="auto"/>
            <w:gridSpan w:val="2"/>
            <w:tcMar>
              <w:top w:w="30" w:type="dxa"/>
              <w:left w:w="20" w:type="dxa"/>
              <w:bottom w:w="30" w:type="dxa"/>
              <w:right w:w="0" w:type="dxa"/>
            </w:tcMar>
            <w:vAlign w:val="bottom"/>
            <w:hideMark/>
          </w:tcPr>
          <w:p w14:paraId="6B7550AD" w14:textId="77777777" w:rsidR="00000000" w:rsidRDefault="001D0688">
            <w:pPr>
              <w:jc w:val="right"/>
              <w:rPr>
                <w:rFonts w:eastAsia="Times New Roman"/>
              </w:rPr>
            </w:pPr>
            <w:r>
              <w:rPr>
                <w:rFonts w:ascii="Arial" w:eastAsia="Times New Roman" w:hAnsi="Arial" w:cs="Arial"/>
                <w:color w:val="000000"/>
                <w:sz w:val="20"/>
                <w:szCs w:val="20"/>
              </w:rPr>
              <w:t>35.5 </w:t>
            </w:r>
          </w:p>
        </w:tc>
        <w:tc>
          <w:tcPr>
            <w:tcW w:w="0" w:type="auto"/>
            <w:tcMar>
              <w:top w:w="30" w:type="dxa"/>
              <w:left w:w="0" w:type="dxa"/>
              <w:bottom w:w="30" w:type="dxa"/>
              <w:right w:w="20" w:type="dxa"/>
            </w:tcMar>
            <w:vAlign w:val="bottom"/>
            <w:hideMark/>
          </w:tcPr>
          <w:p w14:paraId="0EA4FCC1" w14:textId="77777777" w:rsidR="00000000" w:rsidRDefault="001D0688">
            <w:pPr>
              <w:jc w:val="right"/>
              <w:rPr>
                <w:rFonts w:eastAsia="Times New Roman"/>
              </w:rPr>
            </w:pPr>
          </w:p>
        </w:tc>
        <w:tc>
          <w:tcPr>
            <w:tcW w:w="0" w:type="auto"/>
            <w:gridSpan w:val="3"/>
            <w:tcMar>
              <w:top w:w="0" w:type="dxa"/>
              <w:left w:w="20" w:type="dxa"/>
              <w:bottom w:w="0" w:type="dxa"/>
              <w:right w:w="20" w:type="dxa"/>
            </w:tcMar>
            <w:vAlign w:val="center"/>
            <w:hideMark/>
          </w:tcPr>
          <w:p w14:paraId="6A812DFC"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8CE0D63" w14:textId="77777777" w:rsidR="00000000" w:rsidRDefault="001D0688">
            <w:pPr>
              <w:jc w:val="right"/>
              <w:rPr>
                <w:rFonts w:eastAsia="Times New Roman"/>
              </w:rPr>
            </w:pPr>
            <w:r>
              <w:rPr>
                <w:rFonts w:ascii="Arial" w:eastAsia="Times New Roman" w:hAnsi="Arial" w:cs="Arial"/>
                <w:color w:val="000000"/>
                <w:sz w:val="20"/>
                <w:szCs w:val="20"/>
              </w:rPr>
              <w:t>2.5 </w:t>
            </w:r>
          </w:p>
        </w:tc>
        <w:tc>
          <w:tcPr>
            <w:tcW w:w="0" w:type="auto"/>
            <w:tcMar>
              <w:top w:w="30" w:type="dxa"/>
              <w:left w:w="0" w:type="dxa"/>
              <w:bottom w:w="30" w:type="dxa"/>
              <w:right w:w="20" w:type="dxa"/>
            </w:tcMar>
            <w:vAlign w:val="bottom"/>
            <w:hideMark/>
          </w:tcPr>
          <w:p w14:paraId="13E47DF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0141D"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6D071A7" w14:textId="77777777" w:rsidR="00000000" w:rsidRDefault="001D0688">
            <w:pPr>
              <w:jc w:val="right"/>
              <w:rPr>
                <w:rFonts w:eastAsia="Times New Roman"/>
              </w:rPr>
            </w:pPr>
            <w:r>
              <w:rPr>
                <w:rFonts w:ascii="Arial" w:eastAsia="Times New Roman" w:hAnsi="Arial" w:cs="Arial"/>
                <w:color w:val="000000"/>
                <w:sz w:val="20"/>
                <w:szCs w:val="20"/>
              </w:rPr>
              <w:t>38.0 </w:t>
            </w:r>
          </w:p>
        </w:tc>
        <w:tc>
          <w:tcPr>
            <w:tcW w:w="0" w:type="auto"/>
            <w:tcMar>
              <w:top w:w="30" w:type="dxa"/>
              <w:left w:w="0" w:type="dxa"/>
              <w:bottom w:w="30" w:type="dxa"/>
              <w:right w:w="20" w:type="dxa"/>
            </w:tcMar>
            <w:vAlign w:val="bottom"/>
            <w:hideMark/>
          </w:tcPr>
          <w:p w14:paraId="45A4FAB2" w14:textId="77777777" w:rsidR="00000000" w:rsidRDefault="001D0688">
            <w:pPr>
              <w:jc w:val="right"/>
              <w:rPr>
                <w:rFonts w:eastAsia="Times New Roman"/>
              </w:rPr>
            </w:pPr>
          </w:p>
        </w:tc>
      </w:tr>
      <w:tr w:rsidR="00000000" w14:paraId="2ADA001F" w14:textId="77777777">
        <w:trPr>
          <w:divId w:val="1543516054"/>
          <w:jc w:val="right"/>
        </w:trPr>
        <w:tc>
          <w:tcPr>
            <w:tcW w:w="0" w:type="auto"/>
            <w:gridSpan w:val="3"/>
            <w:shd w:val="clear" w:color="auto" w:fill="DCE2EF"/>
            <w:tcMar>
              <w:top w:w="30" w:type="dxa"/>
              <w:left w:w="20" w:type="dxa"/>
              <w:bottom w:w="30" w:type="dxa"/>
              <w:right w:w="20" w:type="dxa"/>
            </w:tcMar>
            <w:vAlign w:val="bottom"/>
            <w:hideMark/>
          </w:tcPr>
          <w:p w14:paraId="5612CEB3" w14:textId="77777777" w:rsidR="00000000" w:rsidRDefault="001D0688">
            <w:pPr>
              <w:rPr>
                <w:rFonts w:eastAsia="Times New Roman"/>
              </w:rPr>
            </w:pPr>
            <w:r>
              <w:rPr>
                <w:rFonts w:ascii="Arial" w:eastAsia="Times New Roman" w:hAnsi="Arial" w:cs="Arial"/>
                <w:color w:val="000000"/>
                <w:sz w:val="20"/>
                <w:szCs w:val="20"/>
              </w:rPr>
              <w:t>Fiscal 2022</w:t>
            </w:r>
          </w:p>
        </w:tc>
        <w:tc>
          <w:tcPr>
            <w:tcW w:w="0" w:type="auto"/>
            <w:gridSpan w:val="3"/>
            <w:shd w:val="clear" w:color="auto" w:fill="DCE2EF"/>
            <w:tcMar>
              <w:top w:w="0" w:type="dxa"/>
              <w:left w:w="20" w:type="dxa"/>
              <w:bottom w:w="0" w:type="dxa"/>
              <w:right w:w="20" w:type="dxa"/>
            </w:tcMar>
            <w:vAlign w:val="center"/>
            <w:hideMark/>
          </w:tcPr>
          <w:p w14:paraId="2A9092D4"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75D94C7" w14:textId="77777777" w:rsidR="00000000" w:rsidRDefault="001D0688">
            <w:pPr>
              <w:jc w:val="right"/>
              <w:rPr>
                <w:rFonts w:eastAsia="Times New Roman"/>
              </w:rPr>
            </w:pPr>
            <w:r>
              <w:rPr>
                <w:rFonts w:ascii="Arial" w:eastAsia="Times New Roman" w:hAnsi="Arial" w:cs="Arial"/>
                <w:color w:val="000000"/>
                <w:sz w:val="20"/>
                <w:szCs w:val="20"/>
              </w:rPr>
              <w:t>30.3 </w:t>
            </w:r>
          </w:p>
        </w:tc>
        <w:tc>
          <w:tcPr>
            <w:tcW w:w="0" w:type="auto"/>
            <w:shd w:val="clear" w:color="auto" w:fill="DCE2EF"/>
            <w:tcMar>
              <w:top w:w="30" w:type="dxa"/>
              <w:left w:w="0" w:type="dxa"/>
              <w:bottom w:w="30" w:type="dxa"/>
              <w:right w:w="20" w:type="dxa"/>
            </w:tcMar>
            <w:vAlign w:val="bottom"/>
            <w:hideMark/>
          </w:tcPr>
          <w:p w14:paraId="2C214DE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B5F52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389A98A" w14:textId="77777777" w:rsidR="00000000" w:rsidRDefault="001D0688">
            <w:pPr>
              <w:jc w:val="right"/>
              <w:rPr>
                <w:rFonts w:eastAsia="Times New Roman"/>
              </w:rPr>
            </w:pPr>
            <w:r>
              <w:rPr>
                <w:rFonts w:ascii="Arial" w:eastAsia="Times New Roman" w:hAnsi="Arial" w:cs="Arial"/>
                <w:color w:val="000000"/>
                <w:sz w:val="20"/>
                <w:szCs w:val="20"/>
              </w:rPr>
              <w:t>1.3 </w:t>
            </w:r>
          </w:p>
        </w:tc>
        <w:tc>
          <w:tcPr>
            <w:tcW w:w="0" w:type="auto"/>
            <w:shd w:val="clear" w:color="auto" w:fill="DCE2EF"/>
            <w:tcMar>
              <w:top w:w="30" w:type="dxa"/>
              <w:left w:w="0" w:type="dxa"/>
              <w:bottom w:w="30" w:type="dxa"/>
              <w:right w:w="20" w:type="dxa"/>
            </w:tcMar>
            <w:vAlign w:val="bottom"/>
            <w:hideMark/>
          </w:tcPr>
          <w:p w14:paraId="7339CF9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DE10D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384C63" w14:textId="77777777" w:rsidR="00000000" w:rsidRDefault="001D0688">
            <w:pPr>
              <w:jc w:val="right"/>
              <w:rPr>
                <w:rFonts w:eastAsia="Times New Roman"/>
              </w:rPr>
            </w:pPr>
            <w:r>
              <w:rPr>
                <w:rFonts w:ascii="Arial" w:eastAsia="Times New Roman" w:hAnsi="Arial" w:cs="Arial"/>
                <w:color w:val="000000"/>
                <w:sz w:val="20"/>
                <w:szCs w:val="20"/>
              </w:rPr>
              <w:t>31.6 </w:t>
            </w:r>
          </w:p>
        </w:tc>
        <w:tc>
          <w:tcPr>
            <w:tcW w:w="0" w:type="auto"/>
            <w:shd w:val="clear" w:color="auto" w:fill="DCE2EF"/>
            <w:tcMar>
              <w:top w:w="30" w:type="dxa"/>
              <w:left w:w="0" w:type="dxa"/>
              <w:bottom w:w="30" w:type="dxa"/>
              <w:right w:w="20" w:type="dxa"/>
            </w:tcMar>
            <w:vAlign w:val="bottom"/>
            <w:hideMark/>
          </w:tcPr>
          <w:p w14:paraId="47D754B8" w14:textId="77777777" w:rsidR="00000000" w:rsidRDefault="001D0688">
            <w:pPr>
              <w:jc w:val="right"/>
              <w:rPr>
                <w:rFonts w:eastAsia="Times New Roman"/>
              </w:rPr>
            </w:pPr>
          </w:p>
        </w:tc>
      </w:tr>
      <w:tr w:rsidR="00000000" w14:paraId="135E3969" w14:textId="77777777">
        <w:trPr>
          <w:divId w:val="1543516054"/>
          <w:jc w:val="right"/>
        </w:trPr>
        <w:tc>
          <w:tcPr>
            <w:tcW w:w="0" w:type="auto"/>
            <w:gridSpan w:val="3"/>
            <w:shd w:val="clear" w:color="auto" w:fill="FFFFFF"/>
            <w:tcMar>
              <w:top w:w="30" w:type="dxa"/>
              <w:left w:w="20" w:type="dxa"/>
              <w:bottom w:w="30" w:type="dxa"/>
              <w:right w:w="20" w:type="dxa"/>
            </w:tcMar>
            <w:vAlign w:val="bottom"/>
            <w:hideMark/>
          </w:tcPr>
          <w:p w14:paraId="0843609C" w14:textId="77777777" w:rsidR="00000000" w:rsidRDefault="001D0688">
            <w:pPr>
              <w:rPr>
                <w:rFonts w:eastAsia="Times New Roman"/>
              </w:rPr>
            </w:pPr>
            <w:r>
              <w:rPr>
                <w:rFonts w:ascii="Arial" w:eastAsia="Times New Roman" w:hAnsi="Arial" w:cs="Arial"/>
                <w:color w:val="000000"/>
                <w:sz w:val="20"/>
                <w:szCs w:val="20"/>
              </w:rPr>
              <w:t>Fiscal 2023</w:t>
            </w:r>
          </w:p>
        </w:tc>
        <w:tc>
          <w:tcPr>
            <w:tcW w:w="0" w:type="auto"/>
            <w:gridSpan w:val="3"/>
            <w:tcMar>
              <w:top w:w="0" w:type="dxa"/>
              <w:left w:w="20" w:type="dxa"/>
              <w:bottom w:w="0" w:type="dxa"/>
              <w:right w:w="20" w:type="dxa"/>
            </w:tcMar>
            <w:vAlign w:val="center"/>
            <w:hideMark/>
          </w:tcPr>
          <w:p w14:paraId="1BDDEEC1" w14:textId="77777777" w:rsidR="00000000" w:rsidRDefault="001D0688">
            <w:pPr>
              <w:rPr>
                <w:rFonts w:eastAsia="Times New Roman"/>
              </w:rPr>
            </w:pPr>
          </w:p>
        </w:tc>
        <w:tc>
          <w:tcPr>
            <w:tcW w:w="0" w:type="auto"/>
            <w:gridSpan w:val="2"/>
            <w:tcMar>
              <w:top w:w="30" w:type="dxa"/>
              <w:left w:w="20" w:type="dxa"/>
              <w:bottom w:w="30" w:type="dxa"/>
              <w:right w:w="0" w:type="dxa"/>
            </w:tcMar>
            <w:vAlign w:val="bottom"/>
            <w:hideMark/>
          </w:tcPr>
          <w:p w14:paraId="2C1D30CA" w14:textId="77777777" w:rsidR="00000000" w:rsidRDefault="001D0688">
            <w:pPr>
              <w:jc w:val="right"/>
              <w:rPr>
                <w:rFonts w:eastAsia="Times New Roman"/>
              </w:rPr>
            </w:pPr>
            <w:r>
              <w:rPr>
                <w:rFonts w:ascii="Arial" w:eastAsia="Times New Roman" w:hAnsi="Arial" w:cs="Arial"/>
                <w:color w:val="000000"/>
                <w:sz w:val="20"/>
                <w:szCs w:val="20"/>
              </w:rPr>
              <w:t>25.6 </w:t>
            </w:r>
          </w:p>
        </w:tc>
        <w:tc>
          <w:tcPr>
            <w:tcW w:w="0" w:type="auto"/>
            <w:tcMar>
              <w:top w:w="30" w:type="dxa"/>
              <w:left w:w="0" w:type="dxa"/>
              <w:bottom w:w="30" w:type="dxa"/>
              <w:right w:w="20" w:type="dxa"/>
            </w:tcMar>
            <w:vAlign w:val="bottom"/>
            <w:hideMark/>
          </w:tcPr>
          <w:p w14:paraId="76E58494" w14:textId="77777777" w:rsidR="00000000" w:rsidRDefault="001D0688">
            <w:pPr>
              <w:jc w:val="right"/>
              <w:rPr>
                <w:rFonts w:eastAsia="Times New Roman"/>
              </w:rPr>
            </w:pPr>
          </w:p>
        </w:tc>
        <w:tc>
          <w:tcPr>
            <w:tcW w:w="0" w:type="auto"/>
            <w:gridSpan w:val="3"/>
            <w:tcMar>
              <w:top w:w="0" w:type="dxa"/>
              <w:left w:w="20" w:type="dxa"/>
              <w:bottom w:w="0" w:type="dxa"/>
              <w:right w:w="20" w:type="dxa"/>
            </w:tcMar>
            <w:vAlign w:val="center"/>
            <w:hideMark/>
          </w:tcPr>
          <w:p w14:paraId="5E1C21BE"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8475927" w14:textId="77777777" w:rsidR="00000000" w:rsidRDefault="001D0688">
            <w:pPr>
              <w:jc w:val="right"/>
              <w:rPr>
                <w:rFonts w:eastAsia="Times New Roman"/>
              </w:rPr>
            </w:pPr>
            <w:r>
              <w:rPr>
                <w:rFonts w:ascii="Arial" w:eastAsia="Times New Roman" w:hAnsi="Arial" w:cs="Arial"/>
                <w:color w:val="000000"/>
                <w:sz w:val="20"/>
                <w:szCs w:val="20"/>
              </w:rPr>
              <w:t>0.6 </w:t>
            </w:r>
          </w:p>
        </w:tc>
        <w:tc>
          <w:tcPr>
            <w:tcW w:w="0" w:type="auto"/>
            <w:tcMar>
              <w:top w:w="30" w:type="dxa"/>
              <w:left w:w="0" w:type="dxa"/>
              <w:bottom w:w="30" w:type="dxa"/>
              <w:right w:w="20" w:type="dxa"/>
            </w:tcMar>
            <w:vAlign w:val="bottom"/>
            <w:hideMark/>
          </w:tcPr>
          <w:p w14:paraId="643412EB" w14:textId="77777777" w:rsidR="00000000" w:rsidRDefault="001D0688">
            <w:pPr>
              <w:jc w:val="right"/>
              <w:rPr>
                <w:rFonts w:eastAsia="Times New Roman"/>
              </w:rPr>
            </w:pPr>
          </w:p>
        </w:tc>
        <w:tc>
          <w:tcPr>
            <w:tcW w:w="0" w:type="auto"/>
            <w:gridSpan w:val="3"/>
            <w:tcMar>
              <w:top w:w="0" w:type="dxa"/>
              <w:left w:w="20" w:type="dxa"/>
              <w:bottom w:w="0" w:type="dxa"/>
              <w:right w:w="20" w:type="dxa"/>
            </w:tcMar>
            <w:vAlign w:val="center"/>
            <w:hideMark/>
          </w:tcPr>
          <w:p w14:paraId="3CC6B4FC"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1A0BCD" w14:textId="77777777" w:rsidR="00000000" w:rsidRDefault="001D0688">
            <w:pPr>
              <w:jc w:val="right"/>
              <w:rPr>
                <w:rFonts w:eastAsia="Times New Roman"/>
              </w:rPr>
            </w:pPr>
            <w:r>
              <w:rPr>
                <w:rFonts w:ascii="Arial" w:eastAsia="Times New Roman" w:hAnsi="Arial" w:cs="Arial"/>
                <w:color w:val="000000"/>
                <w:sz w:val="20"/>
                <w:szCs w:val="20"/>
              </w:rPr>
              <w:t>26.2 </w:t>
            </w:r>
          </w:p>
        </w:tc>
        <w:tc>
          <w:tcPr>
            <w:tcW w:w="0" w:type="auto"/>
            <w:tcMar>
              <w:top w:w="30" w:type="dxa"/>
              <w:left w:w="0" w:type="dxa"/>
              <w:bottom w:w="30" w:type="dxa"/>
              <w:right w:w="20" w:type="dxa"/>
            </w:tcMar>
            <w:vAlign w:val="bottom"/>
            <w:hideMark/>
          </w:tcPr>
          <w:p w14:paraId="384392A9" w14:textId="77777777" w:rsidR="00000000" w:rsidRDefault="001D0688">
            <w:pPr>
              <w:jc w:val="right"/>
              <w:rPr>
                <w:rFonts w:eastAsia="Times New Roman"/>
              </w:rPr>
            </w:pPr>
          </w:p>
        </w:tc>
      </w:tr>
      <w:tr w:rsidR="00000000" w14:paraId="108CCDB9" w14:textId="77777777">
        <w:trPr>
          <w:divId w:val="1543516054"/>
          <w:jc w:val="right"/>
        </w:trPr>
        <w:tc>
          <w:tcPr>
            <w:tcW w:w="0" w:type="auto"/>
            <w:gridSpan w:val="3"/>
            <w:shd w:val="clear" w:color="auto" w:fill="DCE2EF"/>
            <w:tcMar>
              <w:top w:w="30" w:type="dxa"/>
              <w:left w:w="20" w:type="dxa"/>
              <w:bottom w:w="30" w:type="dxa"/>
              <w:right w:w="20" w:type="dxa"/>
            </w:tcMar>
            <w:vAlign w:val="bottom"/>
            <w:hideMark/>
          </w:tcPr>
          <w:p w14:paraId="20CD26B8" w14:textId="77777777" w:rsidR="00000000" w:rsidRDefault="001D0688">
            <w:pPr>
              <w:rPr>
                <w:rFonts w:eastAsia="Times New Roman"/>
              </w:rPr>
            </w:pPr>
            <w:r>
              <w:rPr>
                <w:rFonts w:ascii="Arial" w:eastAsia="Times New Roman" w:hAnsi="Arial" w:cs="Arial"/>
                <w:color w:val="000000"/>
                <w:sz w:val="20"/>
                <w:szCs w:val="20"/>
              </w:rPr>
              <w:t>Fiscal 2024</w:t>
            </w:r>
          </w:p>
        </w:tc>
        <w:tc>
          <w:tcPr>
            <w:tcW w:w="0" w:type="auto"/>
            <w:gridSpan w:val="3"/>
            <w:shd w:val="clear" w:color="auto" w:fill="DCE2EF"/>
            <w:tcMar>
              <w:top w:w="0" w:type="dxa"/>
              <w:left w:w="20" w:type="dxa"/>
              <w:bottom w:w="0" w:type="dxa"/>
              <w:right w:w="20" w:type="dxa"/>
            </w:tcMar>
            <w:vAlign w:val="center"/>
            <w:hideMark/>
          </w:tcPr>
          <w:p w14:paraId="795335CF"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84445A8" w14:textId="77777777" w:rsidR="00000000" w:rsidRDefault="001D0688">
            <w:pPr>
              <w:jc w:val="right"/>
              <w:rPr>
                <w:rFonts w:eastAsia="Times New Roman"/>
              </w:rPr>
            </w:pPr>
            <w:r>
              <w:rPr>
                <w:rFonts w:ascii="Arial" w:eastAsia="Times New Roman" w:hAnsi="Arial" w:cs="Arial"/>
                <w:color w:val="000000"/>
                <w:sz w:val="20"/>
                <w:szCs w:val="20"/>
              </w:rPr>
              <w:t>20.5 </w:t>
            </w:r>
          </w:p>
        </w:tc>
        <w:tc>
          <w:tcPr>
            <w:tcW w:w="0" w:type="auto"/>
            <w:shd w:val="clear" w:color="auto" w:fill="DCE2EF"/>
            <w:tcMar>
              <w:top w:w="30" w:type="dxa"/>
              <w:left w:w="0" w:type="dxa"/>
              <w:bottom w:w="30" w:type="dxa"/>
              <w:right w:w="20" w:type="dxa"/>
            </w:tcMar>
            <w:vAlign w:val="bottom"/>
            <w:hideMark/>
          </w:tcPr>
          <w:p w14:paraId="3E30F07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859BB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B35B7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1C9206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EBE09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14A36E" w14:textId="77777777" w:rsidR="00000000" w:rsidRDefault="001D0688">
            <w:pPr>
              <w:jc w:val="right"/>
              <w:rPr>
                <w:rFonts w:eastAsia="Times New Roman"/>
              </w:rPr>
            </w:pPr>
            <w:r>
              <w:rPr>
                <w:rFonts w:ascii="Arial" w:eastAsia="Times New Roman" w:hAnsi="Arial" w:cs="Arial"/>
                <w:color w:val="000000"/>
                <w:sz w:val="20"/>
                <w:szCs w:val="20"/>
              </w:rPr>
              <w:t>20.5 </w:t>
            </w:r>
          </w:p>
        </w:tc>
        <w:tc>
          <w:tcPr>
            <w:tcW w:w="0" w:type="auto"/>
            <w:shd w:val="clear" w:color="auto" w:fill="DCE2EF"/>
            <w:tcMar>
              <w:top w:w="30" w:type="dxa"/>
              <w:left w:w="0" w:type="dxa"/>
              <w:bottom w:w="30" w:type="dxa"/>
              <w:right w:w="20" w:type="dxa"/>
            </w:tcMar>
            <w:vAlign w:val="bottom"/>
            <w:hideMark/>
          </w:tcPr>
          <w:p w14:paraId="49CE75DF" w14:textId="77777777" w:rsidR="00000000" w:rsidRDefault="001D0688">
            <w:pPr>
              <w:jc w:val="right"/>
              <w:rPr>
                <w:rFonts w:eastAsia="Times New Roman"/>
              </w:rPr>
            </w:pPr>
          </w:p>
        </w:tc>
      </w:tr>
      <w:tr w:rsidR="00000000" w14:paraId="112D510F" w14:textId="77777777">
        <w:trPr>
          <w:divId w:val="1543516054"/>
          <w:jc w:val="right"/>
        </w:trPr>
        <w:tc>
          <w:tcPr>
            <w:tcW w:w="0" w:type="auto"/>
            <w:gridSpan w:val="3"/>
            <w:shd w:val="clear" w:color="auto" w:fill="FFFFFF"/>
            <w:tcMar>
              <w:top w:w="30" w:type="dxa"/>
              <w:left w:w="20" w:type="dxa"/>
              <w:bottom w:w="30" w:type="dxa"/>
              <w:right w:w="20" w:type="dxa"/>
            </w:tcMar>
            <w:vAlign w:val="bottom"/>
            <w:hideMark/>
          </w:tcPr>
          <w:p w14:paraId="04BCF74B" w14:textId="77777777" w:rsidR="00000000" w:rsidRDefault="001D0688">
            <w:pPr>
              <w:rPr>
                <w:rFonts w:eastAsia="Times New Roman"/>
              </w:rPr>
            </w:pPr>
            <w:r>
              <w:rPr>
                <w:rFonts w:ascii="Arial" w:eastAsia="Times New Roman" w:hAnsi="Arial" w:cs="Arial"/>
                <w:color w:val="000000"/>
                <w:sz w:val="20"/>
                <w:szCs w:val="20"/>
              </w:rPr>
              <w:t>Thereafter</w:t>
            </w:r>
          </w:p>
        </w:tc>
        <w:tc>
          <w:tcPr>
            <w:tcW w:w="0" w:type="auto"/>
            <w:gridSpan w:val="3"/>
            <w:tcMar>
              <w:top w:w="0" w:type="dxa"/>
              <w:left w:w="20" w:type="dxa"/>
              <w:bottom w:w="0" w:type="dxa"/>
              <w:right w:w="20" w:type="dxa"/>
            </w:tcMar>
            <w:vAlign w:val="center"/>
            <w:hideMark/>
          </w:tcPr>
          <w:p w14:paraId="6067BDDA" w14:textId="77777777" w:rsidR="00000000" w:rsidRDefault="001D0688">
            <w:pPr>
              <w:rPr>
                <w:rFonts w:eastAsia="Times New Roman"/>
              </w:rPr>
            </w:pPr>
          </w:p>
        </w:tc>
        <w:tc>
          <w:tcPr>
            <w:tcW w:w="0" w:type="auto"/>
            <w:gridSpan w:val="2"/>
            <w:tcMar>
              <w:top w:w="30" w:type="dxa"/>
              <w:left w:w="20" w:type="dxa"/>
              <w:bottom w:w="30" w:type="dxa"/>
              <w:right w:w="0" w:type="dxa"/>
            </w:tcMar>
            <w:vAlign w:val="bottom"/>
            <w:hideMark/>
          </w:tcPr>
          <w:p w14:paraId="06EB4A96" w14:textId="77777777" w:rsidR="00000000" w:rsidRDefault="001D0688">
            <w:pPr>
              <w:jc w:val="right"/>
              <w:rPr>
                <w:rFonts w:eastAsia="Times New Roman"/>
              </w:rPr>
            </w:pPr>
            <w:r>
              <w:rPr>
                <w:rFonts w:ascii="Arial" w:eastAsia="Times New Roman" w:hAnsi="Arial" w:cs="Arial"/>
                <w:color w:val="000000"/>
                <w:sz w:val="20"/>
                <w:szCs w:val="20"/>
              </w:rPr>
              <w:t>51.8 </w:t>
            </w:r>
          </w:p>
        </w:tc>
        <w:tc>
          <w:tcPr>
            <w:tcW w:w="0" w:type="auto"/>
            <w:tcMar>
              <w:top w:w="30" w:type="dxa"/>
              <w:left w:w="0" w:type="dxa"/>
              <w:bottom w:w="30" w:type="dxa"/>
              <w:right w:w="20" w:type="dxa"/>
            </w:tcMar>
            <w:vAlign w:val="bottom"/>
            <w:hideMark/>
          </w:tcPr>
          <w:p w14:paraId="0B990FAC" w14:textId="77777777" w:rsidR="00000000" w:rsidRDefault="001D0688">
            <w:pPr>
              <w:jc w:val="right"/>
              <w:rPr>
                <w:rFonts w:eastAsia="Times New Roman"/>
              </w:rPr>
            </w:pPr>
          </w:p>
        </w:tc>
        <w:tc>
          <w:tcPr>
            <w:tcW w:w="0" w:type="auto"/>
            <w:gridSpan w:val="3"/>
            <w:tcMar>
              <w:top w:w="0" w:type="dxa"/>
              <w:left w:w="20" w:type="dxa"/>
              <w:bottom w:w="0" w:type="dxa"/>
              <w:right w:w="20" w:type="dxa"/>
            </w:tcMar>
            <w:vAlign w:val="center"/>
            <w:hideMark/>
          </w:tcPr>
          <w:p w14:paraId="09FAEF49"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ABA8707"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14:paraId="60DB0AA2" w14:textId="77777777" w:rsidR="00000000" w:rsidRDefault="001D0688">
            <w:pPr>
              <w:jc w:val="right"/>
              <w:rPr>
                <w:rFonts w:eastAsia="Times New Roman"/>
              </w:rPr>
            </w:pPr>
          </w:p>
        </w:tc>
        <w:tc>
          <w:tcPr>
            <w:tcW w:w="0" w:type="auto"/>
            <w:gridSpan w:val="3"/>
            <w:tcMar>
              <w:top w:w="0" w:type="dxa"/>
              <w:left w:w="20" w:type="dxa"/>
              <w:bottom w:w="0" w:type="dxa"/>
              <w:right w:w="20" w:type="dxa"/>
            </w:tcMar>
            <w:vAlign w:val="center"/>
            <w:hideMark/>
          </w:tcPr>
          <w:p w14:paraId="4E33C2B1"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2C0D1F9" w14:textId="77777777" w:rsidR="00000000" w:rsidRDefault="001D0688">
            <w:pPr>
              <w:jc w:val="right"/>
              <w:rPr>
                <w:rFonts w:eastAsia="Times New Roman"/>
              </w:rPr>
            </w:pPr>
            <w:r>
              <w:rPr>
                <w:rFonts w:ascii="Arial" w:eastAsia="Times New Roman" w:hAnsi="Arial" w:cs="Arial"/>
                <w:color w:val="000000"/>
                <w:sz w:val="20"/>
                <w:szCs w:val="20"/>
              </w:rPr>
              <w:t>51.8 </w:t>
            </w:r>
          </w:p>
        </w:tc>
        <w:tc>
          <w:tcPr>
            <w:tcW w:w="0" w:type="auto"/>
            <w:tcMar>
              <w:top w:w="30" w:type="dxa"/>
              <w:left w:w="0" w:type="dxa"/>
              <w:bottom w:w="30" w:type="dxa"/>
              <w:right w:w="20" w:type="dxa"/>
            </w:tcMar>
            <w:vAlign w:val="bottom"/>
            <w:hideMark/>
          </w:tcPr>
          <w:p w14:paraId="2A4416D9" w14:textId="77777777" w:rsidR="00000000" w:rsidRDefault="001D0688">
            <w:pPr>
              <w:jc w:val="right"/>
              <w:rPr>
                <w:rFonts w:eastAsia="Times New Roman"/>
              </w:rPr>
            </w:pPr>
          </w:p>
        </w:tc>
      </w:tr>
      <w:tr w:rsidR="00000000" w14:paraId="7B724209" w14:textId="77777777">
        <w:trPr>
          <w:divId w:val="1543516054"/>
          <w:jc w:val="right"/>
        </w:trPr>
        <w:tc>
          <w:tcPr>
            <w:tcW w:w="0" w:type="auto"/>
            <w:gridSpan w:val="3"/>
            <w:shd w:val="clear" w:color="auto" w:fill="DCE2EF"/>
            <w:tcMar>
              <w:top w:w="30" w:type="dxa"/>
              <w:left w:w="20" w:type="dxa"/>
              <w:bottom w:w="30" w:type="dxa"/>
              <w:right w:w="20" w:type="dxa"/>
            </w:tcMar>
            <w:vAlign w:val="bottom"/>
            <w:hideMark/>
          </w:tcPr>
          <w:p w14:paraId="128B7834" w14:textId="77777777" w:rsidR="00000000" w:rsidRDefault="001D0688">
            <w:pPr>
              <w:divId w:val="995766018"/>
              <w:rPr>
                <w:rFonts w:eastAsia="Times New Roman"/>
              </w:rPr>
            </w:pPr>
            <w:r>
              <w:rPr>
                <w:rFonts w:ascii="Arial" w:eastAsia="Times New Roman" w:hAnsi="Arial" w:cs="Arial"/>
                <w:b/>
                <w:bCs/>
                <w:color w:val="000000"/>
                <w:sz w:val="20"/>
                <w:szCs w:val="20"/>
              </w:rPr>
              <w:t>Tota</w:t>
            </w:r>
            <w:r>
              <w:rPr>
                <w:rFonts w:ascii="Arial" w:eastAsia="Times New Roman" w:hAnsi="Arial" w:cs="Arial"/>
                <w:b/>
                <w:bCs/>
                <w:color w:val="000000"/>
                <w:sz w:val="20"/>
                <w:szCs w:val="20"/>
              </w:rPr>
              <w:t>l</w:t>
            </w:r>
            <w:r>
              <w:rPr>
                <w:rFonts w:ascii="Arial" w:eastAsia="Times New Roman" w:hAnsi="Arial" w:cs="Arial"/>
                <w:b/>
                <w:bCs/>
                <w:color w:val="000000"/>
                <w:sz w:val="13"/>
                <w:szCs w:val="13"/>
              </w:rPr>
              <w:t>(2</w:t>
            </w:r>
            <w:r>
              <w:rPr>
                <w:rFonts w:ascii="Arial" w:eastAsia="Times New Roman" w:hAnsi="Arial" w:cs="Arial"/>
                <w:b/>
                <w:bCs/>
                <w:color w:val="000000"/>
                <w:sz w:val="13"/>
                <w:szCs w:val="13"/>
              </w:rPr>
              <w:t>)</w:t>
            </w:r>
          </w:p>
        </w:tc>
        <w:tc>
          <w:tcPr>
            <w:tcW w:w="0" w:type="auto"/>
            <w:gridSpan w:val="3"/>
            <w:shd w:val="clear" w:color="auto" w:fill="DCE2EF"/>
            <w:tcMar>
              <w:top w:w="0" w:type="dxa"/>
              <w:left w:w="20" w:type="dxa"/>
              <w:bottom w:w="0" w:type="dxa"/>
              <w:right w:w="20" w:type="dxa"/>
            </w:tcMar>
            <w:vAlign w:val="center"/>
            <w:hideMark/>
          </w:tcPr>
          <w:p w14:paraId="0B8F2EDF" w14:textId="77777777" w:rsidR="00000000" w:rsidRDefault="001D0688">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F05DB8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EC3C4EC" w14:textId="77777777" w:rsidR="00000000" w:rsidRDefault="001D0688">
            <w:pPr>
              <w:jc w:val="right"/>
              <w:rPr>
                <w:rFonts w:eastAsia="Times New Roman"/>
              </w:rPr>
            </w:pPr>
            <w:r>
              <w:rPr>
                <w:rFonts w:ascii="Arial" w:eastAsia="Times New Roman" w:hAnsi="Arial" w:cs="Arial"/>
                <w:color w:val="000000"/>
                <w:sz w:val="20"/>
                <w:szCs w:val="20"/>
              </w:rPr>
              <w:t>206.5 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7668DB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587D2D"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1C7084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B9673D3" w14:textId="77777777" w:rsidR="00000000" w:rsidRDefault="001D0688">
            <w:pPr>
              <w:jc w:val="right"/>
              <w:rPr>
                <w:rFonts w:eastAsia="Times New Roman"/>
              </w:rPr>
            </w:pPr>
            <w:r>
              <w:rPr>
                <w:rFonts w:ascii="Arial" w:eastAsia="Times New Roman" w:hAnsi="Arial" w:cs="Arial"/>
                <w:color w:val="000000"/>
                <w:sz w:val="20"/>
                <w:szCs w:val="20"/>
              </w:rPr>
              <w:t>7.5 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5E6372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DF84CD"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8F682F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40A228D" w14:textId="77777777" w:rsidR="00000000" w:rsidRDefault="001D0688">
            <w:pPr>
              <w:jc w:val="right"/>
              <w:rPr>
                <w:rFonts w:eastAsia="Times New Roman"/>
              </w:rPr>
            </w:pPr>
            <w:r>
              <w:rPr>
                <w:rFonts w:ascii="Arial" w:eastAsia="Times New Roman" w:hAnsi="Arial" w:cs="Arial"/>
                <w:color w:val="000000"/>
                <w:sz w:val="20"/>
                <w:szCs w:val="20"/>
              </w:rPr>
              <w:t>214.0 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3DC749B" w14:textId="77777777" w:rsidR="00000000" w:rsidRDefault="001D0688">
            <w:pPr>
              <w:jc w:val="right"/>
              <w:rPr>
                <w:rFonts w:eastAsia="Times New Roman"/>
              </w:rPr>
            </w:pPr>
          </w:p>
        </w:tc>
      </w:tr>
    </w:tbl>
    <w:p w14:paraId="695C4A67" w14:textId="77777777" w:rsidR="00000000" w:rsidRDefault="001D0688">
      <w:pPr>
        <w:jc w:val="both"/>
        <w:divId w:val="36799330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total estimated sublease rental income of $15.8 million.</w:t>
      </w:r>
    </w:p>
    <w:p w14:paraId="149F4A6E" w14:textId="77777777" w:rsidR="00000000" w:rsidRDefault="001D0688">
      <w:pPr>
        <w:ind w:hanging="180"/>
        <w:jc w:val="both"/>
        <w:divId w:val="28246705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Total undiscounted future minimum payments. </w:t>
      </w:r>
    </w:p>
    <w:p w14:paraId="3DF71ED9" w14:textId="77777777" w:rsidR="00000000" w:rsidRDefault="001D0688">
      <w:pPr>
        <w:divId w:val="940572722"/>
        <w:rPr>
          <w:rFonts w:eastAsia="Times New Roman"/>
        </w:rPr>
      </w:pPr>
    </w:p>
    <w:p w14:paraId="4C675036" w14:textId="77777777" w:rsidR="00000000" w:rsidRDefault="001D0688">
      <w:pPr>
        <w:divId w:val="383409673"/>
        <w:rPr>
          <w:rFonts w:eastAsia="Times New Roman"/>
        </w:rPr>
      </w:pPr>
    </w:p>
    <w:p w14:paraId="327CF83E" w14:textId="77777777" w:rsidR="00000000" w:rsidRDefault="001D0688">
      <w:pPr>
        <w:jc w:val="center"/>
        <w:divId w:val="637687610"/>
        <w:rPr>
          <w:rFonts w:eastAsia="Times New Roman"/>
        </w:rPr>
      </w:pPr>
      <w:r>
        <w:rPr>
          <w:rFonts w:ascii="Arial" w:eastAsia="Times New Roman" w:hAnsi="Arial" w:cs="Arial"/>
          <w:color w:val="000000"/>
          <w:sz w:val="20"/>
          <w:szCs w:val="20"/>
        </w:rPr>
        <w:t>72</w:t>
      </w:r>
    </w:p>
    <w:p w14:paraId="7F4C2714" w14:textId="77777777" w:rsidR="00000000" w:rsidRDefault="001D0688">
      <w:pPr>
        <w:rPr>
          <w:rFonts w:eastAsia="Times New Roman"/>
        </w:rPr>
      </w:pPr>
      <w:r>
        <w:rPr>
          <w:rFonts w:eastAsia="Times New Roman"/>
        </w:rPr>
        <w:pict w14:anchorId="2BD5E1D6">
          <v:rect id="_x0000_i1109" style="width:0;height:1.5pt" o:hralign="center" o:hrstd="t" o:hr="t" fillcolor="#a0a0a0" stroked="f"/>
        </w:pict>
      </w:r>
    </w:p>
    <w:p w14:paraId="27843230" w14:textId="77777777" w:rsidR="00000000" w:rsidRDefault="001D0688">
      <w:pPr>
        <w:divId w:val="1816069787"/>
        <w:rPr>
          <w:rFonts w:eastAsia="Times New Roman"/>
        </w:rPr>
      </w:pPr>
    </w:p>
    <w:p w14:paraId="15862219" w14:textId="77777777" w:rsidR="00000000" w:rsidRDefault="001D0688">
      <w:pPr>
        <w:divId w:val="1680232209"/>
        <w:rPr>
          <w:rFonts w:eastAsia="Times New Roman"/>
        </w:rPr>
      </w:pPr>
      <w:r>
        <w:rPr>
          <w:rFonts w:ascii="Arial" w:eastAsia="Times New Roman" w:hAnsi="Arial" w:cs="Arial"/>
          <w:b/>
          <w:bCs/>
          <w:color w:val="0046AD"/>
          <w:sz w:val="20"/>
          <w:szCs w:val="20"/>
        </w:rPr>
        <w:t>5. RESTRUCTURING AND RELATED COSTS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7B3688EA" w14:textId="77777777">
        <w:trPr>
          <w:divId w:val="1669939892"/>
        </w:trPr>
        <w:tc>
          <w:tcPr>
            <w:tcW w:w="5" w:type="pct"/>
            <w:vAlign w:val="center"/>
            <w:hideMark/>
          </w:tcPr>
          <w:p w14:paraId="55D6D792" w14:textId="77777777" w:rsidR="00000000" w:rsidRDefault="001D0688">
            <w:pPr>
              <w:rPr>
                <w:rFonts w:eastAsia="Times New Roman"/>
              </w:rPr>
            </w:pPr>
          </w:p>
        </w:tc>
        <w:tc>
          <w:tcPr>
            <w:tcW w:w="129" w:type="pct"/>
            <w:vAlign w:val="center"/>
            <w:hideMark/>
          </w:tcPr>
          <w:p w14:paraId="2E18E89D" w14:textId="77777777" w:rsidR="00000000" w:rsidRDefault="001D0688">
            <w:pPr>
              <w:rPr>
                <w:rFonts w:eastAsia="Times New Roman"/>
                <w:sz w:val="20"/>
                <w:szCs w:val="20"/>
              </w:rPr>
            </w:pPr>
          </w:p>
        </w:tc>
        <w:tc>
          <w:tcPr>
            <w:tcW w:w="5" w:type="pct"/>
            <w:vAlign w:val="center"/>
            <w:hideMark/>
          </w:tcPr>
          <w:p w14:paraId="0CA08A15" w14:textId="77777777" w:rsidR="00000000" w:rsidRDefault="001D0688">
            <w:pPr>
              <w:rPr>
                <w:rFonts w:eastAsia="Times New Roman"/>
                <w:sz w:val="20"/>
                <w:szCs w:val="20"/>
              </w:rPr>
            </w:pPr>
          </w:p>
        </w:tc>
        <w:tc>
          <w:tcPr>
            <w:tcW w:w="50" w:type="pct"/>
            <w:vAlign w:val="center"/>
            <w:hideMark/>
          </w:tcPr>
          <w:p w14:paraId="05DE0034" w14:textId="77777777" w:rsidR="00000000" w:rsidRDefault="001D0688">
            <w:pPr>
              <w:rPr>
                <w:rFonts w:eastAsia="Times New Roman"/>
                <w:sz w:val="20"/>
                <w:szCs w:val="20"/>
              </w:rPr>
            </w:pPr>
          </w:p>
        </w:tc>
        <w:tc>
          <w:tcPr>
            <w:tcW w:w="4805" w:type="pct"/>
            <w:vAlign w:val="center"/>
            <w:hideMark/>
          </w:tcPr>
          <w:p w14:paraId="30BA83B0" w14:textId="77777777" w:rsidR="00000000" w:rsidRDefault="001D0688">
            <w:pPr>
              <w:rPr>
                <w:rFonts w:eastAsia="Times New Roman"/>
                <w:sz w:val="20"/>
                <w:szCs w:val="20"/>
              </w:rPr>
            </w:pPr>
          </w:p>
        </w:tc>
        <w:tc>
          <w:tcPr>
            <w:tcW w:w="5" w:type="pct"/>
            <w:vAlign w:val="center"/>
            <w:hideMark/>
          </w:tcPr>
          <w:p w14:paraId="7E5AC4A2" w14:textId="77777777" w:rsidR="00000000" w:rsidRDefault="001D0688">
            <w:pPr>
              <w:rPr>
                <w:rFonts w:eastAsia="Times New Roman"/>
                <w:sz w:val="20"/>
                <w:szCs w:val="20"/>
              </w:rPr>
            </w:pPr>
          </w:p>
        </w:tc>
      </w:tr>
      <w:tr w:rsidR="00000000" w14:paraId="45136855" w14:textId="77777777">
        <w:trPr>
          <w:divId w:val="1669939892"/>
          <w:trHeight w:val="60"/>
        </w:trPr>
        <w:tc>
          <w:tcPr>
            <w:tcW w:w="0" w:type="auto"/>
            <w:gridSpan w:val="3"/>
            <w:tcBorders>
              <w:top w:val="single" w:sz="8" w:space="0" w:color="E98300"/>
            </w:tcBorders>
            <w:tcMar>
              <w:top w:w="0" w:type="dxa"/>
              <w:left w:w="20" w:type="dxa"/>
              <w:bottom w:w="0" w:type="dxa"/>
              <w:right w:w="20" w:type="dxa"/>
            </w:tcMar>
            <w:vAlign w:val="center"/>
            <w:hideMark/>
          </w:tcPr>
          <w:p w14:paraId="762F61D4"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2C906B7" w14:textId="77777777" w:rsidR="00000000" w:rsidRDefault="001D0688">
            <w:pPr>
              <w:rPr>
                <w:rFonts w:eastAsia="Times New Roman"/>
                <w:sz w:val="20"/>
                <w:szCs w:val="20"/>
              </w:rPr>
            </w:pPr>
          </w:p>
        </w:tc>
      </w:tr>
    </w:tbl>
    <w:p w14:paraId="14965428" w14:textId="77777777" w:rsidR="00000000" w:rsidRDefault="001D0688">
      <w:pPr>
        <w:ind w:firstLine="720"/>
        <w:jc w:val="both"/>
        <w:divId w:val="2106613639"/>
        <w:rPr>
          <w:rFonts w:eastAsia="Times New Roman"/>
        </w:rPr>
      </w:pPr>
      <w:r>
        <w:rPr>
          <w:rFonts w:ascii="Arial" w:eastAsia="Times New Roman" w:hAnsi="Arial" w:cs="Arial"/>
          <w:color w:val="000000"/>
          <w:sz w:val="20"/>
          <w:szCs w:val="20"/>
        </w:rPr>
        <w:t>We may periodically engage in various restructuring activities intended to drive long-term profitable growth and increase operational efficiency, which can include streamlining and realigning our overall organizational structure and reallocating resources.</w:t>
      </w:r>
      <w:r>
        <w:rPr>
          <w:rFonts w:ascii="Arial" w:eastAsia="Times New Roman" w:hAnsi="Arial" w:cs="Arial"/>
          <w:color w:val="000000"/>
          <w:sz w:val="20"/>
          <w:szCs w:val="20"/>
        </w:rPr>
        <w:t xml:space="preserve"> These activities may result in restructuring costs related to employee severance, other project fees, external support fees, lease exit costs, and asset impairment charges. Recently, our significant restructuring activities have been primarily associated </w:t>
      </w:r>
      <w:r>
        <w:rPr>
          <w:rFonts w:ascii="Arial" w:eastAsia="Times New Roman" w:hAnsi="Arial" w:cs="Arial"/>
          <w:color w:val="000000"/>
          <w:sz w:val="20"/>
          <w:szCs w:val="20"/>
        </w:rPr>
        <w:t xml:space="preserve">with integrating our acquisition of GCA and implementing our </w:t>
      </w:r>
      <w:r>
        <w:rPr>
          <w:rFonts w:ascii="Arial" w:eastAsia="Times New Roman" w:hAnsi="Arial" w:cs="Arial"/>
          <w:b/>
          <w:bCs/>
          <w:color w:val="FF9C1D"/>
          <w:sz w:val="20"/>
          <w:szCs w:val="20"/>
        </w:rPr>
        <w:t>2020</w:t>
      </w:r>
      <w:r>
        <w:rPr>
          <w:rFonts w:ascii="Arial" w:eastAsia="Times New Roman" w:hAnsi="Arial" w:cs="Arial"/>
          <w:b/>
          <w:bCs/>
          <w:color w:val="326ABD"/>
          <w:sz w:val="20"/>
          <w:szCs w:val="20"/>
        </w:rPr>
        <w:t xml:space="preserve"> Vision</w:t>
      </w:r>
      <w:r>
        <w:rPr>
          <w:rFonts w:ascii="Arial" w:eastAsia="Times New Roman" w:hAnsi="Arial" w:cs="Arial"/>
          <w:color w:val="000000"/>
          <w:sz w:val="20"/>
          <w:szCs w:val="20"/>
        </w:rPr>
        <w:t xml:space="preserve"> initiative, as described below.</w:t>
      </w:r>
    </w:p>
    <w:p w14:paraId="66273CC0" w14:textId="77777777" w:rsidR="00000000" w:rsidRDefault="001D0688">
      <w:pPr>
        <w:divId w:val="1373653395"/>
        <w:rPr>
          <w:rFonts w:eastAsia="Times New Roman"/>
        </w:rPr>
      </w:pPr>
      <w:r>
        <w:rPr>
          <w:rFonts w:ascii="Arial" w:eastAsia="Times New Roman" w:hAnsi="Arial" w:cs="Arial"/>
          <w:b/>
          <w:bCs/>
          <w:color w:val="0046AD"/>
          <w:sz w:val="20"/>
          <w:szCs w:val="20"/>
        </w:rPr>
        <w:t>GCA Restructuring and Other Initiatives</w:t>
      </w:r>
    </w:p>
    <w:p w14:paraId="0A5270C3" w14:textId="77777777" w:rsidR="00000000" w:rsidRDefault="001D0688">
      <w:pPr>
        <w:ind w:firstLine="720"/>
        <w:jc w:val="both"/>
        <w:divId w:val="717239521"/>
        <w:rPr>
          <w:rFonts w:eastAsia="Times New Roman"/>
        </w:rPr>
      </w:pPr>
      <w:r>
        <w:rPr>
          <w:rFonts w:ascii="Arial" w:eastAsia="Times New Roman" w:hAnsi="Arial" w:cs="Arial"/>
          <w:color w:val="000000"/>
          <w:sz w:val="20"/>
          <w:szCs w:val="20"/>
        </w:rPr>
        <w:t>Following the acquisition of GCA, during the first quarter of 2018 we initiated a restructuring program to achi</w:t>
      </w:r>
      <w:r>
        <w:rPr>
          <w:rFonts w:ascii="Arial" w:eastAsia="Times New Roman" w:hAnsi="Arial" w:cs="Arial"/>
          <w:color w:val="000000"/>
          <w:sz w:val="20"/>
          <w:szCs w:val="20"/>
        </w:rPr>
        <w:t xml:space="preserve">eve cost synergies and subsequently incurred expenses primarily related to employee severance, the migration and upgrade of several key technology platforms, and the consolidation of certain real estate leases. Additionally, during 2019 we reorganized our </w:t>
      </w:r>
      <w:r>
        <w:rPr>
          <w:rFonts w:ascii="Arial" w:eastAsia="Times New Roman" w:hAnsi="Arial" w:cs="Arial"/>
          <w:color w:val="000000"/>
          <w:sz w:val="20"/>
          <w:szCs w:val="20"/>
        </w:rPr>
        <w:t>former Healthcare business and incurred immaterial severance expense. In early 2020 we continued our technology-based modernization efforts, including standardizing our financial systems. However, due to the Pandemic, the majority of these projects have be</w:t>
      </w:r>
      <w:r>
        <w:rPr>
          <w:rFonts w:ascii="Arial" w:eastAsia="Times New Roman" w:hAnsi="Arial" w:cs="Arial"/>
          <w:color w:val="000000"/>
          <w:sz w:val="20"/>
          <w:szCs w:val="20"/>
        </w:rPr>
        <w:t>en temporarily suspended since the second quarter of 2020.</w:t>
      </w:r>
    </w:p>
    <w:p w14:paraId="17BCA89B" w14:textId="77777777" w:rsidR="00000000" w:rsidRDefault="001D0688">
      <w:pPr>
        <w:jc w:val="both"/>
        <w:divId w:val="796601466"/>
        <w:rPr>
          <w:rFonts w:eastAsia="Times New Roman"/>
        </w:rPr>
      </w:pPr>
      <w:r>
        <w:rPr>
          <w:rFonts w:ascii="Arial" w:eastAsia="Times New Roman" w:hAnsi="Arial" w:cs="Arial"/>
          <w:b/>
          <w:bCs/>
          <w:color w:val="FF9900"/>
          <w:sz w:val="20"/>
          <w:szCs w:val="20"/>
        </w:rPr>
        <w:t>2020</w:t>
      </w:r>
      <w:r>
        <w:rPr>
          <w:rFonts w:ascii="Arial" w:eastAsia="Times New Roman" w:hAnsi="Arial" w:cs="Arial"/>
          <w:b/>
          <w:bCs/>
          <w:color w:val="000000"/>
          <w:sz w:val="20"/>
          <w:szCs w:val="20"/>
        </w:rPr>
        <w:t xml:space="preserve"> </w:t>
      </w:r>
      <w:r>
        <w:rPr>
          <w:rFonts w:ascii="Arial" w:eastAsia="Times New Roman" w:hAnsi="Arial" w:cs="Arial"/>
          <w:b/>
          <w:bCs/>
          <w:color w:val="0070C0"/>
          <w:sz w:val="20"/>
          <w:szCs w:val="20"/>
        </w:rPr>
        <w:t xml:space="preserve">Vision </w:t>
      </w:r>
      <w:r>
        <w:rPr>
          <w:rFonts w:ascii="Arial" w:eastAsia="Times New Roman" w:hAnsi="Arial" w:cs="Arial"/>
          <w:b/>
          <w:bCs/>
          <w:color w:val="0046AD"/>
          <w:sz w:val="20"/>
          <w:szCs w:val="20"/>
        </w:rPr>
        <w:t>Restructuring</w:t>
      </w:r>
    </w:p>
    <w:p w14:paraId="3B9D0BE4" w14:textId="77777777" w:rsidR="00000000" w:rsidRDefault="001D0688">
      <w:pPr>
        <w:ind w:firstLine="720"/>
        <w:jc w:val="both"/>
        <w:divId w:val="1433864152"/>
        <w:rPr>
          <w:rFonts w:eastAsia="Times New Roman"/>
        </w:rPr>
      </w:pPr>
      <w:r>
        <w:rPr>
          <w:rFonts w:ascii="Arial" w:eastAsia="Times New Roman" w:hAnsi="Arial" w:cs="Arial"/>
          <w:color w:val="000000"/>
          <w:sz w:val="20"/>
          <w:szCs w:val="20"/>
        </w:rPr>
        <w:t xml:space="preserve">During the fourth quarter of 2015, we initiated a restructuring plan as part of a comprehensive strategy intended to have a positive transformative effect on ABM. These actions were substantially completed by the end of fiscal 2019 at a cumulative cost of </w:t>
      </w:r>
      <w:r>
        <w:rPr>
          <w:rFonts w:ascii="Arial" w:eastAsia="Times New Roman" w:hAnsi="Arial" w:cs="Arial"/>
          <w:color w:val="000000"/>
          <w:sz w:val="20"/>
          <w:szCs w:val="20"/>
        </w:rPr>
        <w:t>$66.5 million.</w:t>
      </w:r>
    </w:p>
    <w:p w14:paraId="12DDEB8B" w14:textId="77777777" w:rsidR="00000000" w:rsidRDefault="001D0688">
      <w:pPr>
        <w:jc w:val="both"/>
        <w:divId w:val="1922179888"/>
        <w:rPr>
          <w:rFonts w:eastAsia="Times New Roman"/>
        </w:rPr>
      </w:pPr>
      <w:r>
        <w:rPr>
          <w:rFonts w:ascii="Arial" w:eastAsia="Times New Roman" w:hAnsi="Arial" w:cs="Arial"/>
          <w:b/>
          <w:bCs/>
          <w:color w:val="0046AD"/>
          <w:sz w:val="20"/>
          <w:szCs w:val="20"/>
        </w:rPr>
        <w:t>Rollforward of Restructuring and Related Liabilities</w:t>
      </w:r>
    </w:p>
    <w:tbl>
      <w:tblPr>
        <w:tblW w:w="5000" w:type="pct"/>
        <w:jc w:val="right"/>
        <w:tblCellMar>
          <w:top w:w="15" w:type="dxa"/>
          <w:left w:w="15" w:type="dxa"/>
          <w:bottom w:w="15" w:type="dxa"/>
          <w:right w:w="15" w:type="dxa"/>
        </w:tblCellMar>
        <w:tblLook w:val="04A0" w:firstRow="1" w:lastRow="0" w:firstColumn="1" w:lastColumn="0" w:noHBand="0" w:noVBand="1"/>
      </w:tblPr>
      <w:tblGrid>
        <w:gridCol w:w="44"/>
        <w:gridCol w:w="1881"/>
        <w:gridCol w:w="38"/>
        <w:gridCol w:w="36"/>
        <w:gridCol w:w="36"/>
        <w:gridCol w:w="36"/>
        <w:gridCol w:w="122"/>
        <w:gridCol w:w="791"/>
        <w:gridCol w:w="36"/>
        <w:gridCol w:w="36"/>
        <w:gridCol w:w="36"/>
        <w:gridCol w:w="36"/>
        <w:gridCol w:w="122"/>
        <w:gridCol w:w="808"/>
        <w:gridCol w:w="36"/>
        <w:gridCol w:w="36"/>
        <w:gridCol w:w="36"/>
        <w:gridCol w:w="36"/>
        <w:gridCol w:w="122"/>
        <w:gridCol w:w="774"/>
        <w:gridCol w:w="36"/>
        <w:gridCol w:w="36"/>
        <w:gridCol w:w="36"/>
        <w:gridCol w:w="36"/>
        <w:gridCol w:w="122"/>
        <w:gridCol w:w="791"/>
        <w:gridCol w:w="36"/>
        <w:gridCol w:w="36"/>
        <w:gridCol w:w="36"/>
        <w:gridCol w:w="36"/>
        <w:gridCol w:w="122"/>
        <w:gridCol w:w="868"/>
        <w:gridCol w:w="36"/>
        <w:gridCol w:w="36"/>
        <w:gridCol w:w="36"/>
        <w:gridCol w:w="36"/>
        <w:gridCol w:w="122"/>
        <w:gridCol w:w="715"/>
        <w:gridCol w:w="36"/>
      </w:tblGrid>
      <w:tr w:rsidR="00000000" w14:paraId="026EF30B" w14:textId="77777777">
        <w:trPr>
          <w:divId w:val="506092607"/>
          <w:jc w:val="right"/>
        </w:trPr>
        <w:tc>
          <w:tcPr>
            <w:tcW w:w="50" w:type="pct"/>
            <w:vAlign w:val="center"/>
            <w:hideMark/>
          </w:tcPr>
          <w:p w14:paraId="66A1F26F" w14:textId="77777777" w:rsidR="00000000" w:rsidRDefault="001D0688">
            <w:pPr>
              <w:jc w:val="both"/>
              <w:rPr>
                <w:rFonts w:eastAsia="Times New Roman"/>
              </w:rPr>
            </w:pPr>
          </w:p>
        </w:tc>
        <w:tc>
          <w:tcPr>
            <w:tcW w:w="1173" w:type="pct"/>
            <w:vAlign w:val="center"/>
            <w:hideMark/>
          </w:tcPr>
          <w:p w14:paraId="6DDE7C57" w14:textId="77777777" w:rsidR="00000000" w:rsidRDefault="001D0688">
            <w:pPr>
              <w:rPr>
                <w:rFonts w:eastAsia="Times New Roman"/>
                <w:sz w:val="20"/>
                <w:szCs w:val="20"/>
              </w:rPr>
            </w:pPr>
          </w:p>
        </w:tc>
        <w:tc>
          <w:tcPr>
            <w:tcW w:w="5" w:type="pct"/>
            <w:vAlign w:val="center"/>
            <w:hideMark/>
          </w:tcPr>
          <w:p w14:paraId="0B5504A7" w14:textId="77777777" w:rsidR="00000000" w:rsidRDefault="001D0688">
            <w:pPr>
              <w:rPr>
                <w:rFonts w:eastAsia="Times New Roman"/>
                <w:sz w:val="20"/>
                <w:szCs w:val="20"/>
              </w:rPr>
            </w:pPr>
          </w:p>
        </w:tc>
        <w:tc>
          <w:tcPr>
            <w:tcW w:w="5" w:type="pct"/>
            <w:vAlign w:val="center"/>
            <w:hideMark/>
          </w:tcPr>
          <w:p w14:paraId="57A035A3" w14:textId="77777777" w:rsidR="00000000" w:rsidRDefault="001D0688">
            <w:pPr>
              <w:rPr>
                <w:rFonts w:eastAsia="Times New Roman"/>
                <w:sz w:val="20"/>
                <w:szCs w:val="20"/>
              </w:rPr>
            </w:pPr>
          </w:p>
        </w:tc>
        <w:tc>
          <w:tcPr>
            <w:tcW w:w="26" w:type="pct"/>
            <w:vAlign w:val="center"/>
            <w:hideMark/>
          </w:tcPr>
          <w:p w14:paraId="3836862E" w14:textId="77777777" w:rsidR="00000000" w:rsidRDefault="001D0688">
            <w:pPr>
              <w:rPr>
                <w:rFonts w:eastAsia="Times New Roman"/>
                <w:sz w:val="20"/>
                <w:szCs w:val="20"/>
              </w:rPr>
            </w:pPr>
          </w:p>
        </w:tc>
        <w:tc>
          <w:tcPr>
            <w:tcW w:w="5" w:type="pct"/>
            <w:vAlign w:val="center"/>
            <w:hideMark/>
          </w:tcPr>
          <w:p w14:paraId="1EC675FE" w14:textId="77777777" w:rsidR="00000000" w:rsidRDefault="001D0688">
            <w:pPr>
              <w:rPr>
                <w:rFonts w:eastAsia="Times New Roman"/>
                <w:sz w:val="20"/>
                <w:szCs w:val="20"/>
              </w:rPr>
            </w:pPr>
          </w:p>
        </w:tc>
        <w:tc>
          <w:tcPr>
            <w:tcW w:w="50" w:type="pct"/>
            <w:vAlign w:val="center"/>
            <w:hideMark/>
          </w:tcPr>
          <w:p w14:paraId="3EA95E9A" w14:textId="77777777" w:rsidR="00000000" w:rsidRDefault="001D0688">
            <w:pPr>
              <w:rPr>
                <w:rFonts w:eastAsia="Times New Roman"/>
                <w:sz w:val="20"/>
                <w:szCs w:val="20"/>
              </w:rPr>
            </w:pPr>
          </w:p>
        </w:tc>
        <w:tc>
          <w:tcPr>
            <w:tcW w:w="537" w:type="pct"/>
            <w:vAlign w:val="center"/>
            <w:hideMark/>
          </w:tcPr>
          <w:p w14:paraId="029EFECF" w14:textId="77777777" w:rsidR="00000000" w:rsidRDefault="001D0688">
            <w:pPr>
              <w:rPr>
                <w:rFonts w:eastAsia="Times New Roman"/>
                <w:sz w:val="20"/>
                <w:szCs w:val="20"/>
              </w:rPr>
            </w:pPr>
          </w:p>
        </w:tc>
        <w:tc>
          <w:tcPr>
            <w:tcW w:w="5" w:type="pct"/>
            <w:vAlign w:val="center"/>
            <w:hideMark/>
          </w:tcPr>
          <w:p w14:paraId="28A1FBE8" w14:textId="77777777" w:rsidR="00000000" w:rsidRDefault="001D0688">
            <w:pPr>
              <w:rPr>
                <w:rFonts w:eastAsia="Times New Roman"/>
                <w:sz w:val="20"/>
                <w:szCs w:val="20"/>
              </w:rPr>
            </w:pPr>
          </w:p>
        </w:tc>
        <w:tc>
          <w:tcPr>
            <w:tcW w:w="5" w:type="pct"/>
            <w:vAlign w:val="center"/>
            <w:hideMark/>
          </w:tcPr>
          <w:p w14:paraId="6949A94E" w14:textId="77777777" w:rsidR="00000000" w:rsidRDefault="001D0688">
            <w:pPr>
              <w:rPr>
                <w:rFonts w:eastAsia="Times New Roman"/>
                <w:sz w:val="20"/>
                <w:szCs w:val="20"/>
              </w:rPr>
            </w:pPr>
          </w:p>
        </w:tc>
        <w:tc>
          <w:tcPr>
            <w:tcW w:w="26" w:type="pct"/>
            <w:vAlign w:val="center"/>
            <w:hideMark/>
          </w:tcPr>
          <w:p w14:paraId="49F104C1" w14:textId="77777777" w:rsidR="00000000" w:rsidRDefault="001D0688">
            <w:pPr>
              <w:rPr>
                <w:rFonts w:eastAsia="Times New Roman"/>
                <w:sz w:val="20"/>
                <w:szCs w:val="20"/>
              </w:rPr>
            </w:pPr>
          </w:p>
        </w:tc>
        <w:tc>
          <w:tcPr>
            <w:tcW w:w="5" w:type="pct"/>
            <w:vAlign w:val="center"/>
            <w:hideMark/>
          </w:tcPr>
          <w:p w14:paraId="3E503DC6" w14:textId="77777777" w:rsidR="00000000" w:rsidRDefault="001D0688">
            <w:pPr>
              <w:rPr>
                <w:rFonts w:eastAsia="Times New Roman"/>
                <w:sz w:val="20"/>
                <w:szCs w:val="20"/>
              </w:rPr>
            </w:pPr>
          </w:p>
        </w:tc>
        <w:tc>
          <w:tcPr>
            <w:tcW w:w="50" w:type="pct"/>
            <w:vAlign w:val="center"/>
            <w:hideMark/>
          </w:tcPr>
          <w:p w14:paraId="275EB0B8" w14:textId="77777777" w:rsidR="00000000" w:rsidRDefault="001D0688">
            <w:pPr>
              <w:rPr>
                <w:rFonts w:eastAsia="Times New Roman"/>
                <w:sz w:val="20"/>
                <w:szCs w:val="20"/>
              </w:rPr>
            </w:pPr>
          </w:p>
        </w:tc>
        <w:tc>
          <w:tcPr>
            <w:tcW w:w="537" w:type="pct"/>
            <w:vAlign w:val="center"/>
            <w:hideMark/>
          </w:tcPr>
          <w:p w14:paraId="76AE49DF" w14:textId="77777777" w:rsidR="00000000" w:rsidRDefault="001D0688">
            <w:pPr>
              <w:rPr>
                <w:rFonts w:eastAsia="Times New Roman"/>
                <w:sz w:val="20"/>
                <w:szCs w:val="20"/>
              </w:rPr>
            </w:pPr>
          </w:p>
        </w:tc>
        <w:tc>
          <w:tcPr>
            <w:tcW w:w="5" w:type="pct"/>
            <w:vAlign w:val="center"/>
            <w:hideMark/>
          </w:tcPr>
          <w:p w14:paraId="1754F7B6" w14:textId="77777777" w:rsidR="00000000" w:rsidRDefault="001D0688">
            <w:pPr>
              <w:rPr>
                <w:rFonts w:eastAsia="Times New Roman"/>
                <w:sz w:val="20"/>
                <w:szCs w:val="20"/>
              </w:rPr>
            </w:pPr>
          </w:p>
        </w:tc>
        <w:tc>
          <w:tcPr>
            <w:tcW w:w="5" w:type="pct"/>
            <w:vAlign w:val="center"/>
            <w:hideMark/>
          </w:tcPr>
          <w:p w14:paraId="31AFB2CC" w14:textId="77777777" w:rsidR="00000000" w:rsidRDefault="001D0688">
            <w:pPr>
              <w:rPr>
                <w:rFonts w:eastAsia="Times New Roman"/>
                <w:sz w:val="20"/>
                <w:szCs w:val="20"/>
              </w:rPr>
            </w:pPr>
          </w:p>
        </w:tc>
        <w:tc>
          <w:tcPr>
            <w:tcW w:w="26" w:type="pct"/>
            <w:vAlign w:val="center"/>
            <w:hideMark/>
          </w:tcPr>
          <w:p w14:paraId="3C6AFFFF" w14:textId="77777777" w:rsidR="00000000" w:rsidRDefault="001D0688">
            <w:pPr>
              <w:rPr>
                <w:rFonts w:eastAsia="Times New Roman"/>
                <w:sz w:val="20"/>
                <w:szCs w:val="20"/>
              </w:rPr>
            </w:pPr>
          </w:p>
        </w:tc>
        <w:tc>
          <w:tcPr>
            <w:tcW w:w="5" w:type="pct"/>
            <w:vAlign w:val="center"/>
            <w:hideMark/>
          </w:tcPr>
          <w:p w14:paraId="6FEBA2D7" w14:textId="77777777" w:rsidR="00000000" w:rsidRDefault="001D0688">
            <w:pPr>
              <w:rPr>
                <w:rFonts w:eastAsia="Times New Roman"/>
                <w:sz w:val="20"/>
                <w:szCs w:val="20"/>
              </w:rPr>
            </w:pPr>
          </w:p>
        </w:tc>
        <w:tc>
          <w:tcPr>
            <w:tcW w:w="50" w:type="pct"/>
            <w:vAlign w:val="center"/>
            <w:hideMark/>
          </w:tcPr>
          <w:p w14:paraId="3DD2FDB4" w14:textId="77777777" w:rsidR="00000000" w:rsidRDefault="001D0688">
            <w:pPr>
              <w:rPr>
                <w:rFonts w:eastAsia="Times New Roman"/>
                <w:sz w:val="20"/>
                <w:szCs w:val="20"/>
              </w:rPr>
            </w:pPr>
          </w:p>
        </w:tc>
        <w:tc>
          <w:tcPr>
            <w:tcW w:w="537" w:type="pct"/>
            <w:vAlign w:val="center"/>
            <w:hideMark/>
          </w:tcPr>
          <w:p w14:paraId="625BB5EF" w14:textId="77777777" w:rsidR="00000000" w:rsidRDefault="001D0688">
            <w:pPr>
              <w:rPr>
                <w:rFonts w:eastAsia="Times New Roman"/>
                <w:sz w:val="20"/>
                <w:szCs w:val="20"/>
              </w:rPr>
            </w:pPr>
          </w:p>
        </w:tc>
        <w:tc>
          <w:tcPr>
            <w:tcW w:w="5" w:type="pct"/>
            <w:vAlign w:val="center"/>
            <w:hideMark/>
          </w:tcPr>
          <w:p w14:paraId="735F7FF7" w14:textId="77777777" w:rsidR="00000000" w:rsidRDefault="001D0688">
            <w:pPr>
              <w:rPr>
                <w:rFonts w:eastAsia="Times New Roman"/>
                <w:sz w:val="20"/>
                <w:szCs w:val="20"/>
              </w:rPr>
            </w:pPr>
          </w:p>
        </w:tc>
        <w:tc>
          <w:tcPr>
            <w:tcW w:w="5" w:type="pct"/>
            <w:vAlign w:val="center"/>
            <w:hideMark/>
          </w:tcPr>
          <w:p w14:paraId="31BD2762" w14:textId="77777777" w:rsidR="00000000" w:rsidRDefault="001D0688">
            <w:pPr>
              <w:rPr>
                <w:rFonts w:eastAsia="Times New Roman"/>
                <w:sz w:val="20"/>
                <w:szCs w:val="20"/>
              </w:rPr>
            </w:pPr>
          </w:p>
        </w:tc>
        <w:tc>
          <w:tcPr>
            <w:tcW w:w="26" w:type="pct"/>
            <w:vAlign w:val="center"/>
            <w:hideMark/>
          </w:tcPr>
          <w:p w14:paraId="409CAFCC" w14:textId="77777777" w:rsidR="00000000" w:rsidRDefault="001D0688">
            <w:pPr>
              <w:rPr>
                <w:rFonts w:eastAsia="Times New Roman"/>
                <w:sz w:val="20"/>
                <w:szCs w:val="20"/>
              </w:rPr>
            </w:pPr>
          </w:p>
        </w:tc>
        <w:tc>
          <w:tcPr>
            <w:tcW w:w="5" w:type="pct"/>
            <w:vAlign w:val="center"/>
            <w:hideMark/>
          </w:tcPr>
          <w:p w14:paraId="5610ECBD" w14:textId="77777777" w:rsidR="00000000" w:rsidRDefault="001D0688">
            <w:pPr>
              <w:rPr>
                <w:rFonts w:eastAsia="Times New Roman"/>
                <w:sz w:val="20"/>
                <w:szCs w:val="20"/>
              </w:rPr>
            </w:pPr>
          </w:p>
        </w:tc>
        <w:tc>
          <w:tcPr>
            <w:tcW w:w="50" w:type="pct"/>
            <w:vAlign w:val="center"/>
            <w:hideMark/>
          </w:tcPr>
          <w:p w14:paraId="62570160" w14:textId="77777777" w:rsidR="00000000" w:rsidRDefault="001D0688">
            <w:pPr>
              <w:rPr>
                <w:rFonts w:eastAsia="Times New Roman"/>
                <w:sz w:val="20"/>
                <w:szCs w:val="20"/>
              </w:rPr>
            </w:pPr>
          </w:p>
        </w:tc>
        <w:tc>
          <w:tcPr>
            <w:tcW w:w="537" w:type="pct"/>
            <w:vAlign w:val="center"/>
            <w:hideMark/>
          </w:tcPr>
          <w:p w14:paraId="3EDC9D3C" w14:textId="77777777" w:rsidR="00000000" w:rsidRDefault="001D0688">
            <w:pPr>
              <w:rPr>
                <w:rFonts w:eastAsia="Times New Roman"/>
                <w:sz w:val="20"/>
                <w:szCs w:val="20"/>
              </w:rPr>
            </w:pPr>
          </w:p>
        </w:tc>
        <w:tc>
          <w:tcPr>
            <w:tcW w:w="5" w:type="pct"/>
            <w:vAlign w:val="center"/>
            <w:hideMark/>
          </w:tcPr>
          <w:p w14:paraId="3088ED13" w14:textId="77777777" w:rsidR="00000000" w:rsidRDefault="001D0688">
            <w:pPr>
              <w:rPr>
                <w:rFonts w:eastAsia="Times New Roman"/>
                <w:sz w:val="20"/>
                <w:szCs w:val="20"/>
              </w:rPr>
            </w:pPr>
          </w:p>
        </w:tc>
        <w:tc>
          <w:tcPr>
            <w:tcW w:w="5" w:type="pct"/>
            <w:vAlign w:val="center"/>
            <w:hideMark/>
          </w:tcPr>
          <w:p w14:paraId="0FFBC96C" w14:textId="77777777" w:rsidR="00000000" w:rsidRDefault="001D0688">
            <w:pPr>
              <w:rPr>
                <w:rFonts w:eastAsia="Times New Roman"/>
                <w:sz w:val="20"/>
                <w:szCs w:val="20"/>
              </w:rPr>
            </w:pPr>
          </w:p>
        </w:tc>
        <w:tc>
          <w:tcPr>
            <w:tcW w:w="26" w:type="pct"/>
            <w:vAlign w:val="center"/>
            <w:hideMark/>
          </w:tcPr>
          <w:p w14:paraId="496AEDB4" w14:textId="77777777" w:rsidR="00000000" w:rsidRDefault="001D0688">
            <w:pPr>
              <w:rPr>
                <w:rFonts w:eastAsia="Times New Roman"/>
                <w:sz w:val="20"/>
                <w:szCs w:val="20"/>
              </w:rPr>
            </w:pPr>
          </w:p>
        </w:tc>
        <w:tc>
          <w:tcPr>
            <w:tcW w:w="5" w:type="pct"/>
            <w:vAlign w:val="center"/>
            <w:hideMark/>
          </w:tcPr>
          <w:p w14:paraId="262DF872" w14:textId="77777777" w:rsidR="00000000" w:rsidRDefault="001D0688">
            <w:pPr>
              <w:rPr>
                <w:rFonts w:eastAsia="Times New Roman"/>
                <w:sz w:val="20"/>
                <w:szCs w:val="20"/>
              </w:rPr>
            </w:pPr>
          </w:p>
        </w:tc>
        <w:tc>
          <w:tcPr>
            <w:tcW w:w="50" w:type="pct"/>
            <w:vAlign w:val="center"/>
            <w:hideMark/>
          </w:tcPr>
          <w:p w14:paraId="4CA0F006" w14:textId="77777777" w:rsidR="00000000" w:rsidRDefault="001D0688">
            <w:pPr>
              <w:rPr>
                <w:rFonts w:eastAsia="Times New Roman"/>
                <w:sz w:val="20"/>
                <w:szCs w:val="20"/>
              </w:rPr>
            </w:pPr>
          </w:p>
        </w:tc>
        <w:tc>
          <w:tcPr>
            <w:tcW w:w="537" w:type="pct"/>
            <w:vAlign w:val="center"/>
            <w:hideMark/>
          </w:tcPr>
          <w:p w14:paraId="55250260" w14:textId="77777777" w:rsidR="00000000" w:rsidRDefault="001D0688">
            <w:pPr>
              <w:rPr>
                <w:rFonts w:eastAsia="Times New Roman"/>
                <w:sz w:val="20"/>
                <w:szCs w:val="20"/>
              </w:rPr>
            </w:pPr>
          </w:p>
        </w:tc>
        <w:tc>
          <w:tcPr>
            <w:tcW w:w="5" w:type="pct"/>
            <w:vAlign w:val="center"/>
            <w:hideMark/>
          </w:tcPr>
          <w:p w14:paraId="07D901CF" w14:textId="77777777" w:rsidR="00000000" w:rsidRDefault="001D0688">
            <w:pPr>
              <w:rPr>
                <w:rFonts w:eastAsia="Times New Roman"/>
                <w:sz w:val="20"/>
                <w:szCs w:val="20"/>
              </w:rPr>
            </w:pPr>
          </w:p>
        </w:tc>
        <w:tc>
          <w:tcPr>
            <w:tcW w:w="5" w:type="pct"/>
            <w:vAlign w:val="center"/>
            <w:hideMark/>
          </w:tcPr>
          <w:p w14:paraId="2B270904" w14:textId="77777777" w:rsidR="00000000" w:rsidRDefault="001D0688">
            <w:pPr>
              <w:rPr>
                <w:rFonts w:eastAsia="Times New Roman"/>
                <w:sz w:val="20"/>
                <w:szCs w:val="20"/>
              </w:rPr>
            </w:pPr>
          </w:p>
        </w:tc>
        <w:tc>
          <w:tcPr>
            <w:tcW w:w="26" w:type="pct"/>
            <w:vAlign w:val="center"/>
            <w:hideMark/>
          </w:tcPr>
          <w:p w14:paraId="13919561" w14:textId="77777777" w:rsidR="00000000" w:rsidRDefault="001D0688">
            <w:pPr>
              <w:rPr>
                <w:rFonts w:eastAsia="Times New Roman"/>
                <w:sz w:val="20"/>
                <w:szCs w:val="20"/>
              </w:rPr>
            </w:pPr>
          </w:p>
        </w:tc>
        <w:tc>
          <w:tcPr>
            <w:tcW w:w="5" w:type="pct"/>
            <w:vAlign w:val="center"/>
            <w:hideMark/>
          </w:tcPr>
          <w:p w14:paraId="531C632F" w14:textId="77777777" w:rsidR="00000000" w:rsidRDefault="001D0688">
            <w:pPr>
              <w:rPr>
                <w:rFonts w:eastAsia="Times New Roman"/>
                <w:sz w:val="20"/>
                <w:szCs w:val="20"/>
              </w:rPr>
            </w:pPr>
          </w:p>
        </w:tc>
        <w:tc>
          <w:tcPr>
            <w:tcW w:w="50" w:type="pct"/>
            <w:vAlign w:val="center"/>
            <w:hideMark/>
          </w:tcPr>
          <w:p w14:paraId="0315DDB7" w14:textId="77777777" w:rsidR="00000000" w:rsidRDefault="001D0688">
            <w:pPr>
              <w:rPr>
                <w:rFonts w:eastAsia="Times New Roman"/>
                <w:sz w:val="20"/>
                <w:szCs w:val="20"/>
              </w:rPr>
            </w:pPr>
          </w:p>
        </w:tc>
        <w:tc>
          <w:tcPr>
            <w:tcW w:w="537" w:type="pct"/>
            <w:vAlign w:val="center"/>
            <w:hideMark/>
          </w:tcPr>
          <w:p w14:paraId="78E76E93" w14:textId="77777777" w:rsidR="00000000" w:rsidRDefault="001D0688">
            <w:pPr>
              <w:rPr>
                <w:rFonts w:eastAsia="Times New Roman"/>
                <w:sz w:val="20"/>
                <w:szCs w:val="20"/>
              </w:rPr>
            </w:pPr>
          </w:p>
        </w:tc>
        <w:tc>
          <w:tcPr>
            <w:tcW w:w="5" w:type="pct"/>
            <w:vAlign w:val="center"/>
            <w:hideMark/>
          </w:tcPr>
          <w:p w14:paraId="6189E6FA" w14:textId="77777777" w:rsidR="00000000" w:rsidRDefault="001D0688">
            <w:pPr>
              <w:rPr>
                <w:rFonts w:eastAsia="Times New Roman"/>
                <w:sz w:val="20"/>
                <w:szCs w:val="20"/>
              </w:rPr>
            </w:pPr>
          </w:p>
        </w:tc>
      </w:tr>
      <w:tr w:rsidR="00000000" w14:paraId="19873C76" w14:textId="77777777">
        <w:trPr>
          <w:divId w:val="506092607"/>
          <w:jc w:val="right"/>
        </w:trPr>
        <w:tc>
          <w:tcPr>
            <w:tcW w:w="0" w:type="auto"/>
            <w:gridSpan w:val="3"/>
            <w:tcMar>
              <w:top w:w="30" w:type="dxa"/>
              <w:left w:w="20" w:type="dxa"/>
              <w:bottom w:w="30" w:type="dxa"/>
              <w:right w:w="20" w:type="dxa"/>
            </w:tcMar>
            <w:vAlign w:val="bottom"/>
            <w:hideMark/>
          </w:tcPr>
          <w:p w14:paraId="756EA7E3"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312BA6D4"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72ABEB0E" w14:textId="77777777" w:rsidR="00000000" w:rsidRDefault="001D0688">
            <w:pPr>
              <w:jc w:val="center"/>
              <w:rPr>
                <w:rFonts w:eastAsia="Times New Roman"/>
              </w:rPr>
            </w:pPr>
            <w:r>
              <w:rPr>
                <w:rFonts w:ascii="Arial" w:eastAsia="Times New Roman" w:hAnsi="Arial" w:cs="Arial"/>
                <w:b/>
                <w:bCs/>
                <w:color w:val="000000"/>
                <w:sz w:val="17"/>
                <w:szCs w:val="17"/>
              </w:rPr>
              <w:t>External Support Fees</w:t>
            </w:r>
          </w:p>
        </w:tc>
        <w:tc>
          <w:tcPr>
            <w:tcW w:w="0" w:type="auto"/>
            <w:gridSpan w:val="3"/>
            <w:tcMar>
              <w:top w:w="0" w:type="dxa"/>
              <w:left w:w="20" w:type="dxa"/>
              <w:bottom w:w="0" w:type="dxa"/>
              <w:right w:w="20" w:type="dxa"/>
            </w:tcMar>
            <w:vAlign w:val="center"/>
            <w:hideMark/>
          </w:tcPr>
          <w:p w14:paraId="48656256"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747A4698" w14:textId="77777777" w:rsidR="00000000" w:rsidRDefault="001D0688">
            <w:pPr>
              <w:jc w:val="center"/>
              <w:rPr>
                <w:rFonts w:eastAsia="Times New Roman"/>
              </w:rPr>
            </w:pPr>
            <w:r>
              <w:rPr>
                <w:rFonts w:ascii="Arial" w:eastAsia="Times New Roman" w:hAnsi="Arial" w:cs="Arial"/>
                <w:b/>
                <w:bCs/>
                <w:color w:val="000000"/>
                <w:sz w:val="17"/>
                <w:szCs w:val="17"/>
              </w:rPr>
              <w:t>Employee Severance</w:t>
            </w:r>
          </w:p>
        </w:tc>
        <w:tc>
          <w:tcPr>
            <w:tcW w:w="0" w:type="auto"/>
            <w:gridSpan w:val="3"/>
            <w:tcMar>
              <w:top w:w="0" w:type="dxa"/>
              <w:left w:w="20" w:type="dxa"/>
              <w:bottom w:w="0" w:type="dxa"/>
              <w:right w:w="20" w:type="dxa"/>
            </w:tcMar>
            <w:vAlign w:val="center"/>
            <w:hideMark/>
          </w:tcPr>
          <w:p w14:paraId="11F32EC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9556D91" w14:textId="77777777" w:rsidR="00000000" w:rsidRDefault="001D0688">
            <w:pPr>
              <w:jc w:val="center"/>
              <w:rPr>
                <w:rFonts w:eastAsia="Times New Roman"/>
              </w:rPr>
            </w:pPr>
            <w:r>
              <w:rPr>
                <w:rFonts w:ascii="Arial" w:eastAsia="Times New Roman" w:hAnsi="Arial" w:cs="Arial"/>
                <w:b/>
                <w:bCs/>
                <w:color w:val="000000"/>
                <w:sz w:val="17"/>
                <w:szCs w:val="17"/>
              </w:rPr>
              <w:t xml:space="preserve">Other Project Fees </w:t>
            </w:r>
          </w:p>
        </w:tc>
        <w:tc>
          <w:tcPr>
            <w:tcW w:w="0" w:type="auto"/>
            <w:gridSpan w:val="3"/>
            <w:tcMar>
              <w:top w:w="0" w:type="dxa"/>
              <w:left w:w="20" w:type="dxa"/>
              <w:bottom w:w="0" w:type="dxa"/>
              <w:right w:w="20" w:type="dxa"/>
            </w:tcMar>
            <w:vAlign w:val="center"/>
            <w:hideMark/>
          </w:tcPr>
          <w:p w14:paraId="1D592A25"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0B29873" w14:textId="77777777" w:rsidR="00000000" w:rsidRDefault="001D0688">
            <w:pPr>
              <w:jc w:val="center"/>
              <w:rPr>
                <w:rFonts w:eastAsia="Times New Roman"/>
              </w:rPr>
            </w:pPr>
            <w:r>
              <w:rPr>
                <w:rFonts w:ascii="Arial" w:eastAsia="Times New Roman" w:hAnsi="Arial" w:cs="Arial"/>
                <w:b/>
                <w:bCs/>
                <w:color w:val="000000"/>
                <w:sz w:val="17"/>
                <w:szCs w:val="17"/>
              </w:rPr>
              <w:t>Lease Exit Costs</w:t>
            </w:r>
          </w:p>
        </w:tc>
        <w:tc>
          <w:tcPr>
            <w:tcW w:w="0" w:type="auto"/>
            <w:gridSpan w:val="3"/>
            <w:tcMar>
              <w:top w:w="0" w:type="dxa"/>
              <w:left w:w="20" w:type="dxa"/>
              <w:bottom w:w="0" w:type="dxa"/>
              <w:right w:w="20" w:type="dxa"/>
            </w:tcMar>
            <w:vAlign w:val="center"/>
            <w:hideMark/>
          </w:tcPr>
          <w:p w14:paraId="5E8F206F"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3DC260E" w14:textId="77777777" w:rsidR="00000000" w:rsidRDefault="001D0688">
            <w:pPr>
              <w:jc w:val="center"/>
              <w:rPr>
                <w:rFonts w:eastAsia="Times New Roman"/>
              </w:rPr>
            </w:pPr>
            <w:r>
              <w:rPr>
                <w:rFonts w:ascii="Arial" w:eastAsia="Times New Roman" w:hAnsi="Arial" w:cs="Arial"/>
                <w:b/>
                <w:bCs/>
                <w:color w:val="000000"/>
                <w:sz w:val="17"/>
                <w:szCs w:val="17"/>
              </w:rPr>
              <w:t>Asset Impairment</w:t>
            </w:r>
          </w:p>
        </w:tc>
        <w:tc>
          <w:tcPr>
            <w:tcW w:w="0" w:type="auto"/>
            <w:gridSpan w:val="3"/>
            <w:tcMar>
              <w:top w:w="0" w:type="dxa"/>
              <w:left w:w="20" w:type="dxa"/>
              <w:bottom w:w="0" w:type="dxa"/>
              <w:right w:w="20" w:type="dxa"/>
            </w:tcMar>
            <w:vAlign w:val="center"/>
            <w:hideMark/>
          </w:tcPr>
          <w:p w14:paraId="1FACC35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1CE11A2" w14:textId="77777777" w:rsidR="00000000" w:rsidRDefault="001D0688">
            <w:pPr>
              <w:jc w:val="center"/>
              <w:rPr>
                <w:rFonts w:eastAsia="Times New Roman"/>
              </w:rPr>
            </w:pPr>
            <w:r>
              <w:rPr>
                <w:rFonts w:ascii="Arial" w:eastAsia="Times New Roman" w:hAnsi="Arial" w:cs="Arial"/>
                <w:b/>
                <w:bCs/>
                <w:color w:val="000000"/>
                <w:sz w:val="17"/>
                <w:szCs w:val="17"/>
              </w:rPr>
              <w:t>Total</w:t>
            </w:r>
          </w:p>
        </w:tc>
      </w:tr>
      <w:tr w:rsidR="00000000" w14:paraId="6CE3F64E" w14:textId="77777777">
        <w:trPr>
          <w:divId w:val="506092607"/>
          <w:jc w:val="right"/>
        </w:trPr>
        <w:tc>
          <w:tcPr>
            <w:tcW w:w="0" w:type="auto"/>
            <w:gridSpan w:val="3"/>
            <w:vAlign w:val="center"/>
            <w:hideMark/>
          </w:tcPr>
          <w:p w14:paraId="74272EB7" w14:textId="77777777" w:rsidR="00000000" w:rsidRDefault="001D0688">
            <w:pPr>
              <w:jc w:val="center"/>
              <w:rPr>
                <w:rFonts w:eastAsia="Times New Roman"/>
              </w:rPr>
            </w:pPr>
          </w:p>
        </w:tc>
        <w:tc>
          <w:tcPr>
            <w:tcW w:w="0" w:type="auto"/>
            <w:gridSpan w:val="3"/>
            <w:vAlign w:val="center"/>
            <w:hideMark/>
          </w:tcPr>
          <w:p w14:paraId="1E3816FF" w14:textId="77777777" w:rsidR="00000000" w:rsidRDefault="001D0688">
            <w:pPr>
              <w:rPr>
                <w:rFonts w:eastAsia="Times New Roman"/>
                <w:sz w:val="20"/>
                <w:szCs w:val="20"/>
              </w:rPr>
            </w:pPr>
          </w:p>
        </w:tc>
        <w:tc>
          <w:tcPr>
            <w:tcW w:w="0" w:type="auto"/>
            <w:gridSpan w:val="3"/>
            <w:vAlign w:val="center"/>
            <w:hideMark/>
          </w:tcPr>
          <w:p w14:paraId="68D6F97E" w14:textId="77777777" w:rsidR="00000000" w:rsidRDefault="001D0688">
            <w:pPr>
              <w:rPr>
                <w:rFonts w:eastAsia="Times New Roman"/>
                <w:sz w:val="20"/>
                <w:szCs w:val="20"/>
              </w:rPr>
            </w:pPr>
          </w:p>
        </w:tc>
        <w:tc>
          <w:tcPr>
            <w:tcW w:w="0" w:type="auto"/>
            <w:gridSpan w:val="3"/>
            <w:vAlign w:val="center"/>
            <w:hideMark/>
          </w:tcPr>
          <w:p w14:paraId="1A2E5435" w14:textId="77777777" w:rsidR="00000000" w:rsidRDefault="001D0688">
            <w:pPr>
              <w:rPr>
                <w:rFonts w:eastAsia="Times New Roman"/>
                <w:sz w:val="20"/>
                <w:szCs w:val="20"/>
              </w:rPr>
            </w:pPr>
          </w:p>
        </w:tc>
        <w:tc>
          <w:tcPr>
            <w:tcW w:w="0" w:type="auto"/>
            <w:gridSpan w:val="3"/>
            <w:vAlign w:val="center"/>
            <w:hideMark/>
          </w:tcPr>
          <w:p w14:paraId="7E612B46" w14:textId="77777777" w:rsidR="00000000" w:rsidRDefault="001D0688">
            <w:pPr>
              <w:rPr>
                <w:rFonts w:eastAsia="Times New Roman"/>
                <w:sz w:val="20"/>
                <w:szCs w:val="20"/>
              </w:rPr>
            </w:pPr>
          </w:p>
        </w:tc>
        <w:tc>
          <w:tcPr>
            <w:tcW w:w="0" w:type="auto"/>
            <w:gridSpan w:val="3"/>
            <w:vAlign w:val="center"/>
            <w:hideMark/>
          </w:tcPr>
          <w:p w14:paraId="70C61B35" w14:textId="77777777" w:rsidR="00000000" w:rsidRDefault="001D0688">
            <w:pPr>
              <w:rPr>
                <w:rFonts w:eastAsia="Times New Roman"/>
                <w:sz w:val="20"/>
                <w:szCs w:val="20"/>
              </w:rPr>
            </w:pPr>
          </w:p>
        </w:tc>
        <w:tc>
          <w:tcPr>
            <w:tcW w:w="0" w:type="auto"/>
            <w:gridSpan w:val="3"/>
            <w:vAlign w:val="center"/>
            <w:hideMark/>
          </w:tcPr>
          <w:p w14:paraId="7B0EA6FA" w14:textId="77777777" w:rsidR="00000000" w:rsidRDefault="001D0688">
            <w:pPr>
              <w:rPr>
                <w:rFonts w:eastAsia="Times New Roman"/>
                <w:sz w:val="20"/>
                <w:szCs w:val="20"/>
              </w:rPr>
            </w:pPr>
          </w:p>
        </w:tc>
        <w:tc>
          <w:tcPr>
            <w:tcW w:w="0" w:type="auto"/>
            <w:gridSpan w:val="3"/>
            <w:vAlign w:val="center"/>
            <w:hideMark/>
          </w:tcPr>
          <w:p w14:paraId="7C28C638" w14:textId="77777777" w:rsidR="00000000" w:rsidRDefault="001D0688">
            <w:pPr>
              <w:rPr>
                <w:rFonts w:eastAsia="Times New Roman"/>
                <w:sz w:val="20"/>
                <w:szCs w:val="20"/>
              </w:rPr>
            </w:pPr>
          </w:p>
        </w:tc>
        <w:tc>
          <w:tcPr>
            <w:tcW w:w="0" w:type="auto"/>
            <w:gridSpan w:val="3"/>
            <w:vAlign w:val="center"/>
            <w:hideMark/>
          </w:tcPr>
          <w:p w14:paraId="434946DB" w14:textId="77777777" w:rsidR="00000000" w:rsidRDefault="001D0688">
            <w:pPr>
              <w:rPr>
                <w:rFonts w:eastAsia="Times New Roman"/>
                <w:sz w:val="20"/>
                <w:szCs w:val="20"/>
              </w:rPr>
            </w:pPr>
          </w:p>
        </w:tc>
        <w:tc>
          <w:tcPr>
            <w:tcW w:w="0" w:type="auto"/>
            <w:gridSpan w:val="3"/>
            <w:vAlign w:val="center"/>
            <w:hideMark/>
          </w:tcPr>
          <w:p w14:paraId="6D302AC7" w14:textId="77777777" w:rsidR="00000000" w:rsidRDefault="001D0688">
            <w:pPr>
              <w:rPr>
                <w:rFonts w:eastAsia="Times New Roman"/>
                <w:sz w:val="20"/>
                <w:szCs w:val="20"/>
              </w:rPr>
            </w:pPr>
          </w:p>
        </w:tc>
        <w:tc>
          <w:tcPr>
            <w:tcW w:w="0" w:type="auto"/>
            <w:gridSpan w:val="3"/>
            <w:vAlign w:val="center"/>
            <w:hideMark/>
          </w:tcPr>
          <w:p w14:paraId="6BE611B8" w14:textId="77777777" w:rsidR="00000000" w:rsidRDefault="001D0688">
            <w:pPr>
              <w:rPr>
                <w:rFonts w:eastAsia="Times New Roman"/>
                <w:sz w:val="20"/>
                <w:szCs w:val="20"/>
              </w:rPr>
            </w:pPr>
          </w:p>
        </w:tc>
        <w:tc>
          <w:tcPr>
            <w:tcW w:w="0" w:type="auto"/>
            <w:gridSpan w:val="3"/>
            <w:vAlign w:val="center"/>
            <w:hideMark/>
          </w:tcPr>
          <w:p w14:paraId="7442C2BE" w14:textId="77777777" w:rsidR="00000000" w:rsidRDefault="001D0688">
            <w:pPr>
              <w:rPr>
                <w:rFonts w:eastAsia="Times New Roman"/>
                <w:sz w:val="20"/>
                <w:szCs w:val="20"/>
              </w:rPr>
            </w:pPr>
          </w:p>
        </w:tc>
        <w:tc>
          <w:tcPr>
            <w:tcW w:w="0" w:type="auto"/>
            <w:gridSpan w:val="3"/>
            <w:vAlign w:val="center"/>
            <w:hideMark/>
          </w:tcPr>
          <w:p w14:paraId="4035D973" w14:textId="77777777" w:rsidR="00000000" w:rsidRDefault="001D0688">
            <w:pPr>
              <w:rPr>
                <w:rFonts w:eastAsia="Times New Roman"/>
                <w:sz w:val="20"/>
                <w:szCs w:val="20"/>
              </w:rPr>
            </w:pPr>
          </w:p>
        </w:tc>
      </w:tr>
      <w:tr w:rsidR="00000000" w14:paraId="614D3570" w14:textId="77777777">
        <w:trPr>
          <w:divId w:val="506092607"/>
          <w:jc w:val="right"/>
        </w:trPr>
        <w:tc>
          <w:tcPr>
            <w:tcW w:w="0" w:type="auto"/>
            <w:gridSpan w:val="3"/>
            <w:vAlign w:val="center"/>
            <w:hideMark/>
          </w:tcPr>
          <w:p w14:paraId="006CECE6" w14:textId="77777777" w:rsidR="00000000" w:rsidRDefault="001D0688">
            <w:pPr>
              <w:rPr>
                <w:rFonts w:eastAsia="Times New Roman"/>
                <w:sz w:val="20"/>
                <w:szCs w:val="20"/>
              </w:rPr>
            </w:pPr>
          </w:p>
        </w:tc>
        <w:tc>
          <w:tcPr>
            <w:tcW w:w="0" w:type="auto"/>
            <w:gridSpan w:val="3"/>
            <w:vAlign w:val="center"/>
            <w:hideMark/>
          </w:tcPr>
          <w:p w14:paraId="6DC8F005" w14:textId="77777777" w:rsidR="00000000" w:rsidRDefault="001D0688">
            <w:pPr>
              <w:rPr>
                <w:rFonts w:eastAsia="Times New Roman"/>
                <w:sz w:val="20"/>
                <w:szCs w:val="20"/>
              </w:rPr>
            </w:pPr>
          </w:p>
        </w:tc>
        <w:tc>
          <w:tcPr>
            <w:tcW w:w="0" w:type="auto"/>
            <w:gridSpan w:val="3"/>
            <w:vAlign w:val="center"/>
            <w:hideMark/>
          </w:tcPr>
          <w:p w14:paraId="50ACE00F" w14:textId="77777777" w:rsidR="00000000" w:rsidRDefault="001D0688">
            <w:pPr>
              <w:rPr>
                <w:rFonts w:eastAsia="Times New Roman"/>
                <w:sz w:val="20"/>
                <w:szCs w:val="20"/>
              </w:rPr>
            </w:pPr>
          </w:p>
        </w:tc>
        <w:tc>
          <w:tcPr>
            <w:tcW w:w="0" w:type="auto"/>
            <w:gridSpan w:val="3"/>
            <w:vAlign w:val="center"/>
            <w:hideMark/>
          </w:tcPr>
          <w:p w14:paraId="131C8894" w14:textId="77777777" w:rsidR="00000000" w:rsidRDefault="001D0688">
            <w:pPr>
              <w:rPr>
                <w:rFonts w:eastAsia="Times New Roman"/>
                <w:sz w:val="20"/>
                <w:szCs w:val="20"/>
              </w:rPr>
            </w:pPr>
          </w:p>
        </w:tc>
        <w:tc>
          <w:tcPr>
            <w:tcW w:w="0" w:type="auto"/>
            <w:gridSpan w:val="3"/>
            <w:vAlign w:val="center"/>
            <w:hideMark/>
          </w:tcPr>
          <w:p w14:paraId="48B0432C" w14:textId="77777777" w:rsidR="00000000" w:rsidRDefault="001D0688">
            <w:pPr>
              <w:rPr>
                <w:rFonts w:eastAsia="Times New Roman"/>
                <w:sz w:val="20"/>
                <w:szCs w:val="20"/>
              </w:rPr>
            </w:pPr>
          </w:p>
        </w:tc>
        <w:tc>
          <w:tcPr>
            <w:tcW w:w="0" w:type="auto"/>
            <w:gridSpan w:val="3"/>
            <w:vAlign w:val="center"/>
            <w:hideMark/>
          </w:tcPr>
          <w:p w14:paraId="2D0DCBAC" w14:textId="77777777" w:rsidR="00000000" w:rsidRDefault="001D0688">
            <w:pPr>
              <w:rPr>
                <w:rFonts w:eastAsia="Times New Roman"/>
                <w:sz w:val="20"/>
                <w:szCs w:val="20"/>
              </w:rPr>
            </w:pPr>
          </w:p>
        </w:tc>
        <w:tc>
          <w:tcPr>
            <w:tcW w:w="0" w:type="auto"/>
            <w:gridSpan w:val="3"/>
            <w:vAlign w:val="center"/>
            <w:hideMark/>
          </w:tcPr>
          <w:p w14:paraId="054B536A" w14:textId="77777777" w:rsidR="00000000" w:rsidRDefault="001D0688">
            <w:pPr>
              <w:rPr>
                <w:rFonts w:eastAsia="Times New Roman"/>
                <w:sz w:val="20"/>
                <w:szCs w:val="20"/>
              </w:rPr>
            </w:pPr>
          </w:p>
        </w:tc>
        <w:tc>
          <w:tcPr>
            <w:tcW w:w="0" w:type="auto"/>
            <w:gridSpan w:val="3"/>
            <w:vAlign w:val="center"/>
            <w:hideMark/>
          </w:tcPr>
          <w:p w14:paraId="35CBB963" w14:textId="77777777" w:rsidR="00000000" w:rsidRDefault="001D0688">
            <w:pPr>
              <w:rPr>
                <w:rFonts w:eastAsia="Times New Roman"/>
                <w:sz w:val="20"/>
                <w:szCs w:val="20"/>
              </w:rPr>
            </w:pPr>
          </w:p>
        </w:tc>
        <w:tc>
          <w:tcPr>
            <w:tcW w:w="0" w:type="auto"/>
            <w:gridSpan w:val="3"/>
            <w:vAlign w:val="center"/>
            <w:hideMark/>
          </w:tcPr>
          <w:p w14:paraId="6393E76D" w14:textId="77777777" w:rsidR="00000000" w:rsidRDefault="001D0688">
            <w:pPr>
              <w:rPr>
                <w:rFonts w:eastAsia="Times New Roman"/>
                <w:sz w:val="20"/>
                <w:szCs w:val="20"/>
              </w:rPr>
            </w:pPr>
          </w:p>
        </w:tc>
        <w:tc>
          <w:tcPr>
            <w:tcW w:w="0" w:type="auto"/>
            <w:gridSpan w:val="3"/>
            <w:vAlign w:val="center"/>
            <w:hideMark/>
          </w:tcPr>
          <w:p w14:paraId="3C221FFB" w14:textId="77777777" w:rsidR="00000000" w:rsidRDefault="001D0688">
            <w:pPr>
              <w:rPr>
                <w:rFonts w:eastAsia="Times New Roman"/>
                <w:sz w:val="20"/>
                <w:szCs w:val="20"/>
              </w:rPr>
            </w:pPr>
          </w:p>
        </w:tc>
        <w:tc>
          <w:tcPr>
            <w:tcW w:w="0" w:type="auto"/>
            <w:gridSpan w:val="3"/>
            <w:vAlign w:val="center"/>
            <w:hideMark/>
          </w:tcPr>
          <w:p w14:paraId="0431C2CB" w14:textId="77777777" w:rsidR="00000000" w:rsidRDefault="001D0688">
            <w:pPr>
              <w:rPr>
                <w:rFonts w:eastAsia="Times New Roman"/>
                <w:sz w:val="20"/>
                <w:szCs w:val="20"/>
              </w:rPr>
            </w:pPr>
          </w:p>
        </w:tc>
        <w:tc>
          <w:tcPr>
            <w:tcW w:w="0" w:type="auto"/>
            <w:gridSpan w:val="3"/>
            <w:vAlign w:val="center"/>
            <w:hideMark/>
          </w:tcPr>
          <w:p w14:paraId="040A9AB9" w14:textId="77777777" w:rsidR="00000000" w:rsidRDefault="001D0688">
            <w:pPr>
              <w:rPr>
                <w:rFonts w:eastAsia="Times New Roman"/>
                <w:sz w:val="20"/>
                <w:szCs w:val="20"/>
              </w:rPr>
            </w:pPr>
          </w:p>
        </w:tc>
        <w:tc>
          <w:tcPr>
            <w:tcW w:w="0" w:type="auto"/>
            <w:gridSpan w:val="3"/>
            <w:vAlign w:val="center"/>
            <w:hideMark/>
          </w:tcPr>
          <w:p w14:paraId="25DE6ECB" w14:textId="77777777" w:rsidR="00000000" w:rsidRDefault="001D0688">
            <w:pPr>
              <w:rPr>
                <w:rFonts w:eastAsia="Times New Roman"/>
                <w:sz w:val="20"/>
                <w:szCs w:val="20"/>
              </w:rPr>
            </w:pPr>
          </w:p>
        </w:tc>
      </w:tr>
      <w:tr w:rsidR="00000000" w14:paraId="61AA3304" w14:textId="77777777">
        <w:trPr>
          <w:divId w:val="506092607"/>
          <w:jc w:val="right"/>
        </w:trPr>
        <w:tc>
          <w:tcPr>
            <w:tcW w:w="0" w:type="auto"/>
            <w:gridSpan w:val="3"/>
            <w:vAlign w:val="center"/>
            <w:hideMark/>
          </w:tcPr>
          <w:p w14:paraId="6A0805C4" w14:textId="77777777" w:rsidR="00000000" w:rsidRDefault="001D0688">
            <w:pPr>
              <w:rPr>
                <w:rFonts w:eastAsia="Times New Roman"/>
                <w:sz w:val="20"/>
                <w:szCs w:val="20"/>
              </w:rPr>
            </w:pPr>
          </w:p>
        </w:tc>
        <w:tc>
          <w:tcPr>
            <w:tcW w:w="0" w:type="auto"/>
            <w:gridSpan w:val="3"/>
            <w:vAlign w:val="center"/>
            <w:hideMark/>
          </w:tcPr>
          <w:p w14:paraId="50D2289D" w14:textId="77777777" w:rsidR="00000000" w:rsidRDefault="001D0688">
            <w:pPr>
              <w:rPr>
                <w:rFonts w:eastAsia="Times New Roman"/>
                <w:sz w:val="20"/>
                <w:szCs w:val="20"/>
              </w:rPr>
            </w:pPr>
          </w:p>
        </w:tc>
        <w:tc>
          <w:tcPr>
            <w:tcW w:w="0" w:type="auto"/>
            <w:gridSpan w:val="3"/>
            <w:vAlign w:val="center"/>
            <w:hideMark/>
          </w:tcPr>
          <w:p w14:paraId="296CE4E8" w14:textId="77777777" w:rsidR="00000000" w:rsidRDefault="001D0688">
            <w:pPr>
              <w:rPr>
                <w:rFonts w:eastAsia="Times New Roman"/>
                <w:sz w:val="20"/>
                <w:szCs w:val="20"/>
              </w:rPr>
            </w:pPr>
          </w:p>
        </w:tc>
        <w:tc>
          <w:tcPr>
            <w:tcW w:w="0" w:type="auto"/>
            <w:gridSpan w:val="3"/>
            <w:vAlign w:val="center"/>
            <w:hideMark/>
          </w:tcPr>
          <w:p w14:paraId="519651E6" w14:textId="77777777" w:rsidR="00000000" w:rsidRDefault="001D0688">
            <w:pPr>
              <w:rPr>
                <w:rFonts w:eastAsia="Times New Roman"/>
                <w:sz w:val="20"/>
                <w:szCs w:val="20"/>
              </w:rPr>
            </w:pPr>
          </w:p>
        </w:tc>
        <w:tc>
          <w:tcPr>
            <w:tcW w:w="0" w:type="auto"/>
            <w:gridSpan w:val="3"/>
            <w:vAlign w:val="center"/>
            <w:hideMark/>
          </w:tcPr>
          <w:p w14:paraId="0ED0D88C" w14:textId="77777777" w:rsidR="00000000" w:rsidRDefault="001D0688">
            <w:pPr>
              <w:rPr>
                <w:rFonts w:eastAsia="Times New Roman"/>
                <w:sz w:val="20"/>
                <w:szCs w:val="20"/>
              </w:rPr>
            </w:pPr>
          </w:p>
        </w:tc>
        <w:tc>
          <w:tcPr>
            <w:tcW w:w="0" w:type="auto"/>
            <w:gridSpan w:val="3"/>
            <w:vAlign w:val="center"/>
            <w:hideMark/>
          </w:tcPr>
          <w:p w14:paraId="7D102D3A" w14:textId="77777777" w:rsidR="00000000" w:rsidRDefault="001D0688">
            <w:pPr>
              <w:rPr>
                <w:rFonts w:eastAsia="Times New Roman"/>
                <w:sz w:val="20"/>
                <w:szCs w:val="20"/>
              </w:rPr>
            </w:pPr>
          </w:p>
        </w:tc>
        <w:tc>
          <w:tcPr>
            <w:tcW w:w="0" w:type="auto"/>
            <w:gridSpan w:val="3"/>
            <w:vAlign w:val="center"/>
            <w:hideMark/>
          </w:tcPr>
          <w:p w14:paraId="70A3F703" w14:textId="77777777" w:rsidR="00000000" w:rsidRDefault="001D0688">
            <w:pPr>
              <w:rPr>
                <w:rFonts w:eastAsia="Times New Roman"/>
                <w:sz w:val="20"/>
                <w:szCs w:val="20"/>
              </w:rPr>
            </w:pPr>
          </w:p>
        </w:tc>
        <w:tc>
          <w:tcPr>
            <w:tcW w:w="0" w:type="auto"/>
            <w:gridSpan w:val="3"/>
            <w:vAlign w:val="center"/>
            <w:hideMark/>
          </w:tcPr>
          <w:p w14:paraId="5D48327D" w14:textId="77777777" w:rsidR="00000000" w:rsidRDefault="001D0688">
            <w:pPr>
              <w:rPr>
                <w:rFonts w:eastAsia="Times New Roman"/>
                <w:sz w:val="20"/>
                <w:szCs w:val="20"/>
              </w:rPr>
            </w:pPr>
          </w:p>
        </w:tc>
        <w:tc>
          <w:tcPr>
            <w:tcW w:w="0" w:type="auto"/>
            <w:gridSpan w:val="3"/>
            <w:vAlign w:val="center"/>
            <w:hideMark/>
          </w:tcPr>
          <w:p w14:paraId="35C5BDC0" w14:textId="77777777" w:rsidR="00000000" w:rsidRDefault="001D0688">
            <w:pPr>
              <w:rPr>
                <w:rFonts w:eastAsia="Times New Roman"/>
                <w:sz w:val="20"/>
                <w:szCs w:val="20"/>
              </w:rPr>
            </w:pPr>
          </w:p>
        </w:tc>
        <w:tc>
          <w:tcPr>
            <w:tcW w:w="0" w:type="auto"/>
            <w:gridSpan w:val="3"/>
            <w:vAlign w:val="center"/>
            <w:hideMark/>
          </w:tcPr>
          <w:p w14:paraId="7E0D4E81" w14:textId="77777777" w:rsidR="00000000" w:rsidRDefault="001D0688">
            <w:pPr>
              <w:rPr>
                <w:rFonts w:eastAsia="Times New Roman"/>
                <w:sz w:val="20"/>
                <w:szCs w:val="20"/>
              </w:rPr>
            </w:pPr>
          </w:p>
        </w:tc>
        <w:tc>
          <w:tcPr>
            <w:tcW w:w="0" w:type="auto"/>
            <w:gridSpan w:val="3"/>
            <w:vAlign w:val="center"/>
            <w:hideMark/>
          </w:tcPr>
          <w:p w14:paraId="5F89B04F" w14:textId="77777777" w:rsidR="00000000" w:rsidRDefault="001D0688">
            <w:pPr>
              <w:rPr>
                <w:rFonts w:eastAsia="Times New Roman"/>
                <w:sz w:val="20"/>
                <w:szCs w:val="20"/>
              </w:rPr>
            </w:pPr>
          </w:p>
        </w:tc>
        <w:tc>
          <w:tcPr>
            <w:tcW w:w="0" w:type="auto"/>
            <w:gridSpan w:val="3"/>
            <w:vAlign w:val="center"/>
            <w:hideMark/>
          </w:tcPr>
          <w:p w14:paraId="403DB3DF" w14:textId="77777777" w:rsidR="00000000" w:rsidRDefault="001D0688">
            <w:pPr>
              <w:rPr>
                <w:rFonts w:eastAsia="Times New Roman"/>
                <w:sz w:val="20"/>
                <w:szCs w:val="20"/>
              </w:rPr>
            </w:pPr>
          </w:p>
        </w:tc>
        <w:tc>
          <w:tcPr>
            <w:tcW w:w="0" w:type="auto"/>
            <w:gridSpan w:val="3"/>
            <w:vAlign w:val="center"/>
            <w:hideMark/>
          </w:tcPr>
          <w:p w14:paraId="1A2A3E71" w14:textId="77777777" w:rsidR="00000000" w:rsidRDefault="001D0688">
            <w:pPr>
              <w:rPr>
                <w:rFonts w:eastAsia="Times New Roman"/>
                <w:sz w:val="20"/>
                <w:szCs w:val="20"/>
              </w:rPr>
            </w:pPr>
          </w:p>
        </w:tc>
      </w:tr>
      <w:tr w:rsidR="00000000" w14:paraId="529940C7" w14:textId="77777777">
        <w:trPr>
          <w:divId w:val="506092607"/>
          <w:jc w:val="right"/>
        </w:trPr>
        <w:tc>
          <w:tcPr>
            <w:tcW w:w="0" w:type="auto"/>
            <w:gridSpan w:val="3"/>
            <w:vAlign w:val="center"/>
            <w:hideMark/>
          </w:tcPr>
          <w:p w14:paraId="5974029C" w14:textId="77777777" w:rsidR="00000000" w:rsidRDefault="001D0688">
            <w:pPr>
              <w:rPr>
                <w:rFonts w:eastAsia="Times New Roman"/>
                <w:sz w:val="20"/>
                <w:szCs w:val="20"/>
              </w:rPr>
            </w:pPr>
          </w:p>
        </w:tc>
        <w:tc>
          <w:tcPr>
            <w:tcW w:w="0" w:type="auto"/>
            <w:gridSpan w:val="3"/>
            <w:vAlign w:val="center"/>
            <w:hideMark/>
          </w:tcPr>
          <w:p w14:paraId="5294F290" w14:textId="77777777" w:rsidR="00000000" w:rsidRDefault="001D0688">
            <w:pPr>
              <w:rPr>
                <w:rFonts w:eastAsia="Times New Roman"/>
                <w:sz w:val="20"/>
                <w:szCs w:val="20"/>
              </w:rPr>
            </w:pPr>
          </w:p>
        </w:tc>
        <w:tc>
          <w:tcPr>
            <w:tcW w:w="0" w:type="auto"/>
            <w:gridSpan w:val="3"/>
            <w:vAlign w:val="center"/>
            <w:hideMark/>
          </w:tcPr>
          <w:p w14:paraId="372A5AA0" w14:textId="77777777" w:rsidR="00000000" w:rsidRDefault="001D0688">
            <w:pPr>
              <w:rPr>
                <w:rFonts w:eastAsia="Times New Roman"/>
                <w:sz w:val="20"/>
                <w:szCs w:val="20"/>
              </w:rPr>
            </w:pPr>
          </w:p>
        </w:tc>
        <w:tc>
          <w:tcPr>
            <w:tcW w:w="0" w:type="auto"/>
            <w:gridSpan w:val="3"/>
            <w:vAlign w:val="center"/>
            <w:hideMark/>
          </w:tcPr>
          <w:p w14:paraId="6EE37D92" w14:textId="77777777" w:rsidR="00000000" w:rsidRDefault="001D0688">
            <w:pPr>
              <w:rPr>
                <w:rFonts w:eastAsia="Times New Roman"/>
                <w:sz w:val="20"/>
                <w:szCs w:val="20"/>
              </w:rPr>
            </w:pPr>
          </w:p>
        </w:tc>
        <w:tc>
          <w:tcPr>
            <w:tcW w:w="0" w:type="auto"/>
            <w:gridSpan w:val="3"/>
            <w:vAlign w:val="center"/>
            <w:hideMark/>
          </w:tcPr>
          <w:p w14:paraId="285534E3" w14:textId="77777777" w:rsidR="00000000" w:rsidRDefault="001D0688">
            <w:pPr>
              <w:rPr>
                <w:rFonts w:eastAsia="Times New Roman"/>
                <w:sz w:val="20"/>
                <w:szCs w:val="20"/>
              </w:rPr>
            </w:pPr>
          </w:p>
        </w:tc>
        <w:tc>
          <w:tcPr>
            <w:tcW w:w="0" w:type="auto"/>
            <w:gridSpan w:val="3"/>
            <w:vAlign w:val="center"/>
            <w:hideMark/>
          </w:tcPr>
          <w:p w14:paraId="67DAC333" w14:textId="77777777" w:rsidR="00000000" w:rsidRDefault="001D0688">
            <w:pPr>
              <w:rPr>
                <w:rFonts w:eastAsia="Times New Roman"/>
                <w:sz w:val="20"/>
                <w:szCs w:val="20"/>
              </w:rPr>
            </w:pPr>
          </w:p>
        </w:tc>
        <w:tc>
          <w:tcPr>
            <w:tcW w:w="0" w:type="auto"/>
            <w:gridSpan w:val="3"/>
            <w:vAlign w:val="center"/>
            <w:hideMark/>
          </w:tcPr>
          <w:p w14:paraId="4E7F7A75" w14:textId="77777777" w:rsidR="00000000" w:rsidRDefault="001D0688">
            <w:pPr>
              <w:rPr>
                <w:rFonts w:eastAsia="Times New Roman"/>
                <w:sz w:val="20"/>
                <w:szCs w:val="20"/>
              </w:rPr>
            </w:pPr>
          </w:p>
        </w:tc>
        <w:tc>
          <w:tcPr>
            <w:tcW w:w="0" w:type="auto"/>
            <w:gridSpan w:val="3"/>
            <w:vAlign w:val="center"/>
            <w:hideMark/>
          </w:tcPr>
          <w:p w14:paraId="0B89A8CF" w14:textId="77777777" w:rsidR="00000000" w:rsidRDefault="001D0688">
            <w:pPr>
              <w:rPr>
                <w:rFonts w:eastAsia="Times New Roman"/>
                <w:sz w:val="20"/>
                <w:szCs w:val="20"/>
              </w:rPr>
            </w:pPr>
          </w:p>
        </w:tc>
        <w:tc>
          <w:tcPr>
            <w:tcW w:w="0" w:type="auto"/>
            <w:gridSpan w:val="3"/>
            <w:vAlign w:val="center"/>
            <w:hideMark/>
          </w:tcPr>
          <w:p w14:paraId="3B1DB98F" w14:textId="77777777" w:rsidR="00000000" w:rsidRDefault="001D0688">
            <w:pPr>
              <w:rPr>
                <w:rFonts w:eastAsia="Times New Roman"/>
                <w:sz w:val="20"/>
                <w:szCs w:val="20"/>
              </w:rPr>
            </w:pPr>
          </w:p>
        </w:tc>
        <w:tc>
          <w:tcPr>
            <w:tcW w:w="0" w:type="auto"/>
            <w:gridSpan w:val="3"/>
            <w:vAlign w:val="center"/>
            <w:hideMark/>
          </w:tcPr>
          <w:p w14:paraId="7E646ACD" w14:textId="77777777" w:rsidR="00000000" w:rsidRDefault="001D0688">
            <w:pPr>
              <w:rPr>
                <w:rFonts w:eastAsia="Times New Roman"/>
                <w:sz w:val="20"/>
                <w:szCs w:val="20"/>
              </w:rPr>
            </w:pPr>
          </w:p>
        </w:tc>
        <w:tc>
          <w:tcPr>
            <w:tcW w:w="0" w:type="auto"/>
            <w:gridSpan w:val="3"/>
            <w:vAlign w:val="center"/>
            <w:hideMark/>
          </w:tcPr>
          <w:p w14:paraId="6D624217" w14:textId="77777777" w:rsidR="00000000" w:rsidRDefault="001D0688">
            <w:pPr>
              <w:rPr>
                <w:rFonts w:eastAsia="Times New Roman"/>
                <w:sz w:val="20"/>
                <w:szCs w:val="20"/>
              </w:rPr>
            </w:pPr>
          </w:p>
        </w:tc>
        <w:tc>
          <w:tcPr>
            <w:tcW w:w="0" w:type="auto"/>
            <w:gridSpan w:val="3"/>
            <w:vAlign w:val="center"/>
            <w:hideMark/>
          </w:tcPr>
          <w:p w14:paraId="6D8E63DD" w14:textId="77777777" w:rsidR="00000000" w:rsidRDefault="001D0688">
            <w:pPr>
              <w:rPr>
                <w:rFonts w:eastAsia="Times New Roman"/>
                <w:sz w:val="20"/>
                <w:szCs w:val="20"/>
              </w:rPr>
            </w:pPr>
          </w:p>
        </w:tc>
        <w:tc>
          <w:tcPr>
            <w:tcW w:w="0" w:type="auto"/>
            <w:gridSpan w:val="3"/>
            <w:vAlign w:val="center"/>
            <w:hideMark/>
          </w:tcPr>
          <w:p w14:paraId="0A9A0AB4" w14:textId="77777777" w:rsidR="00000000" w:rsidRDefault="001D0688">
            <w:pPr>
              <w:rPr>
                <w:rFonts w:eastAsia="Times New Roman"/>
                <w:sz w:val="20"/>
                <w:szCs w:val="20"/>
              </w:rPr>
            </w:pPr>
          </w:p>
        </w:tc>
      </w:tr>
      <w:tr w:rsidR="00000000" w14:paraId="39FE8F8A" w14:textId="77777777">
        <w:trPr>
          <w:divId w:val="506092607"/>
          <w:jc w:val="right"/>
        </w:trPr>
        <w:tc>
          <w:tcPr>
            <w:tcW w:w="0" w:type="auto"/>
            <w:gridSpan w:val="3"/>
            <w:vAlign w:val="center"/>
            <w:hideMark/>
          </w:tcPr>
          <w:p w14:paraId="5C5704A2" w14:textId="77777777" w:rsidR="00000000" w:rsidRDefault="001D0688">
            <w:pPr>
              <w:rPr>
                <w:rFonts w:eastAsia="Times New Roman"/>
                <w:sz w:val="20"/>
                <w:szCs w:val="20"/>
              </w:rPr>
            </w:pPr>
          </w:p>
        </w:tc>
        <w:tc>
          <w:tcPr>
            <w:tcW w:w="0" w:type="auto"/>
            <w:gridSpan w:val="3"/>
            <w:vAlign w:val="center"/>
            <w:hideMark/>
          </w:tcPr>
          <w:p w14:paraId="11599BBD" w14:textId="77777777" w:rsidR="00000000" w:rsidRDefault="001D0688">
            <w:pPr>
              <w:rPr>
                <w:rFonts w:eastAsia="Times New Roman"/>
                <w:sz w:val="20"/>
                <w:szCs w:val="20"/>
              </w:rPr>
            </w:pPr>
          </w:p>
        </w:tc>
        <w:tc>
          <w:tcPr>
            <w:tcW w:w="0" w:type="auto"/>
            <w:gridSpan w:val="3"/>
            <w:vAlign w:val="center"/>
            <w:hideMark/>
          </w:tcPr>
          <w:p w14:paraId="35B84FD1" w14:textId="77777777" w:rsidR="00000000" w:rsidRDefault="001D0688">
            <w:pPr>
              <w:rPr>
                <w:rFonts w:eastAsia="Times New Roman"/>
                <w:sz w:val="20"/>
                <w:szCs w:val="20"/>
              </w:rPr>
            </w:pPr>
          </w:p>
        </w:tc>
        <w:tc>
          <w:tcPr>
            <w:tcW w:w="0" w:type="auto"/>
            <w:gridSpan w:val="3"/>
            <w:vAlign w:val="center"/>
            <w:hideMark/>
          </w:tcPr>
          <w:p w14:paraId="7ADADA91" w14:textId="77777777" w:rsidR="00000000" w:rsidRDefault="001D0688">
            <w:pPr>
              <w:rPr>
                <w:rFonts w:eastAsia="Times New Roman"/>
                <w:sz w:val="20"/>
                <w:szCs w:val="20"/>
              </w:rPr>
            </w:pPr>
          </w:p>
        </w:tc>
        <w:tc>
          <w:tcPr>
            <w:tcW w:w="0" w:type="auto"/>
            <w:gridSpan w:val="3"/>
            <w:vAlign w:val="center"/>
            <w:hideMark/>
          </w:tcPr>
          <w:p w14:paraId="38FFDE1E" w14:textId="77777777" w:rsidR="00000000" w:rsidRDefault="001D0688">
            <w:pPr>
              <w:rPr>
                <w:rFonts w:eastAsia="Times New Roman"/>
                <w:sz w:val="20"/>
                <w:szCs w:val="20"/>
              </w:rPr>
            </w:pPr>
          </w:p>
        </w:tc>
        <w:tc>
          <w:tcPr>
            <w:tcW w:w="0" w:type="auto"/>
            <w:gridSpan w:val="3"/>
            <w:vAlign w:val="center"/>
            <w:hideMark/>
          </w:tcPr>
          <w:p w14:paraId="4AF8FF09" w14:textId="77777777" w:rsidR="00000000" w:rsidRDefault="001D0688">
            <w:pPr>
              <w:rPr>
                <w:rFonts w:eastAsia="Times New Roman"/>
                <w:sz w:val="20"/>
                <w:szCs w:val="20"/>
              </w:rPr>
            </w:pPr>
          </w:p>
        </w:tc>
        <w:tc>
          <w:tcPr>
            <w:tcW w:w="0" w:type="auto"/>
            <w:gridSpan w:val="3"/>
            <w:vAlign w:val="center"/>
            <w:hideMark/>
          </w:tcPr>
          <w:p w14:paraId="4D5CE9D0" w14:textId="77777777" w:rsidR="00000000" w:rsidRDefault="001D0688">
            <w:pPr>
              <w:rPr>
                <w:rFonts w:eastAsia="Times New Roman"/>
                <w:sz w:val="20"/>
                <w:szCs w:val="20"/>
              </w:rPr>
            </w:pPr>
          </w:p>
        </w:tc>
        <w:tc>
          <w:tcPr>
            <w:tcW w:w="0" w:type="auto"/>
            <w:gridSpan w:val="3"/>
            <w:vAlign w:val="center"/>
            <w:hideMark/>
          </w:tcPr>
          <w:p w14:paraId="0082BFD6" w14:textId="77777777" w:rsidR="00000000" w:rsidRDefault="001D0688">
            <w:pPr>
              <w:rPr>
                <w:rFonts w:eastAsia="Times New Roman"/>
                <w:sz w:val="20"/>
                <w:szCs w:val="20"/>
              </w:rPr>
            </w:pPr>
          </w:p>
        </w:tc>
        <w:tc>
          <w:tcPr>
            <w:tcW w:w="0" w:type="auto"/>
            <w:gridSpan w:val="3"/>
            <w:vAlign w:val="center"/>
            <w:hideMark/>
          </w:tcPr>
          <w:p w14:paraId="33061E1B" w14:textId="77777777" w:rsidR="00000000" w:rsidRDefault="001D0688">
            <w:pPr>
              <w:rPr>
                <w:rFonts w:eastAsia="Times New Roman"/>
                <w:sz w:val="20"/>
                <w:szCs w:val="20"/>
              </w:rPr>
            </w:pPr>
          </w:p>
        </w:tc>
        <w:tc>
          <w:tcPr>
            <w:tcW w:w="0" w:type="auto"/>
            <w:gridSpan w:val="3"/>
            <w:vAlign w:val="center"/>
            <w:hideMark/>
          </w:tcPr>
          <w:p w14:paraId="0CBDAF7B" w14:textId="77777777" w:rsidR="00000000" w:rsidRDefault="001D0688">
            <w:pPr>
              <w:rPr>
                <w:rFonts w:eastAsia="Times New Roman"/>
                <w:sz w:val="20"/>
                <w:szCs w:val="20"/>
              </w:rPr>
            </w:pPr>
          </w:p>
        </w:tc>
        <w:tc>
          <w:tcPr>
            <w:tcW w:w="0" w:type="auto"/>
            <w:gridSpan w:val="3"/>
            <w:vAlign w:val="center"/>
            <w:hideMark/>
          </w:tcPr>
          <w:p w14:paraId="6401AD1A" w14:textId="77777777" w:rsidR="00000000" w:rsidRDefault="001D0688">
            <w:pPr>
              <w:rPr>
                <w:rFonts w:eastAsia="Times New Roman"/>
                <w:sz w:val="20"/>
                <w:szCs w:val="20"/>
              </w:rPr>
            </w:pPr>
          </w:p>
        </w:tc>
        <w:tc>
          <w:tcPr>
            <w:tcW w:w="0" w:type="auto"/>
            <w:gridSpan w:val="3"/>
            <w:vAlign w:val="center"/>
            <w:hideMark/>
          </w:tcPr>
          <w:p w14:paraId="2F5AB578" w14:textId="77777777" w:rsidR="00000000" w:rsidRDefault="001D0688">
            <w:pPr>
              <w:rPr>
                <w:rFonts w:eastAsia="Times New Roman"/>
                <w:sz w:val="20"/>
                <w:szCs w:val="20"/>
              </w:rPr>
            </w:pPr>
          </w:p>
        </w:tc>
        <w:tc>
          <w:tcPr>
            <w:tcW w:w="0" w:type="auto"/>
            <w:gridSpan w:val="3"/>
            <w:vAlign w:val="center"/>
            <w:hideMark/>
          </w:tcPr>
          <w:p w14:paraId="45F097DB" w14:textId="77777777" w:rsidR="00000000" w:rsidRDefault="001D0688">
            <w:pPr>
              <w:rPr>
                <w:rFonts w:eastAsia="Times New Roman"/>
                <w:sz w:val="20"/>
                <w:szCs w:val="20"/>
              </w:rPr>
            </w:pPr>
          </w:p>
        </w:tc>
      </w:tr>
      <w:tr w:rsidR="00000000" w14:paraId="7B863B01" w14:textId="77777777">
        <w:trPr>
          <w:divId w:val="506092607"/>
          <w:jc w:val="right"/>
        </w:trPr>
        <w:tc>
          <w:tcPr>
            <w:tcW w:w="0" w:type="auto"/>
            <w:gridSpan w:val="3"/>
            <w:vAlign w:val="center"/>
            <w:hideMark/>
          </w:tcPr>
          <w:p w14:paraId="75D578F2" w14:textId="77777777" w:rsidR="00000000" w:rsidRDefault="001D0688">
            <w:pPr>
              <w:rPr>
                <w:rFonts w:eastAsia="Times New Roman"/>
                <w:sz w:val="20"/>
                <w:szCs w:val="20"/>
              </w:rPr>
            </w:pPr>
          </w:p>
        </w:tc>
        <w:tc>
          <w:tcPr>
            <w:tcW w:w="0" w:type="auto"/>
            <w:gridSpan w:val="3"/>
            <w:vAlign w:val="center"/>
            <w:hideMark/>
          </w:tcPr>
          <w:p w14:paraId="198DD7A0" w14:textId="77777777" w:rsidR="00000000" w:rsidRDefault="001D0688">
            <w:pPr>
              <w:rPr>
                <w:rFonts w:eastAsia="Times New Roman"/>
                <w:sz w:val="20"/>
                <w:szCs w:val="20"/>
              </w:rPr>
            </w:pPr>
          </w:p>
        </w:tc>
        <w:tc>
          <w:tcPr>
            <w:tcW w:w="0" w:type="auto"/>
            <w:gridSpan w:val="3"/>
            <w:vAlign w:val="center"/>
            <w:hideMark/>
          </w:tcPr>
          <w:p w14:paraId="7195C467" w14:textId="77777777" w:rsidR="00000000" w:rsidRDefault="001D0688">
            <w:pPr>
              <w:rPr>
                <w:rFonts w:eastAsia="Times New Roman"/>
                <w:sz w:val="20"/>
                <w:szCs w:val="20"/>
              </w:rPr>
            </w:pPr>
          </w:p>
        </w:tc>
        <w:tc>
          <w:tcPr>
            <w:tcW w:w="0" w:type="auto"/>
            <w:gridSpan w:val="3"/>
            <w:vAlign w:val="center"/>
            <w:hideMark/>
          </w:tcPr>
          <w:p w14:paraId="199C94DD" w14:textId="77777777" w:rsidR="00000000" w:rsidRDefault="001D0688">
            <w:pPr>
              <w:rPr>
                <w:rFonts w:eastAsia="Times New Roman"/>
                <w:sz w:val="20"/>
                <w:szCs w:val="20"/>
              </w:rPr>
            </w:pPr>
          </w:p>
        </w:tc>
        <w:tc>
          <w:tcPr>
            <w:tcW w:w="0" w:type="auto"/>
            <w:gridSpan w:val="3"/>
            <w:vAlign w:val="center"/>
            <w:hideMark/>
          </w:tcPr>
          <w:p w14:paraId="27079610" w14:textId="77777777" w:rsidR="00000000" w:rsidRDefault="001D0688">
            <w:pPr>
              <w:rPr>
                <w:rFonts w:eastAsia="Times New Roman"/>
                <w:sz w:val="20"/>
                <w:szCs w:val="20"/>
              </w:rPr>
            </w:pPr>
          </w:p>
        </w:tc>
        <w:tc>
          <w:tcPr>
            <w:tcW w:w="0" w:type="auto"/>
            <w:gridSpan w:val="3"/>
            <w:vAlign w:val="center"/>
            <w:hideMark/>
          </w:tcPr>
          <w:p w14:paraId="6914AAFE" w14:textId="77777777" w:rsidR="00000000" w:rsidRDefault="001D0688">
            <w:pPr>
              <w:rPr>
                <w:rFonts w:eastAsia="Times New Roman"/>
                <w:sz w:val="20"/>
                <w:szCs w:val="20"/>
              </w:rPr>
            </w:pPr>
          </w:p>
        </w:tc>
        <w:tc>
          <w:tcPr>
            <w:tcW w:w="0" w:type="auto"/>
            <w:gridSpan w:val="3"/>
            <w:vAlign w:val="center"/>
            <w:hideMark/>
          </w:tcPr>
          <w:p w14:paraId="58F0C18A" w14:textId="77777777" w:rsidR="00000000" w:rsidRDefault="001D0688">
            <w:pPr>
              <w:rPr>
                <w:rFonts w:eastAsia="Times New Roman"/>
                <w:sz w:val="20"/>
                <w:szCs w:val="20"/>
              </w:rPr>
            </w:pPr>
          </w:p>
        </w:tc>
        <w:tc>
          <w:tcPr>
            <w:tcW w:w="0" w:type="auto"/>
            <w:gridSpan w:val="3"/>
            <w:vAlign w:val="center"/>
            <w:hideMark/>
          </w:tcPr>
          <w:p w14:paraId="273DC139" w14:textId="77777777" w:rsidR="00000000" w:rsidRDefault="001D0688">
            <w:pPr>
              <w:rPr>
                <w:rFonts w:eastAsia="Times New Roman"/>
                <w:sz w:val="20"/>
                <w:szCs w:val="20"/>
              </w:rPr>
            </w:pPr>
          </w:p>
        </w:tc>
        <w:tc>
          <w:tcPr>
            <w:tcW w:w="0" w:type="auto"/>
            <w:gridSpan w:val="3"/>
            <w:vAlign w:val="center"/>
            <w:hideMark/>
          </w:tcPr>
          <w:p w14:paraId="072A6560" w14:textId="77777777" w:rsidR="00000000" w:rsidRDefault="001D0688">
            <w:pPr>
              <w:rPr>
                <w:rFonts w:eastAsia="Times New Roman"/>
                <w:sz w:val="20"/>
                <w:szCs w:val="20"/>
              </w:rPr>
            </w:pPr>
          </w:p>
        </w:tc>
        <w:tc>
          <w:tcPr>
            <w:tcW w:w="0" w:type="auto"/>
            <w:gridSpan w:val="3"/>
            <w:vAlign w:val="center"/>
            <w:hideMark/>
          </w:tcPr>
          <w:p w14:paraId="007FDA29" w14:textId="77777777" w:rsidR="00000000" w:rsidRDefault="001D0688">
            <w:pPr>
              <w:rPr>
                <w:rFonts w:eastAsia="Times New Roman"/>
                <w:sz w:val="20"/>
                <w:szCs w:val="20"/>
              </w:rPr>
            </w:pPr>
          </w:p>
        </w:tc>
        <w:tc>
          <w:tcPr>
            <w:tcW w:w="0" w:type="auto"/>
            <w:gridSpan w:val="3"/>
            <w:vAlign w:val="center"/>
            <w:hideMark/>
          </w:tcPr>
          <w:p w14:paraId="43E118E8" w14:textId="77777777" w:rsidR="00000000" w:rsidRDefault="001D0688">
            <w:pPr>
              <w:rPr>
                <w:rFonts w:eastAsia="Times New Roman"/>
                <w:sz w:val="20"/>
                <w:szCs w:val="20"/>
              </w:rPr>
            </w:pPr>
          </w:p>
        </w:tc>
        <w:tc>
          <w:tcPr>
            <w:tcW w:w="0" w:type="auto"/>
            <w:gridSpan w:val="3"/>
            <w:vAlign w:val="center"/>
            <w:hideMark/>
          </w:tcPr>
          <w:p w14:paraId="2D855719" w14:textId="77777777" w:rsidR="00000000" w:rsidRDefault="001D0688">
            <w:pPr>
              <w:rPr>
                <w:rFonts w:eastAsia="Times New Roman"/>
                <w:sz w:val="20"/>
                <w:szCs w:val="20"/>
              </w:rPr>
            </w:pPr>
          </w:p>
        </w:tc>
        <w:tc>
          <w:tcPr>
            <w:tcW w:w="0" w:type="auto"/>
            <w:gridSpan w:val="3"/>
            <w:vAlign w:val="center"/>
            <w:hideMark/>
          </w:tcPr>
          <w:p w14:paraId="6F6B1EB7" w14:textId="77777777" w:rsidR="00000000" w:rsidRDefault="001D0688">
            <w:pPr>
              <w:rPr>
                <w:rFonts w:eastAsia="Times New Roman"/>
                <w:sz w:val="20"/>
                <w:szCs w:val="20"/>
              </w:rPr>
            </w:pPr>
          </w:p>
        </w:tc>
      </w:tr>
      <w:tr w:rsidR="00000000" w14:paraId="2BEFAE12" w14:textId="77777777">
        <w:trPr>
          <w:divId w:val="506092607"/>
          <w:jc w:val="right"/>
        </w:trPr>
        <w:tc>
          <w:tcPr>
            <w:tcW w:w="0" w:type="auto"/>
            <w:gridSpan w:val="3"/>
            <w:vAlign w:val="center"/>
            <w:hideMark/>
          </w:tcPr>
          <w:p w14:paraId="67927E30" w14:textId="77777777" w:rsidR="00000000" w:rsidRDefault="001D0688">
            <w:pPr>
              <w:rPr>
                <w:rFonts w:eastAsia="Times New Roman"/>
                <w:sz w:val="20"/>
                <w:szCs w:val="20"/>
              </w:rPr>
            </w:pPr>
          </w:p>
        </w:tc>
        <w:tc>
          <w:tcPr>
            <w:tcW w:w="0" w:type="auto"/>
            <w:gridSpan w:val="3"/>
            <w:vAlign w:val="center"/>
            <w:hideMark/>
          </w:tcPr>
          <w:p w14:paraId="79FFD5C5" w14:textId="77777777" w:rsidR="00000000" w:rsidRDefault="001D0688">
            <w:pPr>
              <w:rPr>
                <w:rFonts w:eastAsia="Times New Roman"/>
                <w:sz w:val="20"/>
                <w:szCs w:val="20"/>
              </w:rPr>
            </w:pPr>
          </w:p>
        </w:tc>
        <w:tc>
          <w:tcPr>
            <w:tcW w:w="0" w:type="auto"/>
            <w:gridSpan w:val="3"/>
            <w:vAlign w:val="center"/>
            <w:hideMark/>
          </w:tcPr>
          <w:p w14:paraId="66B8DAB4" w14:textId="77777777" w:rsidR="00000000" w:rsidRDefault="001D0688">
            <w:pPr>
              <w:rPr>
                <w:rFonts w:eastAsia="Times New Roman"/>
                <w:sz w:val="20"/>
                <w:szCs w:val="20"/>
              </w:rPr>
            </w:pPr>
          </w:p>
        </w:tc>
        <w:tc>
          <w:tcPr>
            <w:tcW w:w="0" w:type="auto"/>
            <w:gridSpan w:val="3"/>
            <w:vAlign w:val="center"/>
            <w:hideMark/>
          </w:tcPr>
          <w:p w14:paraId="5CAB1A35" w14:textId="77777777" w:rsidR="00000000" w:rsidRDefault="001D0688">
            <w:pPr>
              <w:rPr>
                <w:rFonts w:eastAsia="Times New Roman"/>
                <w:sz w:val="20"/>
                <w:szCs w:val="20"/>
              </w:rPr>
            </w:pPr>
          </w:p>
        </w:tc>
        <w:tc>
          <w:tcPr>
            <w:tcW w:w="0" w:type="auto"/>
            <w:gridSpan w:val="3"/>
            <w:vAlign w:val="center"/>
            <w:hideMark/>
          </w:tcPr>
          <w:p w14:paraId="2B1955E5" w14:textId="77777777" w:rsidR="00000000" w:rsidRDefault="001D0688">
            <w:pPr>
              <w:rPr>
                <w:rFonts w:eastAsia="Times New Roman"/>
                <w:sz w:val="20"/>
                <w:szCs w:val="20"/>
              </w:rPr>
            </w:pPr>
          </w:p>
        </w:tc>
        <w:tc>
          <w:tcPr>
            <w:tcW w:w="0" w:type="auto"/>
            <w:gridSpan w:val="3"/>
            <w:vAlign w:val="center"/>
            <w:hideMark/>
          </w:tcPr>
          <w:p w14:paraId="06010896" w14:textId="77777777" w:rsidR="00000000" w:rsidRDefault="001D0688">
            <w:pPr>
              <w:rPr>
                <w:rFonts w:eastAsia="Times New Roman"/>
                <w:sz w:val="20"/>
                <w:szCs w:val="20"/>
              </w:rPr>
            </w:pPr>
          </w:p>
        </w:tc>
        <w:tc>
          <w:tcPr>
            <w:tcW w:w="0" w:type="auto"/>
            <w:gridSpan w:val="3"/>
            <w:vAlign w:val="center"/>
            <w:hideMark/>
          </w:tcPr>
          <w:p w14:paraId="70B32686" w14:textId="77777777" w:rsidR="00000000" w:rsidRDefault="001D0688">
            <w:pPr>
              <w:rPr>
                <w:rFonts w:eastAsia="Times New Roman"/>
                <w:sz w:val="20"/>
                <w:szCs w:val="20"/>
              </w:rPr>
            </w:pPr>
          </w:p>
        </w:tc>
        <w:tc>
          <w:tcPr>
            <w:tcW w:w="0" w:type="auto"/>
            <w:gridSpan w:val="3"/>
            <w:vAlign w:val="center"/>
            <w:hideMark/>
          </w:tcPr>
          <w:p w14:paraId="23D9E030" w14:textId="77777777" w:rsidR="00000000" w:rsidRDefault="001D0688">
            <w:pPr>
              <w:rPr>
                <w:rFonts w:eastAsia="Times New Roman"/>
                <w:sz w:val="20"/>
                <w:szCs w:val="20"/>
              </w:rPr>
            </w:pPr>
          </w:p>
        </w:tc>
        <w:tc>
          <w:tcPr>
            <w:tcW w:w="0" w:type="auto"/>
            <w:gridSpan w:val="3"/>
            <w:vAlign w:val="center"/>
            <w:hideMark/>
          </w:tcPr>
          <w:p w14:paraId="787A4E80" w14:textId="77777777" w:rsidR="00000000" w:rsidRDefault="001D0688">
            <w:pPr>
              <w:rPr>
                <w:rFonts w:eastAsia="Times New Roman"/>
                <w:sz w:val="20"/>
                <w:szCs w:val="20"/>
              </w:rPr>
            </w:pPr>
          </w:p>
        </w:tc>
        <w:tc>
          <w:tcPr>
            <w:tcW w:w="0" w:type="auto"/>
            <w:gridSpan w:val="3"/>
            <w:vAlign w:val="center"/>
            <w:hideMark/>
          </w:tcPr>
          <w:p w14:paraId="07228621" w14:textId="77777777" w:rsidR="00000000" w:rsidRDefault="001D0688">
            <w:pPr>
              <w:rPr>
                <w:rFonts w:eastAsia="Times New Roman"/>
                <w:sz w:val="20"/>
                <w:szCs w:val="20"/>
              </w:rPr>
            </w:pPr>
          </w:p>
        </w:tc>
        <w:tc>
          <w:tcPr>
            <w:tcW w:w="0" w:type="auto"/>
            <w:gridSpan w:val="3"/>
            <w:vAlign w:val="center"/>
            <w:hideMark/>
          </w:tcPr>
          <w:p w14:paraId="52805CC1" w14:textId="77777777" w:rsidR="00000000" w:rsidRDefault="001D0688">
            <w:pPr>
              <w:rPr>
                <w:rFonts w:eastAsia="Times New Roman"/>
                <w:sz w:val="20"/>
                <w:szCs w:val="20"/>
              </w:rPr>
            </w:pPr>
          </w:p>
        </w:tc>
        <w:tc>
          <w:tcPr>
            <w:tcW w:w="0" w:type="auto"/>
            <w:gridSpan w:val="3"/>
            <w:vAlign w:val="center"/>
            <w:hideMark/>
          </w:tcPr>
          <w:p w14:paraId="21733DDE" w14:textId="77777777" w:rsidR="00000000" w:rsidRDefault="001D0688">
            <w:pPr>
              <w:rPr>
                <w:rFonts w:eastAsia="Times New Roman"/>
                <w:sz w:val="20"/>
                <w:szCs w:val="20"/>
              </w:rPr>
            </w:pPr>
          </w:p>
        </w:tc>
        <w:tc>
          <w:tcPr>
            <w:tcW w:w="0" w:type="auto"/>
            <w:gridSpan w:val="3"/>
            <w:vAlign w:val="center"/>
            <w:hideMark/>
          </w:tcPr>
          <w:p w14:paraId="5D193AC0" w14:textId="77777777" w:rsidR="00000000" w:rsidRDefault="001D0688">
            <w:pPr>
              <w:rPr>
                <w:rFonts w:eastAsia="Times New Roman"/>
                <w:sz w:val="20"/>
                <w:szCs w:val="20"/>
              </w:rPr>
            </w:pPr>
          </w:p>
        </w:tc>
      </w:tr>
      <w:tr w:rsidR="00000000" w14:paraId="412AB895" w14:textId="77777777">
        <w:trPr>
          <w:divId w:val="506092607"/>
          <w:jc w:val="right"/>
        </w:trPr>
        <w:tc>
          <w:tcPr>
            <w:tcW w:w="0" w:type="auto"/>
            <w:gridSpan w:val="3"/>
            <w:vAlign w:val="center"/>
            <w:hideMark/>
          </w:tcPr>
          <w:p w14:paraId="24F5A59C" w14:textId="77777777" w:rsidR="00000000" w:rsidRDefault="001D0688">
            <w:pPr>
              <w:rPr>
                <w:rFonts w:eastAsia="Times New Roman"/>
                <w:sz w:val="20"/>
                <w:szCs w:val="20"/>
              </w:rPr>
            </w:pPr>
          </w:p>
        </w:tc>
        <w:tc>
          <w:tcPr>
            <w:tcW w:w="0" w:type="auto"/>
            <w:gridSpan w:val="3"/>
            <w:vAlign w:val="center"/>
            <w:hideMark/>
          </w:tcPr>
          <w:p w14:paraId="7EDF0691" w14:textId="77777777" w:rsidR="00000000" w:rsidRDefault="001D0688">
            <w:pPr>
              <w:rPr>
                <w:rFonts w:eastAsia="Times New Roman"/>
                <w:sz w:val="20"/>
                <w:szCs w:val="20"/>
              </w:rPr>
            </w:pPr>
          </w:p>
        </w:tc>
        <w:tc>
          <w:tcPr>
            <w:tcW w:w="0" w:type="auto"/>
            <w:gridSpan w:val="3"/>
            <w:vAlign w:val="center"/>
            <w:hideMark/>
          </w:tcPr>
          <w:p w14:paraId="4D0BF205" w14:textId="77777777" w:rsidR="00000000" w:rsidRDefault="001D0688">
            <w:pPr>
              <w:rPr>
                <w:rFonts w:eastAsia="Times New Roman"/>
                <w:sz w:val="20"/>
                <w:szCs w:val="20"/>
              </w:rPr>
            </w:pPr>
          </w:p>
        </w:tc>
        <w:tc>
          <w:tcPr>
            <w:tcW w:w="0" w:type="auto"/>
            <w:gridSpan w:val="3"/>
            <w:vAlign w:val="center"/>
            <w:hideMark/>
          </w:tcPr>
          <w:p w14:paraId="5E5081B5" w14:textId="77777777" w:rsidR="00000000" w:rsidRDefault="001D0688">
            <w:pPr>
              <w:rPr>
                <w:rFonts w:eastAsia="Times New Roman"/>
                <w:sz w:val="20"/>
                <w:szCs w:val="20"/>
              </w:rPr>
            </w:pPr>
          </w:p>
        </w:tc>
        <w:tc>
          <w:tcPr>
            <w:tcW w:w="0" w:type="auto"/>
            <w:gridSpan w:val="3"/>
            <w:vAlign w:val="center"/>
            <w:hideMark/>
          </w:tcPr>
          <w:p w14:paraId="518CD911" w14:textId="77777777" w:rsidR="00000000" w:rsidRDefault="001D0688">
            <w:pPr>
              <w:rPr>
                <w:rFonts w:eastAsia="Times New Roman"/>
                <w:sz w:val="20"/>
                <w:szCs w:val="20"/>
              </w:rPr>
            </w:pPr>
          </w:p>
        </w:tc>
        <w:tc>
          <w:tcPr>
            <w:tcW w:w="0" w:type="auto"/>
            <w:gridSpan w:val="3"/>
            <w:vAlign w:val="center"/>
            <w:hideMark/>
          </w:tcPr>
          <w:p w14:paraId="237032A0" w14:textId="77777777" w:rsidR="00000000" w:rsidRDefault="001D0688">
            <w:pPr>
              <w:rPr>
                <w:rFonts w:eastAsia="Times New Roman"/>
                <w:sz w:val="20"/>
                <w:szCs w:val="20"/>
              </w:rPr>
            </w:pPr>
          </w:p>
        </w:tc>
        <w:tc>
          <w:tcPr>
            <w:tcW w:w="0" w:type="auto"/>
            <w:gridSpan w:val="3"/>
            <w:vAlign w:val="center"/>
            <w:hideMark/>
          </w:tcPr>
          <w:p w14:paraId="2252E89D" w14:textId="77777777" w:rsidR="00000000" w:rsidRDefault="001D0688">
            <w:pPr>
              <w:rPr>
                <w:rFonts w:eastAsia="Times New Roman"/>
                <w:sz w:val="20"/>
                <w:szCs w:val="20"/>
              </w:rPr>
            </w:pPr>
          </w:p>
        </w:tc>
        <w:tc>
          <w:tcPr>
            <w:tcW w:w="0" w:type="auto"/>
            <w:gridSpan w:val="3"/>
            <w:vAlign w:val="center"/>
            <w:hideMark/>
          </w:tcPr>
          <w:p w14:paraId="61B28342" w14:textId="77777777" w:rsidR="00000000" w:rsidRDefault="001D0688">
            <w:pPr>
              <w:rPr>
                <w:rFonts w:eastAsia="Times New Roman"/>
                <w:sz w:val="20"/>
                <w:szCs w:val="20"/>
              </w:rPr>
            </w:pPr>
          </w:p>
        </w:tc>
        <w:tc>
          <w:tcPr>
            <w:tcW w:w="0" w:type="auto"/>
            <w:gridSpan w:val="3"/>
            <w:vAlign w:val="center"/>
            <w:hideMark/>
          </w:tcPr>
          <w:p w14:paraId="18626BF9" w14:textId="77777777" w:rsidR="00000000" w:rsidRDefault="001D0688">
            <w:pPr>
              <w:rPr>
                <w:rFonts w:eastAsia="Times New Roman"/>
                <w:sz w:val="20"/>
                <w:szCs w:val="20"/>
              </w:rPr>
            </w:pPr>
          </w:p>
        </w:tc>
        <w:tc>
          <w:tcPr>
            <w:tcW w:w="0" w:type="auto"/>
            <w:gridSpan w:val="3"/>
            <w:vAlign w:val="center"/>
            <w:hideMark/>
          </w:tcPr>
          <w:p w14:paraId="12D4DFA4" w14:textId="77777777" w:rsidR="00000000" w:rsidRDefault="001D0688">
            <w:pPr>
              <w:rPr>
                <w:rFonts w:eastAsia="Times New Roman"/>
                <w:sz w:val="20"/>
                <w:szCs w:val="20"/>
              </w:rPr>
            </w:pPr>
          </w:p>
        </w:tc>
        <w:tc>
          <w:tcPr>
            <w:tcW w:w="0" w:type="auto"/>
            <w:gridSpan w:val="3"/>
            <w:vAlign w:val="center"/>
            <w:hideMark/>
          </w:tcPr>
          <w:p w14:paraId="0B944231" w14:textId="77777777" w:rsidR="00000000" w:rsidRDefault="001D0688">
            <w:pPr>
              <w:rPr>
                <w:rFonts w:eastAsia="Times New Roman"/>
                <w:sz w:val="20"/>
                <w:szCs w:val="20"/>
              </w:rPr>
            </w:pPr>
          </w:p>
        </w:tc>
        <w:tc>
          <w:tcPr>
            <w:tcW w:w="0" w:type="auto"/>
            <w:gridSpan w:val="3"/>
            <w:vAlign w:val="center"/>
            <w:hideMark/>
          </w:tcPr>
          <w:p w14:paraId="51BBFA56" w14:textId="77777777" w:rsidR="00000000" w:rsidRDefault="001D0688">
            <w:pPr>
              <w:rPr>
                <w:rFonts w:eastAsia="Times New Roman"/>
                <w:sz w:val="20"/>
                <w:szCs w:val="20"/>
              </w:rPr>
            </w:pPr>
          </w:p>
        </w:tc>
        <w:tc>
          <w:tcPr>
            <w:tcW w:w="0" w:type="auto"/>
            <w:gridSpan w:val="3"/>
            <w:vAlign w:val="center"/>
            <w:hideMark/>
          </w:tcPr>
          <w:p w14:paraId="337F9959" w14:textId="77777777" w:rsidR="00000000" w:rsidRDefault="001D0688">
            <w:pPr>
              <w:rPr>
                <w:rFonts w:eastAsia="Times New Roman"/>
                <w:sz w:val="20"/>
                <w:szCs w:val="20"/>
              </w:rPr>
            </w:pPr>
          </w:p>
        </w:tc>
      </w:tr>
      <w:tr w:rsidR="00000000" w14:paraId="224FFE44" w14:textId="77777777">
        <w:trPr>
          <w:divId w:val="506092607"/>
          <w:jc w:val="right"/>
        </w:trPr>
        <w:tc>
          <w:tcPr>
            <w:tcW w:w="0" w:type="auto"/>
            <w:gridSpan w:val="3"/>
            <w:vAlign w:val="center"/>
            <w:hideMark/>
          </w:tcPr>
          <w:p w14:paraId="1EF81063" w14:textId="77777777" w:rsidR="00000000" w:rsidRDefault="001D0688">
            <w:pPr>
              <w:rPr>
                <w:rFonts w:eastAsia="Times New Roman"/>
                <w:sz w:val="20"/>
                <w:szCs w:val="20"/>
              </w:rPr>
            </w:pPr>
          </w:p>
        </w:tc>
        <w:tc>
          <w:tcPr>
            <w:tcW w:w="0" w:type="auto"/>
            <w:gridSpan w:val="3"/>
            <w:vAlign w:val="center"/>
            <w:hideMark/>
          </w:tcPr>
          <w:p w14:paraId="2D995ACA" w14:textId="77777777" w:rsidR="00000000" w:rsidRDefault="001D0688">
            <w:pPr>
              <w:rPr>
                <w:rFonts w:eastAsia="Times New Roman"/>
                <w:sz w:val="20"/>
                <w:szCs w:val="20"/>
              </w:rPr>
            </w:pPr>
          </w:p>
        </w:tc>
        <w:tc>
          <w:tcPr>
            <w:tcW w:w="0" w:type="auto"/>
            <w:gridSpan w:val="3"/>
            <w:vAlign w:val="center"/>
            <w:hideMark/>
          </w:tcPr>
          <w:p w14:paraId="6F3CD364" w14:textId="77777777" w:rsidR="00000000" w:rsidRDefault="001D0688">
            <w:pPr>
              <w:rPr>
                <w:rFonts w:eastAsia="Times New Roman"/>
                <w:sz w:val="20"/>
                <w:szCs w:val="20"/>
              </w:rPr>
            </w:pPr>
          </w:p>
        </w:tc>
        <w:tc>
          <w:tcPr>
            <w:tcW w:w="0" w:type="auto"/>
            <w:gridSpan w:val="3"/>
            <w:vAlign w:val="center"/>
            <w:hideMark/>
          </w:tcPr>
          <w:p w14:paraId="0B86A5A2" w14:textId="77777777" w:rsidR="00000000" w:rsidRDefault="001D0688">
            <w:pPr>
              <w:rPr>
                <w:rFonts w:eastAsia="Times New Roman"/>
                <w:sz w:val="20"/>
                <w:szCs w:val="20"/>
              </w:rPr>
            </w:pPr>
          </w:p>
        </w:tc>
        <w:tc>
          <w:tcPr>
            <w:tcW w:w="0" w:type="auto"/>
            <w:gridSpan w:val="3"/>
            <w:vAlign w:val="center"/>
            <w:hideMark/>
          </w:tcPr>
          <w:p w14:paraId="478CE688" w14:textId="77777777" w:rsidR="00000000" w:rsidRDefault="001D0688">
            <w:pPr>
              <w:rPr>
                <w:rFonts w:eastAsia="Times New Roman"/>
                <w:sz w:val="20"/>
                <w:szCs w:val="20"/>
              </w:rPr>
            </w:pPr>
          </w:p>
        </w:tc>
        <w:tc>
          <w:tcPr>
            <w:tcW w:w="0" w:type="auto"/>
            <w:gridSpan w:val="3"/>
            <w:vAlign w:val="center"/>
            <w:hideMark/>
          </w:tcPr>
          <w:p w14:paraId="0374CF78" w14:textId="77777777" w:rsidR="00000000" w:rsidRDefault="001D0688">
            <w:pPr>
              <w:rPr>
                <w:rFonts w:eastAsia="Times New Roman"/>
                <w:sz w:val="20"/>
                <w:szCs w:val="20"/>
              </w:rPr>
            </w:pPr>
          </w:p>
        </w:tc>
        <w:tc>
          <w:tcPr>
            <w:tcW w:w="0" w:type="auto"/>
            <w:gridSpan w:val="3"/>
            <w:vAlign w:val="center"/>
            <w:hideMark/>
          </w:tcPr>
          <w:p w14:paraId="3347DCD3" w14:textId="77777777" w:rsidR="00000000" w:rsidRDefault="001D0688">
            <w:pPr>
              <w:rPr>
                <w:rFonts w:eastAsia="Times New Roman"/>
                <w:sz w:val="20"/>
                <w:szCs w:val="20"/>
              </w:rPr>
            </w:pPr>
          </w:p>
        </w:tc>
        <w:tc>
          <w:tcPr>
            <w:tcW w:w="0" w:type="auto"/>
            <w:gridSpan w:val="3"/>
            <w:vAlign w:val="center"/>
            <w:hideMark/>
          </w:tcPr>
          <w:p w14:paraId="66EF6743" w14:textId="77777777" w:rsidR="00000000" w:rsidRDefault="001D0688">
            <w:pPr>
              <w:rPr>
                <w:rFonts w:eastAsia="Times New Roman"/>
                <w:sz w:val="20"/>
                <w:szCs w:val="20"/>
              </w:rPr>
            </w:pPr>
          </w:p>
        </w:tc>
        <w:tc>
          <w:tcPr>
            <w:tcW w:w="0" w:type="auto"/>
            <w:gridSpan w:val="3"/>
            <w:vAlign w:val="center"/>
            <w:hideMark/>
          </w:tcPr>
          <w:p w14:paraId="095962AA" w14:textId="77777777" w:rsidR="00000000" w:rsidRDefault="001D0688">
            <w:pPr>
              <w:rPr>
                <w:rFonts w:eastAsia="Times New Roman"/>
                <w:sz w:val="20"/>
                <w:szCs w:val="20"/>
              </w:rPr>
            </w:pPr>
          </w:p>
        </w:tc>
        <w:tc>
          <w:tcPr>
            <w:tcW w:w="0" w:type="auto"/>
            <w:gridSpan w:val="3"/>
            <w:vAlign w:val="center"/>
            <w:hideMark/>
          </w:tcPr>
          <w:p w14:paraId="452AC7C2" w14:textId="77777777" w:rsidR="00000000" w:rsidRDefault="001D0688">
            <w:pPr>
              <w:rPr>
                <w:rFonts w:eastAsia="Times New Roman"/>
                <w:sz w:val="20"/>
                <w:szCs w:val="20"/>
              </w:rPr>
            </w:pPr>
          </w:p>
        </w:tc>
        <w:tc>
          <w:tcPr>
            <w:tcW w:w="0" w:type="auto"/>
            <w:gridSpan w:val="3"/>
            <w:vAlign w:val="center"/>
            <w:hideMark/>
          </w:tcPr>
          <w:p w14:paraId="153E3991" w14:textId="77777777" w:rsidR="00000000" w:rsidRDefault="001D0688">
            <w:pPr>
              <w:rPr>
                <w:rFonts w:eastAsia="Times New Roman"/>
                <w:sz w:val="20"/>
                <w:szCs w:val="20"/>
              </w:rPr>
            </w:pPr>
          </w:p>
        </w:tc>
        <w:tc>
          <w:tcPr>
            <w:tcW w:w="0" w:type="auto"/>
            <w:gridSpan w:val="3"/>
            <w:vAlign w:val="center"/>
            <w:hideMark/>
          </w:tcPr>
          <w:p w14:paraId="0F332C39" w14:textId="77777777" w:rsidR="00000000" w:rsidRDefault="001D0688">
            <w:pPr>
              <w:rPr>
                <w:rFonts w:eastAsia="Times New Roman"/>
                <w:sz w:val="20"/>
                <w:szCs w:val="20"/>
              </w:rPr>
            </w:pPr>
          </w:p>
        </w:tc>
        <w:tc>
          <w:tcPr>
            <w:tcW w:w="0" w:type="auto"/>
            <w:gridSpan w:val="3"/>
            <w:vAlign w:val="center"/>
            <w:hideMark/>
          </w:tcPr>
          <w:p w14:paraId="39343131" w14:textId="77777777" w:rsidR="00000000" w:rsidRDefault="001D0688">
            <w:pPr>
              <w:rPr>
                <w:rFonts w:eastAsia="Times New Roman"/>
                <w:sz w:val="20"/>
                <w:szCs w:val="20"/>
              </w:rPr>
            </w:pPr>
          </w:p>
        </w:tc>
      </w:tr>
      <w:tr w:rsidR="00000000" w14:paraId="0CF9BE5F" w14:textId="77777777">
        <w:trPr>
          <w:divId w:val="506092607"/>
          <w:jc w:val="right"/>
        </w:trPr>
        <w:tc>
          <w:tcPr>
            <w:tcW w:w="0" w:type="auto"/>
            <w:gridSpan w:val="3"/>
            <w:vAlign w:val="center"/>
            <w:hideMark/>
          </w:tcPr>
          <w:p w14:paraId="71DA4BE5" w14:textId="77777777" w:rsidR="00000000" w:rsidRDefault="001D0688">
            <w:pPr>
              <w:rPr>
                <w:rFonts w:eastAsia="Times New Roman"/>
                <w:sz w:val="20"/>
                <w:szCs w:val="20"/>
              </w:rPr>
            </w:pPr>
          </w:p>
        </w:tc>
        <w:tc>
          <w:tcPr>
            <w:tcW w:w="0" w:type="auto"/>
            <w:gridSpan w:val="3"/>
            <w:vAlign w:val="center"/>
            <w:hideMark/>
          </w:tcPr>
          <w:p w14:paraId="5E9E7E2F" w14:textId="77777777" w:rsidR="00000000" w:rsidRDefault="001D0688">
            <w:pPr>
              <w:rPr>
                <w:rFonts w:eastAsia="Times New Roman"/>
                <w:sz w:val="20"/>
                <w:szCs w:val="20"/>
              </w:rPr>
            </w:pPr>
          </w:p>
        </w:tc>
        <w:tc>
          <w:tcPr>
            <w:tcW w:w="0" w:type="auto"/>
            <w:gridSpan w:val="3"/>
            <w:vAlign w:val="center"/>
            <w:hideMark/>
          </w:tcPr>
          <w:p w14:paraId="015BC3CB" w14:textId="77777777" w:rsidR="00000000" w:rsidRDefault="001D0688">
            <w:pPr>
              <w:rPr>
                <w:rFonts w:eastAsia="Times New Roman"/>
                <w:sz w:val="20"/>
                <w:szCs w:val="20"/>
              </w:rPr>
            </w:pPr>
          </w:p>
        </w:tc>
        <w:tc>
          <w:tcPr>
            <w:tcW w:w="0" w:type="auto"/>
            <w:gridSpan w:val="3"/>
            <w:vAlign w:val="center"/>
            <w:hideMark/>
          </w:tcPr>
          <w:p w14:paraId="3872F9BF" w14:textId="77777777" w:rsidR="00000000" w:rsidRDefault="001D0688">
            <w:pPr>
              <w:rPr>
                <w:rFonts w:eastAsia="Times New Roman"/>
                <w:sz w:val="20"/>
                <w:szCs w:val="20"/>
              </w:rPr>
            </w:pPr>
          </w:p>
        </w:tc>
        <w:tc>
          <w:tcPr>
            <w:tcW w:w="0" w:type="auto"/>
            <w:gridSpan w:val="3"/>
            <w:vAlign w:val="center"/>
            <w:hideMark/>
          </w:tcPr>
          <w:p w14:paraId="2DE3D44E" w14:textId="77777777" w:rsidR="00000000" w:rsidRDefault="001D0688">
            <w:pPr>
              <w:rPr>
                <w:rFonts w:eastAsia="Times New Roman"/>
                <w:sz w:val="20"/>
                <w:szCs w:val="20"/>
              </w:rPr>
            </w:pPr>
          </w:p>
        </w:tc>
        <w:tc>
          <w:tcPr>
            <w:tcW w:w="0" w:type="auto"/>
            <w:gridSpan w:val="3"/>
            <w:vAlign w:val="center"/>
            <w:hideMark/>
          </w:tcPr>
          <w:p w14:paraId="185470F5" w14:textId="77777777" w:rsidR="00000000" w:rsidRDefault="001D0688">
            <w:pPr>
              <w:rPr>
                <w:rFonts w:eastAsia="Times New Roman"/>
                <w:sz w:val="20"/>
                <w:szCs w:val="20"/>
              </w:rPr>
            </w:pPr>
          </w:p>
        </w:tc>
        <w:tc>
          <w:tcPr>
            <w:tcW w:w="0" w:type="auto"/>
            <w:gridSpan w:val="3"/>
            <w:vAlign w:val="center"/>
            <w:hideMark/>
          </w:tcPr>
          <w:p w14:paraId="7A7E1874" w14:textId="77777777" w:rsidR="00000000" w:rsidRDefault="001D0688">
            <w:pPr>
              <w:rPr>
                <w:rFonts w:eastAsia="Times New Roman"/>
                <w:sz w:val="20"/>
                <w:szCs w:val="20"/>
              </w:rPr>
            </w:pPr>
          </w:p>
        </w:tc>
        <w:tc>
          <w:tcPr>
            <w:tcW w:w="0" w:type="auto"/>
            <w:gridSpan w:val="3"/>
            <w:vAlign w:val="center"/>
            <w:hideMark/>
          </w:tcPr>
          <w:p w14:paraId="527D15D9" w14:textId="77777777" w:rsidR="00000000" w:rsidRDefault="001D0688">
            <w:pPr>
              <w:rPr>
                <w:rFonts w:eastAsia="Times New Roman"/>
                <w:sz w:val="20"/>
                <w:szCs w:val="20"/>
              </w:rPr>
            </w:pPr>
          </w:p>
        </w:tc>
        <w:tc>
          <w:tcPr>
            <w:tcW w:w="0" w:type="auto"/>
            <w:gridSpan w:val="3"/>
            <w:vAlign w:val="center"/>
            <w:hideMark/>
          </w:tcPr>
          <w:p w14:paraId="23BBFB7A" w14:textId="77777777" w:rsidR="00000000" w:rsidRDefault="001D0688">
            <w:pPr>
              <w:rPr>
                <w:rFonts w:eastAsia="Times New Roman"/>
                <w:sz w:val="20"/>
                <w:szCs w:val="20"/>
              </w:rPr>
            </w:pPr>
          </w:p>
        </w:tc>
        <w:tc>
          <w:tcPr>
            <w:tcW w:w="0" w:type="auto"/>
            <w:gridSpan w:val="3"/>
            <w:vAlign w:val="center"/>
            <w:hideMark/>
          </w:tcPr>
          <w:p w14:paraId="7DAB4265" w14:textId="77777777" w:rsidR="00000000" w:rsidRDefault="001D0688">
            <w:pPr>
              <w:rPr>
                <w:rFonts w:eastAsia="Times New Roman"/>
                <w:sz w:val="20"/>
                <w:szCs w:val="20"/>
              </w:rPr>
            </w:pPr>
          </w:p>
        </w:tc>
        <w:tc>
          <w:tcPr>
            <w:tcW w:w="0" w:type="auto"/>
            <w:gridSpan w:val="3"/>
            <w:vAlign w:val="center"/>
            <w:hideMark/>
          </w:tcPr>
          <w:p w14:paraId="2E1F1D0C" w14:textId="77777777" w:rsidR="00000000" w:rsidRDefault="001D0688">
            <w:pPr>
              <w:rPr>
                <w:rFonts w:eastAsia="Times New Roman"/>
                <w:sz w:val="20"/>
                <w:szCs w:val="20"/>
              </w:rPr>
            </w:pPr>
          </w:p>
        </w:tc>
        <w:tc>
          <w:tcPr>
            <w:tcW w:w="0" w:type="auto"/>
            <w:gridSpan w:val="3"/>
            <w:vAlign w:val="center"/>
            <w:hideMark/>
          </w:tcPr>
          <w:p w14:paraId="7AAA0EAD" w14:textId="77777777" w:rsidR="00000000" w:rsidRDefault="001D0688">
            <w:pPr>
              <w:rPr>
                <w:rFonts w:eastAsia="Times New Roman"/>
                <w:sz w:val="20"/>
                <w:szCs w:val="20"/>
              </w:rPr>
            </w:pPr>
          </w:p>
        </w:tc>
        <w:tc>
          <w:tcPr>
            <w:tcW w:w="0" w:type="auto"/>
            <w:gridSpan w:val="3"/>
            <w:vAlign w:val="center"/>
            <w:hideMark/>
          </w:tcPr>
          <w:p w14:paraId="69020153" w14:textId="77777777" w:rsidR="00000000" w:rsidRDefault="001D0688">
            <w:pPr>
              <w:rPr>
                <w:rFonts w:eastAsia="Times New Roman"/>
                <w:sz w:val="20"/>
                <w:szCs w:val="20"/>
              </w:rPr>
            </w:pPr>
          </w:p>
        </w:tc>
      </w:tr>
      <w:tr w:rsidR="00000000" w14:paraId="4D7C2650" w14:textId="77777777">
        <w:trPr>
          <w:divId w:val="506092607"/>
          <w:jc w:val="right"/>
        </w:trPr>
        <w:tc>
          <w:tcPr>
            <w:tcW w:w="0" w:type="auto"/>
            <w:gridSpan w:val="3"/>
            <w:vAlign w:val="center"/>
            <w:hideMark/>
          </w:tcPr>
          <w:p w14:paraId="64090798" w14:textId="77777777" w:rsidR="00000000" w:rsidRDefault="001D0688">
            <w:pPr>
              <w:rPr>
                <w:rFonts w:eastAsia="Times New Roman"/>
                <w:sz w:val="20"/>
                <w:szCs w:val="20"/>
              </w:rPr>
            </w:pPr>
          </w:p>
        </w:tc>
        <w:tc>
          <w:tcPr>
            <w:tcW w:w="0" w:type="auto"/>
            <w:gridSpan w:val="3"/>
            <w:vAlign w:val="center"/>
            <w:hideMark/>
          </w:tcPr>
          <w:p w14:paraId="49753E31" w14:textId="77777777" w:rsidR="00000000" w:rsidRDefault="001D0688">
            <w:pPr>
              <w:rPr>
                <w:rFonts w:eastAsia="Times New Roman"/>
                <w:sz w:val="20"/>
                <w:szCs w:val="20"/>
              </w:rPr>
            </w:pPr>
          </w:p>
        </w:tc>
        <w:tc>
          <w:tcPr>
            <w:tcW w:w="0" w:type="auto"/>
            <w:gridSpan w:val="3"/>
            <w:vAlign w:val="center"/>
            <w:hideMark/>
          </w:tcPr>
          <w:p w14:paraId="31DFADD3" w14:textId="77777777" w:rsidR="00000000" w:rsidRDefault="001D0688">
            <w:pPr>
              <w:rPr>
                <w:rFonts w:eastAsia="Times New Roman"/>
                <w:sz w:val="20"/>
                <w:szCs w:val="20"/>
              </w:rPr>
            </w:pPr>
          </w:p>
        </w:tc>
        <w:tc>
          <w:tcPr>
            <w:tcW w:w="0" w:type="auto"/>
            <w:gridSpan w:val="3"/>
            <w:vAlign w:val="center"/>
            <w:hideMark/>
          </w:tcPr>
          <w:p w14:paraId="6D1C5130" w14:textId="77777777" w:rsidR="00000000" w:rsidRDefault="001D0688">
            <w:pPr>
              <w:rPr>
                <w:rFonts w:eastAsia="Times New Roman"/>
                <w:sz w:val="20"/>
                <w:szCs w:val="20"/>
              </w:rPr>
            </w:pPr>
          </w:p>
        </w:tc>
        <w:tc>
          <w:tcPr>
            <w:tcW w:w="0" w:type="auto"/>
            <w:gridSpan w:val="3"/>
            <w:vAlign w:val="center"/>
            <w:hideMark/>
          </w:tcPr>
          <w:p w14:paraId="7263A0F6" w14:textId="77777777" w:rsidR="00000000" w:rsidRDefault="001D0688">
            <w:pPr>
              <w:rPr>
                <w:rFonts w:eastAsia="Times New Roman"/>
                <w:sz w:val="20"/>
                <w:szCs w:val="20"/>
              </w:rPr>
            </w:pPr>
          </w:p>
        </w:tc>
        <w:tc>
          <w:tcPr>
            <w:tcW w:w="0" w:type="auto"/>
            <w:gridSpan w:val="3"/>
            <w:vAlign w:val="center"/>
            <w:hideMark/>
          </w:tcPr>
          <w:p w14:paraId="7322E763" w14:textId="77777777" w:rsidR="00000000" w:rsidRDefault="001D0688">
            <w:pPr>
              <w:rPr>
                <w:rFonts w:eastAsia="Times New Roman"/>
                <w:sz w:val="20"/>
                <w:szCs w:val="20"/>
              </w:rPr>
            </w:pPr>
          </w:p>
        </w:tc>
        <w:tc>
          <w:tcPr>
            <w:tcW w:w="0" w:type="auto"/>
            <w:gridSpan w:val="3"/>
            <w:vAlign w:val="center"/>
            <w:hideMark/>
          </w:tcPr>
          <w:p w14:paraId="1D13C212" w14:textId="77777777" w:rsidR="00000000" w:rsidRDefault="001D0688">
            <w:pPr>
              <w:rPr>
                <w:rFonts w:eastAsia="Times New Roman"/>
                <w:sz w:val="20"/>
                <w:szCs w:val="20"/>
              </w:rPr>
            </w:pPr>
          </w:p>
        </w:tc>
        <w:tc>
          <w:tcPr>
            <w:tcW w:w="0" w:type="auto"/>
            <w:gridSpan w:val="3"/>
            <w:vAlign w:val="center"/>
            <w:hideMark/>
          </w:tcPr>
          <w:p w14:paraId="1A08DED2" w14:textId="77777777" w:rsidR="00000000" w:rsidRDefault="001D0688">
            <w:pPr>
              <w:rPr>
                <w:rFonts w:eastAsia="Times New Roman"/>
                <w:sz w:val="20"/>
                <w:szCs w:val="20"/>
              </w:rPr>
            </w:pPr>
          </w:p>
        </w:tc>
        <w:tc>
          <w:tcPr>
            <w:tcW w:w="0" w:type="auto"/>
            <w:gridSpan w:val="3"/>
            <w:vAlign w:val="center"/>
            <w:hideMark/>
          </w:tcPr>
          <w:p w14:paraId="6158CD31" w14:textId="77777777" w:rsidR="00000000" w:rsidRDefault="001D0688">
            <w:pPr>
              <w:rPr>
                <w:rFonts w:eastAsia="Times New Roman"/>
                <w:sz w:val="20"/>
                <w:szCs w:val="20"/>
              </w:rPr>
            </w:pPr>
          </w:p>
        </w:tc>
        <w:tc>
          <w:tcPr>
            <w:tcW w:w="0" w:type="auto"/>
            <w:gridSpan w:val="3"/>
            <w:vAlign w:val="center"/>
            <w:hideMark/>
          </w:tcPr>
          <w:p w14:paraId="26C4C5C4" w14:textId="77777777" w:rsidR="00000000" w:rsidRDefault="001D0688">
            <w:pPr>
              <w:rPr>
                <w:rFonts w:eastAsia="Times New Roman"/>
                <w:sz w:val="20"/>
                <w:szCs w:val="20"/>
              </w:rPr>
            </w:pPr>
          </w:p>
        </w:tc>
        <w:tc>
          <w:tcPr>
            <w:tcW w:w="0" w:type="auto"/>
            <w:gridSpan w:val="3"/>
            <w:vAlign w:val="center"/>
            <w:hideMark/>
          </w:tcPr>
          <w:p w14:paraId="65E3B86F" w14:textId="77777777" w:rsidR="00000000" w:rsidRDefault="001D0688">
            <w:pPr>
              <w:rPr>
                <w:rFonts w:eastAsia="Times New Roman"/>
                <w:sz w:val="20"/>
                <w:szCs w:val="20"/>
              </w:rPr>
            </w:pPr>
          </w:p>
        </w:tc>
        <w:tc>
          <w:tcPr>
            <w:tcW w:w="0" w:type="auto"/>
            <w:gridSpan w:val="3"/>
            <w:vAlign w:val="center"/>
            <w:hideMark/>
          </w:tcPr>
          <w:p w14:paraId="6C27580F" w14:textId="77777777" w:rsidR="00000000" w:rsidRDefault="001D0688">
            <w:pPr>
              <w:rPr>
                <w:rFonts w:eastAsia="Times New Roman"/>
                <w:sz w:val="20"/>
                <w:szCs w:val="20"/>
              </w:rPr>
            </w:pPr>
          </w:p>
        </w:tc>
        <w:tc>
          <w:tcPr>
            <w:tcW w:w="0" w:type="auto"/>
            <w:gridSpan w:val="3"/>
            <w:vAlign w:val="center"/>
            <w:hideMark/>
          </w:tcPr>
          <w:p w14:paraId="3C6A1A35" w14:textId="77777777" w:rsidR="00000000" w:rsidRDefault="001D0688">
            <w:pPr>
              <w:rPr>
                <w:rFonts w:eastAsia="Times New Roman"/>
                <w:sz w:val="20"/>
                <w:szCs w:val="20"/>
              </w:rPr>
            </w:pPr>
          </w:p>
        </w:tc>
      </w:tr>
      <w:tr w:rsidR="00000000" w14:paraId="6BC7EFAA" w14:textId="77777777">
        <w:trPr>
          <w:divId w:val="506092607"/>
          <w:jc w:val="right"/>
        </w:trPr>
        <w:tc>
          <w:tcPr>
            <w:tcW w:w="0" w:type="auto"/>
            <w:gridSpan w:val="3"/>
            <w:vAlign w:val="center"/>
            <w:hideMark/>
          </w:tcPr>
          <w:p w14:paraId="2ED6BAB5" w14:textId="77777777" w:rsidR="00000000" w:rsidRDefault="001D0688">
            <w:pPr>
              <w:rPr>
                <w:rFonts w:eastAsia="Times New Roman"/>
                <w:sz w:val="20"/>
                <w:szCs w:val="20"/>
              </w:rPr>
            </w:pPr>
          </w:p>
        </w:tc>
        <w:tc>
          <w:tcPr>
            <w:tcW w:w="0" w:type="auto"/>
            <w:gridSpan w:val="3"/>
            <w:vAlign w:val="center"/>
            <w:hideMark/>
          </w:tcPr>
          <w:p w14:paraId="7EC57DF4" w14:textId="77777777" w:rsidR="00000000" w:rsidRDefault="001D0688">
            <w:pPr>
              <w:rPr>
                <w:rFonts w:eastAsia="Times New Roman"/>
                <w:sz w:val="20"/>
                <w:szCs w:val="20"/>
              </w:rPr>
            </w:pPr>
          </w:p>
        </w:tc>
        <w:tc>
          <w:tcPr>
            <w:tcW w:w="0" w:type="auto"/>
            <w:gridSpan w:val="3"/>
            <w:vAlign w:val="center"/>
            <w:hideMark/>
          </w:tcPr>
          <w:p w14:paraId="797DEF6D" w14:textId="77777777" w:rsidR="00000000" w:rsidRDefault="001D0688">
            <w:pPr>
              <w:rPr>
                <w:rFonts w:eastAsia="Times New Roman"/>
                <w:sz w:val="20"/>
                <w:szCs w:val="20"/>
              </w:rPr>
            </w:pPr>
          </w:p>
        </w:tc>
        <w:tc>
          <w:tcPr>
            <w:tcW w:w="0" w:type="auto"/>
            <w:gridSpan w:val="3"/>
            <w:vAlign w:val="center"/>
            <w:hideMark/>
          </w:tcPr>
          <w:p w14:paraId="6F57171D" w14:textId="77777777" w:rsidR="00000000" w:rsidRDefault="001D0688">
            <w:pPr>
              <w:rPr>
                <w:rFonts w:eastAsia="Times New Roman"/>
                <w:sz w:val="20"/>
                <w:szCs w:val="20"/>
              </w:rPr>
            </w:pPr>
          </w:p>
        </w:tc>
        <w:tc>
          <w:tcPr>
            <w:tcW w:w="0" w:type="auto"/>
            <w:gridSpan w:val="3"/>
            <w:vAlign w:val="center"/>
            <w:hideMark/>
          </w:tcPr>
          <w:p w14:paraId="7B1EB0BD" w14:textId="77777777" w:rsidR="00000000" w:rsidRDefault="001D0688">
            <w:pPr>
              <w:rPr>
                <w:rFonts w:eastAsia="Times New Roman"/>
                <w:sz w:val="20"/>
                <w:szCs w:val="20"/>
              </w:rPr>
            </w:pPr>
          </w:p>
        </w:tc>
        <w:tc>
          <w:tcPr>
            <w:tcW w:w="0" w:type="auto"/>
            <w:gridSpan w:val="3"/>
            <w:vAlign w:val="center"/>
            <w:hideMark/>
          </w:tcPr>
          <w:p w14:paraId="636F3094" w14:textId="77777777" w:rsidR="00000000" w:rsidRDefault="001D0688">
            <w:pPr>
              <w:rPr>
                <w:rFonts w:eastAsia="Times New Roman"/>
                <w:sz w:val="20"/>
                <w:szCs w:val="20"/>
              </w:rPr>
            </w:pPr>
          </w:p>
        </w:tc>
        <w:tc>
          <w:tcPr>
            <w:tcW w:w="0" w:type="auto"/>
            <w:gridSpan w:val="3"/>
            <w:vAlign w:val="center"/>
            <w:hideMark/>
          </w:tcPr>
          <w:p w14:paraId="3BA78997" w14:textId="77777777" w:rsidR="00000000" w:rsidRDefault="001D0688">
            <w:pPr>
              <w:rPr>
                <w:rFonts w:eastAsia="Times New Roman"/>
                <w:sz w:val="20"/>
                <w:szCs w:val="20"/>
              </w:rPr>
            </w:pPr>
          </w:p>
        </w:tc>
        <w:tc>
          <w:tcPr>
            <w:tcW w:w="0" w:type="auto"/>
            <w:gridSpan w:val="3"/>
            <w:vAlign w:val="center"/>
            <w:hideMark/>
          </w:tcPr>
          <w:p w14:paraId="255627F2" w14:textId="77777777" w:rsidR="00000000" w:rsidRDefault="001D0688">
            <w:pPr>
              <w:rPr>
                <w:rFonts w:eastAsia="Times New Roman"/>
                <w:sz w:val="20"/>
                <w:szCs w:val="20"/>
              </w:rPr>
            </w:pPr>
          </w:p>
        </w:tc>
        <w:tc>
          <w:tcPr>
            <w:tcW w:w="0" w:type="auto"/>
            <w:gridSpan w:val="3"/>
            <w:vAlign w:val="center"/>
            <w:hideMark/>
          </w:tcPr>
          <w:p w14:paraId="75472A54" w14:textId="77777777" w:rsidR="00000000" w:rsidRDefault="001D0688">
            <w:pPr>
              <w:rPr>
                <w:rFonts w:eastAsia="Times New Roman"/>
                <w:sz w:val="20"/>
                <w:szCs w:val="20"/>
              </w:rPr>
            </w:pPr>
          </w:p>
        </w:tc>
        <w:tc>
          <w:tcPr>
            <w:tcW w:w="0" w:type="auto"/>
            <w:gridSpan w:val="3"/>
            <w:vAlign w:val="center"/>
            <w:hideMark/>
          </w:tcPr>
          <w:p w14:paraId="462FDA4B" w14:textId="77777777" w:rsidR="00000000" w:rsidRDefault="001D0688">
            <w:pPr>
              <w:rPr>
                <w:rFonts w:eastAsia="Times New Roman"/>
                <w:sz w:val="20"/>
                <w:szCs w:val="20"/>
              </w:rPr>
            </w:pPr>
          </w:p>
        </w:tc>
        <w:tc>
          <w:tcPr>
            <w:tcW w:w="0" w:type="auto"/>
            <w:gridSpan w:val="3"/>
            <w:vAlign w:val="center"/>
            <w:hideMark/>
          </w:tcPr>
          <w:p w14:paraId="34D639CD" w14:textId="77777777" w:rsidR="00000000" w:rsidRDefault="001D0688">
            <w:pPr>
              <w:rPr>
                <w:rFonts w:eastAsia="Times New Roman"/>
                <w:sz w:val="20"/>
                <w:szCs w:val="20"/>
              </w:rPr>
            </w:pPr>
          </w:p>
        </w:tc>
        <w:tc>
          <w:tcPr>
            <w:tcW w:w="0" w:type="auto"/>
            <w:gridSpan w:val="3"/>
            <w:vAlign w:val="center"/>
            <w:hideMark/>
          </w:tcPr>
          <w:p w14:paraId="19743D0D" w14:textId="77777777" w:rsidR="00000000" w:rsidRDefault="001D0688">
            <w:pPr>
              <w:rPr>
                <w:rFonts w:eastAsia="Times New Roman"/>
                <w:sz w:val="20"/>
                <w:szCs w:val="20"/>
              </w:rPr>
            </w:pPr>
          </w:p>
        </w:tc>
        <w:tc>
          <w:tcPr>
            <w:tcW w:w="0" w:type="auto"/>
            <w:gridSpan w:val="3"/>
            <w:vAlign w:val="center"/>
            <w:hideMark/>
          </w:tcPr>
          <w:p w14:paraId="1B56CB74" w14:textId="77777777" w:rsidR="00000000" w:rsidRDefault="001D0688">
            <w:pPr>
              <w:rPr>
                <w:rFonts w:eastAsia="Times New Roman"/>
                <w:sz w:val="20"/>
                <w:szCs w:val="20"/>
              </w:rPr>
            </w:pPr>
          </w:p>
        </w:tc>
      </w:tr>
      <w:tr w:rsidR="00000000" w14:paraId="620735C8" w14:textId="77777777">
        <w:trPr>
          <w:divId w:val="506092607"/>
          <w:jc w:val="right"/>
        </w:trPr>
        <w:tc>
          <w:tcPr>
            <w:tcW w:w="0" w:type="auto"/>
            <w:gridSpan w:val="3"/>
            <w:shd w:val="clear" w:color="auto" w:fill="DCE2EF"/>
            <w:tcMar>
              <w:top w:w="30" w:type="dxa"/>
              <w:left w:w="20" w:type="dxa"/>
              <w:bottom w:w="30" w:type="dxa"/>
              <w:right w:w="20" w:type="dxa"/>
            </w:tcMar>
            <w:vAlign w:val="bottom"/>
            <w:hideMark/>
          </w:tcPr>
          <w:p w14:paraId="70423462" w14:textId="77777777" w:rsidR="00000000" w:rsidRDefault="001D0688">
            <w:pPr>
              <w:rPr>
                <w:rFonts w:eastAsia="Times New Roman"/>
              </w:rPr>
            </w:pPr>
            <w:r>
              <w:rPr>
                <w:rFonts w:ascii="Arial" w:eastAsia="Times New Roman" w:hAnsi="Arial" w:cs="Arial"/>
                <w:b/>
                <w:bCs/>
                <w:color w:val="000000"/>
                <w:sz w:val="18"/>
                <w:szCs w:val="18"/>
              </w:rPr>
              <w:t>Balance, October 31, 2017</w:t>
            </w:r>
          </w:p>
        </w:tc>
        <w:tc>
          <w:tcPr>
            <w:tcW w:w="0" w:type="auto"/>
            <w:gridSpan w:val="3"/>
            <w:shd w:val="clear" w:color="auto" w:fill="DCE2EF"/>
            <w:tcMar>
              <w:top w:w="0" w:type="dxa"/>
              <w:left w:w="20" w:type="dxa"/>
              <w:bottom w:w="0" w:type="dxa"/>
              <w:right w:w="20" w:type="dxa"/>
            </w:tcMar>
            <w:vAlign w:val="center"/>
            <w:hideMark/>
          </w:tcPr>
          <w:p w14:paraId="36E07589"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C09CBD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EDD73A8" w14:textId="77777777" w:rsidR="00000000" w:rsidRDefault="001D0688">
            <w:pPr>
              <w:jc w:val="right"/>
              <w:rPr>
                <w:rFonts w:eastAsia="Times New Roman"/>
              </w:rPr>
            </w:pPr>
            <w:r>
              <w:rPr>
                <w:rFonts w:ascii="Arial" w:eastAsia="Times New Roman" w:hAnsi="Arial" w:cs="Arial"/>
                <w:color w:val="000000"/>
                <w:sz w:val="18"/>
                <w:szCs w:val="18"/>
              </w:rPr>
              <w:t>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0AAE69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5D4B16"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11633C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BCC45C2" w14:textId="77777777" w:rsidR="00000000" w:rsidRDefault="001D0688">
            <w:pPr>
              <w:jc w:val="right"/>
              <w:rPr>
                <w:rFonts w:eastAsia="Times New Roman"/>
              </w:rPr>
            </w:pPr>
            <w:r>
              <w:rPr>
                <w:rFonts w:ascii="Arial" w:eastAsia="Times New Roman" w:hAnsi="Arial" w:cs="Arial"/>
                <w:color w:val="000000"/>
                <w:sz w:val="18"/>
                <w:szCs w:val="18"/>
              </w:rPr>
              <w:t>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69D0AB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B1671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DCD08A5"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DD15E43" w14:textId="77777777" w:rsidR="00000000" w:rsidRDefault="001D0688">
            <w:pPr>
              <w:jc w:val="right"/>
              <w:rPr>
                <w:rFonts w:eastAsia="Times New Roman"/>
              </w:rPr>
            </w:pPr>
            <w:r>
              <w:rPr>
                <w:rFonts w:ascii="Arial" w:eastAsia="Times New Roman" w:hAnsi="Arial" w:cs="Arial"/>
                <w:color w:val="000000"/>
                <w:sz w:val="18"/>
                <w:szCs w:val="18"/>
              </w:rPr>
              <w:t>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19EC4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8A6BF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65D769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A9C5D99" w14:textId="77777777" w:rsidR="00000000" w:rsidRDefault="001D0688">
            <w:pPr>
              <w:jc w:val="right"/>
              <w:rPr>
                <w:rFonts w:eastAsia="Times New Roman"/>
              </w:rPr>
            </w:pPr>
            <w:r>
              <w:rPr>
                <w:rFonts w:ascii="Arial" w:eastAsia="Times New Roman" w:hAnsi="Arial" w:cs="Arial"/>
                <w:color w:val="000000"/>
                <w:sz w:val="18"/>
                <w:szCs w:val="18"/>
              </w:rPr>
              <w:t>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BBF7F7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8AAE2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F47326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9649FE3"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456897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E4E82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6AA3FE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61B1A4" w14:textId="77777777" w:rsidR="00000000" w:rsidRDefault="001D0688">
            <w:pPr>
              <w:jc w:val="right"/>
              <w:rPr>
                <w:rFonts w:eastAsia="Times New Roman"/>
              </w:rPr>
            </w:pPr>
            <w:r>
              <w:rPr>
                <w:rFonts w:ascii="Arial" w:eastAsia="Times New Roman" w:hAnsi="Arial" w:cs="Arial"/>
                <w:color w:val="000000"/>
                <w:sz w:val="18"/>
                <w:szCs w:val="18"/>
              </w:rPr>
              <w:t>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E8DA30" w14:textId="77777777" w:rsidR="00000000" w:rsidRDefault="001D0688">
            <w:pPr>
              <w:jc w:val="right"/>
              <w:rPr>
                <w:rFonts w:eastAsia="Times New Roman"/>
              </w:rPr>
            </w:pPr>
          </w:p>
        </w:tc>
      </w:tr>
      <w:tr w:rsidR="00000000" w14:paraId="4DA44422" w14:textId="77777777">
        <w:trPr>
          <w:divId w:val="506092607"/>
          <w:jc w:val="right"/>
        </w:trPr>
        <w:tc>
          <w:tcPr>
            <w:tcW w:w="0" w:type="auto"/>
            <w:gridSpan w:val="3"/>
            <w:shd w:val="clear" w:color="auto" w:fill="FFFFFF"/>
            <w:tcMar>
              <w:top w:w="30" w:type="dxa"/>
              <w:left w:w="20" w:type="dxa"/>
              <w:bottom w:w="30" w:type="dxa"/>
              <w:right w:w="20" w:type="dxa"/>
            </w:tcMar>
            <w:vAlign w:val="bottom"/>
            <w:hideMark/>
          </w:tcPr>
          <w:p w14:paraId="49A72B66" w14:textId="77777777" w:rsidR="00000000" w:rsidRDefault="001D0688">
            <w:pPr>
              <w:divId w:val="2085295358"/>
              <w:rPr>
                <w:rFonts w:eastAsia="Times New Roman"/>
              </w:rPr>
            </w:pPr>
            <w:r>
              <w:rPr>
                <w:rFonts w:ascii="Arial" w:eastAsia="Times New Roman" w:hAnsi="Arial" w:cs="Arial"/>
                <w:color w:val="000000"/>
                <w:sz w:val="18"/>
                <w:szCs w:val="18"/>
              </w:rPr>
              <w:t>Costs recognize</w:t>
            </w:r>
            <w:r>
              <w:rPr>
                <w:rFonts w:ascii="Arial" w:eastAsia="Times New Roman" w:hAnsi="Arial" w:cs="Arial"/>
                <w:color w:val="000000"/>
                <w:sz w:val="18"/>
                <w:szCs w:val="18"/>
              </w:rPr>
              <w:t>d</w:t>
            </w: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p>
        </w:tc>
        <w:tc>
          <w:tcPr>
            <w:tcW w:w="0" w:type="auto"/>
            <w:gridSpan w:val="3"/>
            <w:shd w:val="clear" w:color="auto" w:fill="FFFFFF"/>
            <w:tcMar>
              <w:top w:w="0" w:type="dxa"/>
              <w:left w:w="20" w:type="dxa"/>
              <w:bottom w:w="0" w:type="dxa"/>
              <w:right w:w="20" w:type="dxa"/>
            </w:tcMar>
            <w:vAlign w:val="center"/>
            <w:hideMark/>
          </w:tcPr>
          <w:p w14:paraId="2D38B78E"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E691B5" w14:textId="77777777" w:rsidR="00000000" w:rsidRDefault="001D0688">
            <w:pPr>
              <w:jc w:val="right"/>
              <w:rPr>
                <w:rFonts w:eastAsia="Times New Roman"/>
              </w:rPr>
            </w:pPr>
            <w:r>
              <w:rPr>
                <w:rFonts w:ascii="Arial" w:eastAsia="Times New Roman" w:hAnsi="Arial" w:cs="Arial"/>
                <w:color w:val="000000"/>
                <w:sz w:val="18"/>
                <w:szCs w:val="18"/>
              </w:rPr>
              <w:t>4.0 </w:t>
            </w:r>
          </w:p>
        </w:tc>
        <w:tc>
          <w:tcPr>
            <w:tcW w:w="0" w:type="auto"/>
            <w:shd w:val="clear" w:color="auto" w:fill="FFFFFF"/>
            <w:tcMar>
              <w:top w:w="30" w:type="dxa"/>
              <w:left w:w="0" w:type="dxa"/>
              <w:bottom w:w="30" w:type="dxa"/>
              <w:right w:w="20" w:type="dxa"/>
            </w:tcMar>
            <w:vAlign w:val="bottom"/>
            <w:hideMark/>
          </w:tcPr>
          <w:p w14:paraId="6F70C5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FB12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1C84AD" w14:textId="77777777" w:rsidR="00000000" w:rsidRDefault="001D0688">
            <w:pPr>
              <w:jc w:val="right"/>
              <w:rPr>
                <w:rFonts w:eastAsia="Times New Roman"/>
              </w:rPr>
            </w:pPr>
            <w:r>
              <w:rPr>
                <w:rFonts w:ascii="Arial" w:eastAsia="Times New Roman" w:hAnsi="Arial" w:cs="Arial"/>
                <w:color w:val="000000"/>
                <w:sz w:val="18"/>
                <w:szCs w:val="18"/>
              </w:rPr>
              <w:t>11.0 </w:t>
            </w:r>
          </w:p>
        </w:tc>
        <w:tc>
          <w:tcPr>
            <w:tcW w:w="0" w:type="auto"/>
            <w:shd w:val="clear" w:color="auto" w:fill="FFFFFF"/>
            <w:tcMar>
              <w:top w:w="30" w:type="dxa"/>
              <w:left w:w="0" w:type="dxa"/>
              <w:bottom w:w="30" w:type="dxa"/>
              <w:right w:w="20" w:type="dxa"/>
            </w:tcMar>
            <w:vAlign w:val="bottom"/>
            <w:hideMark/>
          </w:tcPr>
          <w:p w14:paraId="3F1ADAA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42C8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6D701E" w14:textId="77777777" w:rsidR="00000000" w:rsidRDefault="001D0688">
            <w:pPr>
              <w:jc w:val="right"/>
              <w:rPr>
                <w:rFonts w:eastAsia="Times New Roman"/>
              </w:rPr>
            </w:pPr>
            <w:r>
              <w:rPr>
                <w:rFonts w:ascii="Arial" w:eastAsia="Times New Roman" w:hAnsi="Arial" w:cs="Arial"/>
                <w:color w:val="000000"/>
                <w:sz w:val="18"/>
                <w:szCs w:val="18"/>
              </w:rPr>
              <w:t>8.2 </w:t>
            </w:r>
          </w:p>
        </w:tc>
        <w:tc>
          <w:tcPr>
            <w:tcW w:w="0" w:type="auto"/>
            <w:shd w:val="clear" w:color="auto" w:fill="FFFFFF"/>
            <w:tcMar>
              <w:top w:w="30" w:type="dxa"/>
              <w:left w:w="0" w:type="dxa"/>
              <w:bottom w:w="30" w:type="dxa"/>
              <w:right w:w="20" w:type="dxa"/>
            </w:tcMar>
            <w:vAlign w:val="bottom"/>
            <w:hideMark/>
          </w:tcPr>
          <w:p w14:paraId="6F72FB6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3635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751BB" w14:textId="77777777" w:rsidR="00000000" w:rsidRDefault="001D0688">
            <w:pPr>
              <w:jc w:val="right"/>
              <w:rPr>
                <w:rFonts w:eastAsia="Times New Roman"/>
              </w:rPr>
            </w:pPr>
            <w:r>
              <w:rPr>
                <w:rFonts w:ascii="Arial" w:eastAsia="Times New Roman" w:hAnsi="Arial" w:cs="Arial"/>
                <w:color w:val="000000"/>
                <w:sz w:val="18"/>
                <w:szCs w:val="18"/>
              </w:rPr>
              <w:t>2.0 </w:t>
            </w:r>
          </w:p>
        </w:tc>
        <w:tc>
          <w:tcPr>
            <w:tcW w:w="0" w:type="auto"/>
            <w:shd w:val="clear" w:color="auto" w:fill="FFFFFF"/>
            <w:tcMar>
              <w:top w:w="30" w:type="dxa"/>
              <w:left w:w="0" w:type="dxa"/>
              <w:bottom w:w="30" w:type="dxa"/>
              <w:right w:w="20" w:type="dxa"/>
            </w:tcMar>
            <w:vAlign w:val="bottom"/>
            <w:hideMark/>
          </w:tcPr>
          <w:p w14:paraId="26F74B3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CBC5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A152A2" w14:textId="77777777" w:rsidR="00000000" w:rsidRDefault="001D0688">
            <w:pPr>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14:paraId="16EBD73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BFB9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DFF347" w14:textId="77777777" w:rsidR="00000000" w:rsidRDefault="001D0688">
            <w:pPr>
              <w:jc w:val="right"/>
              <w:rPr>
                <w:rFonts w:eastAsia="Times New Roman"/>
              </w:rPr>
            </w:pPr>
            <w:r>
              <w:rPr>
                <w:rFonts w:ascii="Arial" w:eastAsia="Times New Roman" w:hAnsi="Arial" w:cs="Arial"/>
                <w:color w:val="000000"/>
                <w:sz w:val="18"/>
                <w:szCs w:val="18"/>
              </w:rPr>
              <w:t>25.7 </w:t>
            </w:r>
          </w:p>
        </w:tc>
        <w:tc>
          <w:tcPr>
            <w:tcW w:w="0" w:type="auto"/>
            <w:shd w:val="clear" w:color="auto" w:fill="FFFFFF"/>
            <w:tcMar>
              <w:top w:w="30" w:type="dxa"/>
              <w:left w:w="0" w:type="dxa"/>
              <w:bottom w:w="30" w:type="dxa"/>
              <w:right w:w="20" w:type="dxa"/>
            </w:tcMar>
            <w:vAlign w:val="bottom"/>
            <w:hideMark/>
          </w:tcPr>
          <w:p w14:paraId="7A84A469" w14:textId="77777777" w:rsidR="00000000" w:rsidRDefault="001D0688">
            <w:pPr>
              <w:jc w:val="right"/>
              <w:rPr>
                <w:rFonts w:eastAsia="Times New Roman"/>
              </w:rPr>
            </w:pPr>
          </w:p>
        </w:tc>
      </w:tr>
      <w:tr w:rsidR="00000000" w14:paraId="28B9D623" w14:textId="77777777">
        <w:trPr>
          <w:divId w:val="506092607"/>
          <w:jc w:val="right"/>
        </w:trPr>
        <w:tc>
          <w:tcPr>
            <w:tcW w:w="0" w:type="auto"/>
            <w:gridSpan w:val="3"/>
            <w:shd w:val="clear" w:color="auto" w:fill="DCE2EF"/>
            <w:tcMar>
              <w:top w:w="30" w:type="dxa"/>
              <w:left w:w="155" w:type="dxa"/>
              <w:bottom w:w="30" w:type="dxa"/>
              <w:right w:w="20" w:type="dxa"/>
            </w:tcMar>
            <w:vAlign w:val="bottom"/>
            <w:hideMark/>
          </w:tcPr>
          <w:p w14:paraId="31D6AD16" w14:textId="77777777" w:rsidR="00000000" w:rsidRDefault="001D0688">
            <w:pPr>
              <w:rPr>
                <w:rFonts w:eastAsia="Times New Roman"/>
              </w:rPr>
            </w:pPr>
            <w:r>
              <w:rPr>
                <w:rFonts w:ascii="Arial" w:eastAsia="Times New Roman" w:hAnsi="Arial" w:cs="Arial"/>
                <w:color w:val="000000"/>
                <w:sz w:val="18"/>
                <w:szCs w:val="18"/>
              </w:rPr>
              <w:t>Payments</w:t>
            </w:r>
          </w:p>
        </w:tc>
        <w:tc>
          <w:tcPr>
            <w:tcW w:w="0" w:type="auto"/>
            <w:gridSpan w:val="3"/>
            <w:shd w:val="clear" w:color="auto" w:fill="DCE2EF"/>
            <w:tcMar>
              <w:top w:w="0" w:type="dxa"/>
              <w:left w:w="20" w:type="dxa"/>
              <w:bottom w:w="0" w:type="dxa"/>
              <w:right w:w="20" w:type="dxa"/>
            </w:tcMar>
            <w:vAlign w:val="center"/>
            <w:hideMark/>
          </w:tcPr>
          <w:p w14:paraId="13BAEB94"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4EC444B" w14:textId="77777777" w:rsidR="00000000" w:rsidRDefault="001D0688">
            <w:pPr>
              <w:jc w:val="right"/>
              <w:rPr>
                <w:rFonts w:eastAsia="Times New Roman"/>
              </w:rPr>
            </w:pPr>
            <w:r>
              <w:rPr>
                <w:rFonts w:ascii="Arial" w:eastAsia="Times New Roman" w:hAnsi="Arial" w:cs="Arial"/>
                <w:color w:val="000000"/>
                <w:sz w:val="18"/>
                <w:szCs w:val="18"/>
              </w:rPr>
              <w:t>(6.5)</w:t>
            </w:r>
          </w:p>
        </w:tc>
        <w:tc>
          <w:tcPr>
            <w:tcW w:w="0" w:type="auto"/>
            <w:shd w:val="clear" w:color="auto" w:fill="DCE2EF"/>
            <w:tcMar>
              <w:top w:w="30" w:type="dxa"/>
              <w:left w:w="0" w:type="dxa"/>
              <w:bottom w:w="30" w:type="dxa"/>
              <w:right w:w="20" w:type="dxa"/>
            </w:tcMar>
            <w:vAlign w:val="bottom"/>
            <w:hideMark/>
          </w:tcPr>
          <w:p w14:paraId="7704953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DD19A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2DD7D7" w14:textId="77777777" w:rsidR="00000000" w:rsidRDefault="001D0688">
            <w:pPr>
              <w:jc w:val="right"/>
              <w:rPr>
                <w:rFonts w:eastAsia="Times New Roman"/>
              </w:rPr>
            </w:pPr>
            <w:r>
              <w:rPr>
                <w:rFonts w:ascii="Arial" w:eastAsia="Times New Roman" w:hAnsi="Arial" w:cs="Arial"/>
                <w:color w:val="000000"/>
                <w:sz w:val="18"/>
                <w:szCs w:val="18"/>
              </w:rPr>
              <w:t>(9.9)</w:t>
            </w:r>
          </w:p>
        </w:tc>
        <w:tc>
          <w:tcPr>
            <w:tcW w:w="0" w:type="auto"/>
            <w:shd w:val="clear" w:color="auto" w:fill="DCE2EF"/>
            <w:tcMar>
              <w:top w:w="30" w:type="dxa"/>
              <w:left w:w="0" w:type="dxa"/>
              <w:bottom w:w="30" w:type="dxa"/>
              <w:right w:w="20" w:type="dxa"/>
            </w:tcMar>
            <w:vAlign w:val="bottom"/>
            <w:hideMark/>
          </w:tcPr>
          <w:p w14:paraId="0FBE011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3D7D3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CFA86D8" w14:textId="77777777" w:rsidR="00000000" w:rsidRDefault="001D0688">
            <w:pPr>
              <w:jc w:val="right"/>
              <w:rPr>
                <w:rFonts w:eastAsia="Times New Roman"/>
              </w:rPr>
            </w:pPr>
            <w:r>
              <w:rPr>
                <w:rFonts w:ascii="Arial" w:eastAsia="Times New Roman" w:hAnsi="Arial" w:cs="Arial"/>
                <w:color w:val="000000"/>
                <w:sz w:val="18"/>
                <w:szCs w:val="18"/>
              </w:rPr>
              <w:t>(6.7)</w:t>
            </w:r>
          </w:p>
        </w:tc>
        <w:tc>
          <w:tcPr>
            <w:tcW w:w="0" w:type="auto"/>
            <w:shd w:val="clear" w:color="auto" w:fill="DCE2EF"/>
            <w:tcMar>
              <w:top w:w="30" w:type="dxa"/>
              <w:left w:w="0" w:type="dxa"/>
              <w:bottom w:w="30" w:type="dxa"/>
              <w:right w:w="20" w:type="dxa"/>
            </w:tcMar>
            <w:vAlign w:val="bottom"/>
            <w:hideMark/>
          </w:tcPr>
          <w:p w14:paraId="1213E5B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60376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3A64C7" w14:textId="77777777" w:rsidR="00000000" w:rsidRDefault="001D0688">
            <w:pPr>
              <w:jc w:val="right"/>
              <w:rPr>
                <w:rFonts w:eastAsia="Times New Roman"/>
              </w:rPr>
            </w:pPr>
            <w:r>
              <w:rPr>
                <w:rFonts w:ascii="Arial" w:eastAsia="Times New Roman" w:hAnsi="Arial" w:cs="Arial"/>
                <w:color w:val="000000"/>
                <w:sz w:val="18"/>
                <w:szCs w:val="18"/>
              </w:rPr>
              <w:t>(1.5)</w:t>
            </w:r>
          </w:p>
        </w:tc>
        <w:tc>
          <w:tcPr>
            <w:tcW w:w="0" w:type="auto"/>
            <w:shd w:val="clear" w:color="auto" w:fill="DCE2EF"/>
            <w:tcMar>
              <w:top w:w="30" w:type="dxa"/>
              <w:left w:w="0" w:type="dxa"/>
              <w:bottom w:w="30" w:type="dxa"/>
              <w:right w:w="20" w:type="dxa"/>
            </w:tcMar>
            <w:vAlign w:val="bottom"/>
            <w:hideMark/>
          </w:tcPr>
          <w:p w14:paraId="2938F18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96633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C6A18E5"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D49B4B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A70B8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7115B9" w14:textId="77777777" w:rsidR="00000000" w:rsidRDefault="001D0688">
            <w:pPr>
              <w:jc w:val="right"/>
              <w:rPr>
                <w:rFonts w:eastAsia="Times New Roman"/>
              </w:rPr>
            </w:pPr>
            <w:r>
              <w:rPr>
                <w:rFonts w:ascii="Arial" w:eastAsia="Times New Roman" w:hAnsi="Arial" w:cs="Arial"/>
                <w:color w:val="000000"/>
                <w:sz w:val="18"/>
                <w:szCs w:val="18"/>
              </w:rPr>
              <w:t>(24.7)</w:t>
            </w:r>
          </w:p>
        </w:tc>
        <w:tc>
          <w:tcPr>
            <w:tcW w:w="0" w:type="auto"/>
            <w:shd w:val="clear" w:color="auto" w:fill="DCE2EF"/>
            <w:tcMar>
              <w:top w:w="30" w:type="dxa"/>
              <w:left w:w="0" w:type="dxa"/>
              <w:bottom w:w="30" w:type="dxa"/>
              <w:right w:w="20" w:type="dxa"/>
            </w:tcMar>
            <w:vAlign w:val="bottom"/>
            <w:hideMark/>
          </w:tcPr>
          <w:p w14:paraId="6B5B4D85" w14:textId="77777777" w:rsidR="00000000" w:rsidRDefault="001D0688">
            <w:pPr>
              <w:jc w:val="right"/>
              <w:rPr>
                <w:rFonts w:eastAsia="Times New Roman"/>
              </w:rPr>
            </w:pPr>
          </w:p>
        </w:tc>
      </w:tr>
      <w:tr w:rsidR="00000000" w14:paraId="1DEE7FC3" w14:textId="77777777">
        <w:trPr>
          <w:divId w:val="506092607"/>
          <w:jc w:val="right"/>
        </w:trPr>
        <w:tc>
          <w:tcPr>
            <w:tcW w:w="0" w:type="auto"/>
            <w:gridSpan w:val="3"/>
            <w:shd w:val="clear" w:color="auto" w:fill="FFFFFF"/>
            <w:tcMar>
              <w:top w:w="30" w:type="dxa"/>
              <w:left w:w="155" w:type="dxa"/>
              <w:bottom w:w="30" w:type="dxa"/>
              <w:right w:w="20" w:type="dxa"/>
            </w:tcMar>
            <w:vAlign w:val="bottom"/>
            <w:hideMark/>
          </w:tcPr>
          <w:p w14:paraId="7C58C910" w14:textId="77777777" w:rsidR="00000000" w:rsidRDefault="001D0688">
            <w:pPr>
              <w:rPr>
                <w:rFonts w:eastAsia="Times New Roman"/>
              </w:rPr>
            </w:pPr>
            <w:r>
              <w:rPr>
                <w:rFonts w:ascii="Arial" w:eastAsia="Times New Roman" w:hAnsi="Arial" w:cs="Arial"/>
                <w:color w:val="000000"/>
                <w:sz w:val="18"/>
                <w:szCs w:val="18"/>
              </w:rPr>
              <w:t>Non-cash items</w:t>
            </w:r>
          </w:p>
        </w:tc>
        <w:tc>
          <w:tcPr>
            <w:tcW w:w="0" w:type="auto"/>
            <w:gridSpan w:val="3"/>
            <w:shd w:val="clear" w:color="auto" w:fill="FFFFFF"/>
            <w:tcMar>
              <w:top w:w="0" w:type="dxa"/>
              <w:left w:w="20" w:type="dxa"/>
              <w:bottom w:w="0" w:type="dxa"/>
              <w:right w:w="20" w:type="dxa"/>
            </w:tcMar>
            <w:vAlign w:val="center"/>
            <w:hideMark/>
          </w:tcPr>
          <w:p w14:paraId="75266E89"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6B6432"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8EFB7B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6DFD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6DD9B"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4903F5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A3FF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41D39"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3720CA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BD00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7D42A" w14:textId="77777777" w:rsidR="00000000" w:rsidRDefault="001D0688">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38A3174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0548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7D486" w14:textId="77777777" w:rsidR="00000000" w:rsidRDefault="001D0688">
            <w:pPr>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14:paraId="642100D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9B14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83296B" w14:textId="77777777" w:rsidR="00000000" w:rsidRDefault="001D0688">
            <w:pPr>
              <w:jc w:val="right"/>
              <w:rPr>
                <w:rFonts w:eastAsia="Times New Roman"/>
              </w:rPr>
            </w:pPr>
            <w:r>
              <w:rPr>
                <w:rFonts w:ascii="Arial" w:eastAsia="Times New Roman" w:hAnsi="Arial" w:cs="Arial"/>
                <w:color w:val="000000"/>
                <w:sz w:val="18"/>
                <w:szCs w:val="18"/>
              </w:rPr>
              <w:t>(0.7)</w:t>
            </w:r>
          </w:p>
        </w:tc>
        <w:tc>
          <w:tcPr>
            <w:tcW w:w="0" w:type="auto"/>
            <w:shd w:val="clear" w:color="auto" w:fill="FFFFFF"/>
            <w:tcMar>
              <w:top w:w="30" w:type="dxa"/>
              <w:left w:w="0" w:type="dxa"/>
              <w:bottom w:w="30" w:type="dxa"/>
              <w:right w:w="20" w:type="dxa"/>
            </w:tcMar>
            <w:vAlign w:val="bottom"/>
            <w:hideMark/>
          </w:tcPr>
          <w:p w14:paraId="1DD8B6EE" w14:textId="77777777" w:rsidR="00000000" w:rsidRDefault="001D0688">
            <w:pPr>
              <w:jc w:val="right"/>
              <w:rPr>
                <w:rFonts w:eastAsia="Times New Roman"/>
              </w:rPr>
            </w:pPr>
          </w:p>
        </w:tc>
      </w:tr>
      <w:tr w:rsidR="00000000" w14:paraId="6D8D4D74" w14:textId="77777777">
        <w:trPr>
          <w:divId w:val="506092607"/>
          <w:jc w:val="right"/>
        </w:trPr>
        <w:tc>
          <w:tcPr>
            <w:tcW w:w="0" w:type="auto"/>
            <w:gridSpan w:val="3"/>
            <w:shd w:val="clear" w:color="auto" w:fill="DCE2EF"/>
            <w:tcMar>
              <w:top w:w="30" w:type="dxa"/>
              <w:left w:w="20" w:type="dxa"/>
              <w:bottom w:w="30" w:type="dxa"/>
              <w:right w:w="20" w:type="dxa"/>
            </w:tcMar>
            <w:vAlign w:val="bottom"/>
            <w:hideMark/>
          </w:tcPr>
          <w:p w14:paraId="61A81143" w14:textId="77777777" w:rsidR="00000000" w:rsidRDefault="001D0688">
            <w:pPr>
              <w:rPr>
                <w:rFonts w:eastAsia="Times New Roman"/>
              </w:rPr>
            </w:pPr>
            <w:r>
              <w:rPr>
                <w:rFonts w:ascii="Arial" w:eastAsia="Times New Roman" w:hAnsi="Arial" w:cs="Arial"/>
                <w:b/>
                <w:bCs/>
                <w:color w:val="000000"/>
                <w:sz w:val="18"/>
                <w:szCs w:val="18"/>
              </w:rPr>
              <w:t>Balance, October 31, 2018</w:t>
            </w:r>
          </w:p>
        </w:tc>
        <w:tc>
          <w:tcPr>
            <w:tcW w:w="0" w:type="auto"/>
            <w:gridSpan w:val="3"/>
            <w:shd w:val="clear" w:color="auto" w:fill="DCE2EF"/>
            <w:tcMar>
              <w:top w:w="0" w:type="dxa"/>
              <w:left w:w="20" w:type="dxa"/>
              <w:bottom w:w="0" w:type="dxa"/>
              <w:right w:w="20" w:type="dxa"/>
            </w:tcMar>
            <w:vAlign w:val="center"/>
            <w:hideMark/>
          </w:tcPr>
          <w:p w14:paraId="07AB24BD"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BAD21A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EFF574"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A846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A26A9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DEDB2C"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A8AFE0C" w14:textId="77777777" w:rsidR="00000000" w:rsidRDefault="001D0688">
            <w:pPr>
              <w:jc w:val="right"/>
              <w:rPr>
                <w:rFonts w:eastAsia="Times New Roman"/>
              </w:rPr>
            </w:pPr>
            <w:r>
              <w:rPr>
                <w:rFonts w:ascii="Arial" w:eastAsia="Times New Roman" w:hAnsi="Arial" w:cs="Arial"/>
                <w:color w:val="000000"/>
                <w:sz w:val="18"/>
                <w:szCs w:val="18"/>
              </w:rPr>
              <w:t>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41151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D3ABA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6D6016"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E0C2932" w14:textId="77777777" w:rsidR="00000000" w:rsidRDefault="001D0688">
            <w:pPr>
              <w:jc w:val="right"/>
              <w:rPr>
                <w:rFonts w:eastAsia="Times New Roman"/>
              </w:rPr>
            </w:pPr>
            <w:r>
              <w:rPr>
                <w:rFonts w:ascii="Arial" w:eastAsia="Times New Roman" w:hAnsi="Arial" w:cs="Arial"/>
                <w:color w:val="000000"/>
                <w:sz w:val="18"/>
                <w:szCs w:val="18"/>
              </w:rPr>
              <w:t>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39551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547E6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E810A5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7772AF7" w14:textId="77777777" w:rsidR="00000000" w:rsidRDefault="001D0688">
            <w:pPr>
              <w:jc w:val="right"/>
              <w:rPr>
                <w:rFonts w:eastAsia="Times New Roman"/>
              </w:rPr>
            </w:pPr>
            <w:r>
              <w:rPr>
                <w:rFonts w:ascii="Arial" w:eastAsia="Times New Roman" w:hAnsi="Arial" w:cs="Arial"/>
                <w:color w:val="000000"/>
                <w:sz w:val="18"/>
                <w:szCs w:val="18"/>
              </w:rPr>
              <w:t>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1B7FA6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0E35D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E34F6B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0EA84E1"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F88BD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1AC59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71A710C"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C6F8858" w14:textId="77777777" w:rsidR="00000000" w:rsidRDefault="001D0688">
            <w:pPr>
              <w:jc w:val="right"/>
              <w:rPr>
                <w:rFonts w:eastAsia="Times New Roman"/>
              </w:rPr>
            </w:pPr>
            <w:r>
              <w:rPr>
                <w:rFonts w:ascii="Arial" w:eastAsia="Times New Roman" w:hAnsi="Arial" w:cs="Arial"/>
                <w:color w:val="000000"/>
                <w:sz w:val="18"/>
                <w:szCs w:val="18"/>
              </w:rPr>
              <w:t>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DCE472C" w14:textId="77777777" w:rsidR="00000000" w:rsidRDefault="001D0688">
            <w:pPr>
              <w:jc w:val="right"/>
              <w:rPr>
                <w:rFonts w:eastAsia="Times New Roman"/>
              </w:rPr>
            </w:pPr>
          </w:p>
        </w:tc>
      </w:tr>
      <w:tr w:rsidR="00000000" w14:paraId="36FC7079" w14:textId="77777777">
        <w:trPr>
          <w:divId w:val="506092607"/>
          <w:jc w:val="right"/>
        </w:trPr>
        <w:tc>
          <w:tcPr>
            <w:tcW w:w="0" w:type="auto"/>
            <w:gridSpan w:val="3"/>
            <w:shd w:val="clear" w:color="auto" w:fill="FFFFFF"/>
            <w:tcMar>
              <w:top w:w="30" w:type="dxa"/>
              <w:left w:w="20" w:type="dxa"/>
              <w:bottom w:w="30" w:type="dxa"/>
              <w:right w:w="20" w:type="dxa"/>
            </w:tcMar>
            <w:vAlign w:val="bottom"/>
            <w:hideMark/>
          </w:tcPr>
          <w:p w14:paraId="60E15FB0" w14:textId="77777777" w:rsidR="00000000" w:rsidRDefault="001D0688">
            <w:pPr>
              <w:divId w:val="1356343861"/>
              <w:rPr>
                <w:rFonts w:eastAsia="Times New Roman"/>
              </w:rPr>
            </w:pPr>
            <w:r>
              <w:rPr>
                <w:rFonts w:ascii="Arial" w:eastAsia="Times New Roman" w:hAnsi="Arial" w:cs="Arial"/>
                <w:color w:val="000000"/>
                <w:sz w:val="18"/>
                <w:szCs w:val="18"/>
              </w:rPr>
              <w:t>Costs recognize</w:t>
            </w:r>
            <w:r>
              <w:rPr>
                <w:rFonts w:ascii="Arial" w:eastAsia="Times New Roman" w:hAnsi="Arial" w:cs="Arial"/>
                <w:color w:val="000000"/>
                <w:sz w:val="18"/>
                <w:szCs w:val="18"/>
              </w:rPr>
              <w:t>d</w:t>
            </w: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p>
        </w:tc>
        <w:tc>
          <w:tcPr>
            <w:tcW w:w="0" w:type="auto"/>
            <w:gridSpan w:val="3"/>
            <w:shd w:val="clear" w:color="auto" w:fill="FFFFFF"/>
            <w:tcMar>
              <w:top w:w="0" w:type="dxa"/>
              <w:left w:w="20" w:type="dxa"/>
              <w:bottom w:w="0" w:type="dxa"/>
              <w:right w:w="20" w:type="dxa"/>
            </w:tcMar>
            <w:vAlign w:val="center"/>
            <w:hideMark/>
          </w:tcPr>
          <w:p w14:paraId="4120C937" w14:textId="77777777" w:rsidR="00000000" w:rsidRDefault="001D0688">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1D41A80" w14:textId="77777777" w:rsidR="00000000" w:rsidRDefault="001D0688">
            <w:pPr>
              <w:jc w:val="right"/>
              <w:rPr>
                <w:rFonts w:eastAsia="Times New Roman"/>
              </w:rPr>
            </w:pPr>
            <w:r>
              <w:rPr>
                <w:rFonts w:ascii="Arial" w:eastAsia="Times New Roman" w:hAnsi="Arial" w:cs="Arial"/>
                <w:color w:val="000000"/>
                <w:sz w:val="18"/>
                <w:szCs w:val="18"/>
              </w:rPr>
              <w:t>1.5 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10959F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D6525"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8AE256A" w14:textId="77777777" w:rsidR="00000000" w:rsidRDefault="001D0688">
            <w:pPr>
              <w:jc w:val="right"/>
              <w:rPr>
                <w:rFonts w:eastAsia="Times New Roman"/>
              </w:rPr>
            </w:pPr>
            <w:r>
              <w:rPr>
                <w:rFonts w:ascii="Arial" w:eastAsia="Times New Roman" w:hAnsi="Arial" w:cs="Arial"/>
                <w:color w:val="000000"/>
                <w:sz w:val="18"/>
                <w:szCs w:val="18"/>
              </w:rPr>
              <w:t>4.6 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BDE3FB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3EC152"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A8B340A" w14:textId="77777777" w:rsidR="00000000" w:rsidRDefault="001D0688">
            <w:pPr>
              <w:jc w:val="right"/>
              <w:rPr>
                <w:rFonts w:eastAsia="Times New Roman"/>
              </w:rPr>
            </w:pPr>
            <w:r>
              <w:rPr>
                <w:rFonts w:ascii="Arial" w:eastAsia="Times New Roman" w:hAnsi="Arial" w:cs="Arial"/>
                <w:color w:val="000000"/>
                <w:sz w:val="18"/>
                <w:szCs w:val="18"/>
              </w:rPr>
              <w:t>4.5 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95847E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AAAA8"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C01A4AD" w14:textId="77777777" w:rsidR="00000000" w:rsidRDefault="001D0688">
            <w:pPr>
              <w:jc w:val="right"/>
              <w:rPr>
                <w:rFonts w:eastAsia="Times New Roman"/>
              </w:rPr>
            </w:pPr>
            <w:r>
              <w:rPr>
                <w:rFonts w:ascii="Arial" w:eastAsia="Times New Roman" w:hAnsi="Arial" w:cs="Arial"/>
                <w:color w:val="000000"/>
                <w:sz w:val="18"/>
                <w:szCs w:val="18"/>
              </w:rPr>
              <w:t>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617832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F1DDA"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1F8EDE4"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5CB186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4C3D9"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98A22CB" w14:textId="77777777" w:rsidR="00000000" w:rsidRDefault="001D0688">
            <w:pPr>
              <w:jc w:val="right"/>
              <w:rPr>
                <w:rFonts w:eastAsia="Times New Roman"/>
              </w:rPr>
            </w:pPr>
            <w:r>
              <w:rPr>
                <w:rFonts w:ascii="Arial" w:eastAsia="Times New Roman" w:hAnsi="Arial" w:cs="Arial"/>
                <w:color w:val="000000"/>
                <w:sz w:val="18"/>
                <w:szCs w:val="18"/>
              </w:rPr>
              <w:t>11.2 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6579C0" w14:textId="77777777" w:rsidR="00000000" w:rsidRDefault="001D0688">
            <w:pPr>
              <w:jc w:val="right"/>
              <w:rPr>
                <w:rFonts w:eastAsia="Times New Roman"/>
              </w:rPr>
            </w:pPr>
          </w:p>
        </w:tc>
      </w:tr>
      <w:tr w:rsidR="00000000" w14:paraId="152F655F" w14:textId="77777777">
        <w:trPr>
          <w:divId w:val="506092607"/>
          <w:jc w:val="right"/>
        </w:trPr>
        <w:tc>
          <w:tcPr>
            <w:tcW w:w="0" w:type="auto"/>
            <w:gridSpan w:val="3"/>
            <w:shd w:val="clear" w:color="auto" w:fill="DCE2EF"/>
            <w:tcMar>
              <w:top w:w="30" w:type="dxa"/>
              <w:left w:w="155" w:type="dxa"/>
              <w:bottom w:w="30" w:type="dxa"/>
              <w:right w:w="20" w:type="dxa"/>
            </w:tcMar>
            <w:vAlign w:val="bottom"/>
            <w:hideMark/>
          </w:tcPr>
          <w:p w14:paraId="0D73B4DE" w14:textId="77777777" w:rsidR="00000000" w:rsidRDefault="001D0688">
            <w:pPr>
              <w:rPr>
                <w:rFonts w:eastAsia="Times New Roman"/>
              </w:rPr>
            </w:pPr>
            <w:r>
              <w:rPr>
                <w:rFonts w:ascii="Arial" w:eastAsia="Times New Roman" w:hAnsi="Arial" w:cs="Arial"/>
                <w:color w:val="000000"/>
                <w:sz w:val="18"/>
                <w:szCs w:val="18"/>
              </w:rPr>
              <w:t>Payments</w:t>
            </w:r>
          </w:p>
        </w:tc>
        <w:tc>
          <w:tcPr>
            <w:tcW w:w="0" w:type="auto"/>
            <w:gridSpan w:val="3"/>
            <w:shd w:val="clear" w:color="auto" w:fill="DCE2EF"/>
            <w:tcMar>
              <w:top w:w="0" w:type="dxa"/>
              <w:left w:w="20" w:type="dxa"/>
              <w:bottom w:w="0" w:type="dxa"/>
              <w:right w:w="20" w:type="dxa"/>
            </w:tcMar>
            <w:vAlign w:val="center"/>
            <w:hideMark/>
          </w:tcPr>
          <w:p w14:paraId="2AEE5322"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3F818D2" w14:textId="77777777" w:rsidR="00000000" w:rsidRDefault="001D0688">
            <w:pPr>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14:paraId="2FDCDF1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686FE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C99708C" w14:textId="77777777" w:rsidR="00000000" w:rsidRDefault="001D0688">
            <w:pPr>
              <w:jc w:val="right"/>
              <w:rPr>
                <w:rFonts w:eastAsia="Times New Roman"/>
              </w:rPr>
            </w:pPr>
            <w:r>
              <w:rPr>
                <w:rFonts w:ascii="Arial" w:eastAsia="Times New Roman" w:hAnsi="Arial" w:cs="Arial"/>
                <w:color w:val="000000"/>
                <w:sz w:val="18"/>
                <w:szCs w:val="18"/>
              </w:rPr>
              <w:t>(5.3)</w:t>
            </w:r>
          </w:p>
        </w:tc>
        <w:tc>
          <w:tcPr>
            <w:tcW w:w="0" w:type="auto"/>
            <w:shd w:val="clear" w:color="auto" w:fill="DCE2EF"/>
            <w:tcMar>
              <w:top w:w="30" w:type="dxa"/>
              <w:left w:w="0" w:type="dxa"/>
              <w:bottom w:w="30" w:type="dxa"/>
              <w:right w:w="20" w:type="dxa"/>
            </w:tcMar>
            <w:vAlign w:val="bottom"/>
            <w:hideMark/>
          </w:tcPr>
          <w:p w14:paraId="757F61D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D9F4D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E928D55" w14:textId="77777777" w:rsidR="00000000" w:rsidRDefault="001D0688">
            <w:pPr>
              <w:jc w:val="right"/>
              <w:rPr>
                <w:rFonts w:eastAsia="Times New Roman"/>
              </w:rPr>
            </w:pPr>
            <w:r>
              <w:rPr>
                <w:rFonts w:ascii="Arial" w:eastAsia="Times New Roman" w:hAnsi="Arial" w:cs="Arial"/>
                <w:color w:val="000000"/>
                <w:sz w:val="18"/>
                <w:szCs w:val="18"/>
              </w:rPr>
              <w:t>(5.6)</w:t>
            </w:r>
          </w:p>
        </w:tc>
        <w:tc>
          <w:tcPr>
            <w:tcW w:w="0" w:type="auto"/>
            <w:shd w:val="clear" w:color="auto" w:fill="DCE2EF"/>
            <w:tcMar>
              <w:top w:w="30" w:type="dxa"/>
              <w:left w:w="0" w:type="dxa"/>
              <w:bottom w:w="30" w:type="dxa"/>
              <w:right w:w="20" w:type="dxa"/>
            </w:tcMar>
            <w:vAlign w:val="bottom"/>
            <w:hideMark/>
          </w:tcPr>
          <w:p w14:paraId="0744DCA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D2E12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140B6D" w14:textId="77777777" w:rsidR="00000000" w:rsidRDefault="001D0688">
            <w:pPr>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4C073D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CC369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564CD0"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76CDB63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D4DA2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C14F5A" w14:textId="77777777" w:rsidR="00000000" w:rsidRDefault="001D0688">
            <w:pPr>
              <w:jc w:val="right"/>
              <w:rPr>
                <w:rFonts w:eastAsia="Times New Roman"/>
              </w:rPr>
            </w:pPr>
            <w:r>
              <w:rPr>
                <w:rFonts w:ascii="Arial" w:eastAsia="Times New Roman" w:hAnsi="Arial" w:cs="Arial"/>
                <w:color w:val="000000"/>
                <w:sz w:val="18"/>
                <w:szCs w:val="18"/>
              </w:rPr>
              <w:t>(12.9)</w:t>
            </w:r>
          </w:p>
        </w:tc>
        <w:tc>
          <w:tcPr>
            <w:tcW w:w="0" w:type="auto"/>
            <w:shd w:val="clear" w:color="auto" w:fill="DCE2EF"/>
            <w:tcMar>
              <w:top w:w="30" w:type="dxa"/>
              <w:left w:w="0" w:type="dxa"/>
              <w:bottom w:w="30" w:type="dxa"/>
              <w:right w:w="20" w:type="dxa"/>
            </w:tcMar>
            <w:vAlign w:val="bottom"/>
            <w:hideMark/>
          </w:tcPr>
          <w:p w14:paraId="3F0DF2FB" w14:textId="77777777" w:rsidR="00000000" w:rsidRDefault="001D0688">
            <w:pPr>
              <w:jc w:val="right"/>
              <w:rPr>
                <w:rFonts w:eastAsia="Times New Roman"/>
              </w:rPr>
            </w:pPr>
          </w:p>
        </w:tc>
      </w:tr>
      <w:tr w:rsidR="00000000" w14:paraId="764745A2" w14:textId="77777777">
        <w:trPr>
          <w:divId w:val="506092607"/>
          <w:jc w:val="right"/>
        </w:trPr>
        <w:tc>
          <w:tcPr>
            <w:tcW w:w="0" w:type="auto"/>
            <w:gridSpan w:val="3"/>
            <w:vAlign w:val="center"/>
            <w:hideMark/>
          </w:tcPr>
          <w:p w14:paraId="5650AD59" w14:textId="77777777" w:rsidR="00000000" w:rsidRDefault="001D0688">
            <w:pPr>
              <w:jc w:val="right"/>
              <w:rPr>
                <w:rFonts w:eastAsia="Times New Roman"/>
                <w:sz w:val="20"/>
                <w:szCs w:val="20"/>
              </w:rPr>
            </w:pPr>
          </w:p>
        </w:tc>
        <w:tc>
          <w:tcPr>
            <w:tcW w:w="0" w:type="auto"/>
            <w:gridSpan w:val="3"/>
            <w:vAlign w:val="center"/>
            <w:hideMark/>
          </w:tcPr>
          <w:p w14:paraId="7017263E" w14:textId="77777777" w:rsidR="00000000" w:rsidRDefault="001D0688">
            <w:pPr>
              <w:rPr>
                <w:rFonts w:eastAsia="Times New Roman"/>
                <w:sz w:val="20"/>
                <w:szCs w:val="20"/>
              </w:rPr>
            </w:pPr>
          </w:p>
        </w:tc>
        <w:tc>
          <w:tcPr>
            <w:tcW w:w="0" w:type="auto"/>
            <w:gridSpan w:val="3"/>
            <w:vAlign w:val="center"/>
            <w:hideMark/>
          </w:tcPr>
          <w:p w14:paraId="4322FC7A" w14:textId="77777777" w:rsidR="00000000" w:rsidRDefault="001D0688">
            <w:pPr>
              <w:rPr>
                <w:rFonts w:eastAsia="Times New Roman"/>
                <w:sz w:val="20"/>
                <w:szCs w:val="20"/>
              </w:rPr>
            </w:pPr>
          </w:p>
        </w:tc>
        <w:tc>
          <w:tcPr>
            <w:tcW w:w="0" w:type="auto"/>
            <w:gridSpan w:val="3"/>
            <w:vAlign w:val="center"/>
            <w:hideMark/>
          </w:tcPr>
          <w:p w14:paraId="303CBA26" w14:textId="77777777" w:rsidR="00000000" w:rsidRDefault="001D0688">
            <w:pPr>
              <w:rPr>
                <w:rFonts w:eastAsia="Times New Roman"/>
                <w:sz w:val="20"/>
                <w:szCs w:val="20"/>
              </w:rPr>
            </w:pPr>
          </w:p>
        </w:tc>
        <w:tc>
          <w:tcPr>
            <w:tcW w:w="0" w:type="auto"/>
            <w:gridSpan w:val="3"/>
            <w:vAlign w:val="center"/>
            <w:hideMark/>
          </w:tcPr>
          <w:p w14:paraId="24BE17E0" w14:textId="77777777" w:rsidR="00000000" w:rsidRDefault="001D0688">
            <w:pPr>
              <w:rPr>
                <w:rFonts w:eastAsia="Times New Roman"/>
                <w:sz w:val="20"/>
                <w:szCs w:val="20"/>
              </w:rPr>
            </w:pPr>
          </w:p>
        </w:tc>
        <w:tc>
          <w:tcPr>
            <w:tcW w:w="0" w:type="auto"/>
            <w:gridSpan w:val="3"/>
            <w:vAlign w:val="center"/>
            <w:hideMark/>
          </w:tcPr>
          <w:p w14:paraId="2BA6BE93" w14:textId="77777777" w:rsidR="00000000" w:rsidRDefault="001D0688">
            <w:pPr>
              <w:rPr>
                <w:rFonts w:eastAsia="Times New Roman"/>
                <w:sz w:val="20"/>
                <w:szCs w:val="20"/>
              </w:rPr>
            </w:pPr>
          </w:p>
        </w:tc>
        <w:tc>
          <w:tcPr>
            <w:tcW w:w="0" w:type="auto"/>
            <w:gridSpan w:val="3"/>
            <w:vAlign w:val="center"/>
            <w:hideMark/>
          </w:tcPr>
          <w:p w14:paraId="36E9CAD8" w14:textId="77777777" w:rsidR="00000000" w:rsidRDefault="001D0688">
            <w:pPr>
              <w:rPr>
                <w:rFonts w:eastAsia="Times New Roman"/>
                <w:sz w:val="20"/>
                <w:szCs w:val="20"/>
              </w:rPr>
            </w:pPr>
          </w:p>
        </w:tc>
        <w:tc>
          <w:tcPr>
            <w:tcW w:w="0" w:type="auto"/>
            <w:gridSpan w:val="3"/>
            <w:vAlign w:val="center"/>
            <w:hideMark/>
          </w:tcPr>
          <w:p w14:paraId="42179836" w14:textId="77777777" w:rsidR="00000000" w:rsidRDefault="001D0688">
            <w:pPr>
              <w:rPr>
                <w:rFonts w:eastAsia="Times New Roman"/>
                <w:sz w:val="20"/>
                <w:szCs w:val="20"/>
              </w:rPr>
            </w:pPr>
          </w:p>
        </w:tc>
        <w:tc>
          <w:tcPr>
            <w:tcW w:w="0" w:type="auto"/>
            <w:gridSpan w:val="3"/>
            <w:vAlign w:val="center"/>
            <w:hideMark/>
          </w:tcPr>
          <w:p w14:paraId="1E371DFF" w14:textId="77777777" w:rsidR="00000000" w:rsidRDefault="001D0688">
            <w:pPr>
              <w:rPr>
                <w:rFonts w:eastAsia="Times New Roman"/>
                <w:sz w:val="20"/>
                <w:szCs w:val="20"/>
              </w:rPr>
            </w:pPr>
          </w:p>
        </w:tc>
        <w:tc>
          <w:tcPr>
            <w:tcW w:w="0" w:type="auto"/>
            <w:gridSpan w:val="3"/>
            <w:vAlign w:val="center"/>
            <w:hideMark/>
          </w:tcPr>
          <w:p w14:paraId="438672F6" w14:textId="77777777" w:rsidR="00000000" w:rsidRDefault="001D0688">
            <w:pPr>
              <w:rPr>
                <w:rFonts w:eastAsia="Times New Roman"/>
                <w:sz w:val="20"/>
                <w:szCs w:val="20"/>
              </w:rPr>
            </w:pPr>
          </w:p>
        </w:tc>
        <w:tc>
          <w:tcPr>
            <w:tcW w:w="0" w:type="auto"/>
            <w:gridSpan w:val="3"/>
            <w:vAlign w:val="center"/>
            <w:hideMark/>
          </w:tcPr>
          <w:p w14:paraId="17F53178" w14:textId="77777777" w:rsidR="00000000" w:rsidRDefault="001D0688">
            <w:pPr>
              <w:rPr>
                <w:rFonts w:eastAsia="Times New Roman"/>
                <w:sz w:val="20"/>
                <w:szCs w:val="20"/>
              </w:rPr>
            </w:pPr>
          </w:p>
        </w:tc>
        <w:tc>
          <w:tcPr>
            <w:tcW w:w="0" w:type="auto"/>
            <w:gridSpan w:val="3"/>
            <w:vAlign w:val="center"/>
            <w:hideMark/>
          </w:tcPr>
          <w:p w14:paraId="347783DD" w14:textId="77777777" w:rsidR="00000000" w:rsidRDefault="001D0688">
            <w:pPr>
              <w:rPr>
                <w:rFonts w:eastAsia="Times New Roman"/>
                <w:sz w:val="20"/>
                <w:szCs w:val="20"/>
              </w:rPr>
            </w:pPr>
          </w:p>
        </w:tc>
        <w:tc>
          <w:tcPr>
            <w:tcW w:w="0" w:type="auto"/>
            <w:gridSpan w:val="3"/>
            <w:vAlign w:val="center"/>
            <w:hideMark/>
          </w:tcPr>
          <w:p w14:paraId="680A82C2" w14:textId="77777777" w:rsidR="00000000" w:rsidRDefault="001D0688">
            <w:pPr>
              <w:rPr>
                <w:rFonts w:eastAsia="Times New Roman"/>
                <w:sz w:val="20"/>
                <w:szCs w:val="20"/>
              </w:rPr>
            </w:pPr>
          </w:p>
        </w:tc>
      </w:tr>
      <w:tr w:rsidR="00000000" w14:paraId="29429FBE" w14:textId="77777777">
        <w:trPr>
          <w:divId w:val="506092607"/>
          <w:jc w:val="right"/>
        </w:trPr>
        <w:tc>
          <w:tcPr>
            <w:tcW w:w="0" w:type="auto"/>
            <w:gridSpan w:val="3"/>
            <w:shd w:val="clear" w:color="auto" w:fill="FFFFFF"/>
            <w:tcMar>
              <w:top w:w="30" w:type="dxa"/>
              <w:left w:w="20" w:type="dxa"/>
              <w:bottom w:w="30" w:type="dxa"/>
              <w:right w:w="20" w:type="dxa"/>
            </w:tcMar>
            <w:vAlign w:val="bottom"/>
            <w:hideMark/>
          </w:tcPr>
          <w:p w14:paraId="27474D0B" w14:textId="77777777" w:rsidR="00000000" w:rsidRDefault="001D0688">
            <w:pPr>
              <w:rPr>
                <w:rFonts w:eastAsia="Times New Roman"/>
              </w:rPr>
            </w:pPr>
            <w:r>
              <w:rPr>
                <w:rFonts w:ascii="Arial" w:eastAsia="Times New Roman" w:hAnsi="Arial" w:cs="Arial"/>
                <w:b/>
                <w:bCs/>
                <w:color w:val="000000"/>
                <w:sz w:val="18"/>
                <w:szCs w:val="18"/>
              </w:rPr>
              <w:t>Balance, October 31, 2019</w:t>
            </w:r>
          </w:p>
        </w:tc>
        <w:tc>
          <w:tcPr>
            <w:tcW w:w="0" w:type="auto"/>
            <w:gridSpan w:val="3"/>
            <w:shd w:val="clear" w:color="auto" w:fill="FFFFFF"/>
            <w:tcMar>
              <w:top w:w="0" w:type="dxa"/>
              <w:left w:w="20" w:type="dxa"/>
              <w:bottom w:w="0" w:type="dxa"/>
              <w:right w:w="20" w:type="dxa"/>
            </w:tcMar>
            <w:vAlign w:val="center"/>
            <w:hideMark/>
          </w:tcPr>
          <w:p w14:paraId="756355C4" w14:textId="77777777" w:rsidR="00000000" w:rsidRDefault="001D0688">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DE37E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14D638" w14:textId="77777777" w:rsidR="00000000" w:rsidRDefault="001D0688">
            <w:pPr>
              <w:jc w:val="right"/>
              <w:rPr>
                <w:rFonts w:eastAsia="Times New Roman"/>
              </w:rPr>
            </w:pPr>
            <w:r>
              <w:rPr>
                <w:rFonts w:ascii="Arial" w:eastAsia="Times New Roman" w:hAnsi="Arial" w:cs="Arial"/>
                <w:color w:val="000000"/>
                <w:sz w:val="18"/>
                <w:szCs w:val="18"/>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6AE8B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E0A5F"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90B55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8A2B8A" w14:textId="77777777" w:rsidR="00000000" w:rsidRDefault="001D0688">
            <w:pPr>
              <w:jc w:val="right"/>
              <w:rPr>
                <w:rFonts w:eastAsia="Times New Roman"/>
              </w:rPr>
            </w:pPr>
            <w:r>
              <w:rPr>
                <w:rFonts w:ascii="Arial" w:eastAsia="Times New Roman" w:hAnsi="Arial" w:cs="Arial"/>
                <w:color w:val="000000"/>
                <w:sz w:val="18"/>
                <w:szCs w:val="18"/>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B531E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89D3F"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C55F6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EA4412" w14:textId="77777777" w:rsidR="00000000" w:rsidRDefault="001D0688">
            <w:pPr>
              <w:jc w:val="right"/>
              <w:rPr>
                <w:rFonts w:eastAsia="Times New Roman"/>
              </w:rPr>
            </w:pPr>
            <w:r>
              <w:rPr>
                <w:rFonts w:ascii="Arial" w:eastAsia="Times New Roman" w:hAnsi="Arial" w:cs="Arial"/>
                <w:color w:val="000000"/>
                <w:sz w:val="18"/>
                <w:szCs w:val="18"/>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4222D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00DDE"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60BD1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43D59C" w14:textId="77777777" w:rsidR="00000000" w:rsidRDefault="001D0688">
            <w:pPr>
              <w:jc w:val="right"/>
              <w:rPr>
                <w:rFonts w:eastAsia="Times New Roman"/>
              </w:rPr>
            </w:pPr>
            <w:r>
              <w:rPr>
                <w:rFonts w:ascii="Arial" w:eastAsia="Times New Roman" w:hAnsi="Arial" w:cs="Arial"/>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666D8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3D1AC"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0F64DC"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9D40AA"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66D1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3A8BB"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7CC935"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3F9D5F" w14:textId="77777777" w:rsidR="00000000" w:rsidRDefault="001D0688">
            <w:pPr>
              <w:jc w:val="right"/>
              <w:rPr>
                <w:rFonts w:eastAsia="Times New Roman"/>
              </w:rPr>
            </w:pPr>
            <w:r>
              <w:rPr>
                <w:rFonts w:ascii="Arial" w:eastAsia="Times New Roman" w:hAnsi="Arial" w:cs="Arial"/>
                <w:color w:val="000000"/>
                <w:sz w:val="18"/>
                <w:szCs w:val="18"/>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84F1F3" w14:textId="77777777" w:rsidR="00000000" w:rsidRDefault="001D0688">
            <w:pPr>
              <w:jc w:val="right"/>
              <w:rPr>
                <w:rFonts w:eastAsia="Times New Roman"/>
              </w:rPr>
            </w:pPr>
          </w:p>
        </w:tc>
      </w:tr>
      <w:tr w:rsidR="00000000" w14:paraId="51582FE0" w14:textId="77777777">
        <w:trPr>
          <w:divId w:val="506092607"/>
          <w:jc w:val="right"/>
        </w:trPr>
        <w:tc>
          <w:tcPr>
            <w:tcW w:w="0" w:type="auto"/>
            <w:gridSpan w:val="3"/>
            <w:shd w:val="clear" w:color="auto" w:fill="DCE2EF"/>
            <w:tcMar>
              <w:top w:w="30" w:type="dxa"/>
              <w:left w:w="20" w:type="dxa"/>
              <w:bottom w:w="30" w:type="dxa"/>
              <w:right w:w="20" w:type="dxa"/>
            </w:tcMar>
            <w:vAlign w:val="bottom"/>
            <w:hideMark/>
          </w:tcPr>
          <w:p w14:paraId="7BF6F2CB" w14:textId="77777777" w:rsidR="00000000" w:rsidRDefault="001D0688">
            <w:pPr>
              <w:divId w:val="1367559846"/>
              <w:rPr>
                <w:rFonts w:eastAsia="Times New Roman"/>
              </w:rPr>
            </w:pPr>
            <w:r>
              <w:rPr>
                <w:rFonts w:ascii="Arial" w:eastAsia="Times New Roman" w:hAnsi="Arial" w:cs="Arial"/>
                <w:color w:val="000000"/>
                <w:sz w:val="18"/>
                <w:szCs w:val="18"/>
              </w:rPr>
              <w:t>Costs recognize</w:t>
            </w:r>
            <w:r>
              <w:rPr>
                <w:rFonts w:ascii="Arial" w:eastAsia="Times New Roman" w:hAnsi="Arial" w:cs="Arial"/>
                <w:color w:val="000000"/>
                <w:sz w:val="18"/>
                <w:szCs w:val="18"/>
              </w:rPr>
              <w:t>d</w:t>
            </w: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p>
        </w:tc>
        <w:tc>
          <w:tcPr>
            <w:tcW w:w="0" w:type="auto"/>
            <w:gridSpan w:val="3"/>
            <w:shd w:val="clear" w:color="auto" w:fill="DCE2EF"/>
            <w:tcMar>
              <w:top w:w="0" w:type="dxa"/>
              <w:left w:w="20" w:type="dxa"/>
              <w:bottom w:w="0" w:type="dxa"/>
              <w:right w:w="20" w:type="dxa"/>
            </w:tcMar>
            <w:vAlign w:val="center"/>
            <w:hideMark/>
          </w:tcPr>
          <w:p w14:paraId="4BCD4D7B" w14:textId="77777777" w:rsidR="00000000" w:rsidRDefault="001D0688">
            <w:pPr>
              <w:rPr>
                <w:rFonts w:eastAsia="Times New Roman"/>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1E224BB7" w14:textId="77777777" w:rsidR="00000000" w:rsidRDefault="001D0688">
            <w:pPr>
              <w:jc w:val="right"/>
              <w:rPr>
                <w:rFonts w:eastAsia="Times New Roman"/>
              </w:rPr>
            </w:pPr>
            <w:r>
              <w:rPr>
                <w:rFonts w:ascii="Arial" w:eastAsia="Times New Roman" w:hAnsi="Arial" w:cs="Arial"/>
                <w:color w:val="000000"/>
                <w:sz w:val="18"/>
                <w:szCs w:val="18"/>
              </w:rPr>
              <w:t>1.4 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24BF71C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7C2E37"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3A05CECB" w14:textId="77777777" w:rsidR="00000000" w:rsidRDefault="001D0688">
            <w:pPr>
              <w:jc w:val="right"/>
              <w:rPr>
                <w:rFonts w:eastAsia="Times New Roman"/>
              </w:rPr>
            </w:pPr>
            <w:r>
              <w:rPr>
                <w:rFonts w:ascii="Arial" w:eastAsia="Times New Roman" w:hAnsi="Arial" w:cs="Arial"/>
                <w:color w:val="000000"/>
                <w:sz w:val="18"/>
                <w:szCs w:val="18"/>
              </w:rPr>
              <w:t>0.3 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0BDB214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989155"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280C6357" w14:textId="77777777" w:rsidR="00000000" w:rsidRDefault="001D0688">
            <w:pPr>
              <w:jc w:val="right"/>
              <w:rPr>
                <w:rFonts w:eastAsia="Times New Roman"/>
              </w:rPr>
            </w:pPr>
            <w:r>
              <w:rPr>
                <w:rFonts w:ascii="Arial" w:eastAsia="Times New Roman" w:hAnsi="Arial" w:cs="Arial"/>
                <w:color w:val="000000"/>
                <w:sz w:val="18"/>
                <w:szCs w:val="18"/>
              </w:rPr>
              <w:t>3.2 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7E4BC50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D1FE13"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020CEDA8" w14:textId="77777777" w:rsidR="00000000" w:rsidRDefault="001D0688">
            <w:pPr>
              <w:jc w:val="right"/>
              <w:rPr>
                <w:rFonts w:eastAsia="Times New Roman"/>
              </w:rPr>
            </w:pPr>
            <w:r>
              <w:rPr>
                <w:rFonts w:ascii="Arial" w:eastAsia="Times New Roman" w:hAnsi="Arial" w:cs="Arial"/>
                <w:color w:val="000000"/>
                <w:sz w:val="18"/>
                <w:szCs w:val="18"/>
              </w:rPr>
              <w:t>2.7 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4505F5D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B4E83E"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073E404F"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7A35C97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80132E"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586CCA43" w14:textId="77777777" w:rsidR="00000000" w:rsidRDefault="001D0688">
            <w:pPr>
              <w:jc w:val="right"/>
              <w:rPr>
                <w:rFonts w:eastAsia="Times New Roman"/>
              </w:rPr>
            </w:pPr>
            <w:r>
              <w:rPr>
                <w:rFonts w:ascii="Arial" w:eastAsia="Times New Roman" w:hAnsi="Arial" w:cs="Arial"/>
                <w:color w:val="000000"/>
                <w:sz w:val="18"/>
                <w:szCs w:val="18"/>
              </w:rPr>
              <w:t>7.6 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60986499" w14:textId="77777777" w:rsidR="00000000" w:rsidRDefault="001D0688">
            <w:pPr>
              <w:jc w:val="right"/>
              <w:rPr>
                <w:rFonts w:eastAsia="Times New Roman"/>
              </w:rPr>
            </w:pPr>
          </w:p>
        </w:tc>
      </w:tr>
      <w:tr w:rsidR="00000000" w14:paraId="43AF4EAB" w14:textId="77777777">
        <w:trPr>
          <w:divId w:val="506092607"/>
          <w:jc w:val="right"/>
        </w:trPr>
        <w:tc>
          <w:tcPr>
            <w:tcW w:w="0" w:type="auto"/>
            <w:gridSpan w:val="3"/>
            <w:shd w:val="clear" w:color="auto" w:fill="FFFFFF"/>
            <w:tcMar>
              <w:top w:w="30" w:type="dxa"/>
              <w:left w:w="155" w:type="dxa"/>
              <w:bottom w:w="30" w:type="dxa"/>
              <w:right w:w="20" w:type="dxa"/>
            </w:tcMar>
            <w:vAlign w:val="bottom"/>
            <w:hideMark/>
          </w:tcPr>
          <w:p w14:paraId="3F318C9A" w14:textId="77777777" w:rsidR="00000000" w:rsidRDefault="001D0688">
            <w:pPr>
              <w:rPr>
                <w:rFonts w:eastAsia="Times New Roman"/>
              </w:rPr>
            </w:pPr>
            <w:r>
              <w:rPr>
                <w:rFonts w:ascii="Arial" w:eastAsia="Times New Roman" w:hAnsi="Arial" w:cs="Arial"/>
                <w:color w:val="000000"/>
                <w:sz w:val="18"/>
                <w:szCs w:val="18"/>
              </w:rPr>
              <w:t>Payments</w:t>
            </w:r>
          </w:p>
        </w:tc>
        <w:tc>
          <w:tcPr>
            <w:tcW w:w="0" w:type="auto"/>
            <w:gridSpan w:val="3"/>
            <w:shd w:val="clear" w:color="auto" w:fill="FFFFFF"/>
            <w:tcMar>
              <w:top w:w="0" w:type="dxa"/>
              <w:left w:w="20" w:type="dxa"/>
              <w:bottom w:w="0" w:type="dxa"/>
              <w:right w:w="20" w:type="dxa"/>
            </w:tcMar>
            <w:vAlign w:val="center"/>
            <w:hideMark/>
          </w:tcPr>
          <w:p w14:paraId="6AEBBCD2"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B7AC10" w14:textId="77777777" w:rsidR="00000000" w:rsidRDefault="001D0688">
            <w:pPr>
              <w:jc w:val="right"/>
              <w:rPr>
                <w:rFonts w:eastAsia="Times New Roman"/>
              </w:rPr>
            </w:pPr>
            <w:r>
              <w:rPr>
                <w:rFonts w:ascii="Arial" w:eastAsia="Times New Roman" w:hAnsi="Arial" w:cs="Arial"/>
                <w:color w:val="000000"/>
                <w:sz w:val="20"/>
                <w:szCs w:val="20"/>
              </w:rPr>
              <w:t>(1.9)</w:t>
            </w:r>
          </w:p>
        </w:tc>
        <w:tc>
          <w:tcPr>
            <w:tcW w:w="0" w:type="auto"/>
            <w:shd w:val="clear" w:color="auto" w:fill="FFFFFF"/>
            <w:tcMar>
              <w:top w:w="30" w:type="dxa"/>
              <w:left w:w="0" w:type="dxa"/>
              <w:bottom w:w="30" w:type="dxa"/>
              <w:right w:w="20" w:type="dxa"/>
            </w:tcMar>
            <w:vAlign w:val="bottom"/>
            <w:hideMark/>
          </w:tcPr>
          <w:p w14:paraId="5150D1A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8E16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3BA9B9" w14:textId="77777777" w:rsidR="00000000" w:rsidRDefault="001D0688">
            <w:pPr>
              <w:jc w:val="right"/>
              <w:rPr>
                <w:rFonts w:eastAsia="Times New Roman"/>
              </w:rPr>
            </w:pPr>
            <w:r>
              <w:rPr>
                <w:rFonts w:ascii="Arial" w:eastAsia="Times New Roman" w:hAnsi="Arial" w:cs="Arial"/>
                <w:color w:val="000000"/>
                <w:sz w:val="18"/>
                <w:szCs w:val="18"/>
              </w:rPr>
              <w:t>(2.0)</w:t>
            </w:r>
          </w:p>
        </w:tc>
        <w:tc>
          <w:tcPr>
            <w:tcW w:w="0" w:type="auto"/>
            <w:shd w:val="clear" w:color="auto" w:fill="FFFFFF"/>
            <w:tcMar>
              <w:top w:w="30" w:type="dxa"/>
              <w:left w:w="0" w:type="dxa"/>
              <w:bottom w:w="30" w:type="dxa"/>
              <w:right w:w="20" w:type="dxa"/>
            </w:tcMar>
            <w:vAlign w:val="bottom"/>
            <w:hideMark/>
          </w:tcPr>
          <w:p w14:paraId="35EAE35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159B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7C007A" w14:textId="77777777" w:rsidR="00000000" w:rsidRDefault="001D0688">
            <w:pPr>
              <w:jc w:val="right"/>
              <w:rPr>
                <w:rFonts w:eastAsia="Times New Roman"/>
              </w:rPr>
            </w:pPr>
            <w:r>
              <w:rPr>
                <w:rFonts w:ascii="Arial" w:eastAsia="Times New Roman" w:hAnsi="Arial" w:cs="Arial"/>
                <w:color w:val="000000"/>
                <w:sz w:val="18"/>
                <w:szCs w:val="18"/>
              </w:rPr>
              <w:t>(3.7)</w:t>
            </w:r>
          </w:p>
        </w:tc>
        <w:tc>
          <w:tcPr>
            <w:tcW w:w="0" w:type="auto"/>
            <w:shd w:val="clear" w:color="auto" w:fill="FFFFFF"/>
            <w:tcMar>
              <w:top w:w="30" w:type="dxa"/>
              <w:left w:w="0" w:type="dxa"/>
              <w:bottom w:w="30" w:type="dxa"/>
              <w:right w:w="20" w:type="dxa"/>
            </w:tcMar>
            <w:vAlign w:val="bottom"/>
            <w:hideMark/>
          </w:tcPr>
          <w:p w14:paraId="692AFBD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D72A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F445EF" w14:textId="77777777" w:rsidR="00000000" w:rsidRDefault="001D0688">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152BD6C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BCBB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2203A5"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27F2893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6C64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0FCE4" w14:textId="77777777" w:rsidR="00000000" w:rsidRDefault="001D0688">
            <w:pPr>
              <w:jc w:val="right"/>
              <w:rPr>
                <w:rFonts w:eastAsia="Times New Roman"/>
              </w:rPr>
            </w:pPr>
            <w:r>
              <w:rPr>
                <w:rFonts w:ascii="Arial" w:eastAsia="Times New Roman" w:hAnsi="Arial" w:cs="Arial"/>
                <w:color w:val="000000"/>
                <w:sz w:val="18"/>
                <w:szCs w:val="18"/>
              </w:rPr>
              <w:t>(7.9)</w:t>
            </w:r>
          </w:p>
        </w:tc>
        <w:tc>
          <w:tcPr>
            <w:tcW w:w="0" w:type="auto"/>
            <w:shd w:val="clear" w:color="auto" w:fill="FFFFFF"/>
            <w:tcMar>
              <w:top w:w="30" w:type="dxa"/>
              <w:left w:w="0" w:type="dxa"/>
              <w:bottom w:w="30" w:type="dxa"/>
              <w:right w:w="20" w:type="dxa"/>
            </w:tcMar>
            <w:vAlign w:val="bottom"/>
            <w:hideMark/>
          </w:tcPr>
          <w:p w14:paraId="10A276AC" w14:textId="77777777" w:rsidR="00000000" w:rsidRDefault="001D0688">
            <w:pPr>
              <w:jc w:val="right"/>
              <w:rPr>
                <w:rFonts w:eastAsia="Times New Roman"/>
              </w:rPr>
            </w:pPr>
          </w:p>
        </w:tc>
      </w:tr>
      <w:tr w:rsidR="00000000" w14:paraId="6F2D3A03" w14:textId="77777777">
        <w:trPr>
          <w:divId w:val="506092607"/>
          <w:jc w:val="right"/>
        </w:trPr>
        <w:tc>
          <w:tcPr>
            <w:tcW w:w="0" w:type="auto"/>
            <w:gridSpan w:val="3"/>
            <w:shd w:val="clear" w:color="auto" w:fill="DCE2EF"/>
            <w:tcMar>
              <w:top w:w="30" w:type="dxa"/>
              <w:left w:w="155" w:type="dxa"/>
              <w:bottom w:w="30" w:type="dxa"/>
              <w:right w:w="20" w:type="dxa"/>
            </w:tcMar>
            <w:vAlign w:val="bottom"/>
            <w:hideMark/>
          </w:tcPr>
          <w:p w14:paraId="3769DA14" w14:textId="77777777" w:rsidR="00000000" w:rsidRDefault="001D0688">
            <w:pPr>
              <w:rPr>
                <w:rFonts w:eastAsia="Times New Roman"/>
              </w:rPr>
            </w:pPr>
            <w:r>
              <w:rPr>
                <w:rFonts w:ascii="Arial" w:eastAsia="Times New Roman" w:hAnsi="Arial" w:cs="Arial"/>
                <w:color w:val="000000"/>
                <w:sz w:val="18"/>
                <w:szCs w:val="18"/>
              </w:rPr>
              <w:t>Non-cash items</w:t>
            </w:r>
          </w:p>
        </w:tc>
        <w:tc>
          <w:tcPr>
            <w:tcW w:w="0" w:type="auto"/>
            <w:gridSpan w:val="3"/>
            <w:shd w:val="clear" w:color="auto" w:fill="DCE2EF"/>
            <w:tcMar>
              <w:top w:w="0" w:type="dxa"/>
              <w:left w:w="20" w:type="dxa"/>
              <w:bottom w:w="0" w:type="dxa"/>
              <w:right w:w="20" w:type="dxa"/>
            </w:tcMar>
            <w:vAlign w:val="center"/>
            <w:hideMark/>
          </w:tcPr>
          <w:p w14:paraId="72DFF094"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41D4A44"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2B6C6C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F4A35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C2B6C1D"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8DF8C3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12371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D7B6BB" w14:textId="77777777" w:rsidR="00000000" w:rsidRDefault="001D0688">
            <w:pPr>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2A8A142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34F70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F500D0" w14:textId="77777777" w:rsidR="00000000" w:rsidRDefault="001D0688">
            <w:pPr>
              <w:jc w:val="right"/>
              <w:rPr>
                <w:rFonts w:eastAsia="Times New Roman"/>
              </w:rPr>
            </w:pPr>
            <w:r>
              <w:rPr>
                <w:rFonts w:ascii="Arial" w:eastAsia="Times New Roman" w:hAnsi="Arial" w:cs="Arial"/>
                <w:color w:val="000000"/>
                <w:sz w:val="18"/>
                <w:szCs w:val="18"/>
              </w:rPr>
              <w:t>(5.3)</w:t>
            </w:r>
          </w:p>
        </w:tc>
        <w:tc>
          <w:tcPr>
            <w:tcW w:w="0" w:type="auto"/>
            <w:shd w:val="clear" w:color="auto" w:fill="DCE2EF"/>
            <w:tcMar>
              <w:top w:w="30" w:type="dxa"/>
              <w:left w:w="0" w:type="dxa"/>
              <w:bottom w:w="30" w:type="dxa"/>
              <w:right w:w="20" w:type="dxa"/>
            </w:tcMar>
            <w:vAlign w:val="bottom"/>
            <w:hideMark/>
          </w:tcPr>
          <w:p w14:paraId="722CF36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83312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009022"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6DA65DB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65140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ABD804C" w14:textId="77777777" w:rsidR="00000000" w:rsidRDefault="001D0688">
            <w:pPr>
              <w:jc w:val="right"/>
              <w:rPr>
                <w:rFonts w:eastAsia="Times New Roman"/>
              </w:rPr>
            </w:pPr>
            <w:r>
              <w:rPr>
                <w:rFonts w:ascii="Arial" w:eastAsia="Times New Roman" w:hAnsi="Arial" w:cs="Arial"/>
                <w:color w:val="000000"/>
                <w:sz w:val="18"/>
                <w:szCs w:val="18"/>
              </w:rPr>
              <w:t>(5.4)</w:t>
            </w:r>
          </w:p>
        </w:tc>
        <w:tc>
          <w:tcPr>
            <w:tcW w:w="0" w:type="auto"/>
            <w:shd w:val="clear" w:color="auto" w:fill="DCE2EF"/>
            <w:tcMar>
              <w:top w:w="30" w:type="dxa"/>
              <w:left w:w="0" w:type="dxa"/>
              <w:bottom w:w="30" w:type="dxa"/>
              <w:right w:w="20" w:type="dxa"/>
            </w:tcMar>
            <w:vAlign w:val="bottom"/>
            <w:hideMark/>
          </w:tcPr>
          <w:p w14:paraId="72EFA8D7" w14:textId="77777777" w:rsidR="00000000" w:rsidRDefault="001D0688">
            <w:pPr>
              <w:jc w:val="right"/>
              <w:rPr>
                <w:rFonts w:eastAsia="Times New Roman"/>
              </w:rPr>
            </w:pPr>
          </w:p>
        </w:tc>
      </w:tr>
      <w:tr w:rsidR="00000000" w14:paraId="4A227766" w14:textId="77777777">
        <w:trPr>
          <w:divId w:val="506092607"/>
          <w:jc w:val="right"/>
        </w:trPr>
        <w:tc>
          <w:tcPr>
            <w:tcW w:w="0" w:type="auto"/>
            <w:gridSpan w:val="3"/>
            <w:shd w:val="clear" w:color="auto" w:fill="FFFFFF"/>
            <w:tcMar>
              <w:top w:w="30" w:type="dxa"/>
              <w:left w:w="20" w:type="dxa"/>
              <w:bottom w:w="30" w:type="dxa"/>
              <w:right w:w="20" w:type="dxa"/>
            </w:tcMar>
            <w:vAlign w:val="bottom"/>
            <w:hideMark/>
          </w:tcPr>
          <w:p w14:paraId="3517734F" w14:textId="77777777" w:rsidR="00000000" w:rsidRDefault="001D0688">
            <w:pPr>
              <w:rPr>
                <w:rFonts w:eastAsia="Times New Roman"/>
              </w:rPr>
            </w:pPr>
            <w:r>
              <w:rPr>
                <w:rFonts w:ascii="Arial" w:eastAsia="Times New Roman" w:hAnsi="Arial" w:cs="Arial"/>
                <w:b/>
                <w:bCs/>
                <w:color w:val="000000"/>
                <w:sz w:val="18"/>
                <w:szCs w:val="18"/>
              </w:rPr>
              <w:t>Balance, October 31, 2020</w:t>
            </w:r>
          </w:p>
        </w:tc>
        <w:tc>
          <w:tcPr>
            <w:tcW w:w="0" w:type="auto"/>
            <w:gridSpan w:val="3"/>
            <w:shd w:val="clear" w:color="auto" w:fill="FFFFFF"/>
            <w:tcMar>
              <w:top w:w="0" w:type="dxa"/>
              <w:left w:w="20" w:type="dxa"/>
              <w:bottom w:w="0" w:type="dxa"/>
              <w:right w:w="20" w:type="dxa"/>
            </w:tcMar>
            <w:vAlign w:val="center"/>
            <w:hideMark/>
          </w:tcPr>
          <w:p w14:paraId="5FAF7F08" w14:textId="77777777" w:rsidR="00000000" w:rsidRDefault="001D0688">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A92DD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51A74A"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8BB59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18D44"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551A68"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E2E42B" w14:textId="77777777" w:rsidR="00000000" w:rsidRDefault="001D0688">
            <w:pPr>
              <w:jc w:val="right"/>
              <w:rPr>
                <w:rFonts w:eastAsia="Times New Roman"/>
              </w:rPr>
            </w:pPr>
            <w:r>
              <w:rPr>
                <w:rFonts w:ascii="Arial" w:eastAsia="Times New Roman" w:hAnsi="Arial" w:cs="Arial"/>
                <w:color w:val="000000"/>
                <w:sz w:val="18"/>
                <w:szCs w:val="18"/>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581E0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525FE"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0F829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121534"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C43BC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599CD"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5A583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F8054A"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EF954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F1493"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04FE6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A19030"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254D3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F1CC8"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CFDF2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B195DD" w14:textId="77777777" w:rsidR="00000000" w:rsidRDefault="001D0688">
            <w:pPr>
              <w:jc w:val="right"/>
              <w:rPr>
                <w:rFonts w:eastAsia="Times New Roman"/>
              </w:rPr>
            </w:pPr>
            <w:r>
              <w:rPr>
                <w:rFonts w:ascii="Arial" w:eastAsia="Times New Roman" w:hAnsi="Arial" w:cs="Arial"/>
                <w:color w:val="000000"/>
                <w:sz w:val="18"/>
                <w:szCs w:val="18"/>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CF3B4B" w14:textId="77777777" w:rsidR="00000000" w:rsidRDefault="001D0688">
            <w:pPr>
              <w:jc w:val="right"/>
              <w:rPr>
                <w:rFonts w:eastAsia="Times New Roman"/>
              </w:rPr>
            </w:pPr>
          </w:p>
        </w:tc>
      </w:tr>
    </w:tbl>
    <w:p w14:paraId="274B6504" w14:textId="77777777" w:rsidR="00000000" w:rsidRDefault="001D0688">
      <w:pPr>
        <w:ind w:hanging="180"/>
        <w:jc w:val="both"/>
        <w:divId w:val="192421805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We include these costs within corporate expenses. </w:t>
      </w:r>
    </w:p>
    <w:p w14:paraId="126EFF95" w14:textId="77777777" w:rsidR="00000000" w:rsidRDefault="001D0688">
      <w:pPr>
        <w:jc w:val="both"/>
        <w:divId w:val="1734308887"/>
        <w:rPr>
          <w:rFonts w:eastAsia="Times New Roman"/>
        </w:rPr>
      </w:pPr>
      <w:r>
        <w:rPr>
          <w:rFonts w:ascii="Arial" w:eastAsia="Times New Roman" w:hAnsi="Arial" w:cs="Arial"/>
          <w:b/>
          <w:bCs/>
          <w:color w:val="0046AD"/>
          <w:sz w:val="20"/>
          <w:szCs w:val="20"/>
        </w:rPr>
        <w:t>Cumulative Restructuring and Related Charges</w:t>
      </w:r>
    </w:p>
    <w:tbl>
      <w:tblPr>
        <w:tblW w:w="5000" w:type="pct"/>
        <w:tblCellMar>
          <w:top w:w="15" w:type="dxa"/>
          <w:left w:w="15" w:type="dxa"/>
          <w:bottom w:w="15" w:type="dxa"/>
          <w:right w:w="15" w:type="dxa"/>
        </w:tblCellMar>
        <w:tblLook w:val="04A0" w:firstRow="1" w:lastRow="0" w:firstColumn="1" w:lastColumn="0" w:noHBand="0" w:noVBand="1"/>
      </w:tblPr>
      <w:tblGrid>
        <w:gridCol w:w="37"/>
        <w:gridCol w:w="1888"/>
        <w:gridCol w:w="36"/>
        <w:gridCol w:w="36"/>
        <w:gridCol w:w="36"/>
        <w:gridCol w:w="36"/>
        <w:gridCol w:w="122"/>
        <w:gridCol w:w="791"/>
        <w:gridCol w:w="36"/>
        <w:gridCol w:w="36"/>
        <w:gridCol w:w="36"/>
        <w:gridCol w:w="36"/>
        <w:gridCol w:w="122"/>
        <w:gridCol w:w="808"/>
        <w:gridCol w:w="36"/>
        <w:gridCol w:w="36"/>
        <w:gridCol w:w="36"/>
        <w:gridCol w:w="36"/>
        <w:gridCol w:w="122"/>
        <w:gridCol w:w="774"/>
        <w:gridCol w:w="36"/>
        <w:gridCol w:w="36"/>
        <w:gridCol w:w="36"/>
        <w:gridCol w:w="36"/>
        <w:gridCol w:w="121"/>
        <w:gridCol w:w="792"/>
        <w:gridCol w:w="36"/>
        <w:gridCol w:w="36"/>
        <w:gridCol w:w="36"/>
        <w:gridCol w:w="36"/>
        <w:gridCol w:w="122"/>
        <w:gridCol w:w="868"/>
        <w:gridCol w:w="36"/>
        <w:gridCol w:w="36"/>
        <w:gridCol w:w="36"/>
        <w:gridCol w:w="36"/>
        <w:gridCol w:w="121"/>
        <w:gridCol w:w="718"/>
        <w:gridCol w:w="36"/>
      </w:tblGrid>
      <w:tr w:rsidR="00000000" w14:paraId="67EF8DDB" w14:textId="77777777">
        <w:trPr>
          <w:divId w:val="1622373051"/>
        </w:trPr>
        <w:tc>
          <w:tcPr>
            <w:tcW w:w="50" w:type="pct"/>
            <w:vAlign w:val="center"/>
            <w:hideMark/>
          </w:tcPr>
          <w:p w14:paraId="474FA24A" w14:textId="77777777" w:rsidR="00000000" w:rsidRDefault="001D0688">
            <w:pPr>
              <w:jc w:val="both"/>
              <w:rPr>
                <w:rFonts w:eastAsia="Times New Roman"/>
              </w:rPr>
            </w:pPr>
          </w:p>
        </w:tc>
        <w:tc>
          <w:tcPr>
            <w:tcW w:w="1173" w:type="pct"/>
            <w:vAlign w:val="center"/>
            <w:hideMark/>
          </w:tcPr>
          <w:p w14:paraId="5511BC56" w14:textId="77777777" w:rsidR="00000000" w:rsidRDefault="001D0688">
            <w:pPr>
              <w:rPr>
                <w:rFonts w:eastAsia="Times New Roman"/>
                <w:sz w:val="20"/>
                <w:szCs w:val="20"/>
              </w:rPr>
            </w:pPr>
          </w:p>
        </w:tc>
        <w:tc>
          <w:tcPr>
            <w:tcW w:w="5" w:type="pct"/>
            <w:vAlign w:val="center"/>
            <w:hideMark/>
          </w:tcPr>
          <w:p w14:paraId="247305B6" w14:textId="77777777" w:rsidR="00000000" w:rsidRDefault="001D0688">
            <w:pPr>
              <w:rPr>
                <w:rFonts w:eastAsia="Times New Roman"/>
                <w:sz w:val="20"/>
                <w:szCs w:val="20"/>
              </w:rPr>
            </w:pPr>
          </w:p>
        </w:tc>
        <w:tc>
          <w:tcPr>
            <w:tcW w:w="5" w:type="pct"/>
            <w:vAlign w:val="center"/>
            <w:hideMark/>
          </w:tcPr>
          <w:p w14:paraId="6BAEE21E" w14:textId="77777777" w:rsidR="00000000" w:rsidRDefault="001D0688">
            <w:pPr>
              <w:rPr>
                <w:rFonts w:eastAsia="Times New Roman"/>
                <w:sz w:val="20"/>
                <w:szCs w:val="20"/>
              </w:rPr>
            </w:pPr>
          </w:p>
        </w:tc>
        <w:tc>
          <w:tcPr>
            <w:tcW w:w="26" w:type="pct"/>
            <w:vAlign w:val="center"/>
            <w:hideMark/>
          </w:tcPr>
          <w:p w14:paraId="2F259249" w14:textId="77777777" w:rsidR="00000000" w:rsidRDefault="001D0688">
            <w:pPr>
              <w:rPr>
                <w:rFonts w:eastAsia="Times New Roman"/>
                <w:sz w:val="20"/>
                <w:szCs w:val="20"/>
              </w:rPr>
            </w:pPr>
          </w:p>
        </w:tc>
        <w:tc>
          <w:tcPr>
            <w:tcW w:w="5" w:type="pct"/>
            <w:vAlign w:val="center"/>
            <w:hideMark/>
          </w:tcPr>
          <w:p w14:paraId="4F69B7E3" w14:textId="77777777" w:rsidR="00000000" w:rsidRDefault="001D0688">
            <w:pPr>
              <w:rPr>
                <w:rFonts w:eastAsia="Times New Roman"/>
                <w:sz w:val="20"/>
                <w:szCs w:val="20"/>
              </w:rPr>
            </w:pPr>
          </w:p>
        </w:tc>
        <w:tc>
          <w:tcPr>
            <w:tcW w:w="50" w:type="pct"/>
            <w:vAlign w:val="center"/>
            <w:hideMark/>
          </w:tcPr>
          <w:p w14:paraId="25C0503D" w14:textId="77777777" w:rsidR="00000000" w:rsidRDefault="001D0688">
            <w:pPr>
              <w:rPr>
                <w:rFonts w:eastAsia="Times New Roman"/>
                <w:sz w:val="20"/>
                <w:szCs w:val="20"/>
              </w:rPr>
            </w:pPr>
          </w:p>
        </w:tc>
        <w:tc>
          <w:tcPr>
            <w:tcW w:w="537" w:type="pct"/>
            <w:vAlign w:val="center"/>
            <w:hideMark/>
          </w:tcPr>
          <w:p w14:paraId="5DD306A8" w14:textId="77777777" w:rsidR="00000000" w:rsidRDefault="001D0688">
            <w:pPr>
              <w:rPr>
                <w:rFonts w:eastAsia="Times New Roman"/>
                <w:sz w:val="20"/>
                <w:szCs w:val="20"/>
              </w:rPr>
            </w:pPr>
          </w:p>
        </w:tc>
        <w:tc>
          <w:tcPr>
            <w:tcW w:w="5" w:type="pct"/>
            <w:vAlign w:val="center"/>
            <w:hideMark/>
          </w:tcPr>
          <w:p w14:paraId="03B3345A" w14:textId="77777777" w:rsidR="00000000" w:rsidRDefault="001D0688">
            <w:pPr>
              <w:rPr>
                <w:rFonts w:eastAsia="Times New Roman"/>
                <w:sz w:val="20"/>
                <w:szCs w:val="20"/>
              </w:rPr>
            </w:pPr>
          </w:p>
        </w:tc>
        <w:tc>
          <w:tcPr>
            <w:tcW w:w="5" w:type="pct"/>
            <w:vAlign w:val="center"/>
            <w:hideMark/>
          </w:tcPr>
          <w:p w14:paraId="0CEC0198" w14:textId="77777777" w:rsidR="00000000" w:rsidRDefault="001D0688">
            <w:pPr>
              <w:rPr>
                <w:rFonts w:eastAsia="Times New Roman"/>
                <w:sz w:val="20"/>
                <w:szCs w:val="20"/>
              </w:rPr>
            </w:pPr>
          </w:p>
        </w:tc>
        <w:tc>
          <w:tcPr>
            <w:tcW w:w="26" w:type="pct"/>
            <w:vAlign w:val="center"/>
            <w:hideMark/>
          </w:tcPr>
          <w:p w14:paraId="5505CDBA" w14:textId="77777777" w:rsidR="00000000" w:rsidRDefault="001D0688">
            <w:pPr>
              <w:rPr>
                <w:rFonts w:eastAsia="Times New Roman"/>
                <w:sz w:val="20"/>
                <w:szCs w:val="20"/>
              </w:rPr>
            </w:pPr>
          </w:p>
        </w:tc>
        <w:tc>
          <w:tcPr>
            <w:tcW w:w="5" w:type="pct"/>
            <w:vAlign w:val="center"/>
            <w:hideMark/>
          </w:tcPr>
          <w:p w14:paraId="5AB24A89" w14:textId="77777777" w:rsidR="00000000" w:rsidRDefault="001D0688">
            <w:pPr>
              <w:rPr>
                <w:rFonts w:eastAsia="Times New Roman"/>
                <w:sz w:val="20"/>
                <w:szCs w:val="20"/>
              </w:rPr>
            </w:pPr>
          </w:p>
        </w:tc>
        <w:tc>
          <w:tcPr>
            <w:tcW w:w="50" w:type="pct"/>
            <w:vAlign w:val="center"/>
            <w:hideMark/>
          </w:tcPr>
          <w:p w14:paraId="04E24E2D" w14:textId="77777777" w:rsidR="00000000" w:rsidRDefault="001D0688">
            <w:pPr>
              <w:rPr>
                <w:rFonts w:eastAsia="Times New Roman"/>
                <w:sz w:val="20"/>
                <w:szCs w:val="20"/>
              </w:rPr>
            </w:pPr>
          </w:p>
        </w:tc>
        <w:tc>
          <w:tcPr>
            <w:tcW w:w="537" w:type="pct"/>
            <w:vAlign w:val="center"/>
            <w:hideMark/>
          </w:tcPr>
          <w:p w14:paraId="78DDD71B" w14:textId="77777777" w:rsidR="00000000" w:rsidRDefault="001D0688">
            <w:pPr>
              <w:rPr>
                <w:rFonts w:eastAsia="Times New Roman"/>
                <w:sz w:val="20"/>
                <w:szCs w:val="20"/>
              </w:rPr>
            </w:pPr>
          </w:p>
        </w:tc>
        <w:tc>
          <w:tcPr>
            <w:tcW w:w="5" w:type="pct"/>
            <w:vAlign w:val="center"/>
            <w:hideMark/>
          </w:tcPr>
          <w:p w14:paraId="719220F0" w14:textId="77777777" w:rsidR="00000000" w:rsidRDefault="001D0688">
            <w:pPr>
              <w:rPr>
                <w:rFonts w:eastAsia="Times New Roman"/>
                <w:sz w:val="20"/>
                <w:szCs w:val="20"/>
              </w:rPr>
            </w:pPr>
          </w:p>
        </w:tc>
        <w:tc>
          <w:tcPr>
            <w:tcW w:w="5" w:type="pct"/>
            <w:vAlign w:val="center"/>
            <w:hideMark/>
          </w:tcPr>
          <w:p w14:paraId="0E069A64" w14:textId="77777777" w:rsidR="00000000" w:rsidRDefault="001D0688">
            <w:pPr>
              <w:rPr>
                <w:rFonts w:eastAsia="Times New Roman"/>
                <w:sz w:val="20"/>
                <w:szCs w:val="20"/>
              </w:rPr>
            </w:pPr>
          </w:p>
        </w:tc>
        <w:tc>
          <w:tcPr>
            <w:tcW w:w="26" w:type="pct"/>
            <w:vAlign w:val="center"/>
            <w:hideMark/>
          </w:tcPr>
          <w:p w14:paraId="2E5DA3E7" w14:textId="77777777" w:rsidR="00000000" w:rsidRDefault="001D0688">
            <w:pPr>
              <w:rPr>
                <w:rFonts w:eastAsia="Times New Roman"/>
                <w:sz w:val="20"/>
                <w:szCs w:val="20"/>
              </w:rPr>
            </w:pPr>
          </w:p>
        </w:tc>
        <w:tc>
          <w:tcPr>
            <w:tcW w:w="5" w:type="pct"/>
            <w:vAlign w:val="center"/>
            <w:hideMark/>
          </w:tcPr>
          <w:p w14:paraId="5965A9E3" w14:textId="77777777" w:rsidR="00000000" w:rsidRDefault="001D0688">
            <w:pPr>
              <w:rPr>
                <w:rFonts w:eastAsia="Times New Roman"/>
                <w:sz w:val="20"/>
                <w:szCs w:val="20"/>
              </w:rPr>
            </w:pPr>
          </w:p>
        </w:tc>
        <w:tc>
          <w:tcPr>
            <w:tcW w:w="50" w:type="pct"/>
            <w:vAlign w:val="center"/>
            <w:hideMark/>
          </w:tcPr>
          <w:p w14:paraId="2C33428E" w14:textId="77777777" w:rsidR="00000000" w:rsidRDefault="001D0688">
            <w:pPr>
              <w:rPr>
                <w:rFonts w:eastAsia="Times New Roman"/>
                <w:sz w:val="20"/>
                <w:szCs w:val="20"/>
              </w:rPr>
            </w:pPr>
          </w:p>
        </w:tc>
        <w:tc>
          <w:tcPr>
            <w:tcW w:w="537" w:type="pct"/>
            <w:vAlign w:val="center"/>
            <w:hideMark/>
          </w:tcPr>
          <w:p w14:paraId="458D1A4D" w14:textId="77777777" w:rsidR="00000000" w:rsidRDefault="001D0688">
            <w:pPr>
              <w:rPr>
                <w:rFonts w:eastAsia="Times New Roman"/>
                <w:sz w:val="20"/>
                <w:szCs w:val="20"/>
              </w:rPr>
            </w:pPr>
          </w:p>
        </w:tc>
        <w:tc>
          <w:tcPr>
            <w:tcW w:w="5" w:type="pct"/>
            <w:vAlign w:val="center"/>
            <w:hideMark/>
          </w:tcPr>
          <w:p w14:paraId="5136D835" w14:textId="77777777" w:rsidR="00000000" w:rsidRDefault="001D0688">
            <w:pPr>
              <w:rPr>
                <w:rFonts w:eastAsia="Times New Roman"/>
                <w:sz w:val="20"/>
                <w:szCs w:val="20"/>
              </w:rPr>
            </w:pPr>
          </w:p>
        </w:tc>
        <w:tc>
          <w:tcPr>
            <w:tcW w:w="5" w:type="pct"/>
            <w:vAlign w:val="center"/>
            <w:hideMark/>
          </w:tcPr>
          <w:p w14:paraId="40115A19" w14:textId="77777777" w:rsidR="00000000" w:rsidRDefault="001D0688">
            <w:pPr>
              <w:rPr>
                <w:rFonts w:eastAsia="Times New Roman"/>
                <w:sz w:val="20"/>
                <w:szCs w:val="20"/>
              </w:rPr>
            </w:pPr>
          </w:p>
        </w:tc>
        <w:tc>
          <w:tcPr>
            <w:tcW w:w="26" w:type="pct"/>
            <w:vAlign w:val="center"/>
            <w:hideMark/>
          </w:tcPr>
          <w:p w14:paraId="74BA39AF" w14:textId="77777777" w:rsidR="00000000" w:rsidRDefault="001D0688">
            <w:pPr>
              <w:rPr>
                <w:rFonts w:eastAsia="Times New Roman"/>
                <w:sz w:val="20"/>
                <w:szCs w:val="20"/>
              </w:rPr>
            </w:pPr>
          </w:p>
        </w:tc>
        <w:tc>
          <w:tcPr>
            <w:tcW w:w="5" w:type="pct"/>
            <w:vAlign w:val="center"/>
            <w:hideMark/>
          </w:tcPr>
          <w:p w14:paraId="2743EF27" w14:textId="77777777" w:rsidR="00000000" w:rsidRDefault="001D0688">
            <w:pPr>
              <w:rPr>
                <w:rFonts w:eastAsia="Times New Roman"/>
                <w:sz w:val="20"/>
                <w:szCs w:val="20"/>
              </w:rPr>
            </w:pPr>
          </w:p>
        </w:tc>
        <w:tc>
          <w:tcPr>
            <w:tcW w:w="50" w:type="pct"/>
            <w:vAlign w:val="center"/>
            <w:hideMark/>
          </w:tcPr>
          <w:p w14:paraId="743A7951" w14:textId="77777777" w:rsidR="00000000" w:rsidRDefault="001D0688">
            <w:pPr>
              <w:rPr>
                <w:rFonts w:eastAsia="Times New Roman"/>
                <w:sz w:val="20"/>
                <w:szCs w:val="20"/>
              </w:rPr>
            </w:pPr>
          </w:p>
        </w:tc>
        <w:tc>
          <w:tcPr>
            <w:tcW w:w="537" w:type="pct"/>
            <w:vAlign w:val="center"/>
            <w:hideMark/>
          </w:tcPr>
          <w:p w14:paraId="024D0394" w14:textId="77777777" w:rsidR="00000000" w:rsidRDefault="001D0688">
            <w:pPr>
              <w:rPr>
                <w:rFonts w:eastAsia="Times New Roman"/>
                <w:sz w:val="20"/>
                <w:szCs w:val="20"/>
              </w:rPr>
            </w:pPr>
          </w:p>
        </w:tc>
        <w:tc>
          <w:tcPr>
            <w:tcW w:w="5" w:type="pct"/>
            <w:vAlign w:val="center"/>
            <w:hideMark/>
          </w:tcPr>
          <w:p w14:paraId="5F8EEEA6" w14:textId="77777777" w:rsidR="00000000" w:rsidRDefault="001D0688">
            <w:pPr>
              <w:rPr>
                <w:rFonts w:eastAsia="Times New Roman"/>
                <w:sz w:val="20"/>
                <w:szCs w:val="20"/>
              </w:rPr>
            </w:pPr>
          </w:p>
        </w:tc>
        <w:tc>
          <w:tcPr>
            <w:tcW w:w="5" w:type="pct"/>
            <w:vAlign w:val="center"/>
            <w:hideMark/>
          </w:tcPr>
          <w:p w14:paraId="096644C1" w14:textId="77777777" w:rsidR="00000000" w:rsidRDefault="001D0688">
            <w:pPr>
              <w:rPr>
                <w:rFonts w:eastAsia="Times New Roman"/>
                <w:sz w:val="20"/>
                <w:szCs w:val="20"/>
              </w:rPr>
            </w:pPr>
          </w:p>
        </w:tc>
        <w:tc>
          <w:tcPr>
            <w:tcW w:w="26" w:type="pct"/>
            <w:vAlign w:val="center"/>
            <w:hideMark/>
          </w:tcPr>
          <w:p w14:paraId="3368608D" w14:textId="77777777" w:rsidR="00000000" w:rsidRDefault="001D0688">
            <w:pPr>
              <w:rPr>
                <w:rFonts w:eastAsia="Times New Roman"/>
                <w:sz w:val="20"/>
                <w:szCs w:val="20"/>
              </w:rPr>
            </w:pPr>
          </w:p>
        </w:tc>
        <w:tc>
          <w:tcPr>
            <w:tcW w:w="5" w:type="pct"/>
            <w:vAlign w:val="center"/>
            <w:hideMark/>
          </w:tcPr>
          <w:p w14:paraId="464CE327" w14:textId="77777777" w:rsidR="00000000" w:rsidRDefault="001D0688">
            <w:pPr>
              <w:rPr>
                <w:rFonts w:eastAsia="Times New Roman"/>
                <w:sz w:val="20"/>
                <w:szCs w:val="20"/>
              </w:rPr>
            </w:pPr>
          </w:p>
        </w:tc>
        <w:tc>
          <w:tcPr>
            <w:tcW w:w="50" w:type="pct"/>
            <w:vAlign w:val="center"/>
            <w:hideMark/>
          </w:tcPr>
          <w:p w14:paraId="0EB33885" w14:textId="77777777" w:rsidR="00000000" w:rsidRDefault="001D0688">
            <w:pPr>
              <w:rPr>
                <w:rFonts w:eastAsia="Times New Roman"/>
                <w:sz w:val="20"/>
                <w:szCs w:val="20"/>
              </w:rPr>
            </w:pPr>
          </w:p>
        </w:tc>
        <w:tc>
          <w:tcPr>
            <w:tcW w:w="537" w:type="pct"/>
            <w:vAlign w:val="center"/>
            <w:hideMark/>
          </w:tcPr>
          <w:p w14:paraId="0C8C08A2" w14:textId="77777777" w:rsidR="00000000" w:rsidRDefault="001D0688">
            <w:pPr>
              <w:rPr>
                <w:rFonts w:eastAsia="Times New Roman"/>
                <w:sz w:val="20"/>
                <w:szCs w:val="20"/>
              </w:rPr>
            </w:pPr>
          </w:p>
        </w:tc>
        <w:tc>
          <w:tcPr>
            <w:tcW w:w="5" w:type="pct"/>
            <w:vAlign w:val="center"/>
            <w:hideMark/>
          </w:tcPr>
          <w:p w14:paraId="7333D8CF" w14:textId="77777777" w:rsidR="00000000" w:rsidRDefault="001D0688">
            <w:pPr>
              <w:rPr>
                <w:rFonts w:eastAsia="Times New Roman"/>
                <w:sz w:val="20"/>
                <w:szCs w:val="20"/>
              </w:rPr>
            </w:pPr>
          </w:p>
        </w:tc>
        <w:tc>
          <w:tcPr>
            <w:tcW w:w="5" w:type="pct"/>
            <w:vAlign w:val="center"/>
            <w:hideMark/>
          </w:tcPr>
          <w:p w14:paraId="2711729D" w14:textId="77777777" w:rsidR="00000000" w:rsidRDefault="001D0688">
            <w:pPr>
              <w:rPr>
                <w:rFonts w:eastAsia="Times New Roman"/>
                <w:sz w:val="20"/>
                <w:szCs w:val="20"/>
              </w:rPr>
            </w:pPr>
          </w:p>
        </w:tc>
        <w:tc>
          <w:tcPr>
            <w:tcW w:w="26" w:type="pct"/>
            <w:vAlign w:val="center"/>
            <w:hideMark/>
          </w:tcPr>
          <w:p w14:paraId="6366BCC9" w14:textId="77777777" w:rsidR="00000000" w:rsidRDefault="001D0688">
            <w:pPr>
              <w:rPr>
                <w:rFonts w:eastAsia="Times New Roman"/>
                <w:sz w:val="20"/>
                <w:szCs w:val="20"/>
              </w:rPr>
            </w:pPr>
          </w:p>
        </w:tc>
        <w:tc>
          <w:tcPr>
            <w:tcW w:w="5" w:type="pct"/>
            <w:vAlign w:val="center"/>
            <w:hideMark/>
          </w:tcPr>
          <w:p w14:paraId="77655D5B" w14:textId="77777777" w:rsidR="00000000" w:rsidRDefault="001D0688">
            <w:pPr>
              <w:rPr>
                <w:rFonts w:eastAsia="Times New Roman"/>
                <w:sz w:val="20"/>
                <w:szCs w:val="20"/>
              </w:rPr>
            </w:pPr>
          </w:p>
        </w:tc>
        <w:tc>
          <w:tcPr>
            <w:tcW w:w="50" w:type="pct"/>
            <w:vAlign w:val="center"/>
            <w:hideMark/>
          </w:tcPr>
          <w:p w14:paraId="06BB734F" w14:textId="77777777" w:rsidR="00000000" w:rsidRDefault="001D0688">
            <w:pPr>
              <w:rPr>
                <w:rFonts w:eastAsia="Times New Roman"/>
                <w:sz w:val="20"/>
                <w:szCs w:val="20"/>
              </w:rPr>
            </w:pPr>
          </w:p>
        </w:tc>
        <w:tc>
          <w:tcPr>
            <w:tcW w:w="537" w:type="pct"/>
            <w:vAlign w:val="center"/>
            <w:hideMark/>
          </w:tcPr>
          <w:p w14:paraId="60434BEE" w14:textId="77777777" w:rsidR="00000000" w:rsidRDefault="001D0688">
            <w:pPr>
              <w:rPr>
                <w:rFonts w:eastAsia="Times New Roman"/>
                <w:sz w:val="20"/>
                <w:szCs w:val="20"/>
              </w:rPr>
            </w:pPr>
          </w:p>
        </w:tc>
        <w:tc>
          <w:tcPr>
            <w:tcW w:w="5" w:type="pct"/>
            <w:vAlign w:val="center"/>
            <w:hideMark/>
          </w:tcPr>
          <w:p w14:paraId="10C4C613" w14:textId="77777777" w:rsidR="00000000" w:rsidRDefault="001D0688">
            <w:pPr>
              <w:rPr>
                <w:rFonts w:eastAsia="Times New Roman"/>
                <w:sz w:val="20"/>
                <w:szCs w:val="20"/>
              </w:rPr>
            </w:pPr>
          </w:p>
        </w:tc>
      </w:tr>
      <w:tr w:rsidR="00000000" w14:paraId="5A67B3D5" w14:textId="77777777">
        <w:trPr>
          <w:divId w:val="1622373051"/>
        </w:trPr>
        <w:tc>
          <w:tcPr>
            <w:tcW w:w="0" w:type="auto"/>
            <w:gridSpan w:val="3"/>
            <w:tcMar>
              <w:top w:w="30" w:type="dxa"/>
              <w:left w:w="20" w:type="dxa"/>
              <w:bottom w:w="30" w:type="dxa"/>
              <w:right w:w="20" w:type="dxa"/>
            </w:tcMar>
            <w:vAlign w:val="bottom"/>
            <w:hideMark/>
          </w:tcPr>
          <w:p w14:paraId="6C220B48"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117CB9B"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38EADC4A" w14:textId="77777777" w:rsidR="00000000" w:rsidRDefault="001D0688">
            <w:pPr>
              <w:jc w:val="center"/>
              <w:rPr>
                <w:rFonts w:eastAsia="Times New Roman"/>
              </w:rPr>
            </w:pPr>
            <w:r>
              <w:rPr>
                <w:rFonts w:ascii="Arial" w:eastAsia="Times New Roman" w:hAnsi="Arial" w:cs="Arial"/>
                <w:b/>
                <w:bCs/>
                <w:color w:val="000000"/>
                <w:sz w:val="17"/>
                <w:szCs w:val="17"/>
              </w:rPr>
              <w:t>External Support Fees</w:t>
            </w:r>
          </w:p>
        </w:tc>
        <w:tc>
          <w:tcPr>
            <w:tcW w:w="0" w:type="auto"/>
            <w:gridSpan w:val="3"/>
            <w:tcMar>
              <w:top w:w="0" w:type="dxa"/>
              <w:left w:w="20" w:type="dxa"/>
              <w:bottom w:w="0" w:type="dxa"/>
              <w:right w:w="20" w:type="dxa"/>
            </w:tcMar>
            <w:vAlign w:val="center"/>
            <w:hideMark/>
          </w:tcPr>
          <w:p w14:paraId="2511DAC7"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902BA3E" w14:textId="77777777" w:rsidR="00000000" w:rsidRDefault="001D0688">
            <w:pPr>
              <w:jc w:val="center"/>
              <w:rPr>
                <w:rFonts w:eastAsia="Times New Roman"/>
              </w:rPr>
            </w:pPr>
            <w:r>
              <w:rPr>
                <w:rFonts w:ascii="Arial" w:eastAsia="Times New Roman" w:hAnsi="Arial" w:cs="Arial"/>
                <w:b/>
                <w:bCs/>
                <w:color w:val="000000"/>
                <w:sz w:val="17"/>
                <w:szCs w:val="17"/>
              </w:rPr>
              <w:t>Employee Severance</w:t>
            </w:r>
          </w:p>
        </w:tc>
        <w:tc>
          <w:tcPr>
            <w:tcW w:w="0" w:type="auto"/>
            <w:gridSpan w:val="3"/>
            <w:tcMar>
              <w:top w:w="0" w:type="dxa"/>
              <w:left w:w="20" w:type="dxa"/>
              <w:bottom w:w="0" w:type="dxa"/>
              <w:right w:w="20" w:type="dxa"/>
            </w:tcMar>
            <w:vAlign w:val="center"/>
            <w:hideMark/>
          </w:tcPr>
          <w:p w14:paraId="38AFADF9"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6B1EDF1" w14:textId="77777777" w:rsidR="00000000" w:rsidRDefault="001D0688">
            <w:pPr>
              <w:jc w:val="center"/>
              <w:rPr>
                <w:rFonts w:eastAsia="Times New Roman"/>
              </w:rPr>
            </w:pPr>
            <w:r>
              <w:rPr>
                <w:rFonts w:ascii="Arial" w:eastAsia="Times New Roman" w:hAnsi="Arial" w:cs="Arial"/>
                <w:b/>
                <w:bCs/>
                <w:color w:val="000000"/>
                <w:sz w:val="17"/>
                <w:szCs w:val="17"/>
              </w:rPr>
              <w:t>Other Project Fees</w:t>
            </w:r>
          </w:p>
        </w:tc>
        <w:tc>
          <w:tcPr>
            <w:tcW w:w="0" w:type="auto"/>
            <w:gridSpan w:val="3"/>
            <w:tcMar>
              <w:top w:w="0" w:type="dxa"/>
              <w:left w:w="20" w:type="dxa"/>
              <w:bottom w:w="0" w:type="dxa"/>
              <w:right w:w="20" w:type="dxa"/>
            </w:tcMar>
            <w:vAlign w:val="center"/>
            <w:hideMark/>
          </w:tcPr>
          <w:p w14:paraId="33021124"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71585CB4" w14:textId="77777777" w:rsidR="00000000" w:rsidRDefault="001D0688">
            <w:pPr>
              <w:jc w:val="center"/>
              <w:rPr>
                <w:rFonts w:eastAsia="Times New Roman"/>
              </w:rPr>
            </w:pPr>
            <w:r>
              <w:rPr>
                <w:rFonts w:ascii="Arial" w:eastAsia="Times New Roman" w:hAnsi="Arial" w:cs="Arial"/>
                <w:b/>
                <w:bCs/>
                <w:color w:val="000000"/>
                <w:sz w:val="17"/>
                <w:szCs w:val="17"/>
              </w:rPr>
              <w:t>Lease Exit Costs</w:t>
            </w:r>
          </w:p>
        </w:tc>
        <w:tc>
          <w:tcPr>
            <w:tcW w:w="0" w:type="auto"/>
            <w:gridSpan w:val="3"/>
            <w:tcMar>
              <w:top w:w="0" w:type="dxa"/>
              <w:left w:w="20" w:type="dxa"/>
              <w:bottom w:w="0" w:type="dxa"/>
              <w:right w:w="20" w:type="dxa"/>
            </w:tcMar>
            <w:vAlign w:val="center"/>
            <w:hideMark/>
          </w:tcPr>
          <w:p w14:paraId="65E9624B"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56CCFA8" w14:textId="77777777" w:rsidR="00000000" w:rsidRDefault="001D0688">
            <w:pPr>
              <w:jc w:val="center"/>
              <w:rPr>
                <w:rFonts w:eastAsia="Times New Roman"/>
              </w:rPr>
            </w:pPr>
            <w:r>
              <w:rPr>
                <w:rFonts w:ascii="Arial" w:eastAsia="Times New Roman" w:hAnsi="Arial" w:cs="Arial"/>
                <w:b/>
                <w:bCs/>
                <w:color w:val="000000"/>
                <w:sz w:val="17"/>
                <w:szCs w:val="17"/>
              </w:rPr>
              <w:t>Asset Impairment</w:t>
            </w:r>
          </w:p>
        </w:tc>
        <w:tc>
          <w:tcPr>
            <w:tcW w:w="0" w:type="auto"/>
            <w:gridSpan w:val="3"/>
            <w:tcMar>
              <w:top w:w="0" w:type="dxa"/>
              <w:left w:w="20" w:type="dxa"/>
              <w:bottom w:w="0" w:type="dxa"/>
              <w:right w:w="20" w:type="dxa"/>
            </w:tcMar>
            <w:vAlign w:val="center"/>
            <w:hideMark/>
          </w:tcPr>
          <w:p w14:paraId="7A6735E5"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48B9889" w14:textId="77777777" w:rsidR="00000000" w:rsidRDefault="001D0688">
            <w:pPr>
              <w:jc w:val="center"/>
              <w:rPr>
                <w:rFonts w:eastAsia="Times New Roman"/>
              </w:rPr>
            </w:pPr>
            <w:r>
              <w:rPr>
                <w:rFonts w:ascii="Arial" w:eastAsia="Times New Roman" w:hAnsi="Arial" w:cs="Arial"/>
                <w:b/>
                <w:bCs/>
                <w:color w:val="000000"/>
                <w:sz w:val="17"/>
                <w:szCs w:val="17"/>
              </w:rPr>
              <w:t>Total</w:t>
            </w:r>
          </w:p>
        </w:tc>
      </w:tr>
      <w:tr w:rsidR="00000000" w14:paraId="61668C84" w14:textId="77777777">
        <w:trPr>
          <w:divId w:val="1622373051"/>
        </w:trPr>
        <w:tc>
          <w:tcPr>
            <w:tcW w:w="0" w:type="auto"/>
            <w:gridSpan w:val="3"/>
            <w:shd w:val="clear" w:color="auto" w:fill="DCE2EF"/>
            <w:tcMar>
              <w:top w:w="30" w:type="dxa"/>
              <w:left w:w="20" w:type="dxa"/>
              <w:bottom w:w="30" w:type="dxa"/>
              <w:right w:w="20" w:type="dxa"/>
            </w:tcMar>
            <w:vAlign w:val="bottom"/>
            <w:hideMark/>
          </w:tcPr>
          <w:p w14:paraId="576ADA14" w14:textId="77777777" w:rsidR="00000000" w:rsidRDefault="001D0688">
            <w:pPr>
              <w:rPr>
                <w:rFonts w:eastAsia="Times New Roman"/>
              </w:rPr>
            </w:pPr>
            <w:r>
              <w:rPr>
                <w:rFonts w:ascii="Arial" w:eastAsia="Times New Roman" w:hAnsi="Arial" w:cs="Arial"/>
                <w:color w:val="000000"/>
                <w:sz w:val="18"/>
                <w:szCs w:val="18"/>
              </w:rPr>
              <w:t>GCA and Other</w:t>
            </w:r>
          </w:p>
        </w:tc>
        <w:tc>
          <w:tcPr>
            <w:tcW w:w="0" w:type="auto"/>
            <w:gridSpan w:val="3"/>
            <w:shd w:val="clear" w:color="auto" w:fill="DCE2EF"/>
            <w:tcMar>
              <w:top w:w="0" w:type="dxa"/>
              <w:left w:w="20" w:type="dxa"/>
              <w:bottom w:w="0" w:type="dxa"/>
              <w:right w:w="20" w:type="dxa"/>
            </w:tcMar>
            <w:vAlign w:val="center"/>
            <w:hideMark/>
          </w:tcPr>
          <w:p w14:paraId="393D1A17"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81EC29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F1CEE35" w14:textId="77777777" w:rsidR="00000000" w:rsidRDefault="001D0688">
            <w:pPr>
              <w:jc w:val="right"/>
              <w:rPr>
                <w:rFonts w:eastAsia="Times New Roman"/>
              </w:rPr>
            </w:pPr>
            <w:r>
              <w:rPr>
                <w:rFonts w:ascii="Arial" w:eastAsia="Times New Roman" w:hAnsi="Arial" w:cs="Arial"/>
                <w:color w:val="000000"/>
                <w:sz w:val="18"/>
                <w:szCs w:val="18"/>
              </w:rPr>
              <w:t>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EB33C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2D5E6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48BC02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0587CFA" w14:textId="77777777" w:rsidR="00000000" w:rsidRDefault="001D0688">
            <w:pPr>
              <w:jc w:val="right"/>
              <w:rPr>
                <w:rFonts w:eastAsia="Times New Roman"/>
              </w:rPr>
            </w:pPr>
            <w:r>
              <w:rPr>
                <w:rFonts w:ascii="Arial" w:eastAsia="Times New Roman" w:hAnsi="Arial" w:cs="Arial"/>
                <w:color w:val="000000"/>
                <w:sz w:val="18"/>
                <w:szCs w:val="18"/>
              </w:rPr>
              <w:t>18.3 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BF5B9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2A52E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FBA4819"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86CB011" w14:textId="77777777" w:rsidR="00000000" w:rsidRDefault="001D0688">
            <w:pPr>
              <w:jc w:val="right"/>
              <w:rPr>
                <w:rFonts w:eastAsia="Times New Roman"/>
              </w:rPr>
            </w:pPr>
            <w:r>
              <w:rPr>
                <w:rFonts w:ascii="Arial" w:eastAsia="Times New Roman" w:hAnsi="Arial" w:cs="Arial"/>
                <w:color w:val="000000"/>
                <w:sz w:val="18"/>
                <w:szCs w:val="18"/>
              </w:rPr>
              <w:t>15.5 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CAB2C8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D730C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376E296"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2DF796C" w14:textId="77777777" w:rsidR="00000000" w:rsidRDefault="001D0688">
            <w:pPr>
              <w:jc w:val="right"/>
              <w:rPr>
                <w:rFonts w:eastAsia="Times New Roman"/>
              </w:rPr>
            </w:pPr>
            <w:r>
              <w:rPr>
                <w:rFonts w:ascii="Arial" w:eastAsia="Times New Roman" w:hAnsi="Arial" w:cs="Arial"/>
                <w:color w:val="000000"/>
                <w:sz w:val="18"/>
                <w:szCs w:val="18"/>
              </w:rPr>
              <w:t>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241F17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DA064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30932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38A67FB"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FC3EB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1EA23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4417E6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F9C1E1F" w14:textId="77777777" w:rsidR="00000000" w:rsidRDefault="001D0688">
            <w:pPr>
              <w:jc w:val="right"/>
              <w:rPr>
                <w:rFonts w:eastAsia="Times New Roman"/>
              </w:rPr>
            </w:pPr>
            <w:r>
              <w:rPr>
                <w:rFonts w:ascii="Arial" w:eastAsia="Times New Roman" w:hAnsi="Arial" w:cs="Arial"/>
                <w:color w:val="000000"/>
                <w:sz w:val="18"/>
                <w:szCs w:val="18"/>
              </w:rPr>
              <w:t>42.2 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3C7523" w14:textId="77777777" w:rsidR="00000000" w:rsidRDefault="001D0688">
            <w:pPr>
              <w:jc w:val="right"/>
              <w:rPr>
                <w:rFonts w:eastAsia="Times New Roman"/>
              </w:rPr>
            </w:pPr>
          </w:p>
        </w:tc>
      </w:tr>
      <w:tr w:rsidR="00000000" w14:paraId="390257E0" w14:textId="77777777">
        <w:trPr>
          <w:divId w:val="1622373051"/>
        </w:trPr>
        <w:tc>
          <w:tcPr>
            <w:tcW w:w="0" w:type="auto"/>
            <w:gridSpan w:val="3"/>
            <w:tcMar>
              <w:top w:w="30" w:type="dxa"/>
              <w:left w:w="20" w:type="dxa"/>
              <w:bottom w:w="30" w:type="dxa"/>
              <w:right w:w="20" w:type="dxa"/>
            </w:tcMar>
            <w:vAlign w:val="bottom"/>
            <w:hideMark/>
          </w:tcPr>
          <w:p w14:paraId="362984C3" w14:textId="77777777" w:rsidR="00000000" w:rsidRDefault="001D0688">
            <w:pPr>
              <w:divId w:val="1189758268"/>
              <w:rPr>
                <w:rFonts w:eastAsia="Times New Roman"/>
              </w:rPr>
            </w:pPr>
            <w:r>
              <w:rPr>
                <w:rFonts w:ascii="Arial" w:eastAsia="Times New Roman" w:hAnsi="Arial" w:cs="Arial"/>
                <w:b/>
                <w:bCs/>
                <w:color w:val="FF9900"/>
                <w:sz w:val="18"/>
                <w:szCs w:val="18"/>
              </w:rPr>
              <w:t>2020</w:t>
            </w:r>
            <w:r>
              <w:rPr>
                <w:rFonts w:ascii="Arial" w:eastAsia="Times New Roman" w:hAnsi="Arial" w:cs="Arial"/>
                <w:b/>
                <w:bCs/>
                <w:color w:val="000000"/>
                <w:sz w:val="18"/>
                <w:szCs w:val="18"/>
              </w:rPr>
              <w:t xml:space="preserve"> </w:t>
            </w:r>
            <w:r>
              <w:rPr>
                <w:rFonts w:ascii="Arial" w:eastAsia="Times New Roman" w:hAnsi="Arial" w:cs="Arial"/>
                <w:b/>
                <w:bCs/>
                <w:color w:val="0070C0"/>
                <w:sz w:val="18"/>
                <w:szCs w:val="18"/>
              </w:rPr>
              <w:t>Vision</w:t>
            </w:r>
          </w:p>
        </w:tc>
        <w:tc>
          <w:tcPr>
            <w:tcW w:w="0" w:type="auto"/>
            <w:gridSpan w:val="3"/>
            <w:shd w:val="clear" w:color="auto" w:fill="FFFFFF"/>
            <w:tcMar>
              <w:top w:w="0" w:type="dxa"/>
              <w:left w:w="20" w:type="dxa"/>
              <w:bottom w:w="0" w:type="dxa"/>
              <w:right w:w="20" w:type="dxa"/>
            </w:tcMar>
            <w:vAlign w:val="center"/>
            <w:hideMark/>
          </w:tcPr>
          <w:p w14:paraId="71D6FA63"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50A817" w14:textId="77777777" w:rsidR="00000000" w:rsidRDefault="001D0688">
            <w:pPr>
              <w:jc w:val="right"/>
              <w:rPr>
                <w:rFonts w:eastAsia="Times New Roman"/>
              </w:rPr>
            </w:pPr>
            <w:r>
              <w:rPr>
                <w:rFonts w:ascii="Arial" w:eastAsia="Times New Roman" w:hAnsi="Arial" w:cs="Arial"/>
                <w:color w:val="000000"/>
                <w:sz w:val="18"/>
                <w:szCs w:val="18"/>
              </w:rPr>
              <w:t>30.0 </w:t>
            </w:r>
          </w:p>
        </w:tc>
        <w:tc>
          <w:tcPr>
            <w:tcW w:w="0" w:type="auto"/>
            <w:shd w:val="clear" w:color="auto" w:fill="FFFFFF"/>
            <w:tcMar>
              <w:top w:w="30" w:type="dxa"/>
              <w:left w:w="0" w:type="dxa"/>
              <w:bottom w:w="30" w:type="dxa"/>
              <w:right w:w="20" w:type="dxa"/>
            </w:tcMar>
            <w:vAlign w:val="bottom"/>
            <w:hideMark/>
          </w:tcPr>
          <w:p w14:paraId="344D6B9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4AB7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D3A005" w14:textId="77777777" w:rsidR="00000000" w:rsidRDefault="001D0688">
            <w:pPr>
              <w:jc w:val="right"/>
              <w:rPr>
                <w:rFonts w:eastAsia="Times New Roman"/>
              </w:rPr>
            </w:pPr>
            <w:r>
              <w:rPr>
                <w:rFonts w:ascii="Arial" w:eastAsia="Times New Roman" w:hAnsi="Arial" w:cs="Arial"/>
                <w:color w:val="000000"/>
                <w:sz w:val="18"/>
                <w:szCs w:val="18"/>
              </w:rPr>
              <w:t>13.0 </w:t>
            </w:r>
          </w:p>
        </w:tc>
        <w:tc>
          <w:tcPr>
            <w:tcW w:w="0" w:type="auto"/>
            <w:shd w:val="clear" w:color="auto" w:fill="FFFFFF"/>
            <w:tcMar>
              <w:top w:w="30" w:type="dxa"/>
              <w:left w:w="0" w:type="dxa"/>
              <w:bottom w:w="30" w:type="dxa"/>
              <w:right w:w="20" w:type="dxa"/>
            </w:tcMar>
            <w:vAlign w:val="bottom"/>
            <w:hideMark/>
          </w:tcPr>
          <w:p w14:paraId="07AEAFD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CA4A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52A1B" w14:textId="77777777" w:rsidR="00000000" w:rsidRDefault="001D0688">
            <w:pPr>
              <w:jc w:val="right"/>
              <w:rPr>
                <w:rFonts w:eastAsia="Times New Roman"/>
              </w:rPr>
            </w:pPr>
            <w:r>
              <w:rPr>
                <w:rFonts w:ascii="Arial" w:eastAsia="Times New Roman" w:hAnsi="Arial" w:cs="Arial"/>
                <w:color w:val="000000"/>
                <w:sz w:val="18"/>
                <w:szCs w:val="18"/>
              </w:rPr>
              <w:t>10.7 </w:t>
            </w:r>
          </w:p>
        </w:tc>
        <w:tc>
          <w:tcPr>
            <w:tcW w:w="0" w:type="auto"/>
            <w:shd w:val="clear" w:color="auto" w:fill="FFFFFF"/>
            <w:tcMar>
              <w:top w:w="30" w:type="dxa"/>
              <w:left w:w="0" w:type="dxa"/>
              <w:bottom w:w="30" w:type="dxa"/>
              <w:right w:w="20" w:type="dxa"/>
            </w:tcMar>
            <w:vAlign w:val="bottom"/>
            <w:hideMark/>
          </w:tcPr>
          <w:p w14:paraId="330D115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E438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0F8CC" w14:textId="77777777" w:rsidR="00000000" w:rsidRDefault="001D0688">
            <w:pPr>
              <w:jc w:val="right"/>
              <w:rPr>
                <w:rFonts w:eastAsia="Times New Roman"/>
              </w:rPr>
            </w:pPr>
            <w:r>
              <w:rPr>
                <w:rFonts w:ascii="Arial" w:eastAsia="Times New Roman" w:hAnsi="Arial" w:cs="Arial"/>
                <w:color w:val="000000"/>
                <w:sz w:val="18"/>
                <w:szCs w:val="18"/>
              </w:rPr>
              <w:t>7.7 </w:t>
            </w:r>
          </w:p>
        </w:tc>
        <w:tc>
          <w:tcPr>
            <w:tcW w:w="0" w:type="auto"/>
            <w:shd w:val="clear" w:color="auto" w:fill="FFFFFF"/>
            <w:tcMar>
              <w:top w:w="30" w:type="dxa"/>
              <w:left w:w="0" w:type="dxa"/>
              <w:bottom w:w="30" w:type="dxa"/>
              <w:right w:w="20" w:type="dxa"/>
            </w:tcMar>
            <w:vAlign w:val="bottom"/>
            <w:hideMark/>
          </w:tcPr>
          <w:p w14:paraId="3B65556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AC34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71AF91" w14:textId="77777777" w:rsidR="00000000" w:rsidRDefault="001D0688">
            <w:pPr>
              <w:jc w:val="right"/>
              <w:rPr>
                <w:rFonts w:eastAsia="Times New Roman"/>
              </w:rPr>
            </w:pPr>
            <w:r>
              <w:rPr>
                <w:rFonts w:ascii="Arial" w:eastAsia="Times New Roman" w:hAnsi="Arial" w:cs="Arial"/>
                <w:color w:val="000000"/>
                <w:sz w:val="18"/>
                <w:szCs w:val="18"/>
              </w:rPr>
              <w:t>5.2 </w:t>
            </w:r>
          </w:p>
        </w:tc>
        <w:tc>
          <w:tcPr>
            <w:tcW w:w="0" w:type="auto"/>
            <w:shd w:val="clear" w:color="auto" w:fill="FFFFFF"/>
            <w:tcMar>
              <w:top w:w="30" w:type="dxa"/>
              <w:left w:w="0" w:type="dxa"/>
              <w:bottom w:w="30" w:type="dxa"/>
              <w:right w:w="20" w:type="dxa"/>
            </w:tcMar>
            <w:vAlign w:val="bottom"/>
            <w:hideMark/>
          </w:tcPr>
          <w:p w14:paraId="7369196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15CF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74439" w14:textId="77777777" w:rsidR="00000000" w:rsidRDefault="001D0688">
            <w:pPr>
              <w:jc w:val="right"/>
              <w:rPr>
                <w:rFonts w:eastAsia="Times New Roman"/>
              </w:rPr>
            </w:pPr>
            <w:r>
              <w:rPr>
                <w:rFonts w:ascii="Arial" w:eastAsia="Times New Roman" w:hAnsi="Arial" w:cs="Arial"/>
                <w:color w:val="000000"/>
                <w:sz w:val="18"/>
                <w:szCs w:val="18"/>
              </w:rPr>
              <w:t>66.5 </w:t>
            </w:r>
          </w:p>
        </w:tc>
        <w:tc>
          <w:tcPr>
            <w:tcW w:w="0" w:type="auto"/>
            <w:shd w:val="clear" w:color="auto" w:fill="FFFFFF"/>
            <w:tcMar>
              <w:top w:w="30" w:type="dxa"/>
              <w:left w:w="0" w:type="dxa"/>
              <w:bottom w:w="30" w:type="dxa"/>
              <w:right w:w="20" w:type="dxa"/>
            </w:tcMar>
            <w:vAlign w:val="bottom"/>
            <w:hideMark/>
          </w:tcPr>
          <w:p w14:paraId="13E0FACD" w14:textId="77777777" w:rsidR="00000000" w:rsidRDefault="001D0688">
            <w:pPr>
              <w:jc w:val="right"/>
              <w:rPr>
                <w:rFonts w:eastAsia="Times New Roman"/>
              </w:rPr>
            </w:pPr>
          </w:p>
        </w:tc>
      </w:tr>
      <w:tr w:rsidR="00000000" w14:paraId="07A3FEB9" w14:textId="77777777">
        <w:trPr>
          <w:divId w:val="1622373051"/>
        </w:trPr>
        <w:tc>
          <w:tcPr>
            <w:tcW w:w="0" w:type="auto"/>
            <w:gridSpan w:val="3"/>
            <w:shd w:val="clear" w:color="auto" w:fill="DCE2EF"/>
            <w:tcMar>
              <w:top w:w="30" w:type="dxa"/>
              <w:left w:w="20" w:type="dxa"/>
              <w:bottom w:w="30" w:type="dxa"/>
              <w:right w:w="20" w:type="dxa"/>
            </w:tcMar>
            <w:vAlign w:val="bottom"/>
            <w:hideMark/>
          </w:tcPr>
          <w:p w14:paraId="29F1F834" w14:textId="77777777" w:rsidR="00000000" w:rsidRDefault="001D0688">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42CBB5D6" w14:textId="77777777" w:rsidR="00000000" w:rsidRDefault="001D0688">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C0BAF8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758BCC3" w14:textId="77777777" w:rsidR="00000000" w:rsidRDefault="001D0688">
            <w:pPr>
              <w:jc w:val="right"/>
              <w:rPr>
                <w:rFonts w:eastAsia="Times New Roman"/>
              </w:rPr>
            </w:pPr>
            <w:r>
              <w:rPr>
                <w:rFonts w:ascii="Arial" w:eastAsia="Times New Roman" w:hAnsi="Arial" w:cs="Arial"/>
                <w:color w:val="000000"/>
                <w:sz w:val="18"/>
                <w:szCs w:val="18"/>
              </w:rPr>
              <w:t>34.9 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24E309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AB3A6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FECF6D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0C5382C" w14:textId="77777777" w:rsidR="00000000" w:rsidRDefault="001D0688">
            <w:pPr>
              <w:jc w:val="right"/>
              <w:rPr>
                <w:rFonts w:eastAsia="Times New Roman"/>
              </w:rPr>
            </w:pPr>
            <w:r>
              <w:rPr>
                <w:rFonts w:ascii="Arial" w:eastAsia="Times New Roman" w:hAnsi="Arial" w:cs="Arial"/>
                <w:color w:val="000000"/>
                <w:sz w:val="18"/>
                <w:szCs w:val="18"/>
              </w:rPr>
              <w:t>31.3 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908A2B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56F8D5"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294DF9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4537AE1" w14:textId="77777777" w:rsidR="00000000" w:rsidRDefault="001D0688">
            <w:pPr>
              <w:jc w:val="right"/>
              <w:rPr>
                <w:rFonts w:eastAsia="Times New Roman"/>
              </w:rPr>
            </w:pPr>
            <w:r>
              <w:rPr>
                <w:rFonts w:ascii="Arial" w:eastAsia="Times New Roman" w:hAnsi="Arial" w:cs="Arial"/>
                <w:color w:val="000000"/>
                <w:sz w:val="18"/>
                <w:szCs w:val="18"/>
              </w:rPr>
              <w:t>26.2 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19DD25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9B542E"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7F95D3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47A3EEE" w14:textId="77777777" w:rsidR="00000000" w:rsidRDefault="001D0688">
            <w:pPr>
              <w:jc w:val="right"/>
              <w:rPr>
                <w:rFonts w:eastAsia="Times New Roman"/>
              </w:rPr>
            </w:pPr>
            <w:r>
              <w:rPr>
                <w:rFonts w:ascii="Arial" w:eastAsia="Times New Roman" w:hAnsi="Arial" w:cs="Arial"/>
                <w:color w:val="000000"/>
                <w:sz w:val="18"/>
                <w:szCs w:val="18"/>
              </w:rPr>
              <w:t>11.1 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0CD078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A6A26E"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7B22E6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9AA0B11" w14:textId="77777777" w:rsidR="00000000" w:rsidRDefault="001D0688">
            <w:pPr>
              <w:jc w:val="right"/>
              <w:rPr>
                <w:rFonts w:eastAsia="Times New Roman"/>
              </w:rPr>
            </w:pPr>
            <w:r>
              <w:rPr>
                <w:rFonts w:ascii="Arial" w:eastAsia="Times New Roman" w:hAnsi="Arial" w:cs="Arial"/>
                <w:color w:val="000000"/>
                <w:sz w:val="18"/>
                <w:szCs w:val="18"/>
              </w:rPr>
              <w:t>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B775E1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62A806"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CD4C339"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95241C4" w14:textId="77777777" w:rsidR="00000000" w:rsidRDefault="001D0688">
            <w:pPr>
              <w:jc w:val="right"/>
              <w:rPr>
                <w:rFonts w:eastAsia="Times New Roman"/>
              </w:rPr>
            </w:pPr>
            <w:r>
              <w:rPr>
                <w:rFonts w:ascii="Arial" w:eastAsia="Times New Roman" w:hAnsi="Arial" w:cs="Arial"/>
                <w:color w:val="000000"/>
                <w:sz w:val="18"/>
                <w:szCs w:val="18"/>
              </w:rPr>
              <w:t>108.7 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3B1D0CB" w14:textId="77777777" w:rsidR="00000000" w:rsidRDefault="001D0688">
            <w:pPr>
              <w:jc w:val="right"/>
              <w:rPr>
                <w:rFonts w:eastAsia="Times New Roman"/>
              </w:rPr>
            </w:pPr>
          </w:p>
        </w:tc>
      </w:tr>
    </w:tbl>
    <w:p w14:paraId="396FC62A" w14:textId="77777777" w:rsidR="00000000" w:rsidRDefault="001D0688">
      <w:pPr>
        <w:jc w:val="both"/>
        <w:divId w:val="625548005"/>
        <w:rPr>
          <w:rFonts w:eastAsia="Times New Roman"/>
        </w:rPr>
      </w:pPr>
    </w:p>
    <w:p w14:paraId="101213A0" w14:textId="77777777" w:rsidR="00000000" w:rsidRDefault="001D0688">
      <w:pPr>
        <w:jc w:val="center"/>
        <w:divId w:val="1338076786"/>
        <w:rPr>
          <w:rFonts w:eastAsia="Times New Roman"/>
        </w:rPr>
      </w:pPr>
      <w:r>
        <w:rPr>
          <w:rFonts w:ascii="Arial" w:eastAsia="Times New Roman" w:hAnsi="Arial" w:cs="Arial"/>
          <w:color w:val="000000"/>
          <w:sz w:val="20"/>
          <w:szCs w:val="20"/>
        </w:rPr>
        <w:t>73</w:t>
      </w:r>
    </w:p>
    <w:p w14:paraId="208796DA" w14:textId="77777777" w:rsidR="00000000" w:rsidRDefault="001D0688">
      <w:pPr>
        <w:rPr>
          <w:rFonts w:eastAsia="Times New Roman"/>
        </w:rPr>
      </w:pPr>
      <w:r>
        <w:rPr>
          <w:rFonts w:eastAsia="Times New Roman"/>
        </w:rPr>
        <w:pict w14:anchorId="47459985">
          <v:rect id="_x0000_i1110" style="width:0;height:1.5pt" o:hralign="center" o:hrstd="t" o:hr="t" fillcolor="#a0a0a0" stroked="f"/>
        </w:pict>
      </w:r>
    </w:p>
    <w:p w14:paraId="0CB2E5BE" w14:textId="77777777" w:rsidR="00000000" w:rsidRDefault="001D0688">
      <w:pPr>
        <w:divId w:val="1418795082"/>
        <w:rPr>
          <w:rFonts w:eastAsia="Times New Roman"/>
        </w:rPr>
      </w:pPr>
    </w:p>
    <w:p w14:paraId="46245482" w14:textId="77777777" w:rsidR="00000000" w:rsidRDefault="001D0688">
      <w:pPr>
        <w:divId w:val="321274412"/>
        <w:rPr>
          <w:rFonts w:eastAsia="Times New Roman"/>
        </w:rPr>
      </w:pPr>
      <w:r>
        <w:rPr>
          <w:rFonts w:ascii="Arial" w:eastAsia="Times New Roman" w:hAnsi="Arial" w:cs="Arial"/>
          <w:b/>
          <w:bCs/>
          <w:color w:val="0046AD"/>
          <w:sz w:val="20"/>
          <w:szCs w:val="20"/>
        </w:rPr>
        <w:t>6. NET INCOME PER COMMON SHARE</w:t>
      </w:r>
      <w:r>
        <w:rPr>
          <w:rFonts w:ascii="Arial" w:eastAsia="Times New Roman" w:hAnsi="Arial" w:cs="Arial"/>
          <w:color w:val="0046AD"/>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6B0E2180" w14:textId="77777777">
        <w:trPr>
          <w:divId w:val="1144659381"/>
        </w:trPr>
        <w:tc>
          <w:tcPr>
            <w:tcW w:w="5" w:type="pct"/>
            <w:vAlign w:val="center"/>
            <w:hideMark/>
          </w:tcPr>
          <w:p w14:paraId="7ACAD8B0" w14:textId="77777777" w:rsidR="00000000" w:rsidRDefault="001D0688">
            <w:pPr>
              <w:rPr>
                <w:rFonts w:eastAsia="Times New Roman"/>
              </w:rPr>
            </w:pPr>
          </w:p>
        </w:tc>
        <w:tc>
          <w:tcPr>
            <w:tcW w:w="129" w:type="pct"/>
            <w:vAlign w:val="center"/>
            <w:hideMark/>
          </w:tcPr>
          <w:p w14:paraId="52E7D37E" w14:textId="77777777" w:rsidR="00000000" w:rsidRDefault="001D0688">
            <w:pPr>
              <w:rPr>
                <w:rFonts w:eastAsia="Times New Roman"/>
                <w:sz w:val="20"/>
                <w:szCs w:val="20"/>
              </w:rPr>
            </w:pPr>
          </w:p>
        </w:tc>
        <w:tc>
          <w:tcPr>
            <w:tcW w:w="5" w:type="pct"/>
            <w:vAlign w:val="center"/>
            <w:hideMark/>
          </w:tcPr>
          <w:p w14:paraId="22A976D8" w14:textId="77777777" w:rsidR="00000000" w:rsidRDefault="001D0688">
            <w:pPr>
              <w:rPr>
                <w:rFonts w:eastAsia="Times New Roman"/>
                <w:sz w:val="20"/>
                <w:szCs w:val="20"/>
              </w:rPr>
            </w:pPr>
          </w:p>
        </w:tc>
        <w:tc>
          <w:tcPr>
            <w:tcW w:w="50" w:type="pct"/>
            <w:vAlign w:val="center"/>
            <w:hideMark/>
          </w:tcPr>
          <w:p w14:paraId="5A410FCA" w14:textId="77777777" w:rsidR="00000000" w:rsidRDefault="001D0688">
            <w:pPr>
              <w:rPr>
                <w:rFonts w:eastAsia="Times New Roman"/>
                <w:sz w:val="20"/>
                <w:szCs w:val="20"/>
              </w:rPr>
            </w:pPr>
          </w:p>
        </w:tc>
        <w:tc>
          <w:tcPr>
            <w:tcW w:w="4805" w:type="pct"/>
            <w:vAlign w:val="center"/>
            <w:hideMark/>
          </w:tcPr>
          <w:p w14:paraId="0D0791A0" w14:textId="77777777" w:rsidR="00000000" w:rsidRDefault="001D0688">
            <w:pPr>
              <w:rPr>
                <w:rFonts w:eastAsia="Times New Roman"/>
                <w:sz w:val="20"/>
                <w:szCs w:val="20"/>
              </w:rPr>
            </w:pPr>
          </w:p>
        </w:tc>
        <w:tc>
          <w:tcPr>
            <w:tcW w:w="5" w:type="pct"/>
            <w:vAlign w:val="center"/>
            <w:hideMark/>
          </w:tcPr>
          <w:p w14:paraId="766A6769" w14:textId="77777777" w:rsidR="00000000" w:rsidRDefault="001D0688">
            <w:pPr>
              <w:rPr>
                <w:rFonts w:eastAsia="Times New Roman"/>
                <w:sz w:val="20"/>
                <w:szCs w:val="20"/>
              </w:rPr>
            </w:pPr>
          </w:p>
        </w:tc>
      </w:tr>
      <w:tr w:rsidR="00000000" w14:paraId="0395624A" w14:textId="77777777">
        <w:trPr>
          <w:divId w:val="1144659381"/>
          <w:trHeight w:val="60"/>
        </w:trPr>
        <w:tc>
          <w:tcPr>
            <w:tcW w:w="0" w:type="auto"/>
            <w:gridSpan w:val="3"/>
            <w:tcBorders>
              <w:top w:val="single" w:sz="8" w:space="0" w:color="E98300"/>
            </w:tcBorders>
            <w:tcMar>
              <w:top w:w="0" w:type="dxa"/>
              <w:left w:w="20" w:type="dxa"/>
              <w:bottom w:w="0" w:type="dxa"/>
              <w:right w:w="20" w:type="dxa"/>
            </w:tcMar>
            <w:vAlign w:val="center"/>
            <w:hideMark/>
          </w:tcPr>
          <w:p w14:paraId="18281D2B"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5F3C33A" w14:textId="77777777" w:rsidR="00000000" w:rsidRDefault="001D0688">
            <w:pPr>
              <w:rPr>
                <w:rFonts w:eastAsia="Times New Roman"/>
                <w:sz w:val="20"/>
                <w:szCs w:val="20"/>
              </w:rPr>
            </w:pPr>
          </w:p>
        </w:tc>
      </w:tr>
    </w:tbl>
    <w:p w14:paraId="14E858AC" w14:textId="77777777" w:rsidR="00000000" w:rsidRDefault="001D0688">
      <w:pPr>
        <w:jc w:val="both"/>
        <w:divId w:val="1258562173"/>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jc w:val="right"/>
        <w:tblCellMar>
          <w:top w:w="15" w:type="dxa"/>
          <w:left w:w="15" w:type="dxa"/>
          <w:bottom w:w="15" w:type="dxa"/>
          <w:right w:w="15" w:type="dxa"/>
        </w:tblCellMar>
        <w:tblLook w:val="04A0" w:firstRow="1" w:lastRow="0" w:firstColumn="1" w:lastColumn="0" w:noHBand="0" w:noVBand="1"/>
      </w:tblPr>
      <w:tblGrid>
        <w:gridCol w:w="41"/>
        <w:gridCol w:w="4132"/>
        <w:gridCol w:w="40"/>
        <w:gridCol w:w="132"/>
        <w:gridCol w:w="1155"/>
        <w:gridCol w:w="36"/>
        <w:gridCol w:w="36"/>
        <w:gridCol w:w="36"/>
        <w:gridCol w:w="36"/>
        <w:gridCol w:w="132"/>
        <w:gridCol w:w="1109"/>
        <w:gridCol w:w="36"/>
        <w:gridCol w:w="36"/>
        <w:gridCol w:w="36"/>
        <w:gridCol w:w="36"/>
        <w:gridCol w:w="132"/>
        <w:gridCol w:w="1109"/>
        <w:gridCol w:w="36"/>
      </w:tblGrid>
      <w:tr w:rsidR="00000000" w14:paraId="0663076A" w14:textId="77777777">
        <w:trPr>
          <w:divId w:val="311449656"/>
          <w:jc w:val="right"/>
        </w:trPr>
        <w:tc>
          <w:tcPr>
            <w:tcW w:w="50" w:type="pct"/>
            <w:vAlign w:val="center"/>
            <w:hideMark/>
          </w:tcPr>
          <w:p w14:paraId="309E8345" w14:textId="77777777" w:rsidR="00000000" w:rsidRDefault="001D0688">
            <w:pPr>
              <w:jc w:val="both"/>
              <w:rPr>
                <w:rFonts w:eastAsia="Times New Roman"/>
              </w:rPr>
            </w:pPr>
          </w:p>
        </w:tc>
        <w:tc>
          <w:tcPr>
            <w:tcW w:w="2525" w:type="pct"/>
            <w:vAlign w:val="center"/>
            <w:hideMark/>
          </w:tcPr>
          <w:p w14:paraId="4C1EBE2A" w14:textId="77777777" w:rsidR="00000000" w:rsidRDefault="001D0688">
            <w:pPr>
              <w:rPr>
                <w:rFonts w:eastAsia="Times New Roman"/>
                <w:sz w:val="20"/>
                <w:szCs w:val="20"/>
              </w:rPr>
            </w:pPr>
          </w:p>
        </w:tc>
        <w:tc>
          <w:tcPr>
            <w:tcW w:w="5" w:type="pct"/>
            <w:vAlign w:val="center"/>
            <w:hideMark/>
          </w:tcPr>
          <w:p w14:paraId="527231C4" w14:textId="77777777" w:rsidR="00000000" w:rsidRDefault="001D0688">
            <w:pPr>
              <w:rPr>
                <w:rFonts w:eastAsia="Times New Roman"/>
                <w:sz w:val="20"/>
                <w:szCs w:val="20"/>
              </w:rPr>
            </w:pPr>
          </w:p>
        </w:tc>
        <w:tc>
          <w:tcPr>
            <w:tcW w:w="50" w:type="pct"/>
            <w:vAlign w:val="center"/>
            <w:hideMark/>
          </w:tcPr>
          <w:p w14:paraId="01EC043F" w14:textId="77777777" w:rsidR="00000000" w:rsidRDefault="001D0688">
            <w:pPr>
              <w:rPr>
                <w:rFonts w:eastAsia="Times New Roman"/>
                <w:sz w:val="20"/>
                <w:szCs w:val="20"/>
              </w:rPr>
            </w:pPr>
          </w:p>
        </w:tc>
        <w:tc>
          <w:tcPr>
            <w:tcW w:w="727" w:type="pct"/>
            <w:vAlign w:val="center"/>
            <w:hideMark/>
          </w:tcPr>
          <w:p w14:paraId="566BA8C5" w14:textId="77777777" w:rsidR="00000000" w:rsidRDefault="001D0688">
            <w:pPr>
              <w:rPr>
                <w:rFonts w:eastAsia="Times New Roman"/>
                <w:sz w:val="20"/>
                <w:szCs w:val="20"/>
              </w:rPr>
            </w:pPr>
          </w:p>
        </w:tc>
        <w:tc>
          <w:tcPr>
            <w:tcW w:w="5" w:type="pct"/>
            <w:vAlign w:val="center"/>
            <w:hideMark/>
          </w:tcPr>
          <w:p w14:paraId="7B367D22" w14:textId="77777777" w:rsidR="00000000" w:rsidRDefault="001D0688">
            <w:pPr>
              <w:rPr>
                <w:rFonts w:eastAsia="Times New Roman"/>
                <w:sz w:val="20"/>
                <w:szCs w:val="20"/>
              </w:rPr>
            </w:pPr>
          </w:p>
        </w:tc>
        <w:tc>
          <w:tcPr>
            <w:tcW w:w="5" w:type="pct"/>
            <w:vAlign w:val="center"/>
            <w:hideMark/>
          </w:tcPr>
          <w:p w14:paraId="746B83F3" w14:textId="77777777" w:rsidR="00000000" w:rsidRDefault="001D0688">
            <w:pPr>
              <w:rPr>
                <w:rFonts w:eastAsia="Times New Roman"/>
                <w:sz w:val="20"/>
                <w:szCs w:val="20"/>
              </w:rPr>
            </w:pPr>
          </w:p>
        </w:tc>
        <w:tc>
          <w:tcPr>
            <w:tcW w:w="26" w:type="pct"/>
            <w:vAlign w:val="center"/>
            <w:hideMark/>
          </w:tcPr>
          <w:p w14:paraId="5BB1F231" w14:textId="77777777" w:rsidR="00000000" w:rsidRDefault="001D0688">
            <w:pPr>
              <w:rPr>
                <w:rFonts w:eastAsia="Times New Roman"/>
                <w:sz w:val="20"/>
                <w:szCs w:val="20"/>
              </w:rPr>
            </w:pPr>
          </w:p>
        </w:tc>
        <w:tc>
          <w:tcPr>
            <w:tcW w:w="5" w:type="pct"/>
            <w:vAlign w:val="center"/>
            <w:hideMark/>
          </w:tcPr>
          <w:p w14:paraId="54A537D0" w14:textId="77777777" w:rsidR="00000000" w:rsidRDefault="001D0688">
            <w:pPr>
              <w:rPr>
                <w:rFonts w:eastAsia="Times New Roman"/>
                <w:sz w:val="20"/>
                <w:szCs w:val="20"/>
              </w:rPr>
            </w:pPr>
          </w:p>
        </w:tc>
        <w:tc>
          <w:tcPr>
            <w:tcW w:w="50" w:type="pct"/>
            <w:vAlign w:val="center"/>
            <w:hideMark/>
          </w:tcPr>
          <w:p w14:paraId="615B039F" w14:textId="77777777" w:rsidR="00000000" w:rsidRDefault="001D0688">
            <w:pPr>
              <w:rPr>
                <w:rFonts w:eastAsia="Times New Roman"/>
                <w:sz w:val="20"/>
                <w:szCs w:val="20"/>
              </w:rPr>
            </w:pPr>
          </w:p>
        </w:tc>
        <w:tc>
          <w:tcPr>
            <w:tcW w:w="727" w:type="pct"/>
            <w:vAlign w:val="center"/>
            <w:hideMark/>
          </w:tcPr>
          <w:p w14:paraId="7BA6DB87" w14:textId="77777777" w:rsidR="00000000" w:rsidRDefault="001D0688">
            <w:pPr>
              <w:rPr>
                <w:rFonts w:eastAsia="Times New Roman"/>
                <w:sz w:val="20"/>
                <w:szCs w:val="20"/>
              </w:rPr>
            </w:pPr>
          </w:p>
        </w:tc>
        <w:tc>
          <w:tcPr>
            <w:tcW w:w="5" w:type="pct"/>
            <w:vAlign w:val="center"/>
            <w:hideMark/>
          </w:tcPr>
          <w:p w14:paraId="4B40B20B" w14:textId="77777777" w:rsidR="00000000" w:rsidRDefault="001D0688">
            <w:pPr>
              <w:rPr>
                <w:rFonts w:eastAsia="Times New Roman"/>
                <w:sz w:val="20"/>
                <w:szCs w:val="20"/>
              </w:rPr>
            </w:pPr>
          </w:p>
        </w:tc>
        <w:tc>
          <w:tcPr>
            <w:tcW w:w="5" w:type="pct"/>
            <w:vAlign w:val="center"/>
            <w:hideMark/>
          </w:tcPr>
          <w:p w14:paraId="0BFB2E56" w14:textId="77777777" w:rsidR="00000000" w:rsidRDefault="001D0688">
            <w:pPr>
              <w:rPr>
                <w:rFonts w:eastAsia="Times New Roman"/>
                <w:sz w:val="20"/>
                <w:szCs w:val="20"/>
              </w:rPr>
            </w:pPr>
          </w:p>
        </w:tc>
        <w:tc>
          <w:tcPr>
            <w:tcW w:w="26" w:type="pct"/>
            <w:vAlign w:val="center"/>
            <w:hideMark/>
          </w:tcPr>
          <w:p w14:paraId="3E2D40A8" w14:textId="77777777" w:rsidR="00000000" w:rsidRDefault="001D0688">
            <w:pPr>
              <w:rPr>
                <w:rFonts w:eastAsia="Times New Roman"/>
                <w:sz w:val="20"/>
                <w:szCs w:val="20"/>
              </w:rPr>
            </w:pPr>
          </w:p>
        </w:tc>
        <w:tc>
          <w:tcPr>
            <w:tcW w:w="5" w:type="pct"/>
            <w:vAlign w:val="center"/>
            <w:hideMark/>
          </w:tcPr>
          <w:p w14:paraId="69163556" w14:textId="77777777" w:rsidR="00000000" w:rsidRDefault="001D0688">
            <w:pPr>
              <w:rPr>
                <w:rFonts w:eastAsia="Times New Roman"/>
                <w:sz w:val="20"/>
                <w:szCs w:val="20"/>
              </w:rPr>
            </w:pPr>
          </w:p>
        </w:tc>
        <w:tc>
          <w:tcPr>
            <w:tcW w:w="50" w:type="pct"/>
            <w:vAlign w:val="center"/>
            <w:hideMark/>
          </w:tcPr>
          <w:p w14:paraId="140908F3" w14:textId="77777777" w:rsidR="00000000" w:rsidRDefault="001D0688">
            <w:pPr>
              <w:rPr>
                <w:rFonts w:eastAsia="Times New Roman"/>
                <w:sz w:val="20"/>
                <w:szCs w:val="20"/>
              </w:rPr>
            </w:pPr>
          </w:p>
        </w:tc>
        <w:tc>
          <w:tcPr>
            <w:tcW w:w="727" w:type="pct"/>
            <w:vAlign w:val="center"/>
            <w:hideMark/>
          </w:tcPr>
          <w:p w14:paraId="39A90A8D" w14:textId="77777777" w:rsidR="00000000" w:rsidRDefault="001D0688">
            <w:pPr>
              <w:rPr>
                <w:rFonts w:eastAsia="Times New Roman"/>
                <w:sz w:val="20"/>
                <w:szCs w:val="20"/>
              </w:rPr>
            </w:pPr>
          </w:p>
        </w:tc>
        <w:tc>
          <w:tcPr>
            <w:tcW w:w="5" w:type="pct"/>
            <w:vAlign w:val="center"/>
            <w:hideMark/>
          </w:tcPr>
          <w:p w14:paraId="25068683" w14:textId="77777777" w:rsidR="00000000" w:rsidRDefault="001D0688">
            <w:pPr>
              <w:rPr>
                <w:rFonts w:eastAsia="Times New Roman"/>
                <w:sz w:val="20"/>
                <w:szCs w:val="20"/>
              </w:rPr>
            </w:pPr>
          </w:p>
        </w:tc>
      </w:tr>
      <w:tr w:rsidR="00000000" w14:paraId="62CEBEB1" w14:textId="77777777">
        <w:trPr>
          <w:divId w:val="311449656"/>
          <w:jc w:val="right"/>
        </w:trPr>
        <w:tc>
          <w:tcPr>
            <w:tcW w:w="0" w:type="auto"/>
            <w:gridSpan w:val="3"/>
            <w:tcMar>
              <w:top w:w="0" w:type="dxa"/>
              <w:left w:w="20" w:type="dxa"/>
              <w:bottom w:w="0" w:type="dxa"/>
              <w:right w:w="20" w:type="dxa"/>
            </w:tcMar>
            <w:vAlign w:val="center"/>
            <w:hideMark/>
          </w:tcPr>
          <w:p w14:paraId="20202D59"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0D787FE2"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51E2DA2A" w14:textId="77777777">
        <w:trPr>
          <w:divId w:val="311449656"/>
          <w:jc w:val="right"/>
        </w:trPr>
        <w:tc>
          <w:tcPr>
            <w:tcW w:w="0" w:type="auto"/>
            <w:gridSpan w:val="3"/>
            <w:tcMar>
              <w:top w:w="30" w:type="dxa"/>
              <w:left w:w="20" w:type="dxa"/>
              <w:bottom w:w="30" w:type="dxa"/>
              <w:right w:w="20" w:type="dxa"/>
            </w:tcMar>
            <w:vAlign w:val="bottom"/>
            <w:hideMark/>
          </w:tcPr>
          <w:p w14:paraId="307671FB"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4AFF7051"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4484ADDD"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0EDA57"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21DB1A64"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903F8C"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71DE55FC" w14:textId="77777777">
        <w:trPr>
          <w:divId w:val="311449656"/>
          <w:jc w:val="right"/>
        </w:trPr>
        <w:tc>
          <w:tcPr>
            <w:tcW w:w="0" w:type="auto"/>
            <w:gridSpan w:val="3"/>
            <w:shd w:val="clear" w:color="auto" w:fill="DCE2EF"/>
            <w:tcMar>
              <w:top w:w="30" w:type="dxa"/>
              <w:left w:w="20" w:type="dxa"/>
              <w:bottom w:w="30" w:type="dxa"/>
              <w:right w:w="20" w:type="dxa"/>
            </w:tcMar>
            <w:vAlign w:val="bottom"/>
            <w:hideMark/>
          </w:tcPr>
          <w:p w14:paraId="06D8644A"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68C14F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70E3143"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6849AC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328A0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5E6F2A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7F8F4DF" w14:textId="77777777" w:rsidR="00000000" w:rsidRDefault="001D0688">
            <w:pPr>
              <w:jc w:val="right"/>
              <w:rPr>
                <w:rFonts w:eastAsia="Times New Roman"/>
              </w:rPr>
            </w:pPr>
            <w:r>
              <w:rPr>
                <w:rFonts w:ascii="Arial" w:eastAsia="Times New Roman" w:hAnsi="Arial" w:cs="Arial"/>
                <w:color w:val="000000"/>
                <w:sz w:val="20"/>
                <w:szCs w:val="20"/>
              </w:rPr>
              <w:t>127.5 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4D6EBE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259F9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67478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F30F02D" w14:textId="77777777" w:rsidR="00000000" w:rsidRDefault="001D0688">
            <w:pPr>
              <w:jc w:val="right"/>
              <w:rPr>
                <w:rFonts w:eastAsia="Times New Roman"/>
              </w:rPr>
            </w:pPr>
            <w:r>
              <w:rPr>
                <w:rFonts w:ascii="Arial" w:eastAsia="Times New Roman" w:hAnsi="Arial" w:cs="Arial"/>
                <w:color w:val="000000"/>
                <w:sz w:val="20"/>
                <w:szCs w:val="20"/>
              </w:rPr>
              <w:t>95.9 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37A9CCD" w14:textId="77777777" w:rsidR="00000000" w:rsidRDefault="001D0688">
            <w:pPr>
              <w:jc w:val="right"/>
              <w:rPr>
                <w:rFonts w:eastAsia="Times New Roman"/>
              </w:rPr>
            </w:pPr>
          </w:p>
        </w:tc>
      </w:tr>
      <w:tr w:rsidR="00000000" w14:paraId="203EEAB5" w14:textId="77777777">
        <w:trPr>
          <w:divId w:val="311449656"/>
          <w:jc w:val="right"/>
        </w:trPr>
        <w:tc>
          <w:tcPr>
            <w:tcW w:w="0" w:type="auto"/>
            <w:gridSpan w:val="3"/>
            <w:shd w:val="clear" w:color="auto" w:fill="FFFFFF"/>
            <w:tcMar>
              <w:top w:w="30" w:type="dxa"/>
              <w:left w:w="20" w:type="dxa"/>
              <w:bottom w:w="30" w:type="dxa"/>
              <w:right w:w="20" w:type="dxa"/>
            </w:tcMar>
            <w:vAlign w:val="bottom"/>
            <w:hideMark/>
          </w:tcPr>
          <w:p w14:paraId="7995ABDD" w14:textId="77777777" w:rsidR="00000000" w:rsidRDefault="001D0688">
            <w:pPr>
              <w:rPr>
                <w:rFonts w:eastAsia="Times New Roman"/>
              </w:rPr>
            </w:pPr>
            <w:r>
              <w:rPr>
                <w:rFonts w:ascii="Arial" w:eastAsia="Times New Roman" w:hAnsi="Arial" w:cs="Arial"/>
                <w:color w:val="000000"/>
                <w:sz w:val="20"/>
                <w:szCs w:val="20"/>
              </w:rPr>
              <w:t>Income (loss) from discontinued operations, net of taxes</w:t>
            </w:r>
          </w:p>
        </w:tc>
        <w:tc>
          <w:tcPr>
            <w:tcW w:w="0" w:type="auto"/>
            <w:gridSpan w:val="2"/>
            <w:shd w:val="clear" w:color="auto" w:fill="FFFFFF"/>
            <w:tcMar>
              <w:top w:w="30" w:type="dxa"/>
              <w:left w:w="20" w:type="dxa"/>
              <w:bottom w:w="30" w:type="dxa"/>
              <w:right w:w="0" w:type="dxa"/>
            </w:tcMar>
            <w:vAlign w:val="bottom"/>
            <w:hideMark/>
          </w:tcPr>
          <w:p w14:paraId="7DEF3F48"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5E5BB30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0EA5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AE5AA"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6929B7D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EDAE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F6B17" w14:textId="77777777" w:rsidR="00000000" w:rsidRDefault="001D0688">
            <w:pPr>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14:paraId="07DC0F2D" w14:textId="77777777" w:rsidR="00000000" w:rsidRDefault="001D0688">
            <w:pPr>
              <w:jc w:val="right"/>
              <w:rPr>
                <w:rFonts w:eastAsia="Times New Roman"/>
              </w:rPr>
            </w:pPr>
          </w:p>
        </w:tc>
      </w:tr>
      <w:tr w:rsidR="00000000" w14:paraId="23479DA1" w14:textId="77777777">
        <w:trPr>
          <w:divId w:val="311449656"/>
          <w:jc w:val="right"/>
        </w:trPr>
        <w:tc>
          <w:tcPr>
            <w:tcW w:w="0" w:type="auto"/>
            <w:gridSpan w:val="3"/>
            <w:shd w:val="clear" w:color="auto" w:fill="DCE2EF"/>
            <w:tcMar>
              <w:top w:w="30" w:type="dxa"/>
              <w:left w:w="20" w:type="dxa"/>
              <w:bottom w:w="30" w:type="dxa"/>
              <w:right w:w="20" w:type="dxa"/>
            </w:tcMar>
            <w:vAlign w:val="bottom"/>
            <w:hideMark/>
          </w:tcPr>
          <w:p w14:paraId="28BEEA2D"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F2A75F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FC23A3" w14:textId="77777777" w:rsidR="00000000" w:rsidRDefault="001D0688">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5F00E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67B47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681F1E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22ABE48" w14:textId="77777777" w:rsidR="00000000" w:rsidRDefault="001D0688">
            <w:pPr>
              <w:jc w:val="right"/>
              <w:rPr>
                <w:rFonts w:eastAsia="Times New Roman"/>
              </w:rPr>
            </w:pPr>
            <w:r>
              <w:rPr>
                <w:rFonts w:ascii="Arial" w:eastAsia="Times New Roman" w:hAnsi="Arial" w:cs="Arial"/>
                <w:color w:val="000000"/>
                <w:sz w:val="20"/>
                <w:szCs w:val="20"/>
              </w:rPr>
              <w:t>127.4 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CD297F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1BAC7B"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EB4997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16F44B7" w14:textId="77777777" w:rsidR="00000000" w:rsidRDefault="001D0688">
            <w:pPr>
              <w:jc w:val="right"/>
              <w:rPr>
                <w:rFonts w:eastAsia="Times New Roman"/>
              </w:rPr>
            </w:pPr>
            <w:r>
              <w:rPr>
                <w:rFonts w:ascii="Arial" w:eastAsia="Times New Roman" w:hAnsi="Arial" w:cs="Arial"/>
                <w:color w:val="000000"/>
                <w:sz w:val="20"/>
                <w:szCs w:val="20"/>
              </w:rPr>
              <w:t>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4ABF0F5" w14:textId="77777777" w:rsidR="00000000" w:rsidRDefault="001D0688">
            <w:pPr>
              <w:jc w:val="right"/>
              <w:rPr>
                <w:rFonts w:eastAsia="Times New Roman"/>
              </w:rPr>
            </w:pPr>
          </w:p>
        </w:tc>
      </w:tr>
      <w:tr w:rsidR="00000000" w14:paraId="188E2D45" w14:textId="77777777">
        <w:trPr>
          <w:divId w:val="311449656"/>
          <w:trHeight w:val="280"/>
          <w:jc w:val="right"/>
        </w:trPr>
        <w:tc>
          <w:tcPr>
            <w:tcW w:w="0" w:type="auto"/>
            <w:gridSpan w:val="3"/>
            <w:shd w:val="clear" w:color="auto" w:fill="FFFFFF"/>
            <w:tcMar>
              <w:top w:w="0" w:type="dxa"/>
              <w:left w:w="20" w:type="dxa"/>
              <w:bottom w:w="0" w:type="dxa"/>
              <w:right w:w="20" w:type="dxa"/>
            </w:tcMar>
            <w:vAlign w:val="center"/>
            <w:hideMark/>
          </w:tcPr>
          <w:p w14:paraId="0D76ECED"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6C05D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298085"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343F9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7946F2"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A394BF" w14:textId="77777777" w:rsidR="00000000" w:rsidRDefault="001D0688">
            <w:pPr>
              <w:rPr>
                <w:rFonts w:eastAsia="Times New Roman"/>
                <w:sz w:val="20"/>
                <w:szCs w:val="20"/>
              </w:rPr>
            </w:pPr>
          </w:p>
        </w:tc>
      </w:tr>
      <w:tr w:rsidR="00000000" w14:paraId="25CF6765" w14:textId="77777777">
        <w:trPr>
          <w:divId w:val="311449656"/>
          <w:jc w:val="right"/>
        </w:trPr>
        <w:tc>
          <w:tcPr>
            <w:tcW w:w="0" w:type="auto"/>
            <w:gridSpan w:val="3"/>
            <w:shd w:val="clear" w:color="auto" w:fill="DCE2EF"/>
            <w:tcMar>
              <w:top w:w="30" w:type="dxa"/>
              <w:left w:w="80" w:type="dxa"/>
              <w:bottom w:w="30" w:type="dxa"/>
              <w:right w:w="20" w:type="dxa"/>
            </w:tcMar>
            <w:vAlign w:val="bottom"/>
            <w:hideMark/>
          </w:tcPr>
          <w:p w14:paraId="216B674A" w14:textId="77777777" w:rsidR="00000000" w:rsidRDefault="001D0688">
            <w:pPr>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shares outstanding — Basic</w:t>
            </w:r>
          </w:p>
        </w:tc>
        <w:tc>
          <w:tcPr>
            <w:tcW w:w="0" w:type="auto"/>
            <w:gridSpan w:val="2"/>
            <w:shd w:val="clear" w:color="auto" w:fill="DCE2EF"/>
            <w:tcMar>
              <w:top w:w="30" w:type="dxa"/>
              <w:left w:w="20" w:type="dxa"/>
              <w:bottom w:w="30" w:type="dxa"/>
              <w:right w:w="0" w:type="dxa"/>
            </w:tcMar>
            <w:vAlign w:val="bottom"/>
            <w:hideMark/>
          </w:tcPr>
          <w:p w14:paraId="306656B4" w14:textId="77777777" w:rsidR="00000000" w:rsidRDefault="001D0688">
            <w:pPr>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14:paraId="6119028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836F7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5790A1" w14:textId="77777777" w:rsidR="00000000" w:rsidRDefault="001D0688">
            <w:pPr>
              <w:jc w:val="right"/>
              <w:rPr>
                <w:rFonts w:eastAsia="Times New Roman"/>
              </w:rPr>
            </w:pPr>
            <w:r>
              <w:rPr>
                <w:rFonts w:ascii="Arial" w:eastAsia="Times New Roman" w:hAnsi="Arial" w:cs="Arial"/>
                <w:color w:val="000000"/>
                <w:sz w:val="20"/>
                <w:szCs w:val="20"/>
              </w:rPr>
              <w:t>66.6 </w:t>
            </w:r>
          </w:p>
        </w:tc>
        <w:tc>
          <w:tcPr>
            <w:tcW w:w="0" w:type="auto"/>
            <w:shd w:val="clear" w:color="auto" w:fill="DCE2EF"/>
            <w:tcMar>
              <w:top w:w="30" w:type="dxa"/>
              <w:left w:w="0" w:type="dxa"/>
              <w:bottom w:w="30" w:type="dxa"/>
              <w:right w:w="20" w:type="dxa"/>
            </w:tcMar>
            <w:vAlign w:val="bottom"/>
            <w:hideMark/>
          </w:tcPr>
          <w:p w14:paraId="4254420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75388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D0702F6" w14:textId="77777777" w:rsidR="00000000" w:rsidRDefault="001D0688">
            <w:pPr>
              <w:jc w:val="right"/>
              <w:rPr>
                <w:rFonts w:eastAsia="Times New Roman"/>
              </w:rPr>
            </w:pPr>
            <w:r>
              <w:rPr>
                <w:rFonts w:ascii="Arial" w:eastAsia="Times New Roman" w:hAnsi="Arial" w:cs="Arial"/>
                <w:color w:val="000000"/>
                <w:sz w:val="20"/>
                <w:szCs w:val="20"/>
              </w:rPr>
              <w:t>66.1 </w:t>
            </w:r>
          </w:p>
        </w:tc>
        <w:tc>
          <w:tcPr>
            <w:tcW w:w="0" w:type="auto"/>
            <w:shd w:val="clear" w:color="auto" w:fill="DCE2EF"/>
            <w:tcMar>
              <w:top w:w="30" w:type="dxa"/>
              <w:left w:w="0" w:type="dxa"/>
              <w:bottom w:w="30" w:type="dxa"/>
              <w:right w:w="20" w:type="dxa"/>
            </w:tcMar>
            <w:vAlign w:val="bottom"/>
            <w:hideMark/>
          </w:tcPr>
          <w:p w14:paraId="410988BC" w14:textId="77777777" w:rsidR="00000000" w:rsidRDefault="001D0688">
            <w:pPr>
              <w:jc w:val="right"/>
              <w:rPr>
                <w:rFonts w:eastAsia="Times New Roman"/>
              </w:rPr>
            </w:pPr>
          </w:p>
        </w:tc>
      </w:tr>
      <w:tr w:rsidR="00000000" w14:paraId="3FEE3846" w14:textId="77777777">
        <w:trPr>
          <w:divId w:val="311449656"/>
          <w:jc w:val="right"/>
        </w:trPr>
        <w:tc>
          <w:tcPr>
            <w:tcW w:w="0" w:type="auto"/>
            <w:gridSpan w:val="3"/>
            <w:shd w:val="clear" w:color="auto" w:fill="FFFFFF"/>
            <w:tcMar>
              <w:top w:w="30" w:type="dxa"/>
              <w:left w:w="20" w:type="dxa"/>
              <w:bottom w:w="30" w:type="dxa"/>
              <w:right w:w="20" w:type="dxa"/>
            </w:tcMar>
            <w:vAlign w:val="bottom"/>
            <w:hideMark/>
          </w:tcPr>
          <w:p w14:paraId="20BE5207" w14:textId="77777777" w:rsidR="00000000" w:rsidRDefault="001D0688">
            <w:pPr>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14:paraId="405DA332"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A880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51971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D19D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4ABC3" w14:textId="77777777" w:rsidR="00000000" w:rsidRDefault="001D0688">
            <w:pPr>
              <w:rPr>
                <w:rFonts w:eastAsia="Times New Roman"/>
                <w:sz w:val="20"/>
                <w:szCs w:val="20"/>
              </w:rPr>
            </w:pPr>
          </w:p>
        </w:tc>
      </w:tr>
      <w:tr w:rsidR="00000000" w14:paraId="09746DBF" w14:textId="77777777">
        <w:trPr>
          <w:divId w:val="311449656"/>
          <w:jc w:val="right"/>
        </w:trPr>
        <w:tc>
          <w:tcPr>
            <w:tcW w:w="0" w:type="auto"/>
            <w:gridSpan w:val="3"/>
            <w:shd w:val="clear" w:color="auto" w:fill="DCE2EF"/>
            <w:tcMar>
              <w:top w:w="30" w:type="dxa"/>
              <w:left w:w="380" w:type="dxa"/>
              <w:bottom w:w="30" w:type="dxa"/>
              <w:right w:w="20" w:type="dxa"/>
            </w:tcMar>
            <w:vAlign w:val="bottom"/>
            <w:hideMark/>
          </w:tcPr>
          <w:p w14:paraId="30F1A681" w14:textId="77777777" w:rsidR="00000000" w:rsidRDefault="001D0688">
            <w:pPr>
              <w:rPr>
                <w:rFonts w:eastAsia="Times New Roman"/>
              </w:rPr>
            </w:pPr>
            <w:r>
              <w:rPr>
                <w:rFonts w:ascii="Arial" w:eastAsia="Times New Roman" w:hAnsi="Arial" w:cs="Arial"/>
                <w:color w:val="000000"/>
                <w:sz w:val="20"/>
                <w:szCs w:val="20"/>
              </w:rPr>
              <w:t>RSUs</w:t>
            </w:r>
          </w:p>
        </w:tc>
        <w:tc>
          <w:tcPr>
            <w:tcW w:w="0" w:type="auto"/>
            <w:gridSpan w:val="2"/>
            <w:shd w:val="clear" w:color="auto" w:fill="DCE2EF"/>
            <w:tcMar>
              <w:top w:w="30" w:type="dxa"/>
              <w:left w:w="20" w:type="dxa"/>
              <w:bottom w:w="30" w:type="dxa"/>
              <w:right w:w="0" w:type="dxa"/>
            </w:tcMar>
            <w:vAlign w:val="bottom"/>
            <w:hideMark/>
          </w:tcPr>
          <w:p w14:paraId="418D6ADF"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6949B5D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D1E83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C6BADB"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38FB4FD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3263E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42FD110"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49743079" w14:textId="77777777" w:rsidR="00000000" w:rsidRDefault="001D0688">
            <w:pPr>
              <w:jc w:val="right"/>
              <w:rPr>
                <w:rFonts w:eastAsia="Times New Roman"/>
              </w:rPr>
            </w:pPr>
          </w:p>
        </w:tc>
      </w:tr>
      <w:tr w:rsidR="00000000" w14:paraId="100D2FAC" w14:textId="77777777">
        <w:trPr>
          <w:divId w:val="311449656"/>
          <w:jc w:val="right"/>
        </w:trPr>
        <w:tc>
          <w:tcPr>
            <w:tcW w:w="0" w:type="auto"/>
            <w:gridSpan w:val="3"/>
            <w:shd w:val="clear" w:color="auto" w:fill="FFFFFF"/>
            <w:tcMar>
              <w:top w:w="30" w:type="dxa"/>
              <w:left w:w="380" w:type="dxa"/>
              <w:bottom w:w="30" w:type="dxa"/>
              <w:right w:w="20" w:type="dxa"/>
            </w:tcMar>
            <w:vAlign w:val="bottom"/>
            <w:hideMark/>
          </w:tcPr>
          <w:p w14:paraId="52A2FF6B" w14:textId="77777777" w:rsidR="00000000" w:rsidRDefault="001D0688">
            <w:pPr>
              <w:rPr>
                <w:rFonts w:eastAsia="Times New Roman"/>
              </w:rPr>
            </w:pPr>
            <w:r>
              <w:rPr>
                <w:rFonts w:ascii="Arial" w:eastAsia="Times New Roman" w:hAnsi="Arial" w:cs="Arial"/>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14:paraId="522D8D34"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88EDBD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543D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85C6F"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40DED32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8892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920677"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770EDBA5" w14:textId="77777777" w:rsidR="00000000" w:rsidRDefault="001D0688">
            <w:pPr>
              <w:jc w:val="right"/>
              <w:rPr>
                <w:rFonts w:eastAsia="Times New Roman"/>
              </w:rPr>
            </w:pPr>
          </w:p>
        </w:tc>
      </w:tr>
      <w:tr w:rsidR="00000000" w14:paraId="0D1327FA" w14:textId="77777777">
        <w:trPr>
          <w:divId w:val="311449656"/>
          <w:jc w:val="right"/>
        </w:trPr>
        <w:tc>
          <w:tcPr>
            <w:tcW w:w="0" w:type="auto"/>
            <w:gridSpan w:val="3"/>
            <w:shd w:val="clear" w:color="auto" w:fill="DCE2EF"/>
            <w:tcMar>
              <w:top w:w="30" w:type="dxa"/>
              <w:left w:w="380" w:type="dxa"/>
              <w:bottom w:w="30" w:type="dxa"/>
              <w:right w:w="20" w:type="dxa"/>
            </w:tcMar>
            <w:vAlign w:val="bottom"/>
            <w:hideMark/>
          </w:tcPr>
          <w:p w14:paraId="64EA8E28" w14:textId="77777777" w:rsidR="00000000" w:rsidRDefault="001D0688">
            <w:pPr>
              <w:rPr>
                <w:rFonts w:eastAsia="Times New Roman"/>
              </w:rPr>
            </w:pPr>
            <w:r>
              <w:rPr>
                <w:rFonts w:ascii="Arial" w:eastAsia="Times New Roman" w:hAnsi="Arial" w:cs="Arial"/>
                <w:color w:val="000000"/>
                <w:sz w:val="20"/>
                <w:szCs w:val="20"/>
              </w:rPr>
              <w:t>Performance shares</w:t>
            </w:r>
          </w:p>
        </w:tc>
        <w:tc>
          <w:tcPr>
            <w:tcW w:w="0" w:type="auto"/>
            <w:gridSpan w:val="2"/>
            <w:shd w:val="clear" w:color="auto" w:fill="DCE2EF"/>
            <w:tcMar>
              <w:top w:w="30" w:type="dxa"/>
              <w:left w:w="20" w:type="dxa"/>
              <w:bottom w:w="30" w:type="dxa"/>
              <w:right w:w="0" w:type="dxa"/>
            </w:tcMar>
            <w:vAlign w:val="bottom"/>
            <w:hideMark/>
          </w:tcPr>
          <w:p w14:paraId="155C88F9"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19FF764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692FA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55D36F"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559D4B5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5F8EB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F1C01F"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0F6411FF" w14:textId="77777777" w:rsidR="00000000" w:rsidRDefault="001D0688">
            <w:pPr>
              <w:jc w:val="right"/>
              <w:rPr>
                <w:rFonts w:eastAsia="Times New Roman"/>
              </w:rPr>
            </w:pPr>
          </w:p>
        </w:tc>
      </w:tr>
      <w:tr w:rsidR="00000000" w14:paraId="4E996BCD" w14:textId="77777777">
        <w:trPr>
          <w:divId w:val="311449656"/>
          <w:jc w:val="right"/>
        </w:trPr>
        <w:tc>
          <w:tcPr>
            <w:tcW w:w="0" w:type="auto"/>
            <w:gridSpan w:val="3"/>
            <w:shd w:val="clear" w:color="auto" w:fill="FFFFFF"/>
            <w:tcMar>
              <w:top w:w="30" w:type="dxa"/>
              <w:left w:w="80" w:type="dxa"/>
              <w:bottom w:w="30" w:type="dxa"/>
              <w:right w:w="20" w:type="dxa"/>
            </w:tcMar>
            <w:vAlign w:val="bottom"/>
            <w:hideMark/>
          </w:tcPr>
          <w:p w14:paraId="32F15F1D" w14:textId="77777777" w:rsidR="00000000" w:rsidRDefault="001D0688">
            <w:pPr>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DAA556" w14:textId="77777777" w:rsidR="00000000" w:rsidRDefault="001D0688">
            <w:pPr>
              <w:jc w:val="right"/>
              <w:rPr>
                <w:rFonts w:eastAsia="Times New Roman"/>
              </w:rPr>
            </w:pPr>
            <w:r>
              <w:rPr>
                <w:rFonts w:ascii="Arial" w:eastAsia="Times New Roman" w:hAnsi="Arial" w:cs="Arial"/>
                <w:color w:val="000000"/>
                <w:sz w:val="20"/>
                <w:szCs w:val="20"/>
              </w:rPr>
              <w:t>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05D13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850A5"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7ABB16" w14:textId="77777777" w:rsidR="00000000" w:rsidRDefault="001D0688">
            <w:pPr>
              <w:jc w:val="right"/>
              <w:rPr>
                <w:rFonts w:eastAsia="Times New Roman"/>
              </w:rPr>
            </w:pPr>
            <w:r>
              <w:rPr>
                <w:rFonts w:ascii="Arial" w:eastAsia="Times New Roman" w:hAnsi="Arial" w:cs="Arial"/>
                <w:color w:val="000000"/>
                <w:sz w:val="20"/>
                <w:szCs w:val="20"/>
              </w:rPr>
              <w:t>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67F94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230A5"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A0F15A" w14:textId="77777777" w:rsidR="00000000" w:rsidRDefault="001D0688">
            <w:pPr>
              <w:jc w:val="right"/>
              <w:rPr>
                <w:rFonts w:eastAsia="Times New Roman"/>
              </w:rPr>
            </w:pPr>
            <w:r>
              <w:rPr>
                <w:rFonts w:ascii="Arial" w:eastAsia="Times New Roman" w:hAnsi="Arial" w:cs="Arial"/>
                <w:color w:val="000000"/>
                <w:sz w:val="20"/>
                <w:szCs w:val="20"/>
              </w:rPr>
              <w:t>66.4 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57C124" w14:textId="77777777" w:rsidR="00000000" w:rsidRDefault="001D0688">
            <w:pPr>
              <w:jc w:val="right"/>
              <w:rPr>
                <w:rFonts w:eastAsia="Times New Roman"/>
              </w:rPr>
            </w:pPr>
          </w:p>
        </w:tc>
      </w:tr>
      <w:tr w:rsidR="00000000" w14:paraId="69B6BF24" w14:textId="77777777">
        <w:trPr>
          <w:divId w:val="311449656"/>
          <w:trHeight w:val="280"/>
          <w:jc w:val="right"/>
        </w:trPr>
        <w:tc>
          <w:tcPr>
            <w:tcW w:w="0" w:type="auto"/>
            <w:gridSpan w:val="3"/>
            <w:shd w:val="clear" w:color="auto" w:fill="DCE2EF"/>
            <w:tcMar>
              <w:top w:w="0" w:type="dxa"/>
              <w:left w:w="20" w:type="dxa"/>
              <w:bottom w:w="0" w:type="dxa"/>
              <w:right w:w="20" w:type="dxa"/>
            </w:tcMar>
            <w:vAlign w:val="center"/>
            <w:hideMark/>
          </w:tcPr>
          <w:p w14:paraId="6EC97CB3"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42C1C81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F257438"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7AE850B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D6DB4E1"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34C0F654" w14:textId="77777777" w:rsidR="00000000" w:rsidRDefault="001D0688">
            <w:pPr>
              <w:rPr>
                <w:rFonts w:eastAsia="Times New Roman"/>
                <w:sz w:val="20"/>
                <w:szCs w:val="20"/>
              </w:rPr>
            </w:pPr>
          </w:p>
        </w:tc>
      </w:tr>
      <w:tr w:rsidR="00000000" w14:paraId="2AAF10A2" w14:textId="77777777">
        <w:trPr>
          <w:divId w:val="311449656"/>
          <w:jc w:val="right"/>
        </w:trPr>
        <w:tc>
          <w:tcPr>
            <w:tcW w:w="0" w:type="auto"/>
            <w:gridSpan w:val="3"/>
            <w:shd w:val="clear" w:color="auto" w:fill="FFFFFF"/>
            <w:tcMar>
              <w:top w:w="30" w:type="dxa"/>
              <w:left w:w="20" w:type="dxa"/>
              <w:bottom w:w="30" w:type="dxa"/>
              <w:right w:w="20" w:type="dxa"/>
            </w:tcMar>
            <w:vAlign w:val="bottom"/>
            <w:hideMark/>
          </w:tcPr>
          <w:p w14:paraId="22CFC4FC" w14:textId="77777777" w:rsidR="00000000" w:rsidRDefault="001D0688">
            <w:pPr>
              <w:rPr>
                <w:rFonts w:eastAsia="Times New Roman"/>
              </w:rPr>
            </w:pPr>
            <w:r>
              <w:rPr>
                <w:rFonts w:ascii="Arial" w:eastAsia="Times New Roman" w:hAnsi="Arial" w:cs="Arial"/>
                <w:b/>
                <w:bCs/>
                <w:color w:val="000000"/>
                <w:sz w:val="20"/>
                <w:szCs w:val="20"/>
              </w:rPr>
              <w:t xml:space="preserve">Net income per common share — Basic </w:t>
            </w:r>
          </w:p>
        </w:tc>
        <w:tc>
          <w:tcPr>
            <w:tcW w:w="0" w:type="auto"/>
            <w:gridSpan w:val="3"/>
            <w:shd w:val="clear" w:color="auto" w:fill="FFFFFF"/>
            <w:tcMar>
              <w:top w:w="0" w:type="dxa"/>
              <w:left w:w="20" w:type="dxa"/>
              <w:bottom w:w="0" w:type="dxa"/>
              <w:right w:w="20" w:type="dxa"/>
            </w:tcMar>
            <w:vAlign w:val="center"/>
            <w:hideMark/>
          </w:tcPr>
          <w:p w14:paraId="17C4C985"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3C23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EE9C1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E6C53E"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29BFC8" w14:textId="77777777" w:rsidR="00000000" w:rsidRDefault="001D0688">
            <w:pPr>
              <w:rPr>
                <w:rFonts w:eastAsia="Times New Roman"/>
                <w:sz w:val="20"/>
                <w:szCs w:val="20"/>
              </w:rPr>
            </w:pPr>
          </w:p>
        </w:tc>
      </w:tr>
      <w:tr w:rsidR="00000000" w14:paraId="3EB193D9" w14:textId="77777777">
        <w:trPr>
          <w:divId w:val="311449656"/>
          <w:jc w:val="right"/>
        </w:trPr>
        <w:tc>
          <w:tcPr>
            <w:tcW w:w="0" w:type="auto"/>
            <w:gridSpan w:val="3"/>
            <w:shd w:val="clear" w:color="auto" w:fill="DCE2EF"/>
            <w:tcMar>
              <w:top w:w="30" w:type="dxa"/>
              <w:left w:w="380" w:type="dxa"/>
              <w:bottom w:w="30" w:type="dxa"/>
              <w:right w:w="20" w:type="dxa"/>
            </w:tcMar>
            <w:vAlign w:val="bottom"/>
            <w:hideMark/>
          </w:tcPr>
          <w:p w14:paraId="191DDA71"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14:paraId="2951CE6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2675B52"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14:paraId="12272AD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A3299D"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58025A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0316BA8" w14:textId="77777777" w:rsidR="00000000" w:rsidRDefault="001D0688">
            <w:pPr>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14:paraId="42FBECC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B6E1C9"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400B9E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AE8C39D" w14:textId="77777777" w:rsidR="00000000" w:rsidRDefault="001D0688">
            <w:pPr>
              <w:jc w:val="right"/>
              <w:rPr>
                <w:rFonts w:eastAsia="Times New Roman"/>
              </w:rPr>
            </w:pPr>
            <w:r>
              <w:rPr>
                <w:rFonts w:ascii="Arial" w:eastAsia="Times New Roman" w:hAnsi="Arial" w:cs="Arial"/>
                <w:color w:val="000000"/>
                <w:sz w:val="20"/>
                <w:szCs w:val="20"/>
              </w:rPr>
              <w:t>1.45 </w:t>
            </w:r>
          </w:p>
        </w:tc>
        <w:tc>
          <w:tcPr>
            <w:tcW w:w="0" w:type="auto"/>
            <w:shd w:val="clear" w:color="auto" w:fill="DCE2EF"/>
            <w:tcMar>
              <w:top w:w="30" w:type="dxa"/>
              <w:left w:w="0" w:type="dxa"/>
              <w:bottom w:w="30" w:type="dxa"/>
              <w:right w:w="20" w:type="dxa"/>
            </w:tcMar>
            <w:vAlign w:val="bottom"/>
            <w:hideMark/>
          </w:tcPr>
          <w:p w14:paraId="1EA518B5" w14:textId="77777777" w:rsidR="00000000" w:rsidRDefault="001D0688">
            <w:pPr>
              <w:jc w:val="right"/>
              <w:rPr>
                <w:rFonts w:eastAsia="Times New Roman"/>
              </w:rPr>
            </w:pPr>
          </w:p>
        </w:tc>
      </w:tr>
      <w:tr w:rsidR="00000000" w14:paraId="0EB762BF" w14:textId="77777777">
        <w:trPr>
          <w:divId w:val="311449656"/>
          <w:jc w:val="right"/>
        </w:trPr>
        <w:tc>
          <w:tcPr>
            <w:tcW w:w="0" w:type="auto"/>
            <w:gridSpan w:val="3"/>
            <w:shd w:val="clear" w:color="auto" w:fill="FFFFFF"/>
            <w:tcMar>
              <w:top w:w="30" w:type="dxa"/>
              <w:left w:w="380" w:type="dxa"/>
              <w:bottom w:w="30" w:type="dxa"/>
              <w:right w:w="20" w:type="dxa"/>
            </w:tcMar>
            <w:vAlign w:val="bottom"/>
            <w:hideMark/>
          </w:tcPr>
          <w:p w14:paraId="3D81B93C"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14:paraId="34ABFEA0"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554131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C764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033CDD"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042E2C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27C6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B5748" w14:textId="77777777" w:rsidR="00000000" w:rsidRDefault="001D0688">
            <w:pPr>
              <w:jc w:val="right"/>
              <w:rPr>
                <w:rFonts w:eastAsia="Times New Roman"/>
              </w:rPr>
            </w:pPr>
            <w:r>
              <w:rPr>
                <w:rFonts w:ascii="Arial" w:eastAsia="Times New Roman" w:hAnsi="Arial" w:cs="Arial"/>
                <w:color w:val="000000"/>
                <w:sz w:val="20"/>
                <w:szCs w:val="20"/>
              </w:rPr>
              <w:t>0.03 </w:t>
            </w:r>
          </w:p>
        </w:tc>
        <w:tc>
          <w:tcPr>
            <w:tcW w:w="0" w:type="auto"/>
            <w:shd w:val="clear" w:color="auto" w:fill="FFFFFF"/>
            <w:tcMar>
              <w:top w:w="30" w:type="dxa"/>
              <w:left w:w="0" w:type="dxa"/>
              <w:bottom w:w="30" w:type="dxa"/>
              <w:right w:w="20" w:type="dxa"/>
            </w:tcMar>
            <w:vAlign w:val="bottom"/>
            <w:hideMark/>
          </w:tcPr>
          <w:p w14:paraId="5C003328" w14:textId="77777777" w:rsidR="00000000" w:rsidRDefault="001D0688">
            <w:pPr>
              <w:jc w:val="right"/>
              <w:rPr>
                <w:rFonts w:eastAsia="Times New Roman"/>
              </w:rPr>
            </w:pPr>
          </w:p>
        </w:tc>
      </w:tr>
      <w:tr w:rsidR="00000000" w14:paraId="7E7DAD71" w14:textId="77777777">
        <w:trPr>
          <w:divId w:val="311449656"/>
          <w:jc w:val="right"/>
        </w:trPr>
        <w:tc>
          <w:tcPr>
            <w:tcW w:w="0" w:type="auto"/>
            <w:gridSpan w:val="3"/>
            <w:shd w:val="clear" w:color="auto" w:fill="DCE2EF"/>
            <w:tcMar>
              <w:top w:w="30" w:type="dxa"/>
              <w:left w:w="380" w:type="dxa"/>
              <w:bottom w:w="30" w:type="dxa"/>
              <w:right w:w="20" w:type="dxa"/>
            </w:tcMar>
            <w:vAlign w:val="bottom"/>
            <w:hideMark/>
          </w:tcPr>
          <w:p w14:paraId="2C53EB5E"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A792E8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5FB6995"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0E3FD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B4C6B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394F7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DAAB6BD" w14:textId="77777777" w:rsidR="00000000" w:rsidRDefault="001D0688">
            <w:pPr>
              <w:jc w:val="right"/>
              <w:rPr>
                <w:rFonts w:eastAsia="Times New Roman"/>
              </w:rPr>
            </w:pPr>
            <w:r>
              <w:rPr>
                <w:rFonts w:ascii="Arial" w:eastAsia="Times New Roman" w:hAnsi="Arial" w:cs="Arial"/>
                <w:color w:val="000000"/>
                <w:sz w:val="20"/>
                <w:szCs w:val="20"/>
              </w:rPr>
              <w:t>1.91 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314C2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431F5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115A4F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6669490" w14:textId="77777777" w:rsidR="00000000" w:rsidRDefault="001D0688">
            <w:pPr>
              <w:jc w:val="right"/>
              <w:rPr>
                <w:rFonts w:eastAsia="Times New Roman"/>
              </w:rPr>
            </w:pPr>
            <w:r>
              <w:rPr>
                <w:rFonts w:ascii="Arial" w:eastAsia="Times New Roman" w:hAnsi="Arial" w:cs="Arial"/>
                <w:color w:val="000000"/>
                <w:sz w:val="20"/>
                <w:szCs w:val="20"/>
              </w:rPr>
              <w:t>1.48 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5E2350" w14:textId="77777777" w:rsidR="00000000" w:rsidRDefault="001D0688">
            <w:pPr>
              <w:jc w:val="right"/>
              <w:rPr>
                <w:rFonts w:eastAsia="Times New Roman"/>
              </w:rPr>
            </w:pPr>
          </w:p>
        </w:tc>
      </w:tr>
      <w:tr w:rsidR="00000000" w14:paraId="24B4BDE4" w14:textId="77777777">
        <w:trPr>
          <w:divId w:val="311449656"/>
          <w:trHeight w:val="280"/>
          <w:jc w:val="right"/>
        </w:trPr>
        <w:tc>
          <w:tcPr>
            <w:tcW w:w="0" w:type="auto"/>
            <w:gridSpan w:val="3"/>
            <w:shd w:val="clear" w:color="auto" w:fill="FFFFFF"/>
            <w:tcMar>
              <w:top w:w="0" w:type="dxa"/>
              <w:left w:w="20" w:type="dxa"/>
              <w:bottom w:w="0" w:type="dxa"/>
              <w:right w:w="20" w:type="dxa"/>
            </w:tcMar>
            <w:vAlign w:val="center"/>
            <w:hideMark/>
          </w:tcPr>
          <w:p w14:paraId="3673D225"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51A64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653E5A"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15B18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484FAC"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6256C33" w14:textId="77777777" w:rsidR="00000000" w:rsidRDefault="001D0688">
            <w:pPr>
              <w:rPr>
                <w:rFonts w:eastAsia="Times New Roman"/>
                <w:sz w:val="20"/>
                <w:szCs w:val="20"/>
              </w:rPr>
            </w:pPr>
          </w:p>
        </w:tc>
      </w:tr>
      <w:tr w:rsidR="00000000" w14:paraId="27273881" w14:textId="77777777">
        <w:trPr>
          <w:divId w:val="311449656"/>
          <w:jc w:val="right"/>
        </w:trPr>
        <w:tc>
          <w:tcPr>
            <w:tcW w:w="0" w:type="auto"/>
            <w:gridSpan w:val="3"/>
            <w:shd w:val="clear" w:color="auto" w:fill="DCE2EF"/>
            <w:tcMar>
              <w:top w:w="30" w:type="dxa"/>
              <w:left w:w="20" w:type="dxa"/>
              <w:bottom w:w="30" w:type="dxa"/>
              <w:right w:w="20" w:type="dxa"/>
            </w:tcMar>
            <w:vAlign w:val="bottom"/>
            <w:hideMark/>
          </w:tcPr>
          <w:p w14:paraId="44E593BE" w14:textId="77777777" w:rsidR="00000000" w:rsidRDefault="001D0688">
            <w:pPr>
              <w:rPr>
                <w:rFonts w:eastAsia="Times New Roman"/>
              </w:rPr>
            </w:pPr>
            <w:r>
              <w:rPr>
                <w:rFonts w:ascii="Arial" w:eastAsia="Times New Roman" w:hAnsi="Arial" w:cs="Arial"/>
                <w:b/>
                <w:bCs/>
                <w:color w:val="000000"/>
                <w:sz w:val="20"/>
                <w:szCs w:val="20"/>
              </w:rPr>
              <w:t xml:space="preserve">Net income per common share — Diluted </w:t>
            </w:r>
          </w:p>
        </w:tc>
        <w:tc>
          <w:tcPr>
            <w:tcW w:w="0" w:type="auto"/>
            <w:gridSpan w:val="3"/>
            <w:shd w:val="clear" w:color="auto" w:fill="DCE2EF"/>
            <w:tcMar>
              <w:top w:w="0" w:type="dxa"/>
              <w:left w:w="20" w:type="dxa"/>
              <w:bottom w:w="0" w:type="dxa"/>
              <w:right w:w="20" w:type="dxa"/>
            </w:tcMar>
            <w:vAlign w:val="center"/>
            <w:hideMark/>
          </w:tcPr>
          <w:p w14:paraId="3661B78A"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CB08F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123D1C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633CEA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8AE2AF" w14:textId="77777777" w:rsidR="00000000" w:rsidRDefault="001D0688">
            <w:pPr>
              <w:rPr>
                <w:rFonts w:eastAsia="Times New Roman"/>
                <w:sz w:val="20"/>
                <w:szCs w:val="20"/>
              </w:rPr>
            </w:pPr>
          </w:p>
        </w:tc>
      </w:tr>
      <w:tr w:rsidR="00000000" w14:paraId="7ED1D01B" w14:textId="77777777">
        <w:trPr>
          <w:divId w:val="311449656"/>
          <w:jc w:val="right"/>
        </w:trPr>
        <w:tc>
          <w:tcPr>
            <w:tcW w:w="0" w:type="auto"/>
            <w:gridSpan w:val="3"/>
            <w:shd w:val="clear" w:color="auto" w:fill="FFFFFF"/>
            <w:tcMar>
              <w:top w:w="30" w:type="dxa"/>
              <w:left w:w="380" w:type="dxa"/>
              <w:bottom w:w="30" w:type="dxa"/>
              <w:right w:w="20" w:type="dxa"/>
            </w:tcMar>
            <w:vAlign w:val="bottom"/>
            <w:hideMark/>
          </w:tcPr>
          <w:p w14:paraId="26AF7A1E"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14:paraId="34EC8EC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2EB691"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shd w:val="clear" w:color="auto" w:fill="FFFFFF"/>
            <w:tcMar>
              <w:top w:w="30" w:type="dxa"/>
              <w:left w:w="0" w:type="dxa"/>
              <w:bottom w:w="30" w:type="dxa"/>
              <w:right w:w="20" w:type="dxa"/>
            </w:tcMar>
            <w:vAlign w:val="bottom"/>
            <w:hideMark/>
          </w:tcPr>
          <w:p w14:paraId="051EDB0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65DA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03F15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64F55E0" w14:textId="77777777" w:rsidR="00000000" w:rsidRDefault="001D0688">
            <w:pPr>
              <w:jc w:val="right"/>
              <w:rPr>
                <w:rFonts w:eastAsia="Times New Roman"/>
              </w:rPr>
            </w:pPr>
            <w:r>
              <w:rPr>
                <w:rFonts w:ascii="Arial" w:eastAsia="Times New Roman" w:hAnsi="Arial" w:cs="Arial"/>
                <w:color w:val="000000"/>
                <w:sz w:val="20"/>
                <w:szCs w:val="20"/>
              </w:rPr>
              <w:t>1.91 </w:t>
            </w:r>
          </w:p>
        </w:tc>
        <w:tc>
          <w:tcPr>
            <w:tcW w:w="0" w:type="auto"/>
            <w:shd w:val="clear" w:color="auto" w:fill="FFFFFF"/>
            <w:tcMar>
              <w:top w:w="30" w:type="dxa"/>
              <w:left w:w="0" w:type="dxa"/>
              <w:bottom w:w="30" w:type="dxa"/>
              <w:right w:w="20" w:type="dxa"/>
            </w:tcMar>
            <w:vAlign w:val="bottom"/>
            <w:hideMark/>
          </w:tcPr>
          <w:p w14:paraId="1C9E4B1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38D97"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4BCAB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4ABFDC8" w14:textId="77777777" w:rsidR="00000000" w:rsidRDefault="001D0688">
            <w:pPr>
              <w:jc w:val="right"/>
              <w:rPr>
                <w:rFonts w:eastAsia="Times New Roman"/>
              </w:rPr>
            </w:pPr>
            <w:r>
              <w:rPr>
                <w:rFonts w:ascii="Arial" w:eastAsia="Times New Roman" w:hAnsi="Arial" w:cs="Arial"/>
                <w:color w:val="000000"/>
                <w:sz w:val="20"/>
                <w:szCs w:val="20"/>
              </w:rPr>
              <w:t>1.45 </w:t>
            </w:r>
          </w:p>
        </w:tc>
        <w:tc>
          <w:tcPr>
            <w:tcW w:w="0" w:type="auto"/>
            <w:shd w:val="clear" w:color="auto" w:fill="FFFFFF"/>
            <w:tcMar>
              <w:top w:w="30" w:type="dxa"/>
              <w:left w:w="0" w:type="dxa"/>
              <w:bottom w:w="30" w:type="dxa"/>
              <w:right w:w="20" w:type="dxa"/>
            </w:tcMar>
            <w:vAlign w:val="bottom"/>
            <w:hideMark/>
          </w:tcPr>
          <w:p w14:paraId="1533C9CF" w14:textId="77777777" w:rsidR="00000000" w:rsidRDefault="001D0688">
            <w:pPr>
              <w:jc w:val="right"/>
              <w:rPr>
                <w:rFonts w:eastAsia="Times New Roman"/>
              </w:rPr>
            </w:pPr>
          </w:p>
        </w:tc>
      </w:tr>
      <w:tr w:rsidR="00000000" w14:paraId="6CC4D54D" w14:textId="77777777">
        <w:trPr>
          <w:divId w:val="311449656"/>
          <w:jc w:val="right"/>
        </w:trPr>
        <w:tc>
          <w:tcPr>
            <w:tcW w:w="0" w:type="auto"/>
            <w:gridSpan w:val="3"/>
            <w:shd w:val="clear" w:color="auto" w:fill="DCE2EF"/>
            <w:tcMar>
              <w:top w:w="30" w:type="dxa"/>
              <w:left w:w="380" w:type="dxa"/>
              <w:bottom w:w="30" w:type="dxa"/>
              <w:right w:w="20" w:type="dxa"/>
            </w:tcMar>
            <w:vAlign w:val="bottom"/>
            <w:hideMark/>
          </w:tcPr>
          <w:p w14:paraId="522987B4"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DCE2EF"/>
            <w:tcMar>
              <w:top w:w="30" w:type="dxa"/>
              <w:left w:w="20" w:type="dxa"/>
              <w:bottom w:w="30" w:type="dxa"/>
              <w:right w:w="0" w:type="dxa"/>
            </w:tcMar>
            <w:vAlign w:val="bottom"/>
            <w:hideMark/>
          </w:tcPr>
          <w:p w14:paraId="1E47F3D0"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96129D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8FB8B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ADE526"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253CC42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3D4AA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566D87D" w14:textId="77777777" w:rsidR="00000000" w:rsidRDefault="001D0688">
            <w:pPr>
              <w:jc w:val="right"/>
              <w:rPr>
                <w:rFonts w:eastAsia="Times New Roman"/>
              </w:rPr>
            </w:pPr>
            <w:r>
              <w:rPr>
                <w:rFonts w:ascii="Arial" w:eastAsia="Times New Roman" w:hAnsi="Arial" w:cs="Arial"/>
                <w:color w:val="000000"/>
                <w:sz w:val="20"/>
                <w:szCs w:val="20"/>
              </w:rPr>
              <w:t>0.03 </w:t>
            </w:r>
          </w:p>
        </w:tc>
        <w:tc>
          <w:tcPr>
            <w:tcW w:w="0" w:type="auto"/>
            <w:shd w:val="clear" w:color="auto" w:fill="DCE2EF"/>
            <w:tcMar>
              <w:top w:w="30" w:type="dxa"/>
              <w:left w:w="0" w:type="dxa"/>
              <w:bottom w:w="30" w:type="dxa"/>
              <w:right w:w="20" w:type="dxa"/>
            </w:tcMar>
            <w:vAlign w:val="bottom"/>
            <w:hideMark/>
          </w:tcPr>
          <w:p w14:paraId="058C271A" w14:textId="77777777" w:rsidR="00000000" w:rsidRDefault="001D0688">
            <w:pPr>
              <w:jc w:val="right"/>
              <w:rPr>
                <w:rFonts w:eastAsia="Times New Roman"/>
              </w:rPr>
            </w:pPr>
          </w:p>
        </w:tc>
      </w:tr>
      <w:tr w:rsidR="00000000" w14:paraId="49FCC70D" w14:textId="77777777">
        <w:trPr>
          <w:divId w:val="311449656"/>
          <w:jc w:val="right"/>
        </w:trPr>
        <w:tc>
          <w:tcPr>
            <w:tcW w:w="0" w:type="auto"/>
            <w:gridSpan w:val="3"/>
            <w:shd w:val="clear" w:color="auto" w:fill="FFFFFF"/>
            <w:tcMar>
              <w:top w:w="30" w:type="dxa"/>
              <w:left w:w="380" w:type="dxa"/>
              <w:bottom w:w="30" w:type="dxa"/>
              <w:right w:w="20" w:type="dxa"/>
            </w:tcMar>
            <w:vAlign w:val="bottom"/>
            <w:hideMark/>
          </w:tcPr>
          <w:p w14:paraId="5637E867"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DB93F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C7DDFE" w14:textId="77777777" w:rsidR="00000000" w:rsidRDefault="001D0688">
            <w:pPr>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9C37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3E93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E5BCD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8B4FBD" w14:textId="77777777" w:rsidR="00000000" w:rsidRDefault="001D0688">
            <w:pPr>
              <w:jc w:val="right"/>
              <w:rPr>
                <w:rFonts w:eastAsia="Times New Roman"/>
              </w:rPr>
            </w:pPr>
            <w:r>
              <w:rPr>
                <w:rFonts w:ascii="Arial" w:eastAsia="Times New Roman" w:hAnsi="Arial" w:cs="Arial"/>
                <w:color w:val="000000"/>
                <w:sz w:val="20"/>
                <w:szCs w:val="20"/>
              </w:rPr>
              <w:t>1.90 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7EDD4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AC70E"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B31FA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D23305" w14:textId="77777777" w:rsidR="00000000" w:rsidRDefault="001D0688">
            <w:pPr>
              <w:jc w:val="right"/>
              <w:rPr>
                <w:rFonts w:eastAsia="Times New Roman"/>
              </w:rPr>
            </w:pPr>
            <w:r>
              <w:rPr>
                <w:rFonts w:ascii="Arial" w:eastAsia="Times New Roman" w:hAnsi="Arial" w:cs="Arial"/>
                <w:color w:val="000000"/>
                <w:sz w:val="20"/>
                <w:szCs w:val="20"/>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FC0946" w14:textId="77777777" w:rsidR="00000000" w:rsidRDefault="001D0688">
            <w:pPr>
              <w:jc w:val="right"/>
              <w:rPr>
                <w:rFonts w:eastAsia="Times New Roman"/>
              </w:rPr>
            </w:pPr>
          </w:p>
        </w:tc>
      </w:tr>
    </w:tbl>
    <w:p w14:paraId="016D2B0C" w14:textId="77777777" w:rsidR="00000000" w:rsidRDefault="001D0688">
      <w:pPr>
        <w:divId w:val="2107655170"/>
        <w:rPr>
          <w:rFonts w:eastAsia="Times New Roman"/>
        </w:rPr>
      </w:pPr>
      <w:r>
        <w:rPr>
          <w:rFonts w:ascii="Arial" w:eastAsia="Times New Roman" w:hAnsi="Arial" w:cs="Arial"/>
          <w:b/>
          <w:bCs/>
          <w:color w:val="0046AD"/>
          <w:sz w:val="20"/>
          <w:szCs w:val="20"/>
        </w:rPr>
        <w:t>Anti-Dilutive Outstanding Stock Awards Issued Under Share-Based Compensation Plans</w:t>
      </w:r>
      <w:r>
        <w:rPr>
          <w:rFonts w:ascii="Arial" w:eastAsia="Times New Roman" w:hAnsi="Arial" w:cs="Arial"/>
          <w:b/>
          <w:bCs/>
          <w:i/>
          <w:iCs/>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173"/>
        <w:gridCol w:w="36"/>
        <w:gridCol w:w="60"/>
        <w:gridCol w:w="1185"/>
        <w:gridCol w:w="38"/>
        <w:gridCol w:w="37"/>
        <w:gridCol w:w="37"/>
        <w:gridCol w:w="37"/>
        <w:gridCol w:w="43"/>
        <w:gridCol w:w="1185"/>
        <w:gridCol w:w="38"/>
        <w:gridCol w:w="37"/>
        <w:gridCol w:w="36"/>
        <w:gridCol w:w="36"/>
        <w:gridCol w:w="45"/>
        <w:gridCol w:w="1186"/>
        <w:gridCol w:w="37"/>
      </w:tblGrid>
      <w:tr w:rsidR="00000000" w14:paraId="6F803DB0" w14:textId="77777777">
        <w:trPr>
          <w:divId w:val="103430045"/>
          <w:jc w:val="center"/>
        </w:trPr>
        <w:tc>
          <w:tcPr>
            <w:tcW w:w="50" w:type="pct"/>
            <w:vAlign w:val="center"/>
            <w:hideMark/>
          </w:tcPr>
          <w:p w14:paraId="54191F5C" w14:textId="77777777" w:rsidR="00000000" w:rsidRDefault="001D0688">
            <w:pPr>
              <w:rPr>
                <w:rFonts w:eastAsia="Times New Roman"/>
              </w:rPr>
            </w:pPr>
          </w:p>
        </w:tc>
        <w:tc>
          <w:tcPr>
            <w:tcW w:w="2525" w:type="pct"/>
            <w:vAlign w:val="center"/>
            <w:hideMark/>
          </w:tcPr>
          <w:p w14:paraId="62D4E882" w14:textId="77777777" w:rsidR="00000000" w:rsidRDefault="001D0688">
            <w:pPr>
              <w:rPr>
                <w:rFonts w:eastAsia="Times New Roman"/>
                <w:sz w:val="20"/>
                <w:szCs w:val="20"/>
              </w:rPr>
            </w:pPr>
          </w:p>
        </w:tc>
        <w:tc>
          <w:tcPr>
            <w:tcW w:w="5" w:type="pct"/>
            <w:vAlign w:val="center"/>
            <w:hideMark/>
          </w:tcPr>
          <w:p w14:paraId="1CE8B199" w14:textId="77777777" w:rsidR="00000000" w:rsidRDefault="001D0688">
            <w:pPr>
              <w:rPr>
                <w:rFonts w:eastAsia="Times New Roman"/>
                <w:sz w:val="20"/>
                <w:szCs w:val="20"/>
              </w:rPr>
            </w:pPr>
          </w:p>
        </w:tc>
        <w:tc>
          <w:tcPr>
            <w:tcW w:w="50" w:type="pct"/>
            <w:vAlign w:val="center"/>
            <w:hideMark/>
          </w:tcPr>
          <w:p w14:paraId="25F2036A" w14:textId="77777777" w:rsidR="00000000" w:rsidRDefault="001D0688">
            <w:pPr>
              <w:rPr>
                <w:rFonts w:eastAsia="Times New Roman"/>
                <w:sz w:val="20"/>
                <w:szCs w:val="20"/>
              </w:rPr>
            </w:pPr>
          </w:p>
        </w:tc>
        <w:tc>
          <w:tcPr>
            <w:tcW w:w="727" w:type="pct"/>
            <w:vAlign w:val="center"/>
            <w:hideMark/>
          </w:tcPr>
          <w:p w14:paraId="5079C243" w14:textId="77777777" w:rsidR="00000000" w:rsidRDefault="001D0688">
            <w:pPr>
              <w:rPr>
                <w:rFonts w:eastAsia="Times New Roman"/>
                <w:sz w:val="20"/>
                <w:szCs w:val="20"/>
              </w:rPr>
            </w:pPr>
          </w:p>
        </w:tc>
        <w:tc>
          <w:tcPr>
            <w:tcW w:w="5" w:type="pct"/>
            <w:vAlign w:val="center"/>
            <w:hideMark/>
          </w:tcPr>
          <w:p w14:paraId="6A1E6C7D" w14:textId="77777777" w:rsidR="00000000" w:rsidRDefault="001D0688">
            <w:pPr>
              <w:rPr>
                <w:rFonts w:eastAsia="Times New Roman"/>
                <w:sz w:val="20"/>
                <w:szCs w:val="20"/>
              </w:rPr>
            </w:pPr>
          </w:p>
        </w:tc>
        <w:tc>
          <w:tcPr>
            <w:tcW w:w="5" w:type="pct"/>
            <w:vAlign w:val="center"/>
            <w:hideMark/>
          </w:tcPr>
          <w:p w14:paraId="2C34E3AF" w14:textId="77777777" w:rsidR="00000000" w:rsidRDefault="001D0688">
            <w:pPr>
              <w:rPr>
                <w:rFonts w:eastAsia="Times New Roman"/>
                <w:sz w:val="20"/>
                <w:szCs w:val="20"/>
              </w:rPr>
            </w:pPr>
          </w:p>
        </w:tc>
        <w:tc>
          <w:tcPr>
            <w:tcW w:w="26" w:type="pct"/>
            <w:vAlign w:val="center"/>
            <w:hideMark/>
          </w:tcPr>
          <w:p w14:paraId="040F761D" w14:textId="77777777" w:rsidR="00000000" w:rsidRDefault="001D0688">
            <w:pPr>
              <w:rPr>
                <w:rFonts w:eastAsia="Times New Roman"/>
                <w:sz w:val="20"/>
                <w:szCs w:val="20"/>
              </w:rPr>
            </w:pPr>
          </w:p>
        </w:tc>
        <w:tc>
          <w:tcPr>
            <w:tcW w:w="5" w:type="pct"/>
            <w:vAlign w:val="center"/>
            <w:hideMark/>
          </w:tcPr>
          <w:p w14:paraId="6032D93A" w14:textId="77777777" w:rsidR="00000000" w:rsidRDefault="001D0688">
            <w:pPr>
              <w:rPr>
                <w:rFonts w:eastAsia="Times New Roman"/>
                <w:sz w:val="20"/>
                <w:szCs w:val="20"/>
              </w:rPr>
            </w:pPr>
          </w:p>
        </w:tc>
        <w:tc>
          <w:tcPr>
            <w:tcW w:w="50" w:type="pct"/>
            <w:vAlign w:val="center"/>
            <w:hideMark/>
          </w:tcPr>
          <w:p w14:paraId="19C463BC" w14:textId="77777777" w:rsidR="00000000" w:rsidRDefault="001D0688">
            <w:pPr>
              <w:rPr>
                <w:rFonts w:eastAsia="Times New Roman"/>
                <w:sz w:val="20"/>
                <w:szCs w:val="20"/>
              </w:rPr>
            </w:pPr>
          </w:p>
        </w:tc>
        <w:tc>
          <w:tcPr>
            <w:tcW w:w="727" w:type="pct"/>
            <w:vAlign w:val="center"/>
            <w:hideMark/>
          </w:tcPr>
          <w:p w14:paraId="1E32D8B9" w14:textId="77777777" w:rsidR="00000000" w:rsidRDefault="001D0688">
            <w:pPr>
              <w:rPr>
                <w:rFonts w:eastAsia="Times New Roman"/>
                <w:sz w:val="20"/>
                <w:szCs w:val="20"/>
              </w:rPr>
            </w:pPr>
          </w:p>
        </w:tc>
        <w:tc>
          <w:tcPr>
            <w:tcW w:w="5" w:type="pct"/>
            <w:vAlign w:val="center"/>
            <w:hideMark/>
          </w:tcPr>
          <w:p w14:paraId="1FB0F83E" w14:textId="77777777" w:rsidR="00000000" w:rsidRDefault="001D0688">
            <w:pPr>
              <w:rPr>
                <w:rFonts w:eastAsia="Times New Roman"/>
                <w:sz w:val="20"/>
                <w:szCs w:val="20"/>
              </w:rPr>
            </w:pPr>
          </w:p>
        </w:tc>
        <w:tc>
          <w:tcPr>
            <w:tcW w:w="5" w:type="pct"/>
            <w:vAlign w:val="center"/>
            <w:hideMark/>
          </w:tcPr>
          <w:p w14:paraId="63301D7D" w14:textId="77777777" w:rsidR="00000000" w:rsidRDefault="001D0688">
            <w:pPr>
              <w:rPr>
                <w:rFonts w:eastAsia="Times New Roman"/>
                <w:sz w:val="20"/>
                <w:szCs w:val="20"/>
              </w:rPr>
            </w:pPr>
          </w:p>
        </w:tc>
        <w:tc>
          <w:tcPr>
            <w:tcW w:w="26" w:type="pct"/>
            <w:vAlign w:val="center"/>
            <w:hideMark/>
          </w:tcPr>
          <w:p w14:paraId="47E842BD" w14:textId="77777777" w:rsidR="00000000" w:rsidRDefault="001D0688">
            <w:pPr>
              <w:rPr>
                <w:rFonts w:eastAsia="Times New Roman"/>
                <w:sz w:val="20"/>
                <w:szCs w:val="20"/>
              </w:rPr>
            </w:pPr>
          </w:p>
        </w:tc>
        <w:tc>
          <w:tcPr>
            <w:tcW w:w="5" w:type="pct"/>
            <w:vAlign w:val="center"/>
            <w:hideMark/>
          </w:tcPr>
          <w:p w14:paraId="34552FF1" w14:textId="77777777" w:rsidR="00000000" w:rsidRDefault="001D0688">
            <w:pPr>
              <w:rPr>
                <w:rFonts w:eastAsia="Times New Roman"/>
                <w:sz w:val="20"/>
                <w:szCs w:val="20"/>
              </w:rPr>
            </w:pPr>
          </w:p>
        </w:tc>
        <w:tc>
          <w:tcPr>
            <w:tcW w:w="50" w:type="pct"/>
            <w:vAlign w:val="center"/>
            <w:hideMark/>
          </w:tcPr>
          <w:p w14:paraId="431CFDE0" w14:textId="77777777" w:rsidR="00000000" w:rsidRDefault="001D0688">
            <w:pPr>
              <w:rPr>
                <w:rFonts w:eastAsia="Times New Roman"/>
                <w:sz w:val="20"/>
                <w:szCs w:val="20"/>
              </w:rPr>
            </w:pPr>
          </w:p>
        </w:tc>
        <w:tc>
          <w:tcPr>
            <w:tcW w:w="727" w:type="pct"/>
            <w:vAlign w:val="center"/>
            <w:hideMark/>
          </w:tcPr>
          <w:p w14:paraId="4A446599" w14:textId="77777777" w:rsidR="00000000" w:rsidRDefault="001D0688">
            <w:pPr>
              <w:rPr>
                <w:rFonts w:eastAsia="Times New Roman"/>
                <w:sz w:val="20"/>
                <w:szCs w:val="20"/>
              </w:rPr>
            </w:pPr>
          </w:p>
        </w:tc>
        <w:tc>
          <w:tcPr>
            <w:tcW w:w="5" w:type="pct"/>
            <w:vAlign w:val="center"/>
            <w:hideMark/>
          </w:tcPr>
          <w:p w14:paraId="3CFA75A6" w14:textId="77777777" w:rsidR="00000000" w:rsidRDefault="001D0688">
            <w:pPr>
              <w:rPr>
                <w:rFonts w:eastAsia="Times New Roman"/>
                <w:sz w:val="20"/>
                <w:szCs w:val="20"/>
              </w:rPr>
            </w:pPr>
          </w:p>
        </w:tc>
      </w:tr>
      <w:tr w:rsidR="00000000" w14:paraId="1D84F238" w14:textId="77777777">
        <w:trPr>
          <w:divId w:val="103430045"/>
          <w:jc w:val="center"/>
        </w:trPr>
        <w:tc>
          <w:tcPr>
            <w:tcW w:w="0" w:type="auto"/>
            <w:gridSpan w:val="3"/>
            <w:tcMar>
              <w:top w:w="0" w:type="dxa"/>
              <w:left w:w="20" w:type="dxa"/>
              <w:bottom w:w="0" w:type="dxa"/>
              <w:right w:w="20" w:type="dxa"/>
            </w:tcMar>
            <w:vAlign w:val="center"/>
            <w:hideMark/>
          </w:tcPr>
          <w:p w14:paraId="25CB87B8"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0C225E36"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1975CE6D" w14:textId="77777777">
        <w:trPr>
          <w:divId w:val="103430045"/>
          <w:jc w:val="center"/>
        </w:trPr>
        <w:tc>
          <w:tcPr>
            <w:tcW w:w="0" w:type="auto"/>
            <w:gridSpan w:val="3"/>
            <w:tcMar>
              <w:top w:w="30" w:type="dxa"/>
              <w:left w:w="290" w:type="dxa"/>
              <w:bottom w:w="30" w:type="dxa"/>
              <w:right w:w="20" w:type="dxa"/>
            </w:tcMar>
            <w:vAlign w:val="bottom"/>
            <w:hideMark/>
          </w:tcPr>
          <w:p w14:paraId="104D1574"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83CC513"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4E61641C"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4A69E8"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06CD93B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A7BFCD"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1F5B269E" w14:textId="77777777">
        <w:trPr>
          <w:divId w:val="103430045"/>
          <w:jc w:val="center"/>
        </w:trPr>
        <w:tc>
          <w:tcPr>
            <w:tcW w:w="0" w:type="auto"/>
            <w:gridSpan w:val="3"/>
            <w:shd w:val="clear" w:color="auto" w:fill="DCE2EF"/>
            <w:tcMar>
              <w:top w:w="30" w:type="dxa"/>
              <w:left w:w="110" w:type="dxa"/>
              <w:bottom w:w="30" w:type="dxa"/>
              <w:right w:w="20" w:type="dxa"/>
            </w:tcMar>
            <w:vAlign w:val="bottom"/>
            <w:hideMark/>
          </w:tcPr>
          <w:p w14:paraId="577CF2DA" w14:textId="77777777" w:rsidR="00000000" w:rsidRDefault="001D0688">
            <w:pPr>
              <w:rPr>
                <w:rFonts w:eastAsia="Times New Roman"/>
              </w:rPr>
            </w:pPr>
            <w:r>
              <w:rPr>
                <w:rFonts w:ascii="Arial" w:eastAsia="Times New Roman" w:hAnsi="Arial" w:cs="Arial"/>
                <w:b/>
                <w:bCs/>
                <w:color w:val="000000"/>
                <w:sz w:val="20"/>
                <w:szCs w:val="20"/>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F7D8B6E" w14:textId="77777777" w:rsidR="00000000" w:rsidRDefault="001D0688">
            <w:pPr>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E5AECE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402494"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4C80B7E" w14:textId="77777777" w:rsidR="00000000" w:rsidRDefault="001D0688">
            <w:pPr>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6DD6C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D5BA15"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3508209" w14:textId="77777777" w:rsidR="00000000" w:rsidRDefault="001D0688">
            <w:pPr>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29954E9" w14:textId="77777777" w:rsidR="00000000" w:rsidRDefault="001D0688">
            <w:pPr>
              <w:jc w:val="right"/>
              <w:rPr>
                <w:rFonts w:eastAsia="Times New Roman"/>
              </w:rPr>
            </w:pPr>
          </w:p>
        </w:tc>
      </w:tr>
    </w:tbl>
    <w:p w14:paraId="06E5492E" w14:textId="77777777" w:rsidR="00000000" w:rsidRDefault="001D0688">
      <w:pPr>
        <w:ind w:firstLine="720"/>
        <w:divId w:val="326636958"/>
        <w:rPr>
          <w:rFonts w:eastAsia="Times New Roman"/>
        </w:rPr>
      </w:pPr>
    </w:p>
    <w:p w14:paraId="25350BA8" w14:textId="77777777" w:rsidR="00000000" w:rsidRDefault="001D0688">
      <w:pPr>
        <w:jc w:val="center"/>
        <w:divId w:val="1244492662"/>
        <w:rPr>
          <w:rFonts w:eastAsia="Times New Roman"/>
        </w:rPr>
      </w:pPr>
      <w:r>
        <w:rPr>
          <w:rFonts w:ascii="Arial" w:eastAsia="Times New Roman" w:hAnsi="Arial" w:cs="Arial"/>
          <w:color w:val="000000"/>
          <w:sz w:val="20"/>
          <w:szCs w:val="20"/>
        </w:rPr>
        <w:t>74</w:t>
      </w:r>
    </w:p>
    <w:p w14:paraId="7F0CEA5E" w14:textId="77777777" w:rsidR="00000000" w:rsidRDefault="001D0688">
      <w:pPr>
        <w:rPr>
          <w:rFonts w:eastAsia="Times New Roman"/>
        </w:rPr>
      </w:pPr>
      <w:r>
        <w:rPr>
          <w:rFonts w:eastAsia="Times New Roman"/>
        </w:rPr>
        <w:pict w14:anchorId="541F67CB">
          <v:rect id="_x0000_i1111" style="width:0;height:1.5pt" o:hralign="center" o:hrstd="t" o:hr="t" fillcolor="#a0a0a0" stroked="f"/>
        </w:pict>
      </w:r>
    </w:p>
    <w:p w14:paraId="2D881D26" w14:textId="77777777" w:rsidR="00000000" w:rsidRDefault="001D0688">
      <w:pPr>
        <w:divId w:val="1764835514"/>
        <w:rPr>
          <w:rFonts w:eastAsia="Times New Roman"/>
        </w:rPr>
      </w:pPr>
    </w:p>
    <w:p w14:paraId="59D2FE2A" w14:textId="77777777" w:rsidR="00000000" w:rsidRDefault="001D0688">
      <w:pPr>
        <w:divId w:val="1962034291"/>
        <w:rPr>
          <w:rFonts w:eastAsia="Times New Roman"/>
        </w:rPr>
      </w:pPr>
      <w:r>
        <w:rPr>
          <w:rFonts w:ascii="Arial" w:eastAsia="Times New Roman" w:hAnsi="Arial" w:cs="Arial"/>
          <w:b/>
          <w:bCs/>
          <w:color w:val="0046AD"/>
          <w:sz w:val="20"/>
          <w:szCs w:val="20"/>
        </w:rPr>
        <w:t>7. FAIR VALUE OF FINANCIAL INSTRUMENTS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24C6E4C1" w14:textId="77777777">
        <w:trPr>
          <w:divId w:val="906570518"/>
        </w:trPr>
        <w:tc>
          <w:tcPr>
            <w:tcW w:w="5" w:type="pct"/>
            <w:vAlign w:val="center"/>
            <w:hideMark/>
          </w:tcPr>
          <w:p w14:paraId="0E6D766A" w14:textId="77777777" w:rsidR="00000000" w:rsidRDefault="001D0688">
            <w:pPr>
              <w:rPr>
                <w:rFonts w:eastAsia="Times New Roman"/>
              </w:rPr>
            </w:pPr>
          </w:p>
        </w:tc>
        <w:tc>
          <w:tcPr>
            <w:tcW w:w="129" w:type="pct"/>
            <w:vAlign w:val="center"/>
            <w:hideMark/>
          </w:tcPr>
          <w:p w14:paraId="18647C3A" w14:textId="77777777" w:rsidR="00000000" w:rsidRDefault="001D0688">
            <w:pPr>
              <w:rPr>
                <w:rFonts w:eastAsia="Times New Roman"/>
                <w:sz w:val="20"/>
                <w:szCs w:val="20"/>
              </w:rPr>
            </w:pPr>
          </w:p>
        </w:tc>
        <w:tc>
          <w:tcPr>
            <w:tcW w:w="5" w:type="pct"/>
            <w:vAlign w:val="center"/>
            <w:hideMark/>
          </w:tcPr>
          <w:p w14:paraId="61FE8DFE" w14:textId="77777777" w:rsidR="00000000" w:rsidRDefault="001D0688">
            <w:pPr>
              <w:rPr>
                <w:rFonts w:eastAsia="Times New Roman"/>
                <w:sz w:val="20"/>
                <w:szCs w:val="20"/>
              </w:rPr>
            </w:pPr>
          </w:p>
        </w:tc>
        <w:tc>
          <w:tcPr>
            <w:tcW w:w="50" w:type="pct"/>
            <w:vAlign w:val="center"/>
            <w:hideMark/>
          </w:tcPr>
          <w:p w14:paraId="7D9A29B4" w14:textId="77777777" w:rsidR="00000000" w:rsidRDefault="001D0688">
            <w:pPr>
              <w:rPr>
                <w:rFonts w:eastAsia="Times New Roman"/>
                <w:sz w:val="20"/>
                <w:szCs w:val="20"/>
              </w:rPr>
            </w:pPr>
          </w:p>
        </w:tc>
        <w:tc>
          <w:tcPr>
            <w:tcW w:w="4805" w:type="pct"/>
            <w:vAlign w:val="center"/>
            <w:hideMark/>
          </w:tcPr>
          <w:p w14:paraId="1E3ED5D4" w14:textId="77777777" w:rsidR="00000000" w:rsidRDefault="001D0688">
            <w:pPr>
              <w:rPr>
                <w:rFonts w:eastAsia="Times New Roman"/>
                <w:sz w:val="20"/>
                <w:szCs w:val="20"/>
              </w:rPr>
            </w:pPr>
          </w:p>
        </w:tc>
        <w:tc>
          <w:tcPr>
            <w:tcW w:w="5" w:type="pct"/>
            <w:vAlign w:val="center"/>
            <w:hideMark/>
          </w:tcPr>
          <w:p w14:paraId="6B9DEE2B" w14:textId="77777777" w:rsidR="00000000" w:rsidRDefault="001D0688">
            <w:pPr>
              <w:rPr>
                <w:rFonts w:eastAsia="Times New Roman"/>
                <w:sz w:val="20"/>
                <w:szCs w:val="20"/>
              </w:rPr>
            </w:pPr>
          </w:p>
        </w:tc>
      </w:tr>
      <w:tr w:rsidR="00000000" w14:paraId="3F699657" w14:textId="77777777">
        <w:trPr>
          <w:divId w:val="906570518"/>
          <w:trHeight w:val="60"/>
        </w:trPr>
        <w:tc>
          <w:tcPr>
            <w:tcW w:w="0" w:type="auto"/>
            <w:gridSpan w:val="3"/>
            <w:tcBorders>
              <w:top w:val="single" w:sz="8" w:space="0" w:color="E98300"/>
            </w:tcBorders>
            <w:tcMar>
              <w:top w:w="0" w:type="dxa"/>
              <w:left w:w="20" w:type="dxa"/>
              <w:bottom w:w="0" w:type="dxa"/>
              <w:right w:w="20" w:type="dxa"/>
            </w:tcMar>
            <w:vAlign w:val="center"/>
            <w:hideMark/>
          </w:tcPr>
          <w:p w14:paraId="7D4280C6"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7B5322C3" w14:textId="77777777" w:rsidR="00000000" w:rsidRDefault="001D0688">
            <w:pPr>
              <w:rPr>
                <w:rFonts w:eastAsia="Times New Roman"/>
                <w:sz w:val="20"/>
                <w:szCs w:val="20"/>
              </w:rPr>
            </w:pPr>
          </w:p>
        </w:tc>
      </w:tr>
    </w:tbl>
    <w:p w14:paraId="50B9590D" w14:textId="77777777" w:rsidR="00000000" w:rsidRDefault="001D0688">
      <w:pPr>
        <w:divId w:val="15353167"/>
        <w:rPr>
          <w:rFonts w:eastAsia="Times New Roman"/>
        </w:rPr>
      </w:pPr>
      <w:r>
        <w:rPr>
          <w:rFonts w:ascii="Arial" w:eastAsia="Times New Roman" w:hAnsi="Arial" w:cs="Arial"/>
          <w:b/>
          <w:bCs/>
          <w:color w:val="0046AD"/>
          <w:sz w:val="20"/>
          <w:szCs w:val="20"/>
        </w:rPr>
        <w:t>Fair Value Hierarchy of Our Financial Instruments</w:t>
      </w:r>
    </w:p>
    <w:p w14:paraId="719A3291" w14:textId="77777777" w:rsidR="00000000" w:rsidRDefault="001D0688">
      <w:pPr>
        <w:divId w:val="341318894"/>
        <w:rPr>
          <w:rFonts w:eastAsia="Times New Roman"/>
        </w:rPr>
      </w:pPr>
      <w:r>
        <w:rPr>
          <w:rFonts w:ascii="Arial" w:eastAsia="Times New Roman" w:hAnsi="Arial" w:cs="Arial"/>
          <w:b/>
          <w:bCs/>
          <w:i/>
          <w:iCs/>
          <w:color w:val="0046AD"/>
          <w:sz w:val="20"/>
          <w:szCs w:val="20"/>
        </w:rPr>
        <w:t>Financial Assets and Liabilities Measured at Fair Value on a Recurring Basis</w:t>
      </w:r>
    </w:p>
    <w:tbl>
      <w:tblPr>
        <w:tblW w:w="4992" w:type="pct"/>
        <w:tblCellMar>
          <w:top w:w="15" w:type="dxa"/>
          <w:left w:w="15" w:type="dxa"/>
          <w:bottom w:w="15" w:type="dxa"/>
          <w:right w:w="15" w:type="dxa"/>
        </w:tblCellMar>
        <w:tblLook w:val="04A0" w:firstRow="1" w:lastRow="0" w:firstColumn="1" w:lastColumn="0" w:noHBand="0" w:noVBand="1"/>
      </w:tblPr>
      <w:tblGrid>
        <w:gridCol w:w="43"/>
        <w:gridCol w:w="4874"/>
        <w:gridCol w:w="37"/>
        <w:gridCol w:w="76"/>
        <w:gridCol w:w="891"/>
        <w:gridCol w:w="36"/>
        <w:gridCol w:w="36"/>
        <w:gridCol w:w="36"/>
        <w:gridCol w:w="36"/>
        <w:gridCol w:w="132"/>
        <w:gridCol w:w="891"/>
        <w:gridCol w:w="36"/>
        <w:gridCol w:w="36"/>
        <w:gridCol w:w="36"/>
        <w:gridCol w:w="36"/>
        <w:gridCol w:w="132"/>
        <w:gridCol w:w="893"/>
        <w:gridCol w:w="36"/>
      </w:tblGrid>
      <w:tr w:rsidR="00000000" w14:paraId="6706D589" w14:textId="77777777">
        <w:trPr>
          <w:divId w:val="168448886"/>
        </w:trPr>
        <w:tc>
          <w:tcPr>
            <w:tcW w:w="50" w:type="pct"/>
            <w:vAlign w:val="center"/>
            <w:hideMark/>
          </w:tcPr>
          <w:p w14:paraId="4392E5A1" w14:textId="77777777" w:rsidR="00000000" w:rsidRDefault="001D0688">
            <w:pPr>
              <w:rPr>
                <w:rFonts w:eastAsia="Times New Roman"/>
              </w:rPr>
            </w:pPr>
          </w:p>
        </w:tc>
        <w:tc>
          <w:tcPr>
            <w:tcW w:w="2961" w:type="pct"/>
            <w:vAlign w:val="center"/>
            <w:hideMark/>
          </w:tcPr>
          <w:p w14:paraId="75801C30" w14:textId="77777777" w:rsidR="00000000" w:rsidRDefault="001D0688">
            <w:pPr>
              <w:rPr>
                <w:rFonts w:eastAsia="Times New Roman"/>
                <w:sz w:val="20"/>
                <w:szCs w:val="20"/>
              </w:rPr>
            </w:pPr>
          </w:p>
        </w:tc>
        <w:tc>
          <w:tcPr>
            <w:tcW w:w="5" w:type="pct"/>
            <w:vAlign w:val="center"/>
            <w:hideMark/>
          </w:tcPr>
          <w:p w14:paraId="4EC66150" w14:textId="77777777" w:rsidR="00000000" w:rsidRDefault="001D0688">
            <w:pPr>
              <w:rPr>
                <w:rFonts w:eastAsia="Times New Roman"/>
                <w:sz w:val="20"/>
                <w:szCs w:val="20"/>
              </w:rPr>
            </w:pPr>
          </w:p>
        </w:tc>
        <w:tc>
          <w:tcPr>
            <w:tcW w:w="50" w:type="pct"/>
            <w:vAlign w:val="center"/>
            <w:hideMark/>
          </w:tcPr>
          <w:p w14:paraId="2B9007EA" w14:textId="77777777" w:rsidR="00000000" w:rsidRDefault="001D0688">
            <w:pPr>
              <w:rPr>
                <w:rFonts w:eastAsia="Times New Roman"/>
                <w:sz w:val="20"/>
                <w:szCs w:val="20"/>
              </w:rPr>
            </w:pPr>
          </w:p>
        </w:tc>
        <w:tc>
          <w:tcPr>
            <w:tcW w:w="581" w:type="pct"/>
            <w:vAlign w:val="center"/>
            <w:hideMark/>
          </w:tcPr>
          <w:p w14:paraId="4F8C6B48" w14:textId="77777777" w:rsidR="00000000" w:rsidRDefault="001D0688">
            <w:pPr>
              <w:rPr>
                <w:rFonts w:eastAsia="Times New Roman"/>
                <w:sz w:val="20"/>
                <w:szCs w:val="20"/>
              </w:rPr>
            </w:pPr>
          </w:p>
        </w:tc>
        <w:tc>
          <w:tcPr>
            <w:tcW w:w="5" w:type="pct"/>
            <w:vAlign w:val="center"/>
            <w:hideMark/>
          </w:tcPr>
          <w:p w14:paraId="58FC89BD" w14:textId="77777777" w:rsidR="00000000" w:rsidRDefault="001D0688">
            <w:pPr>
              <w:rPr>
                <w:rFonts w:eastAsia="Times New Roman"/>
                <w:sz w:val="20"/>
                <w:szCs w:val="20"/>
              </w:rPr>
            </w:pPr>
          </w:p>
        </w:tc>
        <w:tc>
          <w:tcPr>
            <w:tcW w:w="5" w:type="pct"/>
            <w:vAlign w:val="center"/>
            <w:hideMark/>
          </w:tcPr>
          <w:p w14:paraId="6B3CF6AB" w14:textId="77777777" w:rsidR="00000000" w:rsidRDefault="001D0688">
            <w:pPr>
              <w:rPr>
                <w:rFonts w:eastAsia="Times New Roman"/>
                <w:sz w:val="20"/>
                <w:szCs w:val="20"/>
              </w:rPr>
            </w:pPr>
          </w:p>
        </w:tc>
        <w:tc>
          <w:tcPr>
            <w:tcW w:w="26" w:type="pct"/>
            <w:vAlign w:val="center"/>
            <w:hideMark/>
          </w:tcPr>
          <w:p w14:paraId="1CCFE440" w14:textId="77777777" w:rsidR="00000000" w:rsidRDefault="001D0688">
            <w:pPr>
              <w:rPr>
                <w:rFonts w:eastAsia="Times New Roman"/>
                <w:sz w:val="20"/>
                <w:szCs w:val="20"/>
              </w:rPr>
            </w:pPr>
          </w:p>
        </w:tc>
        <w:tc>
          <w:tcPr>
            <w:tcW w:w="5" w:type="pct"/>
            <w:vAlign w:val="center"/>
            <w:hideMark/>
          </w:tcPr>
          <w:p w14:paraId="6E7434E7" w14:textId="77777777" w:rsidR="00000000" w:rsidRDefault="001D0688">
            <w:pPr>
              <w:rPr>
                <w:rFonts w:eastAsia="Times New Roman"/>
                <w:sz w:val="20"/>
                <w:szCs w:val="20"/>
              </w:rPr>
            </w:pPr>
          </w:p>
        </w:tc>
        <w:tc>
          <w:tcPr>
            <w:tcW w:w="50" w:type="pct"/>
            <w:vAlign w:val="center"/>
            <w:hideMark/>
          </w:tcPr>
          <w:p w14:paraId="7B1E70F5" w14:textId="77777777" w:rsidR="00000000" w:rsidRDefault="001D0688">
            <w:pPr>
              <w:rPr>
                <w:rFonts w:eastAsia="Times New Roman"/>
                <w:sz w:val="20"/>
                <w:szCs w:val="20"/>
              </w:rPr>
            </w:pPr>
          </w:p>
        </w:tc>
        <w:tc>
          <w:tcPr>
            <w:tcW w:w="581" w:type="pct"/>
            <w:vAlign w:val="center"/>
            <w:hideMark/>
          </w:tcPr>
          <w:p w14:paraId="59E06EB3" w14:textId="77777777" w:rsidR="00000000" w:rsidRDefault="001D0688">
            <w:pPr>
              <w:rPr>
                <w:rFonts w:eastAsia="Times New Roman"/>
                <w:sz w:val="20"/>
                <w:szCs w:val="20"/>
              </w:rPr>
            </w:pPr>
          </w:p>
        </w:tc>
        <w:tc>
          <w:tcPr>
            <w:tcW w:w="5" w:type="pct"/>
            <w:vAlign w:val="center"/>
            <w:hideMark/>
          </w:tcPr>
          <w:p w14:paraId="1203A112" w14:textId="77777777" w:rsidR="00000000" w:rsidRDefault="001D0688">
            <w:pPr>
              <w:rPr>
                <w:rFonts w:eastAsia="Times New Roman"/>
                <w:sz w:val="20"/>
                <w:szCs w:val="20"/>
              </w:rPr>
            </w:pPr>
          </w:p>
        </w:tc>
        <w:tc>
          <w:tcPr>
            <w:tcW w:w="5" w:type="pct"/>
            <w:vAlign w:val="center"/>
            <w:hideMark/>
          </w:tcPr>
          <w:p w14:paraId="3046F36D" w14:textId="77777777" w:rsidR="00000000" w:rsidRDefault="001D0688">
            <w:pPr>
              <w:rPr>
                <w:rFonts w:eastAsia="Times New Roman"/>
                <w:sz w:val="20"/>
                <w:szCs w:val="20"/>
              </w:rPr>
            </w:pPr>
          </w:p>
        </w:tc>
        <w:tc>
          <w:tcPr>
            <w:tcW w:w="26" w:type="pct"/>
            <w:vAlign w:val="center"/>
            <w:hideMark/>
          </w:tcPr>
          <w:p w14:paraId="2CF565CE" w14:textId="77777777" w:rsidR="00000000" w:rsidRDefault="001D0688">
            <w:pPr>
              <w:rPr>
                <w:rFonts w:eastAsia="Times New Roman"/>
                <w:sz w:val="20"/>
                <w:szCs w:val="20"/>
              </w:rPr>
            </w:pPr>
          </w:p>
        </w:tc>
        <w:tc>
          <w:tcPr>
            <w:tcW w:w="5" w:type="pct"/>
            <w:vAlign w:val="center"/>
            <w:hideMark/>
          </w:tcPr>
          <w:p w14:paraId="5D4F5511" w14:textId="77777777" w:rsidR="00000000" w:rsidRDefault="001D0688">
            <w:pPr>
              <w:rPr>
                <w:rFonts w:eastAsia="Times New Roman"/>
                <w:sz w:val="20"/>
                <w:szCs w:val="20"/>
              </w:rPr>
            </w:pPr>
          </w:p>
        </w:tc>
        <w:tc>
          <w:tcPr>
            <w:tcW w:w="50" w:type="pct"/>
            <w:vAlign w:val="center"/>
            <w:hideMark/>
          </w:tcPr>
          <w:p w14:paraId="477F6715" w14:textId="77777777" w:rsidR="00000000" w:rsidRDefault="001D0688">
            <w:pPr>
              <w:rPr>
                <w:rFonts w:eastAsia="Times New Roman"/>
                <w:sz w:val="20"/>
                <w:szCs w:val="20"/>
              </w:rPr>
            </w:pPr>
          </w:p>
        </w:tc>
        <w:tc>
          <w:tcPr>
            <w:tcW w:w="582" w:type="pct"/>
            <w:vAlign w:val="center"/>
            <w:hideMark/>
          </w:tcPr>
          <w:p w14:paraId="7DA27EC5" w14:textId="77777777" w:rsidR="00000000" w:rsidRDefault="001D0688">
            <w:pPr>
              <w:rPr>
                <w:rFonts w:eastAsia="Times New Roman"/>
                <w:sz w:val="20"/>
                <w:szCs w:val="20"/>
              </w:rPr>
            </w:pPr>
          </w:p>
        </w:tc>
        <w:tc>
          <w:tcPr>
            <w:tcW w:w="5" w:type="pct"/>
            <w:vAlign w:val="center"/>
            <w:hideMark/>
          </w:tcPr>
          <w:p w14:paraId="5DE64C37" w14:textId="77777777" w:rsidR="00000000" w:rsidRDefault="001D0688">
            <w:pPr>
              <w:rPr>
                <w:rFonts w:eastAsia="Times New Roman"/>
                <w:sz w:val="20"/>
                <w:szCs w:val="20"/>
              </w:rPr>
            </w:pPr>
          </w:p>
        </w:tc>
      </w:tr>
      <w:tr w:rsidR="00000000" w14:paraId="791C4264" w14:textId="77777777">
        <w:trPr>
          <w:divId w:val="168448886"/>
        </w:trPr>
        <w:tc>
          <w:tcPr>
            <w:tcW w:w="0" w:type="auto"/>
            <w:gridSpan w:val="3"/>
            <w:tcMar>
              <w:top w:w="30" w:type="dxa"/>
              <w:left w:w="20" w:type="dxa"/>
              <w:bottom w:w="30" w:type="dxa"/>
              <w:right w:w="20" w:type="dxa"/>
            </w:tcMar>
            <w:vAlign w:val="bottom"/>
            <w:hideMark/>
          </w:tcPr>
          <w:p w14:paraId="0C3AD6C5" w14:textId="77777777" w:rsidR="00000000" w:rsidRDefault="001D0688">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84DE98E"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7005C9F2"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29212F31" w14:textId="77777777" w:rsidR="00000000" w:rsidRDefault="001D0688">
            <w:pPr>
              <w:jc w:val="center"/>
              <w:rPr>
                <w:rFonts w:eastAsia="Times New Roman"/>
              </w:rPr>
            </w:pPr>
            <w:r>
              <w:rPr>
                <w:rFonts w:ascii="Arial" w:eastAsia="Times New Roman" w:hAnsi="Arial" w:cs="Arial"/>
                <w:b/>
                <w:bCs/>
                <w:color w:val="000000"/>
                <w:sz w:val="20"/>
                <w:szCs w:val="20"/>
              </w:rPr>
              <w:t>As of October 31,</w:t>
            </w:r>
          </w:p>
        </w:tc>
      </w:tr>
      <w:tr w:rsidR="00000000" w14:paraId="4C9A272A" w14:textId="77777777">
        <w:trPr>
          <w:divId w:val="168448886"/>
        </w:trPr>
        <w:tc>
          <w:tcPr>
            <w:tcW w:w="0" w:type="auto"/>
            <w:gridSpan w:val="3"/>
            <w:tcMar>
              <w:top w:w="30" w:type="dxa"/>
              <w:left w:w="20" w:type="dxa"/>
              <w:bottom w:w="30" w:type="dxa"/>
              <w:right w:w="20" w:type="dxa"/>
            </w:tcMar>
            <w:vAlign w:val="bottom"/>
            <w:hideMark/>
          </w:tcPr>
          <w:p w14:paraId="4C2BDD21"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49CF1CEB" w14:textId="77777777" w:rsidR="00000000" w:rsidRDefault="001D0688">
            <w:pPr>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14:paraId="29954CB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AD1784"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E6C19A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2077A0"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39C7EF2E" w14:textId="77777777">
        <w:trPr>
          <w:divId w:val="168448886"/>
        </w:trPr>
        <w:tc>
          <w:tcPr>
            <w:tcW w:w="0" w:type="auto"/>
            <w:gridSpan w:val="3"/>
            <w:shd w:val="clear" w:color="auto" w:fill="DCE2EF"/>
            <w:tcMar>
              <w:top w:w="30" w:type="dxa"/>
              <w:left w:w="20" w:type="dxa"/>
              <w:bottom w:w="30" w:type="dxa"/>
              <w:right w:w="20" w:type="dxa"/>
            </w:tcMar>
            <w:vAlign w:val="bottom"/>
            <w:hideMark/>
          </w:tcPr>
          <w:p w14:paraId="50DD61A1" w14:textId="77777777" w:rsidR="00000000" w:rsidRDefault="001D0688">
            <w:pPr>
              <w:divId w:val="1678457208"/>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7F7427E" w14:textId="77777777" w:rsidR="00000000" w:rsidRDefault="001D0688">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14:paraId="43BEAFEB" w14:textId="77777777" w:rsidR="00000000" w:rsidRDefault="001D0688">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56FA38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6E19E74" w14:textId="77777777" w:rsidR="00000000" w:rsidRDefault="001D0688">
            <w:pPr>
              <w:jc w:val="right"/>
              <w:rPr>
                <w:rFonts w:eastAsia="Times New Roman"/>
              </w:rPr>
            </w:pPr>
            <w:r>
              <w:rPr>
                <w:rFonts w:ascii="Arial" w:eastAsia="Times New Roman" w:hAnsi="Arial" w:cs="Arial"/>
                <w:color w:val="000000"/>
                <w:sz w:val="20"/>
                <w:szCs w:val="20"/>
              </w:rPr>
              <w:t>394.2 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88A04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78CED4"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1A3867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96A48FE" w14:textId="77777777" w:rsidR="00000000" w:rsidRDefault="001D0688">
            <w:pPr>
              <w:jc w:val="right"/>
              <w:rPr>
                <w:rFonts w:eastAsia="Times New Roman"/>
              </w:rPr>
            </w:pPr>
            <w:r>
              <w:rPr>
                <w:rFonts w:ascii="Arial" w:eastAsia="Times New Roman" w:hAnsi="Arial" w:cs="Arial"/>
                <w:color w:val="000000"/>
                <w:sz w:val="20"/>
                <w:szCs w:val="20"/>
              </w:rPr>
              <w:t>58.5 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7EEFF1" w14:textId="77777777" w:rsidR="00000000" w:rsidRDefault="001D0688">
            <w:pPr>
              <w:jc w:val="right"/>
              <w:rPr>
                <w:rFonts w:eastAsia="Times New Roman"/>
              </w:rPr>
            </w:pPr>
          </w:p>
        </w:tc>
      </w:tr>
      <w:tr w:rsidR="00000000" w14:paraId="19FB544F" w14:textId="77777777">
        <w:trPr>
          <w:divId w:val="168448886"/>
        </w:trPr>
        <w:tc>
          <w:tcPr>
            <w:tcW w:w="0" w:type="auto"/>
            <w:gridSpan w:val="3"/>
            <w:shd w:val="clear" w:color="auto" w:fill="FFFFFF"/>
            <w:tcMar>
              <w:top w:w="30" w:type="dxa"/>
              <w:left w:w="20" w:type="dxa"/>
              <w:bottom w:w="30" w:type="dxa"/>
              <w:right w:w="20" w:type="dxa"/>
            </w:tcMar>
            <w:vAlign w:val="bottom"/>
            <w:hideMark/>
          </w:tcPr>
          <w:p w14:paraId="462F90A7" w14:textId="77777777" w:rsidR="00000000" w:rsidRDefault="001D0688">
            <w:pPr>
              <w:divId w:val="1160317311"/>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29CD2173" w14:textId="77777777" w:rsidR="00000000" w:rsidRDefault="001D0688">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14:paraId="3D88F6E5" w14:textId="77777777" w:rsidR="00000000" w:rsidRDefault="001D068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7478EC"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714FC56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41DA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02CD4F" w14:textId="77777777" w:rsidR="00000000" w:rsidRDefault="001D0688">
            <w:pPr>
              <w:jc w:val="right"/>
              <w:rPr>
                <w:rFonts w:eastAsia="Times New Roman"/>
              </w:rPr>
            </w:pPr>
            <w:r>
              <w:rPr>
                <w:rFonts w:ascii="Arial" w:eastAsia="Times New Roman" w:hAnsi="Arial" w:cs="Arial"/>
                <w:color w:val="000000"/>
                <w:sz w:val="20"/>
                <w:szCs w:val="20"/>
              </w:rPr>
              <w:t>0.8 </w:t>
            </w:r>
          </w:p>
        </w:tc>
        <w:tc>
          <w:tcPr>
            <w:tcW w:w="0" w:type="auto"/>
            <w:shd w:val="clear" w:color="auto" w:fill="FFFFFF"/>
            <w:tcMar>
              <w:top w:w="30" w:type="dxa"/>
              <w:left w:w="0" w:type="dxa"/>
              <w:bottom w:w="30" w:type="dxa"/>
              <w:right w:w="20" w:type="dxa"/>
            </w:tcMar>
            <w:vAlign w:val="bottom"/>
            <w:hideMark/>
          </w:tcPr>
          <w:p w14:paraId="208B45A3" w14:textId="77777777" w:rsidR="00000000" w:rsidRDefault="001D0688">
            <w:pPr>
              <w:jc w:val="right"/>
              <w:rPr>
                <w:rFonts w:eastAsia="Times New Roman"/>
              </w:rPr>
            </w:pPr>
          </w:p>
        </w:tc>
      </w:tr>
      <w:tr w:rsidR="00000000" w14:paraId="0A4CB3BF" w14:textId="77777777">
        <w:trPr>
          <w:divId w:val="168448886"/>
        </w:trPr>
        <w:tc>
          <w:tcPr>
            <w:tcW w:w="0" w:type="auto"/>
            <w:gridSpan w:val="3"/>
            <w:shd w:val="clear" w:color="auto" w:fill="DCE2EF"/>
            <w:tcMar>
              <w:top w:w="30" w:type="dxa"/>
              <w:left w:w="20" w:type="dxa"/>
              <w:bottom w:w="30" w:type="dxa"/>
              <w:right w:w="20" w:type="dxa"/>
            </w:tcMar>
            <w:vAlign w:val="bottom"/>
            <w:hideMark/>
          </w:tcPr>
          <w:p w14:paraId="59DE2939" w14:textId="77777777" w:rsidR="00000000" w:rsidRDefault="001D0688">
            <w:pPr>
              <w:divId w:val="1487823546"/>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3AE05755" w14:textId="77777777" w:rsidR="00000000" w:rsidRDefault="001D0688">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14:paraId="4B8339BC" w14:textId="77777777" w:rsidR="00000000" w:rsidRDefault="001D0688">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44AC3AF" w14:textId="77777777" w:rsidR="00000000" w:rsidRDefault="001D0688">
            <w:pPr>
              <w:jc w:val="right"/>
              <w:rPr>
                <w:rFonts w:eastAsia="Times New Roman"/>
              </w:rPr>
            </w:pPr>
            <w:r>
              <w:rPr>
                <w:rFonts w:ascii="Arial" w:eastAsia="Times New Roman" w:hAnsi="Arial" w:cs="Arial"/>
                <w:color w:val="000000"/>
                <w:sz w:val="20"/>
                <w:szCs w:val="20"/>
              </w:rPr>
              <w:t>2.6 </w:t>
            </w:r>
          </w:p>
        </w:tc>
        <w:tc>
          <w:tcPr>
            <w:tcW w:w="0" w:type="auto"/>
            <w:shd w:val="clear" w:color="auto" w:fill="DCE2EF"/>
            <w:tcMar>
              <w:top w:w="30" w:type="dxa"/>
              <w:left w:w="0" w:type="dxa"/>
              <w:bottom w:w="30" w:type="dxa"/>
              <w:right w:w="20" w:type="dxa"/>
            </w:tcMar>
            <w:vAlign w:val="bottom"/>
            <w:hideMark/>
          </w:tcPr>
          <w:p w14:paraId="4341B0A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2279E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7AAF267" w14:textId="77777777" w:rsidR="00000000" w:rsidRDefault="001D0688">
            <w:pPr>
              <w:jc w:val="right"/>
              <w:rPr>
                <w:rFonts w:eastAsia="Times New Roman"/>
              </w:rPr>
            </w:pPr>
            <w:r>
              <w:rPr>
                <w:rFonts w:ascii="Arial" w:eastAsia="Times New Roman" w:hAnsi="Arial" w:cs="Arial"/>
                <w:color w:val="000000"/>
                <w:sz w:val="20"/>
                <w:szCs w:val="20"/>
              </w:rPr>
              <w:t>2.5 </w:t>
            </w:r>
          </w:p>
        </w:tc>
        <w:tc>
          <w:tcPr>
            <w:tcW w:w="0" w:type="auto"/>
            <w:shd w:val="clear" w:color="auto" w:fill="DCE2EF"/>
            <w:tcMar>
              <w:top w:w="30" w:type="dxa"/>
              <w:left w:w="0" w:type="dxa"/>
              <w:bottom w:w="30" w:type="dxa"/>
              <w:right w:w="20" w:type="dxa"/>
            </w:tcMar>
            <w:vAlign w:val="bottom"/>
            <w:hideMark/>
          </w:tcPr>
          <w:p w14:paraId="64221356" w14:textId="77777777" w:rsidR="00000000" w:rsidRDefault="001D0688">
            <w:pPr>
              <w:jc w:val="right"/>
              <w:rPr>
                <w:rFonts w:eastAsia="Times New Roman"/>
              </w:rPr>
            </w:pPr>
          </w:p>
        </w:tc>
      </w:tr>
      <w:tr w:rsidR="00000000" w14:paraId="470FDA4A" w14:textId="77777777">
        <w:trPr>
          <w:divId w:val="168448886"/>
        </w:trPr>
        <w:tc>
          <w:tcPr>
            <w:tcW w:w="0" w:type="auto"/>
            <w:gridSpan w:val="3"/>
            <w:shd w:val="clear" w:color="auto" w:fill="FFFFFF"/>
            <w:tcMar>
              <w:top w:w="30" w:type="dxa"/>
              <w:left w:w="20" w:type="dxa"/>
              <w:bottom w:w="30" w:type="dxa"/>
              <w:right w:w="20" w:type="dxa"/>
            </w:tcMar>
            <w:vAlign w:val="bottom"/>
            <w:hideMark/>
          </w:tcPr>
          <w:p w14:paraId="3B985046" w14:textId="77777777" w:rsidR="00000000" w:rsidRDefault="001D0688">
            <w:pPr>
              <w:divId w:val="486825045"/>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5D4C5582" w14:textId="77777777" w:rsidR="00000000" w:rsidRDefault="001D0688">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54795263" w14:textId="77777777" w:rsidR="00000000" w:rsidRDefault="001D068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5A8AF6" w14:textId="77777777" w:rsidR="00000000" w:rsidRDefault="001D0688">
            <w:pPr>
              <w:jc w:val="right"/>
              <w:rPr>
                <w:rFonts w:eastAsia="Times New Roman"/>
              </w:rPr>
            </w:pPr>
            <w:r>
              <w:rPr>
                <w:rFonts w:ascii="Arial" w:eastAsia="Times New Roman" w:hAnsi="Arial" w:cs="Arial"/>
                <w:color w:val="000000"/>
                <w:sz w:val="20"/>
                <w:szCs w:val="20"/>
              </w:rPr>
              <w:t>725.3 </w:t>
            </w:r>
          </w:p>
        </w:tc>
        <w:tc>
          <w:tcPr>
            <w:tcW w:w="0" w:type="auto"/>
            <w:shd w:val="clear" w:color="auto" w:fill="FFFFFF"/>
            <w:tcMar>
              <w:top w:w="30" w:type="dxa"/>
              <w:left w:w="0" w:type="dxa"/>
              <w:bottom w:w="30" w:type="dxa"/>
              <w:right w:w="20" w:type="dxa"/>
            </w:tcMar>
            <w:vAlign w:val="bottom"/>
            <w:hideMark/>
          </w:tcPr>
          <w:p w14:paraId="2591E7E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9FE9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84B10" w14:textId="77777777" w:rsidR="00000000" w:rsidRDefault="001D0688">
            <w:pPr>
              <w:jc w:val="right"/>
              <w:rPr>
                <w:rFonts w:eastAsia="Times New Roman"/>
              </w:rPr>
            </w:pPr>
            <w:r>
              <w:rPr>
                <w:rFonts w:ascii="Arial" w:eastAsia="Times New Roman" w:hAnsi="Arial" w:cs="Arial"/>
                <w:color w:val="000000"/>
                <w:sz w:val="20"/>
                <w:szCs w:val="20"/>
              </w:rPr>
              <w:t>808.4 </w:t>
            </w:r>
          </w:p>
        </w:tc>
        <w:tc>
          <w:tcPr>
            <w:tcW w:w="0" w:type="auto"/>
            <w:shd w:val="clear" w:color="auto" w:fill="FFFFFF"/>
            <w:tcMar>
              <w:top w:w="30" w:type="dxa"/>
              <w:left w:w="0" w:type="dxa"/>
              <w:bottom w:w="30" w:type="dxa"/>
              <w:right w:w="20" w:type="dxa"/>
            </w:tcMar>
            <w:vAlign w:val="bottom"/>
            <w:hideMark/>
          </w:tcPr>
          <w:p w14:paraId="0CD44962" w14:textId="77777777" w:rsidR="00000000" w:rsidRDefault="001D0688">
            <w:pPr>
              <w:jc w:val="right"/>
              <w:rPr>
                <w:rFonts w:eastAsia="Times New Roman"/>
              </w:rPr>
            </w:pPr>
          </w:p>
        </w:tc>
      </w:tr>
      <w:tr w:rsidR="00000000" w14:paraId="42D1A621" w14:textId="77777777">
        <w:trPr>
          <w:divId w:val="168448886"/>
        </w:trPr>
        <w:tc>
          <w:tcPr>
            <w:tcW w:w="0" w:type="auto"/>
            <w:gridSpan w:val="3"/>
            <w:shd w:val="clear" w:color="auto" w:fill="DCE2EF"/>
            <w:tcMar>
              <w:top w:w="30" w:type="dxa"/>
              <w:left w:w="20" w:type="dxa"/>
              <w:bottom w:w="30" w:type="dxa"/>
              <w:right w:w="20" w:type="dxa"/>
            </w:tcMar>
            <w:vAlign w:val="bottom"/>
            <w:hideMark/>
          </w:tcPr>
          <w:p w14:paraId="463630BC" w14:textId="77777777" w:rsidR="00000000" w:rsidRDefault="001D0688">
            <w:pPr>
              <w:divId w:val="1099063304"/>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27F86CB2" w14:textId="77777777" w:rsidR="00000000" w:rsidRDefault="001D0688">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14:paraId="006EBEB0" w14:textId="77777777" w:rsidR="00000000" w:rsidRDefault="001D0688">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3960722" w14:textId="77777777" w:rsidR="00000000" w:rsidRDefault="001D0688">
            <w:pPr>
              <w:jc w:val="right"/>
              <w:rPr>
                <w:rFonts w:eastAsia="Times New Roman"/>
              </w:rPr>
            </w:pPr>
            <w:r>
              <w:rPr>
                <w:rFonts w:ascii="Arial" w:eastAsia="Times New Roman" w:hAnsi="Arial" w:cs="Arial"/>
                <w:color w:val="000000"/>
                <w:sz w:val="20"/>
                <w:szCs w:val="20"/>
              </w:rPr>
              <w:t>15.5 </w:t>
            </w:r>
          </w:p>
        </w:tc>
        <w:tc>
          <w:tcPr>
            <w:tcW w:w="0" w:type="auto"/>
            <w:shd w:val="clear" w:color="auto" w:fill="DCE2EF"/>
            <w:tcMar>
              <w:top w:w="30" w:type="dxa"/>
              <w:left w:w="0" w:type="dxa"/>
              <w:bottom w:w="30" w:type="dxa"/>
              <w:right w:w="20" w:type="dxa"/>
            </w:tcMar>
            <w:vAlign w:val="bottom"/>
            <w:hideMark/>
          </w:tcPr>
          <w:p w14:paraId="1D9C68B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6AE14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3515558" w14:textId="77777777" w:rsidR="00000000" w:rsidRDefault="001D0688">
            <w:pPr>
              <w:jc w:val="right"/>
              <w:rPr>
                <w:rFonts w:eastAsia="Times New Roman"/>
              </w:rPr>
            </w:pPr>
            <w:r>
              <w:rPr>
                <w:rFonts w:ascii="Arial" w:eastAsia="Times New Roman" w:hAnsi="Arial" w:cs="Arial"/>
                <w:color w:val="000000"/>
                <w:sz w:val="20"/>
                <w:szCs w:val="20"/>
              </w:rPr>
              <w:t>14.6 </w:t>
            </w:r>
          </w:p>
        </w:tc>
        <w:tc>
          <w:tcPr>
            <w:tcW w:w="0" w:type="auto"/>
            <w:shd w:val="clear" w:color="auto" w:fill="DCE2EF"/>
            <w:tcMar>
              <w:top w:w="30" w:type="dxa"/>
              <w:left w:w="0" w:type="dxa"/>
              <w:bottom w:w="30" w:type="dxa"/>
              <w:right w:w="20" w:type="dxa"/>
            </w:tcMar>
            <w:vAlign w:val="bottom"/>
            <w:hideMark/>
          </w:tcPr>
          <w:p w14:paraId="4243EC6B" w14:textId="77777777" w:rsidR="00000000" w:rsidRDefault="001D0688">
            <w:pPr>
              <w:jc w:val="right"/>
              <w:rPr>
                <w:rFonts w:eastAsia="Times New Roman"/>
              </w:rPr>
            </w:pPr>
          </w:p>
        </w:tc>
      </w:tr>
      <w:tr w:rsidR="00000000" w14:paraId="0306F69D" w14:textId="77777777">
        <w:trPr>
          <w:divId w:val="168448886"/>
        </w:trPr>
        <w:tc>
          <w:tcPr>
            <w:tcW w:w="0" w:type="auto"/>
            <w:gridSpan w:val="3"/>
            <w:shd w:val="clear" w:color="auto" w:fill="FFFFFF"/>
            <w:tcMar>
              <w:top w:w="30" w:type="dxa"/>
              <w:left w:w="20" w:type="dxa"/>
              <w:bottom w:w="30" w:type="dxa"/>
              <w:right w:w="20" w:type="dxa"/>
            </w:tcMar>
            <w:vAlign w:val="bottom"/>
            <w:hideMark/>
          </w:tcPr>
          <w:p w14:paraId="7FDF10FB" w14:textId="77777777" w:rsidR="00000000" w:rsidRDefault="001D0688">
            <w:pPr>
              <w:divId w:val="990717152"/>
              <w:rPr>
                <w:rFonts w:eastAsia="Times New Roman"/>
              </w:rPr>
            </w:pPr>
            <w:r>
              <w:rPr>
                <w:rFonts w:ascii="Arial" w:eastAsia="Times New Roman" w:hAnsi="Arial" w:cs="Arial"/>
                <w:color w:val="000000"/>
                <w:sz w:val="20"/>
                <w:szCs w:val="20"/>
              </w:rPr>
              <w:t>Investments in auction rate securitie</w:t>
            </w:r>
            <w:r>
              <w:rPr>
                <w:rFonts w:ascii="Arial" w:eastAsia="Times New Roman" w:hAnsi="Arial" w:cs="Arial"/>
                <w:color w:val="000000"/>
                <w:sz w:val="20"/>
                <w:szCs w:val="20"/>
              </w:rPr>
              <w:t>s</w:t>
            </w:r>
            <w:r>
              <w:rPr>
                <w:rFonts w:ascii="Arial" w:eastAsia="Times New Roman" w:hAnsi="Arial" w:cs="Arial"/>
                <w:color w:val="000000"/>
                <w:sz w:val="13"/>
                <w:szCs w:val="13"/>
              </w:rPr>
              <w:t>(6</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2B9B7AF3" w14:textId="77777777" w:rsidR="00000000" w:rsidRDefault="001D0688">
            <w:pPr>
              <w:jc w:val="center"/>
              <w:rPr>
                <w:rFonts w:eastAsia="Times New Roman"/>
              </w:rPr>
            </w:pPr>
            <w:r>
              <w:rPr>
                <w:rFonts w:ascii="Arial" w:eastAsia="Times New Roman" w:hAnsi="Arial" w:cs="Arial"/>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06C8893C" w14:textId="77777777" w:rsidR="00000000" w:rsidRDefault="001D0688">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4564D0"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F396B3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3B75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C3BBA" w14:textId="77777777" w:rsidR="00000000" w:rsidRDefault="001D0688">
            <w:pPr>
              <w:jc w:val="right"/>
              <w:rPr>
                <w:rFonts w:eastAsia="Times New Roman"/>
              </w:rPr>
            </w:pPr>
            <w:r>
              <w:rPr>
                <w:rFonts w:ascii="Arial" w:eastAsia="Times New Roman" w:hAnsi="Arial" w:cs="Arial"/>
                <w:color w:val="000000"/>
                <w:sz w:val="20"/>
                <w:szCs w:val="20"/>
              </w:rPr>
              <w:t>5.0 </w:t>
            </w:r>
          </w:p>
        </w:tc>
        <w:tc>
          <w:tcPr>
            <w:tcW w:w="0" w:type="auto"/>
            <w:shd w:val="clear" w:color="auto" w:fill="FFFFFF"/>
            <w:tcMar>
              <w:top w:w="30" w:type="dxa"/>
              <w:left w:w="0" w:type="dxa"/>
              <w:bottom w:w="30" w:type="dxa"/>
              <w:right w:w="20" w:type="dxa"/>
            </w:tcMar>
            <w:vAlign w:val="bottom"/>
            <w:hideMark/>
          </w:tcPr>
          <w:p w14:paraId="74FC02DE" w14:textId="77777777" w:rsidR="00000000" w:rsidRDefault="001D0688">
            <w:pPr>
              <w:jc w:val="right"/>
              <w:rPr>
                <w:rFonts w:eastAsia="Times New Roman"/>
              </w:rPr>
            </w:pPr>
          </w:p>
        </w:tc>
      </w:tr>
      <w:tr w:rsidR="00000000" w14:paraId="4663142F" w14:textId="77777777">
        <w:trPr>
          <w:divId w:val="168448886"/>
        </w:trPr>
        <w:tc>
          <w:tcPr>
            <w:tcW w:w="0" w:type="auto"/>
            <w:gridSpan w:val="3"/>
            <w:vAlign w:val="center"/>
            <w:hideMark/>
          </w:tcPr>
          <w:p w14:paraId="3D2F912B" w14:textId="77777777" w:rsidR="00000000" w:rsidRDefault="001D0688">
            <w:pPr>
              <w:jc w:val="right"/>
              <w:rPr>
                <w:rFonts w:eastAsia="Times New Roman"/>
                <w:sz w:val="20"/>
                <w:szCs w:val="20"/>
              </w:rPr>
            </w:pPr>
          </w:p>
        </w:tc>
        <w:tc>
          <w:tcPr>
            <w:tcW w:w="0" w:type="auto"/>
            <w:gridSpan w:val="3"/>
            <w:vAlign w:val="center"/>
            <w:hideMark/>
          </w:tcPr>
          <w:p w14:paraId="64E0F7F0" w14:textId="77777777" w:rsidR="00000000" w:rsidRDefault="001D0688">
            <w:pPr>
              <w:rPr>
                <w:rFonts w:eastAsia="Times New Roman"/>
                <w:sz w:val="20"/>
                <w:szCs w:val="20"/>
              </w:rPr>
            </w:pPr>
          </w:p>
        </w:tc>
        <w:tc>
          <w:tcPr>
            <w:tcW w:w="0" w:type="auto"/>
            <w:gridSpan w:val="3"/>
            <w:vAlign w:val="center"/>
            <w:hideMark/>
          </w:tcPr>
          <w:p w14:paraId="25949073" w14:textId="77777777" w:rsidR="00000000" w:rsidRDefault="001D0688">
            <w:pPr>
              <w:rPr>
                <w:rFonts w:eastAsia="Times New Roman"/>
                <w:sz w:val="20"/>
                <w:szCs w:val="20"/>
              </w:rPr>
            </w:pPr>
          </w:p>
        </w:tc>
        <w:tc>
          <w:tcPr>
            <w:tcW w:w="0" w:type="auto"/>
            <w:gridSpan w:val="3"/>
            <w:vAlign w:val="center"/>
            <w:hideMark/>
          </w:tcPr>
          <w:p w14:paraId="4F765295" w14:textId="77777777" w:rsidR="00000000" w:rsidRDefault="001D0688">
            <w:pPr>
              <w:rPr>
                <w:rFonts w:eastAsia="Times New Roman"/>
                <w:sz w:val="20"/>
                <w:szCs w:val="20"/>
              </w:rPr>
            </w:pPr>
          </w:p>
        </w:tc>
        <w:tc>
          <w:tcPr>
            <w:tcW w:w="0" w:type="auto"/>
            <w:gridSpan w:val="3"/>
            <w:vAlign w:val="center"/>
            <w:hideMark/>
          </w:tcPr>
          <w:p w14:paraId="094B10EC" w14:textId="77777777" w:rsidR="00000000" w:rsidRDefault="001D0688">
            <w:pPr>
              <w:rPr>
                <w:rFonts w:eastAsia="Times New Roman"/>
                <w:sz w:val="20"/>
                <w:szCs w:val="20"/>
              </w:rPr>
            </w:pPr>
          </w:p>
        </w:tc>
        <w:tc>
          <w:tcPr>
            <w:tcW w:w="0" w:type="auto"/>
            <w:gridSpan w:val="3"/>
            <w:vAlign w:val="center"/>
            <w:hideMark/>
          </w:tcPr>
          <w:p w14:paraId="1FD4EBB4" w14:textId="77777777" w:rsidR="00000000" w:rsidRDefault="001D0688">
            <w:pPr>
              <w:rPr>
                <w:rFonts w:eastAsia="Times New Roman"/>
                <w:sz w:val="20"/>
                <w:szCs w:val="20"/>
              </w:rPr>
            </w:pPr>
          </w:p>
        </w:tc>
      </w:tr>
    </w:tbl>
    <w:p w14:paraId="620A26F7" w14:textId="77777777" w:rsidR="00000000" w:rsidRDefault="001D0688">
      <w:pPr>
        <w:ind w:hanging="180"/>
        <w:jc w:val="both"/>
        <w:divId w:val="1935958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Cash and cash equivalents are stated at nominal value, which equals fair value.</w:t>
      </w:r>
    </w:p>
    <w:p w14:paraId="3A85AE0B" w14:textId="77777777" w:rsidR="00000000" w:rsidRDefault="001D0688">
      <w:pPr>
        <w:ind w:hanging="270"/>
        <w:jc w:val="both"/>
        <w:divId w:val="23031660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Represents restricted deposits that are used to collateralize our insurance obligations and are stated at nominal value, which equals fair value. These insurance deposits are included in “Other noncurrent assets” on the accompanying Consolidated Balance Sh</w:t>
      </w:r>
      <w:r>
        <w:rPr>
          <w:rFonts w:ascii="Arial" w:eastAsia="Times New Roman" w:hAnsi="Arial" w:cs="Arial"/>
          <w:color w:val="000000"/>
          <w:sz w:val="18"/>
          <w:szCs w:val="18"/>
        </w:rPr>
        <w:t>eets. See Note 10, “Insurance,” for further information.</w:t>
      </w:r>
    </w:p>
    <w:p w14:paraId="3572AD72" w14:textId="77777777" w:rsidR="00000000" w:rsidRDefault="001D0688">
      <w:pPr>
        <w:ind w:hanging="270"/>
        <w:jc w:val="both"/>
        <w:divId w:val="84155073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Consolidated Balance Sheets.</w:t>
      </w:r>
      <w:r>
        <w:rPr>
          <w:rFonts w:ascii="Arial" w:eastAsia="Times New Roman" w:hAnsi="Arial" w:cs="Arial"/>
          <w:color w:val="000000"/>
          <w:sz w:val="18"/>
          <w:szCs w:val="18"/>
        </w:rPr>
        <w:t xml:space="preserve"> The fair value of the assets held in the funded deferred compensation plan is based on quoted market prices. See Note 12, “Employee Benefit Plans,” for further information.</w:t>
      </w:r>
    </w:p>
    <w:p w14:paraId="0B74B2E7" w14:textId="77777777" w:rsidR="00000000" w:rsidRDefault="001D0688">
      <w:pPr>
        <w:ind w:hanging="270"/>
        <w:jc w:val="both"/>
        <w:divId w:val="657732502"/>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w:t>
      </w:r>
      <w:r>
        <w:rPr>
          <w:rFonts w:ascii="Arial" w:eastAsia="Times New Roman" w:hAnsi="Arial" w:cs="Arial"/>
          <w:color w:val="000000"/>
          <w:sz w:val="18"/>
          <w:szCs w:val="18"/>
        </w:rPr>
        <w:t>d term loan. Due to variable interest rates, the carrying value of outstanding borrowings under our line of credit and term loan approximates the fair value. See Note 11, “Credit Facility,” for further information.</w:t>
      </w:r>
    </w:p>
    <w:p w14:paraId="16FFFC25" w14:textId="77777777" w:rsidR="00000000" w:rsidRDefault="001D0688">
      <w:pPr>
        <w:ind w:hanging="270"/>
        <w:jc w:val="both"/>
        <w:divId w:val="13660911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w:t>
      </w:r>
      <w:r>
        <w:rPr>
          <w:rFonts w:ascii="Arial" w:eastAsia="Times New Roman" w:hAnsi="Arial" w:cs="Arial"/>
          <w:color w:val="000000"/>
          <w:sz w:val="18"/>
          <w:szCs w:val="18"/>
        </w:rPr>
        <w:t>ives designated as cash flow hedges. The fair values of the interest rate swaps are estimated based on the present value of the difference between expected cash flows calculated at the contracted interest rates and the expected cash flows at current market</w:t>
      </w:r>
      <w:r>
        <w:rPr>
          <w:rFonts w:ascii="Arial" w:eastAsia="Times New Roman" w:hAnsi="Arial" w:cs="Arial"/>
          <w:color w:val="000000"/>
          <w:sz w:val="18"/>
          <w:szCs w:val="18"/>
        </w:rPr>
        <w:t xml:space="preserve"> interest rates using observable benchmarks for the London Interbank Offered Rate (“LIBOR”) forward rates at the end of the period. At October 31, 2020 and 2019, our interest rate swaps are included in “Other noncurrent liabilities” on the accompanying Con</w:t>
      </w:r>
      <w:r>
        <w:rPr>
          <w:rFonts w:ascii="Arial" w:eastAsia="Times New Roman" w:hAnsi="Arial" w:cs="Arial"/>
          <w:color w:val="000000"/>
          <w:sz w:val="18"/>
          <w:szCs w:val="18"/>
        </w:rPr>
        <w:t xml:space="preserve">solidated Balance Sheets. See Note 11, “Credit Facility,” for further information. </w:t>
      </w:r>
    </w:p>
    <w:p w14:paraId="7578E211" w14:textId="77777777" w:rsidR="00000000" w:rsidRDefault="001D0688">
      <w:pPr>
        <w:ind w:hanging="270"/>
        <w:jc w:val="both"/>
        <w:divId w:val="354581069"/>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fair value of investments in auction rate securities is based on discounted cash flow valuation models, primarily utilizing unobservable inputs, including assumptio</w:t>
      </w:r>
      <w:r>
        <w:rPr>
          <w:rFonts w:ascii="Arial" w:eastAsia="Times New Roman" w:hAnsi="Arial" w:cs="Arial"/>
          <w:color w:val="000000"/>
          <w:sz w:val="18"/>
          <w:szCs w:val="18"/>
        </w:rPr>
        <w:t xml:space="preserve">ns about the underlying collateral, credit risks associated with the issuer, credit enhancements associated with financial insurance guarantees, and the possibility of the security being refinanced by the issuer or having a successful auction. </w:t>
      </w:r>
    </w:p>
    <w:p w14:paraId="3985A315" w14:textId="77777777" w:rsidR="00000000" w:rsidRDefault="001D0688">
      <w:pPr>
        <w:ind w:firstLine="720"/>
        <w:jc w:val="both"/>
        <w:divId w:val="292449533"/>
        <w:rPr>
          <w:rFonts w:eastAsia="Times New Roman"/>
        </w:rPr>
      </w:pPr>
      <w:r>
        <w:rPr>
          <w:rFonts w:ascii="Arial" w:eastAsia="Times New Roman" w:hAnsi="Arial" w:cs="Arial"/>
          <w:color w:val="000000"/>
          <w:sz w:val="20"/>
          <w:szCs w:val="20"/>
        </w:rPr>
        <w:t xml:space="preserve">At October </w:t>
      </w:r>
      <w:r>
        <w:rPr>
          <w:rFonts w:ascii="Arial" w:eastAsia="Times New Roman" w:hAnsi="Arial" w:cs="Arial"/>
          <w:color w:val="000000"/>
          <w:sz w:val="20"/>
          <w:szCs w:val="20"/>
        </w:rPr>
        <w:t>31, 2019, we held an investment in one auction rate security that had an original principal amount, amortized cost, and fair value of $5.0 million that was included in “Other investments” on the accompanying Consolidated Balance Sheets. During the first qu</w:t>
      </w:r>
      <w:r>
        <w:rPr>
          <w:rFonts w:ascii="Arial" w:eastAsia="Times New Roman" w:hAnsi="Arial" w:cs="Arial"/>
          <w:color w:val="000000"/>
          <w:sz w:val="20"/>
          <w:szCs w:val="20"/>
        </w:rPr>
        <w:t>arter of 2020, this auction rate security was called by the issuer, and we received proceeds for the fair value of this debt instrument of $5.0 million. There were no unrealized gains or losses on this auction rate security included in AOCL. At October 31,</w:t>
      </w:r>
      <w:r>
        <w:rPr>
          <w:rFonts w:ascii="Arial" w:eastAsia="Times New Roman" w:hAnsi="Arial" w:cs="Arial"/>
          <w:color w:val="000000"/>
          <w:sz w:val="20"/>
          <w:szCs w:val="20"/>
        </w:rPr>
        <w:t xml:space="preserve"> 2020, we had no investments in auction rate securities.</w:t>
      </w:r>
    </w:p>
    <w:p w14:paraId="56CE2EAD" w14:textId="77777777" w:rsidR="00000000" w:rsidRDefault="001D0688">
      <w:pPr>
        <w:ind w:firstLine="720"/>
        <w:jc w:val="both"/>
        <w:divId w:val="1035737416"/>
        <w:rPr>
          <w:rFonts w:eastAsia="Times New Roman"/>
        </w:rPr>
      </w:pPr>
      <w:r>
        <w:rPr>
          <w:rFonts w:ascii="Arial" w:eastAsia="Times New Roman" w:hAnsi="Arial" w:cs="Arial"/>
          <w:color w:val="000000"/>
          <w:sz w:val="20"/>
          <w:szCs w:val="20"/>
        </w:rPr>
        <w:t>During 2020 and 2019, we had no transfers of assets or liabilities between any of the above hierarchy levels.</w:t>
      </w:r>
    </w:p>
    <w:p w14:paraId="3EE178B7" w14:textId="77777777" w:rsidR="00000000" w:rsidRDefault="001D0688">
      <w:pPr>
        <w:divId w:val="2094619989"/>
        <w:rPr>
          <w:rFonts w:eastAsia="Times New Roman"/>
        </w:rPr>
      </w:pPr>
      <w:r>
        <w:rPr>
          <w:rFonts w:ascii="Arial" w:eastAsia="Times New Roman" w:hAnsi="Arial" w:cs="Arial"/>
          <w:b/>
          <w:bCs/>
          <w:color w:val="0046AD"/>
          <w:sz w:val="20"/>
          <w:szCs w:val="20"/>
        </w:rPr>
        <w:t>Non-Financial Assets Measured at Fair Value on a Non-Recurring Basis</w:t>
      </w:r>
    </w:p>
    <w:p w14:paraId="6AE0E476" w14:textId="77777777" w:rsidR="00000000" w:rsidRDefault="001D0688">
      <w:pPr>
        <w:ind w:firstLine="720"/>
        <w:jc w:val="both"/>
        <w:divId w:val="385302711"/>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 goodwill; intangible assets; property, plant and equ</w:t>
      </w:r>
      <w:r>
        <w:rPr>
          <w:rFonts w:ascii="Arial" w:eastAsia="Times New Roman" w:hAnsi="Arial" w:cs="Arial"/>
          <w:color w:val="000000"/>
          <w:sz w:val="20"/>
          <w:szCs w:val="20"/>
        </w:rPr>
        <w:t>ipment; lease-related ROU assets; and long-lived assets that have been reduced to fair value when they are held for sale. If certain triggering events occur, or if an annual impairment test is required, we would evaluate these non-financial assets for impa</w:t>
      </w:r>
      <w:r>
        <w:rPr>
          <w:rFonts w:ascii="Arial" w:eastAsia="Times New Roman" w:hAnsi="Arial" w:cs="Arial"/>
          <w:color w:val="000000"/>
          <w:sz w:val="20"/>
          <w:szCs w:val="20"/>
        </w:rPr>
        <w:t xml:space="preserve">irment. If an impairment were to occur, the asset would be recorded at the estimated fair value, using primarily unobservable Level 3 inputs. </w:t>
      </w:r>
    </w:p>
    <w:p w14:paraId="50A976DB" w14:textId="77777777" w:rsidR="00000000" w:rsidRDefault="001D0688">
      <w:pPr>
        <w:jc w:val="center"/>
        <w:divId w:val="1045758764"/>
        <w:rPr>
          <w:rFonts w:eastAsia="Times New Roman"/>
        </w:rPr>
      </w:pPr>
      <w:r>
        <w:rPr>
          <w:rFonts w:ascii="Arial" w:eastAsia="Times New Roman" w:hAnsi="Arial" w:cs="Arial"/>
          <w:color w:val="000000"/>
          <w:sz w:val="20"/>
          <w:szCs w:val="20"/>
        </w:rPr>
        <w:t>75</w:t>
      </w:r>
    </w:p>
    <w:p w14:paraId="1041904B" w14:textId="77777777" w:rsidR="00000000" w:rsidRDefault="001D0688">
      <w:pPr>
        <w:rPr>
          <w:rFonts w:eastAsia="Times New Roman"/>
        </w:rPr>
      </w:pPr>
      <w:r>
        <w:rPr>
          <w:rFonts w:eastAsia="Times New Roman"/>
        </w:rPr>
        <w:pict w14:anchorId="53DDC6D7">
          <v:rect id="_x0000_i1112" style="width:0;height:1.5pt" o:hralign="center" o:hrstd="t" o:hr="t" fillcolor="#a0a0a0" stroked="f"/>
        </w:pict>
      </w:r>
    </w:p>
    <w:p w14:paraId="3E4953D4" w14:textId="77777777" w:rsidR="00000000" w:rsidRDefault="001D0688">
      <w:pPr>
        <w:divId w:val="1774133345"/>
        <w:rPr>
          <w:rFonts w:eastAsia="Times New Roman"/>
        </w:rPr>
      </w:pPr>
    </w:p>
    <w:p w14:paraId="1E21C9E7" w14:textId="77777777" w:rsidR="00000000" w:rsidRDefault="001D0688">
      <w:pPr>
        <w:ind w:firstLine="720"/>
        <w:jc w:val="both"/>
        <w:divId w:val="1622034211"/>
        <w:rPr>
          <w:rFonts w:eastAsia="Times New Roman"/>
        </w:rPr>
      </w:pPr>
      <w:r>
        <w:rPr>
          <w:rFonts w:ascii="Arial" w:eastAsia="Times New Roman" w:hAnsi="Arial" w:cs="Arial"/>
          <w:color w:val="000000"/>
          <w:sz w:val="20"/>
          <w:szCs w:val="20"/>
        </w:rPr>
        <w:t>During the second quarter of 2020, given the general deterioration in ec</w:t>
      </w:r>
      <w:r>
        <w:rPr>
          <w:rFonts w:ascii="Arial" w:eastAsia="Times New Roman" w:hAnsi="Arial" w:cs="Arial"/>
          <w:color w:val="000000"/>
          <w:sz w:val="20"/>
          <w:szCs w:val="20"/>
        </w:rPr>
        <w:t>onomic and market conditions arising from the Pandemic, we identified a triggering event indicating possible impairment of goodwill and intangible assets, and we recorded impairment charges on goodwill and customer relationships. The fair value of these it</w:t>
      </w:r>
      <w:r>
        <w:rPr>
          <w:rFonts w:ascii="Arial" w:eastAsia="Times New Roman" w:hAnsi="Arial" w:cs="Arial"/>
          <w:color w:val="000000"/>
          <w:sz w:val="20"/>
          <w:szCs w:val="20"/>
        </w:rPr>
        <w:t>ems was determined based on unobservable Level 3 inputs. The fair value of goodwill was determined using a weighting of fair values derived from an income approach and a market approach. The fair value of customer relationships was determined based on disc</w:t>
      </w:r>
      <w:r>
        <w:rPr>
          <w:rFonts w:ascii="Arial" w:eastAsia="Times New Roman" w:hAnsi="Arial" w:cs="Arial"/>
          <w:color w:val="000000"/>
          <w:sz w:val="20"/>
          <w:szCs w:val="20"/>
        </w:rPr>
        <w:t>ounted cash flows associated with the customer relationships that include significant management assumptions, including expected proceeds. See Note 9, “Goodwill and Other Intangible Assets,” for further information. We did not identify impairment of our pr</w:t>
      </w:r>
      <w:r>
        <w:rPr>
          <w:rFonts w:ascii="Arial" w:eastAsia="Times New Roman" w:hAnsi="Arial" w:cs="Arial"/>
          <w:color w:val="000000"/>
          <w:sz w:val="20"/>
          <w:szCs w:val="20"/>
        </w:rPr>
        <w:t xml:space="preserve">operty, plant and equipment, lease-related ROU assets, or long-lived assets. </w:t>
      </w:r>
    </w:p>
    <w:p w14:paraId="114B6D40" w14:textId="77777777" w:rsidR="00000000" w:rsidRDefault="001D0688">
      <w:pPr>
        <w:ind w:firstLine="720"/>
        <w:jc w:val="both"/>
        <w:divId w:val="824317456"/>
        <w:rPr>
          <w:rFonts w:eastAsia="Times New Roman"/>
        </w:rPr>
      </w:pPr>
      <w:r>
        <w:rPr>
          <w:rFonts w:ascii="Arial" w:eastAsia="Times New Roman" w:hAnsi="Arial" w:cs="Arial"/>
          <w:color w:val="000000"/>
          <w:sz w:val="20"/>
          <w:szCs w:val="20"/>
        </w:rPr>
        <w:t>In connection with the reorganization of our Healthcare business, in the third quarter of 2019 we performed a goodwill impairment test on the underlying reporting unit immediatel</w:t>
      </w:r>
      <w:r>
        <w:rPr>
          <w:rFonts w:ascii="Arial" w:eastAsia="Times New Roman" w:hAnsi="Arial" w:cs="Arial"/>
          <w:color w:val="000000"/>
          <w:sz w:val="20"/>
          <w:szCs w:val="20"/>
        </w:rPr>
        <w:t xml:space="preserve">y before the reorganization. We estimated the fair value of goodwill using the income and market approaches, which utilize expected cash flows using Level 3 inputs. This analysis required the exercise of significant judgments, including the identification </w:t>
      </w:r>
      <w:r>
        <w:rPr>
          <w:rFonts w:ascii="Arial" w:eastAsia="Times New Roman" w:hAnsi="Arial" w:cs="Arial"/>
          <w:color w:val="000000"/>
          <w:sz w:val="20"/>
          <w:szCs w:val="20"/>
        </w:rPr>
        <w:t>of reporting units as well as the evaluation of recent indicators of market activity, future cash flow estimates, discount rates, and other factors. As a result of this analysis, we concluded that the estimated fair value of the Healthcare reporting unit s</w:t>
      </w:r>
      <w:r>
        <w:rPr>
          <w:rFonts w:ascii="Arial" w:eastAsia="Times New Roman" w:hAnsi="Arial" w:cs="Arial"/>
          <w:color w:val="000000"/>
          <w:sz w:val="20"/>
          <w:szCs w:val="20"/>
        </w:rPr>
        <w:t xml:space="preserve">ubstantially exceeded its carrying value immediately before the reorganization and that no further evaluation of impairment was necessary. </w:t>
      </w:r>
    </w:p>
    <w:p w14:paraId="15AAEAEC" w14:textId="77777777" w:rsidR="00000000" w:rsidRDefault="001D0688">
      <w:pPr>
        <w:divId w:val="1975327240"/>
        <w:rPr>
          <w:rFonts w:eastAsia="Times New Roman"/>
        </w:rPr>
      </w:pPr>
    </w:p>
    <w:p w14:paraId="59031BD3" w14:textId="77777777" w:rsidR="00000000" w:rsidRDefault="001D0688">
      <w:pPr>
        <w:divId w:val="1049764898"/>
        <w:rPr>
          <w:rFonts w:eastAsia="Times New Roman"/>
        </w:rPr>
      </w:pPr>
      <w:r>
        <w:rPr>
          <w:rFonts w:ascii="Arial" w:eastAsia="Times New Roman" w:hAnsi="Arial" w:cs="Arial"/>
          <w:b/>
          <w:bCs/>
          <w:color w:val="0046AD"/>
          <w:sz w:val="20"/>
          <w:szCs w:val="20"/>
        </w:rPr>
        <w:t>8. 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16756933" w14:textId="77777777">
        <w:trPr>
          <w:divId w:val="1011882479"/>
        </w:trPr>
        <w:tc>
          <w:tcPr>
            <w:tcW w:w="5" w:type="pct"/>
            <w:vAlign w:val="center"/>
            <w:hideMark/>
          </w:tcPr>
          <w:p w14:paraId="674F616A" w14:textId="77777777" w:rsidR="00000000" w:rsidRDefault="001D0688">
            <w:pPr>
              <w:rPr>
                <w:rFonts w:eastAsia="Times New Roman"/>
              </w:rPr>
            </w:pPr>
          </w:p>
        </w:tc>
        <w:tc>
          <w:tcPr>
            <w:tcW w:w="129" w:type="pct"/>
            <w:vAlign w:val="center"/>
            <w:hideMark/>
          </w:tcPr>
          <w:p w14:paraId="6B5911B2" w14:textId="77777777" w:rsidR="00000000" w:rsidRDefault="001D0688">
            <w:pPr>
              <w:rPr>
                <w:rFonts w:eastAsia="Times New Roman"/>
                <w:sz w:val="20"/>
                <w:szCs w:val="20"/>
              </w:rPr>
            </w:pPr>
          </w:p>
        </w:tc>
        <w:tc>
          <w:tcPr>
            <w:tcW w:w="5" w:type="pct"/>
            <w:vAlign w:val="center"/>
            <w:hideMark/>
          </w:tcPr>
          <w:p w14:paraId="5308D2F9" w14:textId="77777777" w:rsidR="00000000" w:rsidRDefault="001D0688">
            <w:pPr>
              <w:rPr>
                <w:rFonts w:eastAsia="Times New Roman"/>
                <w:sz w:val="20"/>
                <w:szCs w:val="20"/>
              </w:rPr>
            </w:pPr>
          </w:p>
        </w:tc>
        <w:tc>
          <w:tcPr>
            <w:tcW w:w="50" w:type="pct"/>
            <w:vAlign w:val="center"/>
            <w:hideMark/>
          </w:tcPr>
          <w:p w14:paraId="1492774C" w14:textId="77777777" w:rsidR="00000000" w:rsidRDefault="001D0688">
            <w:pPr>
              <w:rPr>
                <w:rFonts w:eastAsia="Times New Roman"/>
                <w:sz w:val="20"/>
                <w:szCs w:val="20"/>
              </w:rPr>
            </w:pPr>
          </w:p>
        </w:tc>
        <w:tc>
          <w:tcPr>
            <w:tcW w:w="4805" w:type="pct"/>
            <w:vAlign w:val="center"/>
            <w:hideMark/>
          </w:tcPr>
          <w:p w14:paraId="51F7541B" w14:textId="77777777" w:rsidR="00000000" w:rsidRDefault="001D0688">
            <w:pPr>
              <w:rPr>
                <w:rFonts w:eastAsia="Times New Roman"/>
                <w:sz w:val="20"/>
                <w:szCs w:val="20"/>
              </w:rPr>
            </w:pPr>
          </w:p>
        </w:tc>
        <w:tc>
          <w:tcPr>
            <w:tcW w:w="5" w:type="pct"/>
            <w:vAlign w:val="center"/>
            <w:hideMark/>
          </w:tcPr>
          <w:p w14:paraId="1862842D" w14:textId="77777777" w:rsidR="00000000" w:rsidRDefault="001D0688">
            <w:pPr>
              <w:rPr>
                <w:rFonts w:eastAsia="Times New Roman"/>
                <w:sz w:val="20"/>
                <w:szCs w:val="20"/>
              </w:rPr>
            </w:pPr>
          </w:p>
        </w:tc>
      </w:tr>
      <w:tr w:rsidR="00000000" w14:paraId="635829D8" w14:textId="77777777">
        <w:trPr>
          <w:divId w:val="1011882479"/>
          <w:trHeight w:val="60"/>
        </w:trPr>
        <w:tc>
          <w:tcPr>
            <w:tcW w:w="0" w:type="auto"/>
            <w:gridSpan w:val="3"/>
            <w:tcBorders>
              <w:top w:val="single" w:sz="8" w:space="0" w:color="E98300"/>
            </w:tcBorders>
            <w:tcMar>
              <w:top w:w="0" w:type="dxa"/>
              <w:left w:w="20" w:type="dxa"/>
              <w:bottom w:w="0" w:type="dxa"/>
              <w:right w:w="20" w:type="dxa"/>
            </w:tcMar>
            <w:vAlign w:val="center"/>
            <w:hideMark/>
          </w:tcPr>
          <w:p w14:paraId="31517B81"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DFBE3A0" w14:textId="77777777" w:rsidR="00000000" w:rsidRDefault="001D0688">
            <w:pPr>
              <w:rPr>
                <w:rFonts w:eastAsia="Times New Roman"/>
                <w:sz w:val="20"/>
                <w:szCs w:val="20"/>
              </w:rPr>
            </w:pPr>
          </w:p>
        </w:tc>
      </w:tr>
    </w:tbl>
    <w:p w14:paraId="484A3090" w14:textId="77777777" w:rsidR="00000000" w:rsidRDefault="001D0688">
      <w:pPr>
        <w:divId w:val="1733188797"/>
        <w:rPr>
          <w:rFonts w:eastAsia="Times New Roman"/>
        </w:rPr>
      </w:pPr>
      <w:r>
        <w:rPr>
          <w:rFonts w:ascii="Arial" w:eastAsia="Times New Roman" w:hAnsi="Arial" w:cs="Arial"/>
          <w:b/>
          <w:bCs/>
          <w:color w:val="0046AD"/>
          <w:sz w:val="20"/>
          <w:szCs w:val="20"/>
        </w:rPr>
        <w:t>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5103"/>
        <w:gridCol w:w="37"/>
        <w:gridCol w:w="132"/>
        <w:gridCol w:w="1355"/>
        <w:gridCol w:w="36"/>
        <w:gridCol w:w="36"/>
        <w:gridCol w:w="36"/>
        <w:gridCol w:w="36"/>
        <w:gridCol w:w="132"/>
        <w:gridCol w:w="1315"/>
        <w:gridCol w:w="36"/>
      </w:tblGrid>
      <w:tr w:rsidR="00000000" w14:paraId="564BD4C6" w14:textId="77777777">
        <w:trPr>
          <w:divId w:val="1479422263"/>
        </w:trPr>
        <w:tc>
          <w:tcPr>
            <w:tcW w:w="50" w:type="pct"/>
            <w:vAlign w:val="center"/>
            <w:hideMark/>
          </w:tcPr>
          <w:p w14:paraId="6135F022" w14:textId="77777777" w:rsidR="00000000" w:rsidRDefault="001D0688">
            <w:pPr>
              <w:rPr>
                <w:rFonts w:eastAsia="Times New Roman"/>
              </w:rPr>
            </w:pPr>
          </w:p>
        </w:tc>
        <w:tc>
          <w:tcPr>
            <w:tcW w:w="3107" w:type="pct"/>
            <w:vAlign w:val="center"/>
            <w:hideMark/>
          </w:tcPr>
          <w:p w14:paraId="6D4A30CD" w14:textId="77777777" w:rsidR="00000000" w:rsidRDefault="001D0688">
            <w:pPr>
              <w:rPr>
                <w:rFonts w:eastAsia="Times New Roman"/>
                <w:sz w:val="20"/>
                <w:szCs w:val="20"/>
              </w:rPr>
            </w:pPr>
          </w:p>
        </w:tc>
        <w:tc>
          <w:tcPr>
            <w:tcW w:w="5" w:type="pct"/>
            <w:vAlign w:val="center"/>
            <w:hideMark/>
          </w:tcPr>
          <w:p w14:paraId="523F0A41" w14:textId="77777777" w:rsidR="00000000" w:rsidRDefault="001D0688">
            <w:pPr>
              <w:rPr>
                <w:rFonts w:eastAsia="Times New Roman"/>
                <w:sz w:val="20"/>
                <w:szCs w:val="20"/>
              </w:rPr>
            </w:pPr>
          </w:p>
        </w:tc>
        <w:tc>
          <w:tcPr>
            <w:tcW w:w="50" w:type="pct"/>
            <w:vAlign w:val="center"/>
            <w:hideMark/>
          </w:tcPr>
          <w:p w14:paraId="57793B1A" w14:textId="77777777" w:rsidR="00000000" w:rsidRDefault="001D0688">
            <w:pPr>
              <w:rPr>
                <w:rFonts w:eastAsia="Times New Roman"/>
                <w:sz w:val="20"/>
                <w:szCs w:val="20"/>
              </w:rPr>
            </w:pPr>
          </w:p>
        </w:tc>
        <w:tc>
          <w:tcPr>
            <w:tcW w:w="845" w:type="pct"/>
            <w:vAlign w:val="center"/>
            <w:hideMark/>
          </w:tcPr>
          <w:p w14:paraId="60DD25F7" w14:textId="77777777" w:rsidR="00000000" w:rsidRDefault="001D0688">
            <w:pPr>
              <w:rPr>
                <w:rFonts w:eastAsia="Times New Roman"/>
                <w:sz w:val="20"/>
                <w:szCs w:val="20"/>
              </w:rPr>
            </w:pPr>
          </w:p>
        </w:tc>
        <w:tc>
          <w:tcPr>
            <w:tcW w:w="5" w:type="pct"/>
            <w:vAlign w:val="center"/>
            <w:hideMark/>
          </w:tcPr>
          <w:p w14:paraId="1F06668D" w14:textId="77777777" w:rsidR="00000000" w:rsidRDefault="001D0688">
            <w:pPr>
              <w:rPr>
                <w:rFonts w:eastAsia="Times New Roman"/>
                <w:sz w:val="20"/>
                <w:szCs w:val="20"/>
              </w:rPr>
            </w:pPr>
          </w:p>
        </w:tc>
        <w:tc>
          <w:tcPr>
            <w:tcW w:w="5" w:type="pct"/>
            <w:vAlign w:val="center"/>
            <w:hideMark/>
          </w:tcPr>
          <w:p w14:paraId="5398DF53" w14:textId="77777777" w:rsidR="00000000" w:rsidRDefault="001D0688">
            <w:pPr>
              <w:rPr>
                <w:rFonts w:eastAsia="Times New Roman"/>
                <w:sz w:val="20"/>
                <w:szCs w:val="20"/>
              </w:rPr>
            </w:pPr>
          </w:p>
        </w:tc>
        <w:tc>
          <w:tcPr>
            <w:tcW w:w="26" w:type="pct"/>
            <w:vAlign w:val="center"/>
            <w:hideMark/>
          </w:tcPr>
          <w:p w14:paraId="2ABC6485" w14:textId="77777777" w:rsidR="00000000" w:rsidRDefault="001D0688">
            <w:pPr>
              <w:rPr>
                <w:rFonts w:eastAsia="Times New Roman"/>
                <w:sz w:val="20"/>
                <w:szCs w:val="20"/>
              </w:rPr>
            </w:pPr>
          </w:p>
        </w:tc>
        <w:tc>
          <w:tcPr>
            <w:tcW w:w="5" w:type="pct"/>
            <w:vAlign w:val="center"/>
            <w:hideMark/>
          </w:tcPr>
          <w:p w14:paraId="18691557" w14:textId="77777777" w:rsidR="00000000" w:rsidRDefault="001D0688">
            <w:pPr>
              <w:rPr>
                <w:rFonts w:eastAsia="Times New Roman"/>
                <w:sz w:val="20"/>
                <w:szCs w:val="20"/>
              </w:rPr>
            </w:pPr>
          </w:p>
        </w:tc>
        <w:tc>
          <w:tcPr>
            <w:tcW w:w="50" w:type="pct"/>
            <w:vAlign w:val="center"/>
            <w:hideMark/>
          </w:tcPr>
          <w:p w14:paraId="126467FA" w14:textId="77777777" w:rsidR="00000000" w:rsidRDefault="001D0688">
            <w:pPr>
              <w:rPr>
                <w:rFonts w:eastAsia="Times New Roman"/>
                <w:sz w:val="20"/>
                <w:szCs w:val="20"/>
              </w:rPr>
            </w:pPr>
          </w:p>
        </w:tc>
        <w:tc>
          <w:tcPr>
            <w:tcW w:w="845" w:type="pct"/>
            <w:vAlign w:val="center"/>
            <w:hideMark/>
          </w:tcPr>
          <w:p w14:paraId="30F58C3B" w14:textId="77777777" w:rsidR="00000000" w:rsidRDefault="001D0688">
            <w:pPr>
              <w:rPr>
                <w:rFonts w:eastAsia="Times New Roman"/>
                <w:sz w:val="20"/>
                <w:szCs w:val="20"/>
              </w:rPr>
            </w:pPr>
          </w:p>
        </w:tc>
        <w:tc>
          <w:tcPr>
            <w:tcW w:w="5" w:type="pct"/>
            <w:vAlign w:val="center"/>
            <w:hideMark/>
          </w:tcPr>
          <w:p w14:paraId="571185EE" w14:textId="77777777" w:rsidR="00000000" w:rsidRDefault="001D0688">
            <w:pPr>
              <w:rPr>
                <w:rFonts w:eastAsia="Times New Roman"/>
                <w:sz w:val="20"/>
                <w:szCs w:val="20"/>
              </w:rPr>
            </w:pPr>
          </w:p>
        </w:tc>
      </w:tr>
      <w:tr w:rsidR="00000000" w14:paraId="17AD5CB0" w14:textId="77777777">
        <w:trPr>
          <w:divId w:val="1479422263"/>
        </w:trPr>
        <w:tc>
          <w:tcPr>
            <w:tcW w:w="0" w:type="auto"/>
            <w:gridSpan w:val="3"/>
            <w:tcMar>
              <w:top w:w="0" w:type="dxa"/>
              <w:left w:w="20" w:type="dxa"/>
              <w:bottom w:w="0" w:type="dxa"/>
              <w:right w:w="20" w:type="dxa"/>
            </w:tcMar>
            <w:vAlign w:val="center"/>
            <w:hideMark/>
          </w:tcPr>
          <w:p w14:paraId="362E9D8D"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355EFA19" w14:textId="77777777" w:rsidR="00000000" w:rsidRDefault="001D0688">
            <w:pPr>
              <w:jc w:val="center"/>
              <w:rPr>
                <w:rFonts w:eastAsia="Times New Roman"/>
              </w:rPr>
            </w:pPr>
            <w:r>
              <w:rPr>
                <w:rFonts w:ascii="Arial" w:eastAsia="Times New Roman" w:hAnsi="Arial" w:cs="Arial"/>
                <w:b/>
                <w:bCs/>
                <w:color w:val="000000"/>
                <w:sz w:val="20"/>
                <w:szCs w:val="20"/>
              </w:rPr>
              <w:t>As of October 31,</w:t>
            </w:r>
          </w:p>
        </w:tc>
      </w:tr>
      <w:tr w:rsidR="00000000" w14:paraId="6E38E306" w14:textId="77777777">
        <w:trPr>
          <w:divId w:val="1479422263"/>
        </w:trPr>
        <w:tc>
          <w:tcPr>
            <w:tcW w:w="0" w:type="auto"/>
            <w:gridSpan w:val="3"/>
            <w:tcMar>
              <w:top w:w="30" w:type="dxa"/>
              <w:left w:w="20" w:type="dxa"/>
              <w:bottom w:w="30" w:type="dxa"/>
              <w:right w:w="20" w:type="dxa"/>
            </w:tcMar>
            <w:vAlign w:val="bottom"/>
            <w:hideMark/>
          </w:tcPr>
          <w:p w14:paraId="70C989FA"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EBF24F1"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5F92BC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109535"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334BE3CB" w14:textId="77777777">
        <w:trPr>
          <w:divId w:val="1479422263"/>
        </w:trPr>
        <w:tc>
          <w:tcPr>
            <w:tcW w:w="0" w:type="auto"/>
            <w:gridSpan w:val="3"/>
            <w:shd w:val="clear" w:color="auto" w:fill="DCE2EF"/>
            <w:tcMar>
              <w:top w:w="30" w:type="dxa"/>
              <w:left w:w="20" w:type="dxa"/>
              <w:bottom w:w="30" w:type="dxa"/>
              <w:right w:w="20" w:type="dxa"/>
            </w:tcMar>
            <w:hideMark/>
          </w:tcPr>
          <w:p w14:paraId="176A560B" w14:textId="77777777" w:rsidR="00000000" w:rsidRDefault="001D0688">
            <w:pPr>
              <w:rPr>
                <w:rFonts w:eastAsia="Times New Roman"/>
              </w:rPr>
            </w:pPr>
            <w:r>
              <w:rPr>
                <w:rFonts w:ascii="Arial" w:eastAsia="Times New Roman" w:hAnsi="Arial" w:cs="Arial"/>
                <w:color w:val="000000"/>
                <w:sz w:val="20"/>
                <w:szCs w:val="20"/>
              </w:rPr>
              <w:t>Machinery and other equipment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573970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E758F68" w14:textId="77777777" w:rsidR="00000000" w:rsidRDefault="001D0688">
            <w:pPr>
              <w:jc w:val="right"/>
              <w:rPr>
                <w:rFonts w:eastAsia="Times New Roman"/>
              </w:rPr>
            </w:pPr>
            <w:r>
              <w:rPr>
                <w:rFonts w:ascii="Arial" w:eastAsia="Times New Roman" w:hAnsi="Arial" w:cs="Arial"/>
                <w:color w:val="000000"/>
                <w:sz w:val="20"/>
                <w:szCs w:val="20"/>
              </w:rPr>
              <w:t>137.0 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F0B548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B6D7C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17F9B4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7747A96" w14:textId="77777777" w:rsidR="00000000" w:rsidRDefault="001D0688">
            <w:pPr>
              <w:jc w:val="right"/>
              <w:rPr>
                <w:rFonts w:eastAsia="Times New Roman"/>
              </w:rPr>
            </w:pPr>
            <w:r>
              <w:rPr>
                <w:rFonts w:ascii="Arial" w:eastAsia="Times New Roman" w:hAnsi="Arial" w:cs="Arial"/>
                <w:color w:val="000000"/>
                <w:sz w:val="20"/>
                <w:szCs w:val="20"/>
              </w:rPr>
              <w:t>118.8 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8FA223" w14:textId="77777777" w:rsidR="00000000" w:rsidRDefault="001D0688">
            <w:pPr>
              <w:jc w:val="right"/>
              <w:rPr>
                <w:rFonts w:eastAsia="Times New Roman"/>
              </w:rPr>
            </w:pPr>
          </w:p>
        </w:tc>
      </w:tr>
      <w:tr w:rsidR="00000000" w14:paraId="4413B562" w14:textId="77777777">
        <w:trPr>
          <w:divId w:val="1479422263"/>
        </w:trPr>
        <w:tc>
          <w:tcPr>
            <w:tcW w:w="0" w:type="auto"/>
            <w:gridSpan w:val="3"/>
            <w:shd w:val="clear" w:color="auto" w:fill="FFFFFF"/>
            <w:tcMar>
              <w:top w:w="30" w:type="dxa"/>
              <w:left w:w="20" w:type="dxa"/>
              <w:bottom w:w="30" w:type="dxa"/>
              <w:right w:w="20" w:type="dxa"/>
            </w:tcMar>
            <w:hideMark/>
          </w:tcPr>
          <w:p w14:paraId="016EBCBD" w14:textId="77777777" w:rsidR="00000000" w:rsidRDefault="001D0688">
            <w:pPr>
              <w:rPr>
                <w:rFonts w:eastAsia="Times New Roman"/>
              </w:rPr>
            </w:pPr>
            <w:r>
              <w:rPr>
                <w:rFonts w:ascii="Arial" w:eastAsia="Times New Roman" w:hAnsi="Arial" w:cs="Arial"/>
                <w:color w:val="000000"/>
                <w:sz w:val="20"/>
                <w:szCs w:val="20"/>
              </w:rPr>
              <w:t>Computer equipment and software</w:t>
            </w:r>
          </w:p>
        </w:tc>
        <w:tc>
          <w:tcPr>
            <w:tcW w:w="0" w:type="auto"/>
            <w:gridSpan w:val="2"/>
            <w:shd w:val="clear" w:color="auto" w:fill="FFFFFF"/>
            <w:tcMar>
              <w:top w:w="30" w:type="dxa"/>
              <w:left w:w="20" w:type="dxa"/>
              <w:bottom w:w="30" w:type="dxa"/>
              <w:right w:w="0" w:type="dxa"/>
            </w:tcMar>
            <w:vAlign w:val="bottom"/>
            <w:hideMark/>
          </w:tcPr>
          <w:p w14:paraId="104B57E9" w14:textId="77777777" w:rsidR="00000000" w:rsidRDefault="001D0688">
            <w:pPr>
              <w:jc w:val="right"/>
              <w:rPr>
                <w:rFonts w:eastAsia="Times New Roman"/>
              </w:rPr>
            </w:pPr>
            <w:r>
              <w:rPr>
                <w:rFonts w:ascii="Arial" w:eastAsia="Times New Roman" w:hAnsi="Arial" w:cs="Arial"/>
                <w:color w:val="000000"/>
                <w:sz w:val="20"/>
                <w:szCs w:val="20"/>
              </w:rPr>
              <w:t>101.2 </w:t>
            </w:r>
          </w:p>
        </w:tc>
        <w:tc>
          <w:tcPr>
            <w:tcW w:w="0" w:type="auto"/>
            <w:shd w:val="clear" w:color="auto" w:fill="FFFFFF"/>
            <w:tcMar>
              <w:top w:w="30" w:type="dxa"/>
              <w:left w:w="0" w:type="dxa"/>
              <w:bottom w:w="30" w:type="dxa"/>
              <w:right w:w="20" w:type="dxa"/>
            </w:tcMar>
            <w:vAlign w:val="bottom"/>
            <w:hideMark/>
          </w:tcPr>
          <w:p w14:paraId="3578306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6C66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78A02" w14:textId="77777777" w:rsidR="00000000" w:rsidRDefault="001D0688">
            <w:pPr>
              <w:jc w:val="right"/>
              <w:rPr>
                <w:rFonts w:eastAsia="Times New Roman"/>
              </w:rPr>
            </w:pPr>
            <w:r>
              <w:rPr>
                <w:rFonts w:ascii="Arial" w:eastAsia="Times New Roman" w:hAnsi="Arial" w:cs="Arial"/>
                <w:color w:val="000000"/>
                <w:sz w:val="20"/>
                <w:szCs w:val="20"/>
              </w:rPr>
              <w:t>91.7 </w:t>
            </w:r>
          </w:p>
        </w:tc>
        <w:tc>
          <w:tcPr>
            <w:tcW w:w="0" w:type="auto"/>
            <w:shd w:val="clear" w:color="auto" w:fill="FFFFFF"/>
            <w:tcMar>
              <w:top w:w="30" w:type="dxa"/>
              <w:left w:w="0" w:type="dxa"/>
              <w:bottom w:w="30" w:type="dxa"/>
              <w:right w:w="20" w:type="dxa"/>
            </w:tcMar>
            <w:vAlign w:val="bottom"/>
            <w:hideMark/>
          </w:tcPr>
          <w:p w14:paraId="775647F7" w14:textId="77777777" w:rsidR="00000000" w:rsidRDefault="001D0688">
            <w:pPr>
              <w:jc w:val="right"/>
              <w:rPr>
                <w:rFonts w:eastAsia="Times New Roman"/>
              </w:rPr>
            </w:pPr>
          </w:p>
        </w:tc>
      </w:tr>
      <w:tr w:rsidR="00000000" w14:paraId="4534118B" w14:textId="77777777">
        <w:trPr>
          <w:divId w:val="1479422263"/>
        </w:trPr>
        <w:tc>
          <w:tcPr>
            <w:tcW w:w="0" w:type="auto"/>
            <w:gridSpan w:val="3"/>
            <w:shd w:val="clear" w:color="auto" w:fill="DCE2EF"/>
            <w:tcMar>
              <w:top w:w="30" w:type="dxa"/>
              <w:left w:w="20" w:type="dxa"/>
              <w:bottom w:w="30" w:type="dxa"/>
              <w:right w:w="20" w:type="dxa"/>
            </w:tcMar>
            <w:hideMark/>
          </w:tcPr>
          <w:p w14:paraId="432244BF" w14:textId="77777777" w:rsidR="00000000" w:rsidRDefault="001D0688">
            <w:pPr>
              <w:rPr>
                <w:rFonts w:eastAsia="Times New Roman"/>
              </w:rPr>
            </w:pPr>
            <w:r>
              <w:rPr>
                <w:rFonts w:ascii="Arial" w:eastAsia="Times New Roman" w:hAnsi="Arial" w:cs="Arial"/>
                <w:color w:val="000000"/>
                <w:sz w:val="20"/>
                <w:szCs w:val="20"/>
              </w:rPr>
              <w:t>Transportation equipment</w:t>
            </w:r>
          </w:p>
        </w:tc>
        <w:tc>
          <w:tcPr>
            <w:tcW w:w="0" w:type="auto"/>
            <w:gridSpan w:val="2"/>
            <w:shd w:val="clear" w:color="auto" w:fill="DCE2EF"/>
            <w:tcMar>
              <w:top w:w="30" w:type="dxa"/>
              <w:left w:w="20" w:type="dxa"/>
              <w:bottom w:w="30" w:type="dxa"/>
              <w:right w:w="0" w:type="dxa"/>
            </w:tcMar>
            <w:vAlign w:val="bottom"/>
            <w:hideMark/>
          </w:tcPr>
          <w:p w14:paraId="14B42C8E" w14:textId="77777777" w:rsidR="00000000" w:rsidRDefault="001D0688">
            <w:pPr>
              <w:jc w:val="right"/>
              <w:rPr>
                <w:rFonts w:eastAsia="Times New Roman"/>
              </w:rPr>
            </w:pPr>
            <w:r>
              <w:rPr>
                <w:rFonts w:ascii="Arial" w:eastAsia="Times New Roman" w:hAnsi="Arial" w:cs="Arial"/>
                <w:color w:val="000000"/>
                <w:sz w:val="20"/>
                <w:szCs w:val="20"/>
              </w:rPr>
              <w:t>57.7 </w:t>
            </w:r>
          </w:p>
        </w:tc>
        <w:tc>
          <w:tcPr>
            <w:tcW w:w="0" w:type="auto"/>
            <w:shd w:val="clear" w:color="auto" w:fill="DCE2EF"/>
            <w:tcMar>
              <w:top w:w="30" w:type="dxa"/>
              <w:left w:w="0" w:type="dxa"/>
              <w:bottom w:w="30" w:type="dxa"/>
              <w:right w:w="20" w:type="dxa"/>
            </w:tcMar>
            <w:vAlign w:val="bottom"/>
            <w:hideMark/>
          </w:tcPr>
          <w:p w14:paraId="5F1DFCE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7C286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269BE8" w14:textId="77777777" w:rsidR="00000000" w:rsidRDefault="001D0688">
            <w:pPr>
              <w:jc w:val="right"/>
              <w:rPr>
                <w:rFonts w:eastAsia="Times New Roman"/>
              </w:rPr>
            </w:pPr>
            <w:r>
              <w:rPr>
                <w:rFonts w:ascii="Arial" w:eastAsia="Times New Roman" w:hAnsi="Arial" w:cs="Arial"/>
                <w:color w:val="000000"/>
                <w:sz w:val="20"/>
                <w:szCs w:val="20"/>
              </w:rPr>
              <w:t>57.4 </w:t>
            </w:r>
          </w:p>
        </w:tc>
        <w:tc>
          <w:tcPr>
            <w:tcW w:w="0" w:type="auto"/>
            <w:shd w:val="clear" w:color="auto" w:fill="DCE2EF"/>
            <w:tcMar>
              <w:top w:w="30" w:type="dxa"/>
              <w:left w:w="0" w:type="dxa"/>
              <w:bottom w:w="30" w:type="dxa"/>
              <w:right w:w="20" w:type="dxa"/>
            </w:tcMar>
            <w:vAlign w:val="bottom"/>
            <w:hideMark/>
          </w:tcPr>
          <w:p w14:paraId="7E37FEBA" w14:textId="77777777" w:rsidR="00000000" w:rsidRDefault="001D0688">
            <w:pPr>
              <w:jc w:val="right"/>
              <w:rPr>
                <w:rFonts w:eastAsia="Times New Roman"/>
              </w:rPr>
            </w:pPr>
          </w:p>
        </w:tc>
      </w:tr>
      <w:tr w:rsidR="00000000" w14:paraId="086BBF91" w14:textId="77777777">
        <w:trPr>
          <w:divId w:val="1479422263"/>
        </w:trPr>
        <w:tc>
          <w:tcPr>
            <w:tcW w:w="0" w:type="auto"/>
            <w:gridSpan w:val="3"/>
            <w:shd w:val="clear" w:color="auto" w:fill="FFFFFF"/>
            <w:tcMar>
              <w:top w:w="30" w:type="dxa"/>
              <w:left w:w="20" w:type="dxa"/>
              <w:bottom w:w="30" w:type="dxa"/>
              <w:right w:w="20" w:type="dxa"/>
            </w:tcMar>
            <w:hideMark/>
          </w:tcPr>
          <w:p w14:paraId="7991D197" w14:textId="77777777" w:rsidR="00000000" w:rsidRDefault="001D0688">
            <w:pPr>
              <w:rPr>
                <w:rFonts w:eastAsia="Times New Roman"/>
              </w:rPr>
            </w:pPr>
            <w:r>
              <w:rPr>
                <w:rFonts w:ascii="Arial" w:eastAsia="Times New Roman" w:hAnsi="Arial" w:cs="Arial"/>
                <w:color w:val="000000"/>
                <w:sz w:val="20"/>
                <w:szCs w:val="20"/>
              </w:rPr>
              <w:t>Leasehold improvements</w:t>
            </w:r>
          </w:p>
        </w:tc>
        <w:tc>
          <w:tcPr>
            <w:tcW w:w="0" w:type="auto"/>
            <w:gridSpan w:val="2"/>
            <w:shd w:val="clear" w:color="auto" w:fill="FFFFFF"/>
            <w:tcMar>
              <w:top w:w="30" w:type="dxa"/>
              <w:left w:w="20" w:type="dxa"/>
              <w:bottom w:w="30" w:type="dxa"/>
              <w:right w:w="0" w:type="dxa"/>
            </w:tcMar>
            <w:vAlign w:val="bottom"/>
            <w:hideMark/>
          </w:tcPr>
          <w:p w14:paraId="6A2294B9" w14:textId="77777777" w:rsidR="00000000" w:rsidRDefault="001D0688">
            <w:pPr>
              <w:jc w:val="right"/>
              <w:rPr>
                <w:rFonts w:eastAsia="Times New Roman"/>
              </w:rPr>
            </w:pPr>
            <w:r>
              <w:rPr>
                <w:rFonts w:ascii="Arial" w:eastAsia="Times New Roman" w:hAnsi="Arial" w:cs="Arial"/>
                <w:color w:val="000000"/>
                <w:sz w:val="20"/>
                <w:szCs w:val="20"/>
              </w:rPr>
              <w:t>57.1 </w:t>
            </w:r>
          </w:p>
        </w:tc>
        <w:tc>
          <w:tcPr>
            <w:tcW w:w="0" w:type="auto"/>
            <w:shd w:val="clear" w:color="auto" w:fill="FFFFFF"/>
            <w:tcMar>
              <w:top w:w="30" w:type="dxa"/>
              <w:left w:w="0" w:type="dxa"/>
              <w:bottom w:w="30" w:type="dxa"/>
              <w:right w:w="20" w:type="dxa"/>
            </w:tcMar>
            <w:vAlign w:val="bottom"/>
            <w:hideMark/>
          </w:tcPr>
          <w:p w14:paraId="4BB07B9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2F9E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A9BF0" w14:textId="77777777" w:rsidR="00000000" w:rsidRDefault="001D0688">
            <w:pPr>
              <w:jc w:val="right"/>
              <w:rPr>
                <w:rFonts w:eastAsia="Times New Roman"/>
              </w:rPr>
            </w:pPr>
            <w:r>
              <w:rPr>
                <w:rFonts w:ascii="Arial" w:eastAsia="Times New Roman" w:hAnsi="Arial" w:cs="Arial"/>
                <w:color w:val="000000"/>
                <w:sz w:val="20"/>
                <w:szCs w:val="20"/>
              </w:rPr>
              <w:t>59.5 </w:t>
            </w:r>
          </w:p>
        </w:tc>
        <w:tc>
          <w:tcPr>
            <w:tcW w:w="0" w:type="auto"/>
            <w:shd w:val="clear" w:color="auto" w:fill="FFFFFF"/>
            <w:tcMar>
              <w:top w:w="30" w:type="dxa"/>
              <w:left w:w="0" w:type="dxa"/>
              <w:bottom w:w="30" w:type="dxa"/>
              <w:right w:w="20" w:type="dxa"/>
            </w:tcMar>
            <w:vAlign w:val="bottom"/>
            <w:hideMark/>
          </w:tcPr>
          <w:p w14:paraId="2CFD31C9" w14:textId="77777777" w:rsidR="00000000" w:rsidRDefault="001D0688">
            <w:pPr>
              <w:jc w:val="right"/>
              <w:rPr>
                <w:rFonts w:eastAsia="Times New Roman"/>
              </w:rPr>
            </w:pPr>
          </w:p>
        </w:tc>
      </w:tr>
      <w:tr w:rsidR="00000000" w14:paraId="5926E714" w14:textId="77777777">
        <w:trPr>
          <w:divId w:val="1479422263"/>
        </w:trPr>
        <w:tc>
          <w:tcPr>
            <w:tcW w:w="0" w:type="auto"/>
            <w:gridSpan w:val="3"/>
            <w:shd w:val="clear" w:color="auto" w:fill="DCE2EF"/>
            <w:tcMar>
              <w:top w:w="30" w:type="dxa"/>
              <w:left w:w="20" w:type="dxa"/>
              <w:bottom w:w="30" w:type="dxa"/>
              <w:right w:w="20" w:type="dxa"/>
            </w:tcMar>
            <w:hideMark/>
          </w:tcPr>
          <w:p w14:paraId="28A0E575" w14:textId="77777777" w:rsidR="00000000" w:rsidRDefault="001D0688">
            <w:pPr>
              <w:rPr>
                <w:rFonts w:eastAsia="Times New Roman"/>
              </w:rPr>
            </w:pPr>
            <w:r>
              <w:rPr>
                <w:rFonts w:ascii="Arial" w:eastAsia="Times New Roman" w:hAnsi="Arial" w:cs="Arial"/>
                <w:color w:val="000000"/>
                <w:sz w:val="20"/>
                <w:szCs w:val="20"/>
              </w:rPr>
              <w:t>Furniture and fixtures</w:t>
            </w:r>
          </w:p>
        </w:tc>
        <w:tc>
          <w:tcPr>
            <w:tcW w:w="0" w:type="auto"/>
            <w:gridSpan w:val="2"/>
            <w:shd w:val="clear" w:color="auto" w:fill="DCE2EF"/>
            <w:tcMar>
              <w:top w:w="30" w:type="dxa"/>
              <w:left w:w="20" w:type="dxa"/>
              <w:bottom w:w="30" w:type="dxa"/>
              <w:right w:w="0" w:type="dxa"/>
            </w:tcMar>
            <w:vAlign w:val="bottom"/>
            <w:hideMark/>
          </w:tcPr>
          <w:p w14:paraId="3F8F93CB" w14:textId="77777777" w:rsidR="00000000" w:rsidRDefault="001D0688">
            <w:pPr>
              <w:jc w:val="right"/>
              <w:rPr>
                <w:rFonts w:eastAsia="Times New Roman"/>
              </w:rPr>
            </w:pPr>
            <w:r>
              <w:rPr>
                <w:rFonts w:ascii="Arial" w:eastAsia="Times New Roman" w:hAnsi="Arial" w:cs="Arial"/>
                <w:color w:val="000000"/>
                <w:sz w:val="20"/>
                <w:szCs w:val="20"/>
              </w:rPr>
              <w:t>13.7 </w:t>
            </w:r>
          </w:p>
        </w:tc>
        <w:tc>
          <w:tcPr>
            <w:tcW w:w="0" w:type="auto"/>
            <w:shd w:val="clear" w:color="auto" w:fill="DCE2EF"/>
            <w:tcMar>
              <w:top w:w="30" w:type="dxa"/>
              <w:left w:w="0" w:type="dxa"/>
              <w:bottom w:w="30" w:type="dxa"/>
              <w:right w:w="20" w:type="dxa"/>
            </w:tcMar>
            <w:vAlign w:val="bottom"/>
            <w:hideMark/>
          </w:tcPr>
          <w:p w14:paraId="0225A7D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A5B04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69BD89" w14:textId="77777777" w:rsidR="00000000" w:rsidRDefault="001D0688">
            <w:pPr>
              <w:jc w:val="right"/>
              <w:rPr>
                <w:rFonts w:eastAsia="Times New Roman"/>
              </w:rPr>
            </w:pPr>
            <w:r>
              <w:rPr>
                <w:rFonts w:ascii="Arial" w:eastAsia="Times New Roman" w:hAnsi="Arial" w:cs="Arial"/>
                <w:color w:val="000000"/>
                <w:sz w:val="20"/>
                <w:szCs w:val="20"/>
              </w:rPr>
              <w:t>13.1 </w:t>
            </w:r>
          </w:p>
        </w:tc>
        <w:tc>
          <w:tcPr>
            <w:tcW w:w="0" w:type="auto"/>
            <w:shd w:val="clear" w:color="auto" w:fill="DCE2EF"/>
            <w:tcMar>
              <w:top w:w="30" w:type="dxa"/>
              <w:left w:w="0" w:type="dxa"/>
              <w:bottom w:w="30" w:type="dxa"/>
              <w:right w:w="20" w:type="dxa"/>
            </w:tcMar>
            <w:vAlign w:val="bottom"/>
            <w:hideMark/>
          </w:tcPr>
          <w:p w14:paraId="479924D5" w14:textId="77777777" w:rsidR="00000000" w:rsidRDefault="001D0688">
            <w:pPr>
              <w:jc w:val="right"/>
              <w:rPr>
                <w:rFonts w:eastAsia="Times New Roman"/>
              </w:rPr>
            </w:pPr>
          </w:p>
        </w:tc>
      </w:tr>
      <w:tr w:rsidR="00000000" w14:paraId="797C3DC5" w14:textId="77777777">
        <w:trPr>
          <w:divId w:val="1479422263"/>
        </w:trPr>
        <w:tc>
          <w:tcPr>
            <w:tcW w:w="0" w:type="auto"/>
            <w:gridSpan w:val="3"/>
            <w:shd w:val="clear" w:color="auto" w:fill="FFFFFF"/>
            <w:tcMar>
              <w:top w:w="30" w:type="dxa"/>
              <w:left w:w="20" w:type="dxa"/>
              <w:bottom w:w="30" w:type="dxa"/>
              <w:right w:w="20" w:type="dxa"/>
            </w:tcMar>
            <w:hideMark/>
          </w:tcPr>
          <w:p w14:paraId="447BD317" w14:textId="77777777" w:rsidR="00000000" w:rsidRDefault="001D0688">
            <w:pPr>
              <w:rPr>
                <w:rFonts w:eastAsia="Times New Roman"/>
              </w:rPr>
            </w:pPr>
            <w:r>
              <w:rPr>
                <w:rFonts w:ascii="Arial" w:eastAsia="Times New Roman" w:hAnsi="Arial" w:cs="Arial"/>
                <w:color w:val="000000"/>
                <w:sz w:val="20"/>
                <w:szCs w:val="20"/>
              </w:rPr>
              <w:t>Buildings</w:t>
            </w:r>
          </w:p>
        </w:tc>
        <w:tc>
          <w:tcPr>
            <w:tcW w:w="0" w:type="auto"/>
            <w:gridSpan w:val="2"/>
            <w:shd w:val="clear" w:color="auto" w:fill="FFFFFF"/>
            <w:tcMar>
              <w:top w:w="30" w:type="dxa"/>
              <w:left w:w="20" w:type="dxa"/>
              <w:bottom w:w="30" w:type="dxa"/>
              <w:right w:w="0" w:type="dxa"/>
            </w:tcMar>
            <w:vAlign w:val="bottom"/>
            <w:hideMark/>
          </w:tcPr>
          <w:p w14:paraId="5D5DF79D" w14:textId="77777777" w:rsidR="00000000" w:rsidRDefault="001D0688">
            <w:pPr>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14:paraId="78F12F3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CD0A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E878B" w14:textId="77777777" w:rsidR="00000000" w:rsidRDefault="001D0688">
            <w:pPr>
              <w:jc w:val="right"/>
              <w:rPr>
                <w:rFonts w:eastAsia="Times New Roman"/>
              </w:rPr>
            </w:pPr>
            <w:r>
              <w:rPr>
                <w:rFonts w:ascii="Arial" w:eastAsia="Times New Roman" w:hAnsi="Arial" w:cs="Arial"/>
                <w:color w:val="000000"/>
                <w:sz w:val="20"/>
                <w:szCs w:val="20"/>
              </w:rPr>
              <w:t>8.2 </w:t>
            </w:r>
          </w:p>
        </w:tc>
        <w:tc>
          <w:tcPr>
            <w:tcW w:w="0" w:type="auto"/>
            <w:shd w:val="clear" w:color="auto" w:fill="FFFFFF"/>
            <w:tcMar>
              <w:top w:w="30" w:type="dxa"/>
              <w:left w:w="0" w:type="dxa"/>
              <w:bottom w:w="30" w:type="dxa"/>
              <w:right w:w="20" w:type="dxa"/>
            </w:tcMar>
            <w:vAlign w:val="bottom"/>
            <w:hideMark/>
          </w:tcPr>
          <w:p w14:paraId="5D329B4A" w14:textId="77777777" w:rsidR="00000000" w:rsidRDefault="001D0688">
            <w:pPr>
              <w:jc w:val="right"/>
              <w:rPr>
                <w:rFonts w:eastAsia="Times New Roman"/>
              </w:rPr>
            </w:pPr>
          </w:p>
        </w:tc>
      </w:tr>
      <w:tr w:rsidR="00000000" w14:paraId="06B3EE96" w14:textId="77777777">
        <w:trPr>
          <w:divId w:val="1479422263"/>
        </w:trPr>
        <w:tc>
          <w:tcPr>
            <w:tcW w:w="0" w:type="auto"/>
            <w:gridSpan w:val="3"/>
            <w:shd w:val="clear" w:color="auto" w:fill="DCE2EF"/>
            <w:tcMar>
              <w:top w:w="30" w:type="dxa"/>
              <w:left w:w="20" w:type="dxa"/>
              <w:bottom w:w="30" w:type="dxa"/>
              <w:right w:w="20" w:type="dxa"/>
            </w:tcMar>
            <w:hideMark/>
          </w:tcPr>
          <w:p w14:paraId="2E5AB13E" w14:textId="77777777" w:rsidR="00000000" w:rsidRDefault="001D0688">
            <w:pPr>
              <w:rPr>
                <w:rFonts w:eastAsia="Times New Roman"/>
              </w:rPr>
            </w:pPr>
            <w:r>
              <w:rPr>
                <w:rFonts w:ascii="Arial" w:eastAsia="Times New Roman" w:hAnsi="Arial" w:cs="Arial"/>
                <w:color w:val="000000"/>
                <w:sz w:val="20"/>
                <w:szCs w:val="20"/>
              </w:rPr>
              <w:t>Land</w:t>
            </w:r>
          </w:p>
        </w:tc>
        <w:tc>
          <w:tcPr>
            <w:tcW w:w="0" w:type="auto"/>
            <w:gridSpan w:val="2"/>
            <w:shd w:val="clear" w:color="auto" w:fill="DCE2EF"/>
            <w:tcMar>
              <w:top w:w="30" w:type="dxa"/>
              <w:left w:w="20" w:type="dxa"/>
              <w:bottom w:w="30" w:type="dxa"/>
              <w:right w:w="0" w:type="dxa"/>
            </w:tcMar>
            <w:vAlign w:val="bottom"/>
            <w:hideMark/>
          </w:tcPr>
          <w:p w14:paraId="684E68F8"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14:paraId="231DDCF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B1E42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8A03B6" w14:textId="77777777" w:rsidR="00000000" w:rsidRDefault="001D0688">
            <w:pPr>
              <w:jc w:val="right"/>
              <w:rPr>
                <w:rFonts w:eastAsia="Times New Roman"/>
              </w:rPr>
            </w:pPr>
            <w:r>
              <w:rPr>
                <w:rFonts w:ascii="Arial" w:eastAsia="Times New Roman" w:hAnsi="Arial" w:cs="Arial"/>
                <w:color w:val="000000"/>
                <w:sz w:val="20"/>
                <w:szCs w:val="20"/>
              </w:rPr>
              <w:t>1.0 </w:t>
            </w:r>
          </w:p>
        </w:tc>
        <w:tc>
          <w:tcPr>
            <w:tcW w:w="0" w:type="auto"/>
            <w:shd w:val="clear" w:color="auto" w:fill="DCE2EF"/>
            <w:tcMar>
              <w:top w:w="30" w:type="dxa"/>
              <w:left w:w="0" w:type="dxa"/>
              <w:bottom w:w="30" w:type="dxa"/>
              <w:right w:w="20" w:type="dxa"/>
            </w:tcMar>
            <w:vAlign w:val="bottom"/>
            <w:hideMark/>
          </w:tcPr>
          <w:p w14:paraId="03BD0D4D" w14:textId="77777777" w:rsidR="00000000" w:rsidRDefault="001D0688">
            <w:pPr>
              <w:jc w:val="right"/>
              <w:rPr>
                <w:rFonts w:eastAsia="Times New Roman"/>
              </w:rPr>
            </w:pPr>
          </w:p>
        </w:tc>
      </w:tr>
      <w:tr w:rsidR="00000000" w14:paraId="7626E73B" w14:textId="77777777">
        <w:trPr>
          <w:divId w:val="1479422263"/>
        </w:trPr>
        <w:tc>
          <w:tcPr>
            <w:tcW w:w="0" w:type="auto"/>
            <w:gridSpan w:val="3"/>
            <w:shd w:val="clear" w:color="auto" w:fill="FFFFFF"/>
            <w:tcMar>
              <w:top w:w="0" w:type="dxa"/>
              <w:left w:w="20" w:type="dxa"/>
              <w:bottom w:w="0" w:type="dxa"/>
              <w:right w:w="20" w:type="dxa"/>
            </w:tcMar>
            <w:vAlign w:val="center"/>
            <w:hideMark/>
          </w:tcPr>
          <w:p w14:paraId="3FD4B00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71A1F5" w14:textId="77777777" w:rsidR="00000000" w:rsidRDefault="001D0688">
            <w:pPr>
              <w:jc w:val="right"/>
              <w:rPr>
                <w:rFonts w:eastAsia="Times New Roman"/>
              </w:rPr>
            </w:pPr>
            <w:r>
              <w:rPr>
                <w:rFonts w:ascii="Arial" w:eastAsia="Times New Roman" w:hAnsi="Arial" w:cs="Arial"/>
                <w:color w:val="000000"/>
                <w:sz w:val="20"/>
                <w:szCs w:val="20"/>
              </w:rPr>
              <w:t>375.0 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5F2D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B720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0318E3" w14:textId="77777777" w:rsidR="00000000" w:rsidRDefault="001D0688">
            <w:pPr>
              <w:jc w:val="right"/>
              <w:rPr>
                <w:rFonts w:eastAsia="Times New Roman"/>
              </w:rPr>
            </w:pPr>
            <w:r>
              <w:rPr>
                <w:rFonts w:ascii="Arial" w:eastAsia="Times New Roman" w:hAnsi="Arial" w:cs="Arial"/>
                <w:color w:val="000000"/>
                <w:sz w:val="20"/>
                <w:szCs w:val="20"/>
              </w:rPr>
              <w:t>349.8 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DEB733" w14:textId="77777777" w:rsidR="00000000" w:rsidRDefault="001D0688">
            <w:pPr>
              <w:jc w:val="right"/>
              <w:rPr>
                <w:rFonts w:eastAsia="Times New Roman"/>
              </w:rPr>
            </w:pPr>
          </w:p>
        </w:tc>
      </w:tr>
      <w:tr w:rsidR="00000000" w14:paraId="5A452CB9" w14:textId="77777777">
        <w:trPr>
          <w:divId w:val="1479422263"/>
        </w:trPr>
        <w:tc>
          <w:tcPr>
            <w:tcW w:w="0" w:type="auto"/>
            <w:gridSpan w:val="3"/>
            <w:shd w:val="clear" w:color="auto" w:fill="DCE2EF"/>
            <w:tcMar>
              <w:top w:w="30" w:type="dxa"/>
              <w:left w:w="20" w:type="dxa"/>
              <w:bottom w:w="30" w:type="dxa"/>
              <w:right w:w="20" w:type="dxa"/>
            </w:tcMar>
            <w:hideMark/>
          </w:tcPr>
          <w:p w14:paraId="4D81BC1E" w14:textId="77777777" w:rsidR="00000000" w:rsidRDefault="001D0688">
            <w:pPr>
              <w:divId w:val="1426413749"/>
              <w:rPr>
                <w:rFonts w:eastAsia="Times New Roman"/>
              </w:rPr>
            </w:pPr>
            <w:r>
              <w:rPr>
                <w:rFonts w:ascii="Arial" w:eastAsia="Times New Roman" w:hAnsi="Arial" w:cs="Arial"/>
                <w:color w:val="000000"/>
                <w:sz w:val="20"/>
                <w:szCs w:val="20"/>
              </w:rPr>
              <w:t>Less: Accumulated depreciatio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051AA424" w14:textId="77777777" w:rsidR="00000000" w:rsidRDefault="001D0688">
            <w:pPr>
              <w:jc w:val="right"/>
              <w:rPr>
                <w:rFonts w:eastAsia="Times New Roman"/>
              </w:rPr>
            </w:pPr>
            <w:r>
              <w:rPr>
                <w:rFonts w:ascii="Arial" w:eastAsia="Times New Roman" w:hAnsi="Arial" w:cs="Arial"/>
                <w:color w:val="000000"/>
                <w:sz w:val="20"/>
                <w:szCs w:val="20"/>
              </w:rPr>
              <w:t>241.3 </w:t>
            </w:r>
          </w:p>
        </w:tc>
        <w:tc>
          <w:tcPr>
            <w:tcW w:w="0" w:type="auto"/>
            <w:shd w:val="clear" w:color="auto" w:fill="DCE2EF"/>
            <w:tcMar>
              <w:top w:w="30" w:type="dxa"/>
              <w:left w:w="0" w:type="dxa"/>
              <w:bottom w:w="30" w:type="dxa"/>
              <w:right w:w="20" w:type="dxa"/>
            </w:tcMar>
            <w:vAlign w:val="bottom"/>
            <w:hideMark/>
          </w:tcPr>
          <w:p w14:paraId="6A17B95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2F1F2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9CA99AB" w14:textId="77777777" w:rsidR="00000000" w:rsidRDefault="001D0688">
            <w:pPr>
              <w:jc w:val="right"/>
              <w:rPr>
                <w:rFonts w:eastAsia="Times New Roman"/>
              </w:rPr>
            </w:pPr>
            <w:r>
              <w:rPr>
                <w:rFonts w:ascii="Arial" w:eastAsia="Times New Roman" w:hAnsi="Arial" w:cs="Arial"/>
                <w:color w:val="000000"/>
                <w:sz w:val="20"/>
                <w:szCs w:val="20"/>
              </w:rPr>
              <w:t>199.5 </w:t>
            </w:r>
          </w:p>
        </w:tc>
        <w:tc>
          <w:tcPr>
            <w:tcW w:w="0" w:type="auto"/>
            <w:shd w:val="clear" w:color="auto" w:fill="DCE2EF"/>
            <w:tcMar>
              <w:top w:w="30" w:type="dxa"/>
              <w:left w:w="0" w:type="dxa"/>
              <w:bottom w:w="30" w:type="dxa"/>
              <w:right w:w="20" w:type="dxa"/>
            </w:tcMar>
            <w:vAlign w:val="bottom"/>
            <w:hideMark/>
          </w:tcPr>
          <w:p w14:paraId="7C761D0B" w14:textId="77777777" w:rsidR="00000000" w:rsidRDefault="001D0688">
            <w:pPr>
              <w:jc w:val="right"/>
              <w:rPr>
                <w:rFonts w:eastAsia="Times New Roman"/>
              </w:rPr>
            </w:pPr>
          </w:p>
        </w:tc>
      </w:tr>
      <w:tr w:rsidR="00000000" w14:paraId="0C4EEC45" w14:textId="77777777">
        <w:trPr>
          <w:divId w:val="1479422263"/>
        </w:trPr>
        <w:tc>
          <w:tcPr>
            <w:tcW w:w="0" w:type="auto"/>
            <w:gridSpan w:val="3"/>
            <w:shd w:val="clear" w:color="auto" w:fill="FFFFFF"/>
            <w:tcMar>
              <w:top w:w="30" w:type="dxa"/>
              <w:left w:w="20" w:type="dxa"/>
              <w:bottom w:w="30" w:type="dxa"/>
              <w:right w:w="20" w:type="dxa"/>
            </w:tcMar>
            <w:hideMark/>
          </w:tcPr>
          <w:p w14:paraId="2AD1AD9E" w14:textId="77777777" w:rsidR="00000000" w:rsidRDefault="001D0688">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FE5C4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267CAF" w14:textId="77777777" w:rsidR="00000000" w:rsidRDefault="001D0688">
            <w:pPr>
              <w:jc w:val="right"/>
              <w:rPr>
                <w:rFonts w:eastAsia="Times New Roman"/>
              </w:rPr>
            </w:pPr>
            <w:r>
              <w:rPr>
                <w:rFonts w:ascii="Arial" w:eastAsia="Times New Roman" w:hAnsi="Arial" w:cs="Arial"/>
                <w:color w:val="000000"/>
                <w:sz w:val="20"/>
                <w:szCs w:val="20"/>
              </w:rPr>
              <w:t>133.7 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8A399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F2A0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8CD4F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D1FF96" w14:textId="77777777" w:rsidR="00000000" w:rsidRDefault="001D0688">
            <w:pPr>
              <w:jc w:val="right"/>
              <w:rPr>
                <w:rFonts w:eastAsia="Times New Roman"/>
              </w:rPr>
            </w:pPr>
            <w:r>
              <w:rPr>
                <w:rFonts w:ascii="Arial" w:eastAsia="Times New Roman" w:hAnsi="Arial" w:cs="Arial"/>
                <w:color w:val="000000"/>
                <w:sz w:val="20"/>
                <w:szCs w:val="20"/>
              </w:rPr>
              <w:t>150.3 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46F5C3" w14:textId="77777777" w:rsidR="00000000" w:rsidRDefault="001D0688">
            <w:pPr>
              <w:jc w:val="right"/>
              <w:rPr>
                <w:rFonts w:eastAsia="Times New Roman"/>
              </w:rPr>
            </w:pPr>
          </w:p>
        </w:tc>
      </w:tr>
    </w:tbl>
    <w:p w14:paraId="4ACACFE8" w14:textId="77777777" w:rsidR="00000000" w:rsidRDefault="001D0688">
      <w:pPr>
        <w:ind w:hanging="180"/>
        <w:jc w:val="both"/>
        <w:divId w:val="49893224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For 2020, 2019, and 2018, depreciation expense was $48.0 million, $48.9 million, and $46.5 million, respectively.</w:t>
      </w:r>
    </w:p>
    <w:p w14:paraId="6196E400" w14:textId="77777777" w:rsidR="00000000" w:rsidRDefault="001D0688">
      <w:pPr>
        <w:divId w:val="1266380501"/>
        <w:rPr>
          <w:rFonts w:eastAsia="Times New Roman"/>
        </w:rPr>
      </w:pPr>
      <w:r>
        <w:rPr>
          <w:rFonts w:ascii="Arial" w:eastAsia="Times New Roman" w:hAnsi="Arial" w:cs="Arial"/>
          <w:b/>
          <w:bCs/>
          <w:color w:val="0046AD"/>
          <w:sz w:val="20"/>
          <w:szCs w:val="20"/>
        </w:rPr>
        <w:t>Finance Leases Included in 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8"/>
        <w:gridCol w:w="5105"/>
        <w:gridCol w:w="36"/>
        <w:gridCol w:w="132"/>
        <w:gridCol w:w="1355"/>
        <w:gridCol w:w="36"/>
        <w:gridCol w:w="36"/>
        <w:gridCol w:w="36"/>
        <w:gridCol w:w="36"/>
        <w:gridCol w:w="132"/>
        <w:gridCol w:w="1315"/>
        <w:gridCol w:w="36"/>
      </w:tblGrid>
      <w:tr w:rsidR="00000000" w14:paraId="02A00C81" w14:textId="77777777">
        <w:trPr>
          <w:divId w:val="1507476566"/>
        </w:trPr>
        <w:tc>
          <w:tcPr>
            <w:tcW w:w="50" w:type="pct"/>
            <w:vAlign w:val="center"/>
            <w:hideMark/>
          </w:tcPr>
          <w:p w14:paraId="74B5C357" w14:textId="77777777" w:rsidR="00000000" w:rsidRDefault="001D0688">
            <w:pPr>
              <w:rPr>
                <w:rFonts w:eastAsia="Times New Roman"/>
              </w:rPr>
            </w:pPr>
          </w:p>
        </w:tc>
        <w:tc>
          <w:tcPr>
            <w:tcW w:w="3107" w:type="pct"/>
            <w:vAlign w:val="center"/>
            <w:hideMark/>
          </w:tcPr>
          <w:p w14:paraId="7C13DDA8" w14:textId="77777777" w:rsidR="00000000" w:rsidRDefault="001D0688">
            <w:pPr>
              <w:rPr>
                <w:rFonts w:eastAsia="Times New Roman"/>
                <w:sz w:val="20"/>
                <w:szCs w:val="20"/>
              </w:rPr>
            </w:pPr>
          </w:p>
        </w:tc>
        <w:tc>
          <w:tcPr>
            <w:tcW w:w="5" w:type="pct"/>
            <w:vAlign w:val="center"/>
            <w:hideMark/>
          </w:tcPr>
          <w:p w14:paraId="212B7C61" w14:textId="77777777" w:rsidR="00000000" w:rsidRDefault="001D0688">
            <w:pPr>
              <w:rPr>
                <w:rFonts w:eastAsia="Times New Roman"/>
                <w:sz w:val="20"/>
                <w:szCs w:val="20"/>
              </w:rPr>
            </w:pPr>
          </w:p>
        </w:tc>
        <w:tc>
          <w:tcPr>
            <w:tcW w:w="50" w:type="pct"/>
            <w:vAlign w:val="center"/>
            <w:hideMark/>
          </w:tcPr>
          <w:p w14:paraId="1C4F62F1" w14:textId="77777777" w:rsidR="00000000" w:rsidRDefault="001D0688">
            <w:pPr>
              <w:rPr>
                <w:rFonts w:eastAsia="Times New Roman"/>
                <w:sz w:val="20"/>
                <w:szCs w:val="20"/>
              </w:rPr>
            </w:pPr>
          </w:p>
        </w:tc>
        <w:tc>
          <w:tcPr>
            <w:tcW w:w="845" w:type="pct"/>
            <w:vAlign w:val="center"/>
            <w:hideMark/>
          </w:tcPr>
          <w:p w14:paraId="2C9378E4" w14:textId="77777777" w:rsidR="00000000" w:rsidRDefault="001D0688">
            <w:pPr>
              <w:rPr>
                <w:rFonts w:eastAsia="Times New Roman"/>
                <w:sz w:val="20"/>
                <w:szCs w:val="20"/>
              </w:rPr>
            </w:pPr>
          </w:p>
        </w:tc>
        <w:tc>
          <w:tcPr>
            <w:tcW w:w="5" w:type="pct"/>
            <w:vAlign w:val="center"/>
            <w:hideMark/>
          </w:tcPr>
          <w:p w14:paraId="3091854A" w14:textId="77777777" w:rsidR="00000000" w:rsidRDefault="001D0688">
            <w:pPr>
              <w:rPr>
                <w:rFonts w:eastAsia="Times New Roman"/>
                <w:sz w:val="20"/>
                <w:szCs w:val="20"/>
              </w:rPr>
            </w:pPr>
          </w:p>
        </w:tc>
        <w:tc>
          <w:tcPr>
            <w:tcW w:w="5" w:type="pct"/>
            <w:vAlign w:val="center"/>
            <w:hideMark/>
          </w:tcPr>
          <w:p w14:paraId="59B34624" w14:textId="77777777" w:rsidR="00000000" w:rsidRDefault="001D0688">
            <w:pPr>
              <w:rPr>
                <w:rFonts w:eastAsia="Times New Roman"/>
                <w:sz w:val="20"/>
                <w:szCs w:val="20"/>
              </w:rPr>
            </w:pPr>
          </w:p>
        </w:tc>
        <w:tc>
          <w:tcPr>
            <w:tcW w:w="26" w:type="pct"/>
            <w:vAlign w:val="center"/>
            <w:hideMark/>
          </w:tcPr>
          <w:p w14:paraId="4D96C040" w14:textId="77777777" w:rsidR="00000000" w:rsidRDefault="001D0688">
            <w:pPr>
              <w:rPr>
                <w:rFonts w:eastAsia="Times New Roman"/>
                <w:sz w:val="20"/>
                <w:szCs w:val="20"/>
              </w:rPr>
            </w:pPr>
          </w:p>
        </w:tc>
        <w:tc>
          <w:tcPr>
            <w:tcW w:w="5" w:type="pct"/>
            <w:vAlign w:val="center"/>
            <w:hideMark/>
          </w:tcPr>
          <w:p w14:paraId="2B5A23AE" w14:textId="77777777" w:rsidR="00000000" w:rsidRDefault="001D0688">
            <w:pPr>
              <w:rPr>
                <w:rFonts w:eastAsia="Times New Roman"/>
                <w:sz w:val="20"/>
                <w:szCs w:val="20"/>
              </w:rPr>
            </w:pPr>
          </w:p>
        </w:tc>
        <w:tc>
          <w:tcPr>
            <w:tcW w:w="50" w:type="pct"/>
            <w:vAlign w:val="center"/>
            <w:hideMark/>
          </w:tcPr>
          <w:p w14:paraId="3C17882D" w14:textId="77777777" w:rsidR="00000000" w:rsidRDefault="001D0688">
            <w:pPr>
              <w:rPr>
                <w:rFonts w:eastAsia="Times New Roman"/>
                <w:sz w:val="20"/>
                <w:szCs w:val="20"/>
              </w:rPr>
            </w:pPr>
          </w:p>
        </w:tc>
        <w:tc>
          <w:tcPr>
            <w:tcW w:w="845" w:type="pct"/>
            <w:vAlign w:val="center"/>
            <w:hideMark/>
          </w:tcPr>
          <w:p w14:paraId="6DD00880" w14:textId="77777777" w:rsidR="00000000" w:rsidRDefault="001D0688">
            <w:pPr>
              <w:rPr>
                <w:rFonts w:eastAsia="Times New Roman"/>
                <w:sz w:val="20"/>
                <w:szCs w:val="20"/>
              </w:rPr>
            </w:pPr>
          </w:p>
        </w:tc>
        <w:tc>
          <w:tcPr>
            <w:tcW w:w="5" w:type="pct"/>
            <w:vAlign w:val="center"/>
            <w:hideMark/>
          </w:tcPr>
          <w:p w14:paraId="60E314C1" w14:textId="77777777" w:rsidR="00000000" w:rsidRDefault="001D0688">
            <w:pPr>
              <w:rPr>
                <w:rFonts w:eastAsia="Times New Roman"/>
                <w:sz w:val="20"/>
                <w:szCs w:val="20"/>
              </w:rPr>
            </w:pPr>
          </w:p>
        </w:tc>
      </w:tr>
      <w:tr w:rsidR="00000000" w14:paraId="7F52CB42" w14:textId="77777777">
        <w:trPr>
          <w:divId w:val="1507476566"/>
        </w:trPr>
        <w:tc>
          <w:tcPr>
            <w:tcW w:w="0" w:type="auto"/>
            <w:gridSpan w:val="3"/>
            <w:tcMar>
              <w:top w:w="0" w:type="dxa"/>
              <w:left w:w="20" w:type="dxa"/>
              <w:bottom w:w="0" w:type="dxa"/>
              <w:right w:w="20" w:type="dxa"/>
            </w:tcMar>
            <w:vAlign w:val="center"/>
            <w:hideMark/>
          </w:tcPr>
          <w:p w14:paraId="510C62EA"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633B91BC" w14:textId="77777777" w:rsidR="00000000" w:rsidRDefault="001D0688">
            <w:pPr>
              <w:jc w:val="center"/>
              <w:rPr>
                <w:rFonts w:eastAsia="Times New Roman"/>
              </w:rPr>
            </w:pPr>
            <w:r>
              <w:rPr>
                <w:rFonts w:ascii="Arial" w:eastAsia="Times New Roman" w:hAnsi="Arial" w:cs="Arial"/>
                <w:b/>
                <w:bCs/>
                <w:color w:val="000000"/>
                <w:sz w:val="20"/>
                <w:szCs w:val="20"/>
              </w:rPr>
              <w:t>As of October 31,</w:t>
            </w:r>
          </w:p>
        </w:tc>
      </w:tr>
      <w:tr w:rsidR="00000000" w14:paraId="2DE3A848" w14:textId="77777777">
        <w:trPr>
          <w:divId w:val="1507476566"/>
        </w:trPr>
        <w:tc>
          <w:tcPr>
            <w:tcW w:w="0" w:type="auto"/>
            <w:gridSpan w:val="3"/>
            <w:tcMar>
              <w:top w:w="30" w:type="dxa"/>
              <w:left w:w="20" w:type="dxa"/>
              <w:bottom w:w="30" w:type="dxa"/>
              <w:right w:w="20" w:type="dxa"/>
            </w:tcMar>
            <w:vAlign w:val="bottom"/>
            <w:hideMark/>
          </w:tcPr>
          <w:p w14:paraId="264CADBF"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6B23B25"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E93F49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1A8816"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096D0181" w14:textId="77777777">
        <w:trPr>
          <w:divId w:val="1507476566"/>
        </w:trPr>
        <w:tc>
          <w:tcPr>
            <w:tcW w:w="0" w:type="auto"/>
            <w:gridSpan w:val="3"/>
            <w:shd w:val="clear" w:color="auto" w:fill="DCE2EF"/>
            <w:tcMar>
              <w:top w:w="30" w:type="dxa"/>
              <w:left w:w="20" w:type="dxa"/>
              <w:bottom w:w="30" w:type="dxa"/>
              <w:right w:w="20" w:type="dxa"/>
            </w:tcMar>
            <w:hideMark/>
          </w:tcPr>
          <w:p w14:paraId="11BBA867" w14:textId="77777777" w:rsidR="00000000" w:rsidRDefault="001D0688">
            <w:pPr>
              <w:rPr>
                <w:rFonts w:eastAsia="Times New Roman"/>
              </w:rPr>
            </w:pPr>
            <w:r>
              <w:rPr>
                <w:rFonts w:ascii="Arial" w:eastAsia="Times New Roman" w:hAnsi="Arial" w:cs="Arial"/>
                <w:color w:val="000000"/>
                <w:sz w:val="20"/>
                <w:szCs w:val="20"/>
              </w:rPr>
              <w:t>Transportation equipment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7382D8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1370056" w14:textId="77777777" w:rsidR="00000000" w:rsidRDefault="001D0688">
            <w:pPr>
              <w:jc w:val="right"/>
              <w:rPr>
                <w:rFonts w:eastAsia="Times New Roman"/>
              </w:rPr>
            </w:pPr>
            <w:r>
              <w:rPr>
                <w:rFonts w:ascii="Arial" w:eastAsia="Times New Roman" w:hAnsi="Arial" w:cs="Arial"/>
                <w:color w:val="000000"/>
                <w:sz w:val="20"/>
                <w:szCs w:val="20"/>
              </w:rPr>
              <w:t>19.4 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614C5D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F6F12B"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D8EE89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E7CFCBC" w14:textId="77777777" w:rsidR="00000000" w:rsidRDefault="001D0688">
            <w:pPr>
              <w:jc w:val="right"/>
              <w:rPr>
                <w:rFonts w:eastAsia="Times New Roman"/>
              </w:rPr>
            </w:pPr>
            <w:r>
              <w:rPr>
                <w:rFonts w:ascii="Arial" w:eastAsia="Times New Roman" w:hAnsi="Arial" w:cs="Arial"/>
                <w:color w:val="000000"/>
                <w:sz w:val="20"/>
                <w:szCs w:val="20"/>
              </w:rPr>
              <w:t>20.0 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BF88E03" w14:textId="77777777" w:rsidR="00000000" w:rsidRDefault="001D0688">
            <w:pPr>
              <w:jc w:val="right"/>
              <w:rPr>
                <w:rFonts w:eastAsia="Times New Roman"/>
              </w:rPr>
            </w:pPr>
          </w:p>
        </w:tc>
      </w:tr>
      <w:tr w:rsidR="00000000" w14:paraId="6AF695B5" w14:textId="77777777">
        <w:trPr>
          <w:divId w:val="1507476566"/>
        </w:trPr>
        <w:tc>
          <w:tcPr>
            <w:tcW w:w="0" w:type="auto"/>
            <w:gridSpan w:val="3"/>
            <w:shd w:val="clear" w:color="auto" w:fill="FFFFFF"/>
            <w:tcMar>
              <w:top w:w="30" w:type="dxa"/>
              <w:left w:w="20" w:type="dxa"/>
              <w:bottom w:w="30" w:type="dxa"/>
              <w:right w:w="20" w:type="dxa"/>
            </w:tcMar>
            <w:hideMark/>
          </w:tcPr>
          <w:p w14:paraId="35DF6172" w14:textId="77777777" w:rsidR="00000000" w:rsidRDefault="001D0688">
            <w:pPr>
              <w:rPr>
                <w:rFonts w:eastAsia="Times New Roman"/>
              </w:rPr>
            </w:pPr>
            <w:r>
              <w:rPr>
                <w:rFonts w:ascii="Arial" w:eastAsia="Times New Roman" w:hAnsi="Arial" w:cs="Arial"/>
                <w:color w:val="000000"/>
                <w:sz w:val="20"/>
                <w:szCs w:val="20"/>
              </w:rPr>
              <w:t>Furniture and fixtures</w:t>
            </w:r>
          </w:p>
        </w:tc>
        <w:tc>
          <w:tcPr>
            <w:tcW w:w="0" w:type="auto"/>
            <w:gridSpan w:val="2"/>
            <w:shd w:val="clear" w:color="auto" w:fill="FFFFFF"/>
            <w:tcMar>
              <w:top w:w="30" w:type="dxa"/>
              <w:left w:w="20" w:type="dxa"/>
              <w:bottom w:w="30" w:type="dxa"/>
              <w:right w:w="0" w:type="dxa"/>
            </w:tcMar>
            <w:vAlign w:val="bottom"/>
            <w:hideMark/>
          </w:tcPr>
          <w:p w14:paraId="55AA1300"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78A7D6D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AE3C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04C8A"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0EF5136A" w14:textId="77777777" w:rsidR="00000000" w:rsidRDefault="001D0688">
            <w:pPr>
              <w:jc w:val="right"/>
              <w:rPr>
                <w:rFonts w:eastAsia="Times New Roman"/>
              </w:rPr>
            </w:pPr>
          </w:p>
        </w:tc>
      </w:tr>
      <w:tr w:rsidR="00000000" w14:paraId="4CEF1AB4" w14:textId="77777777">
        <w:trPr>
          <w:divId w:val="1507476566"/>
        </w:trPr>
        <w:tc>
          <w:tcPr>
            <w:tcW w:w="0" w:type="auto"/>
            <w:gridSpan w:val="3"/>
            <w:shd w:val="clear" w:color="auto" w:fill="DCE2EF"/>
            <w:tcMar>
              <w:top w:w="30" w:type="dxa"/>
              <w:left w:w="20" w:type="dxa"/>
              <w:bottom w:w="30" w:type="dxa"/>
              <w:right w:w="20" w:type="dxa"/>
            </w:tcMar>
            <w:hideMark/>
          </w:tcPr>
          <w:p w14:paraId="10DA368B" w14:textId="77777777" w:rsidR="00000000" w:rsidRDefault="001D0688">
            <w:pPr>
              <w:rPr>
                <w:rFonts w:eastAsia="Times New Roman"/>
              </w:rPr>
            </w:pPr>
            <w:r>
              <w:rPr>
                <w:rFonts w:ascii="Arial" w:eastAsia="Times New Roman" w:hAnsi="Arial" w:cs="Arial"/>
                <w:color w:val="000000"/>
                <w:sz w:val="20"/>
                <w:szCs w:val="20"/>
              </w:rPr>
              <w:t>Machinery and other equipment</w:t>
            </w:r>
          </w:p>
        </w:tc>
        <w:tc>
          <w:tcPr>
            <w:tcW w:w="0" w:type="auto"/>
            <w:gridSpan w:val="2"/>
            <w:shd w:val="clear" w:color="auto" w:fill="DCE2EF"/>
            <w:tcMar>
              <w:top w:w="30" w:type="dxa"/>
              <w:left w:w="20" w:type="dxa"/>
              <w:bottom w:w="30" w:type="dxa"/>
              <w:right w:w="0" w:type="dxa"/>
            </w:tcMar>
            <w:vAlign w:val="bottom"/>
            <w:hideMark/>
          </w:tcPr>
          <w:p w14:paraId="1E6B3AA8"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12B5EF7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AF5C3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70F96E" w14:textId="77777777" w:rsidR="00000000" w:rsidRDefault="001D0688">
            <w:pPr>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14:paraId="4B1DAFD3" w14:textId="77777777" w:rsidR="00000000" w:rsidRDefault="001D0688">
            <w:pPr>
              <w:jc w:val="right"/>
              <w:rPr>
                <w:rFonts w:eastAsia="Times New Roman"/>
              </w:rPr>
            </w:pPr>
          </w:p>
        </w:tc>
      </w:tr>
      <w:tr w:rsidR="00000000" w14:paraId="60862021" w14:textId="77777777">
        <w:trPr>
          <w:divId w:val="1507476566"/>
        </w:trPr>
        <w:tc>
          <w:tcPr>
            <w:tcW w:w="0" w:type="auto"/>
            <w:gridSpan w:val="3"/>
            <w:shd w:val="clear" w:color="auto" w:fill="FFFFFF"/>
            <w:tcMar>
              <w:top w:w="30" w:type="dxa"/>
              <w:left w:w="20" w:type="dxa"/>
              <w:bottom w:w="30" w:type="dxa"/>
              <w:right w:w="20" w:type="dxa"/>
            </w:tcMar>
            <w:hideMark/>
          </w:tcPr>
          <w:p w14:paraId="0BE03832" w14:textId="77777777" w:rsidR="00000000" w:rsidRDefault="001D0688">
            <w:pPr>
              <w:rPr>
                <w:rFonts w:eastAsia="Times New Roman"/>
              </w:rPr>
            </w:pPr>
            <w:r>
              <w:rPr>
                <w:rFonts w:ascii="Arial" w:eastAsia="Times New Roman" w:hAnsi="Arial" w:cs="Arial"/>
                <w:color w:val="000000"/>
                <w:sz w:val="20"/>
                <w:szCs w:val="20"/>
              </w:rPr>
              <w:t>Computer equipment and software</w:t>
            </w:r>
          </w:p>
        </w:tc>
        <w:tc>
          <w:tcPr>
            <w:tcW w:w="0" w:type="auto"/>
            <w:gridSpan w:val="2"/>
            <w:shd w:val="clear" w:color="auto" w:fill="FFFFFF"/>
            <w:tcMar>
              <w:top w:w="30" w:type="dxa"/>
              <w:left w:w="20" w:type="dxa"/>
              <w:bottom w:w="30" w:type="dxa"/>
              <w:right w:w="0" w:type="dxa"/>
            </w:tcMar>
            <w:vAlign w:val="bottom"/>
            <w:hideMark/>
          </w:tcPr>
          <w:p w14:paraId="33D8909C"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6307E3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72A7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D52EA9"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626BE6E7" w14:textId="77777777" w:rsidR="00000000" w:rsidRDefault="001D0688">
            <w:pPr>
              <w:jc w:val="right"/>
              <w:rPr>
                <w:rFonts w:eastAsia="Times New Roman"/>
              </w:rPr>
            </w:pPr>
          </w:p>
        </w:tc>
      </w:tr>
      <w:tr w:rsidR="00000000" w14:paraId="49434941" w14:textId="77777777">
        <w:trPr>
          <w:divId w:val="1507476566"/>
        </w:trPr>
        <w:tc>
          <w:tcPr>
            <w:tcW w:w="0" w:type="auto"/>
            <w:gridSpan w:val="3"/>
            <w:shd w:val="clear" w:color="auto" w:fill="DCE2EF"/>
            <w:tcMar>
              <w:top w:w="0" w:type="dxa"/>
              <w:left w:w="20" w:type="dxa"/>
              <w:bottom w:w="0" w:type="dxa"/>
              <w:right w:w="20" w:type="dxa"/>
            </w:tcMar>
            <w:vAlign w:val="center"/>
            <w:hideMark/>
          </w:tcPr>
          <w:p w14:paraId="148B87A1"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7DEE5B5" w14:textId="77777777" w:rsidR="00000000" w:rsidRDefault="001D0688">
            <w:pPr>
              <w:jc w:val="right"/>
              <w:rPr>
                <w:rFonts w:eastAsia="Times New Roman"/>
              </w:rPr>
            </w:pPr>
            <w:r>
              <w:rPr>
                <w:rFonts w:ascii="Arial" w:eastAsia="Times New Roman" w:hAnsi="Arial" w:cs="Arial"/>
                <w:color w:val="000000"/>
                <w:sz w:val="20"/>
                <w:szCs w:val="20"/>
              </w:rPr>
              <w:t>19.7 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D1F2FC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7831F8"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E21C0AC" w14:textId="77777777" w:rsidR="00000000" w:rsidRDefault="001D0688">
            <w:pPr>
              <w:jc w:val="right"/>
              <w:rPr>
                <w:rFonts w:eastAsia="Times New Roman"/>
              </w:rPr>
            </w:pPr>
            <w:r>
              <w:rPr>
                <w:rFonts w:ascii="Arial" w:eastAsia="Times New Roman" w:hAnsi="Arial" w:cs="Arial"/>
                <w:color w:val="000000"/>
                <w:sz w:val="20"/>
                <w:szCs w:val="20"/>
              </w:rPr>
              <w:t>20.6 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E96E8F" w14:textId="77777777" w:rsidR="00000000" w:rsidRDefault="001D0688">
            <w:pPr>
              <w:jc w:val="right"/>
              <w:rPr>
                <w:rFonts w:eastAsia="Times New Roman"/>
              </w:rPr>
            </w:pPr>
          </w:p>
        </w:tc>
      </w:tr>
      <w:tr w:rsidR="00000000" w14:paraId="3B30556B" w14:textId="77777777">
        <w:trPr>
          <w:divId w:val="1507476566"/>
        </w:trPr>
        <w:tc>
          <w:tcPr>
            <w:tcW w:w="0" w:type="auto"/>
            <w:gridSpan w:val="3"/>
            <w:shd w:val="clear" w:color="auto" w:fill="FFFFFF"/>
            <w:tcMar>
              <w:top w:w="30" w:type="dxa"/>
              <w:left w:w="20" w:type="dxa"/>
              <w:bottom w:w="30" w:type="dxa"/>
              <w:right w:w="20" w:type="dxa"/>
            </w:tcMar>
            <w:hideMark/>
          </w:tcPr>
          <w:p w14:paraId="355E0C45" w14:textId="77777777" w:rsidR="00000000" w:rsidRDefault="001D0688">
            <w:pPr>
              <w:rPr>
                <w:rFonts w:eastAsia="Times New Roman"/>
              </w:rPr>
            </w:pPr>
            <w:r>
              <w:rPr>
                <w:rFonts w:ascii="Arial" w:eastAsia="Times New Roman" w:hAnsi="Arial" w:cs="Arial"/>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14:paraId="74097BBE" w14:textId="77777777" w:rsidR="00000000" w:rsidRDefault="001D0688">
            <w:pPr>
              <w:jc w:val="right"/>
              <w:rPr>
                <w:rFonts w:eastAsia="Times New Roman"/>
              </w:rPr>
            </w:pPr>
            <w:r>
              <w:rPr>
                <w:rFonts w:ascii="Arial" w:eastAsia="Times New Roman" w:hAnsi="Arial" w:cs="Arial"/>
                <w:color w:val="000000"/>
                <w:sz w:val="20"/>
                <w:szCs w:val="20"/>
              </w:rPr>
              <w:t>13.6 </w:t>
            </w:r>
          </w:p>
        </w:tc>
        <w:tc>
          <w:tcPr>
            <w:tcW w:w="0" w:type="auto"/>
            <w:shd w:val="clear" w:color="auto" w:fill="FFFFFF"/>
            <w:tcMar>
              <w:top w:w="30" w:type="dxa"/>
              <w:left w:w="0" w:type="dxa"/>
              <w:bottom w:w="30" w:type="dxa"/>
              <w:right w:w="20" w:type="dxa"/>
            </w:tcMar>
            <w:vAlign w:val="bottom"/>
            <w:hideMark/>
          </w:tcPr>
          <w:p w14:paraId="2ADD2F9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6BE2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695D92" w14:textId="77777777" w:rsidR="00000000" w:rsidRDefault="001D0688">
            <w:pPr>
              <w:jc w:val="right"/>
              <w:rPr>
                <w:rFonts w:eastAsia="Times New Roman"/>
              </w:rPr>
            </w:pPr>
            <w:r>
              <w:rPr>
                <w:rFonts w:ascii="Arial" w:eastAsia="Times New Roman" w:hAnsi="Arial" w:cs="Arial"/>
                <w:color w:val="000000"/>
                <w:sz w:val="20"/>
                <w:szCs w:val="20"/>
              </w:rPr>
              <w:t>10.7 </w:t>
            </w:r>
          </w:p>
        </w:tc>
        <w:tc>
          <w:tcPr>
            <w:tcW w:w="0" w:type="auto"/>
            <w:shd w:val="clear" w:color="auto" w:fill="FFFFFF"/>
            <w:tcMar>
              <w:top w:w="30" w:type="dxa"/>
              <w:left w:w="0" w:type="dxa"/>
              <w:bottom w:w="30" w:type="dxa"/>
              <w:right w:w="20" w:type="dxa"/>
            </w:tcMar>
            <w:vAlign w:val="bottom"/>
            <w:hideMark/>
          </w:tcPr>
          <w:p w14:paraId="05377280" w14:textId="77777777" w:rsidR="00000000" w:rsidRDefault="001D0688">
            <w:pPr>
              <w:jc w:val="right"/>
              <w:rPr>
                <w:rFonts w:eastAsia="Times New Roman"/>
              </w:rPr>
            </w:pPr>
          </w:p>
        </w:tc>
      </w:tr>
      <w:tr w:rsidR="00000000" w14:paraId="51424163" w14:textId="77777777">
        <w:trPr>
          <w:divId w:val="1507476566"/>
        </w:trPr>
        <w:tc>
          <w:tcPr>
            <w:tcW w:w="0" w:type="auto"/>
            <w:gridSpan w:val="3"/>
            <w:shd w:val="clear" w:color="auto" w:fill="DCE2EF"/>
            <w:tcMar>
              <w:top w:w="30" w:type="dxa"/>
              <w:left w:w="20" w:type="dxa"/>
              <w:bottom w:w="30" w:type="dxa"/>
              <w:right w:w="20" w:type="dxa"/>
            </w:tcMar>
            <w:hideMark/>
          </w:tcPr>
          <w:p w14:paraId="4849B732" w14:textId="77777777" w:rsidR="00000000" w:rsidRDefault="001D0688">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F05E46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0178108" w14:textId="77777777" w:rsidR="00000000" w:rsidRDefault="001D0688">
            <w:pPr>
              <w:jc w:val="right"/>
              <w:rPr>
                <w:rFonts w:eastAsia="Times New Roman"/>
              </w:rPr>
            </w:pPr>
            <w:r>
              <w:rPr>
                <w:rFonts w:ascii="Arial" w:eastAsia="Times New Roman" w:hAnsi="Arial" w:cs="Arial"/>
                <w:color w:val="000000"/>
                <w:sz w:val="20"/>
                <w:szCs w:val="20"/>
              </w:rPr>
              <w:t>6.1 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0BDEC4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1ED1A9"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65E271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50FAB3A" w14:textId="77777777" w:rsidR="00000000" w:rsidRDefault="001D0688">
            <w:pPr>
              <w:jc w:val="right"/>
              <w:rPr>
                <w:rFonts w:eastAsia="Times New Roman"/>
              </w:rPr>
            </w:pPr>
            <w:r>
              <w:rPr>
                <w:rFonts w:ascii="Arial" w:eastAsia="Times New Roman" w:hAnsi="Arial" w:cs="Arial"/>
                <w:color w:val="000000"/>
                <w:sz w:val="20"/>
                <w:szCs w:val="20"/>
              </w:rPr>
              <w:t>9.9 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5289754" w14:textId="77777777" w:rsidR="00000000" w:rsidRDefault="001D0688">
            <w:pPr>
              <w:jc w:val="right"/>
              <w:rPr>
                <w:rFonts w:eastAsia="Times New Roman"/>
              </w:rPr>
            </w:pPr>
          </w:p>
        </w:tc>
      </w:tr>
    </w:tbl>
    <w:p w14:paraId="75D364EE" w14:textId="77777777" w:rsidR="00000000" w:rsidRDefault="001D0688">
      <w:pPr>
        <w:divId w:val="1113787728"/>
        <w:rPr>
          <w:rFonts w:eastAsia="Times New Roman"/>
        </w:rPr>
      </w:pPr>
    </w:p>
    <w:p w14:paraId="49D3E2DD" w14:textId="77777777" w:rsidR="00000000" w:rsidRDefault="001D0688">
      <w:pPr>
        <w:jc w:val="center"/>
        <w:divId w:val="938757447"/>
        <w:rPr>
          <w:rFonts w:eastAsia="Times New Roman"/>
        </w:rPr>
      </w:pPr>
      <w:r>
        <w:rPr>
          <w:rFonts w:ascii="Arial" w:eastAsia="Times New Roman" w:hAnsi="Arial" w:cs="Arial"/>
          <w:color w:val="000000"/>
          <w:sz w:val="20"/>
          <w:szCs w:val="20"/>
        </w:rPr>
        <w:t>76</w:t>
      </w:r>
    </w:p>
    <w:p w14:paraId="60B32168" w14:textId="77777777" w:rsidR="00000000" w:rsidRDefault="001D0688">
      <w:pPr>
        <w:rPr>
          <w:rFonts w:eastAsia="Times New Roman"/>
        </w:rPr>
      </w:pPr>
      <w:r>
        <w:rPr>
          <w:rFonts w:eastAsia="Times New Roman"/>
        </w:rPr>
        <w:pict w14:anchorId="7E21F5C0">
          <v:rect id="_x0000_i1113" style="width:0;height:1.5pt" o:hralign="center" o:hrstd="t" o:hr="t" fillcolor="#a0a0a0" stroked="f"/>
        </w:pict>
      </w:r>
    </w:p>
    <w:p w14:paraId="53158CEA" w14:textId="77777777" w:rsidR="00000000" w:rsidRDefault="001D0688">
      <w:pPr>
        <w:divId w:val="1588537048"/>
        <w:rPr>
          <w:rFonts w:eastAsia="Times New Roman"/>
        </w:rPr>
      </w:pPr>
    </w:p>
    <w:p w14:paraId="7CCBC9B1" w14:textId="77777777" w:rsidR="00000000" w:rsidRDefault="001D0688">
      <w:pPr>
        <w:divId w:val="2111578589"/>
        <w:rPr>
          <w:rFonts w:eastAsia="Times New Roman"/>
        </w:rPr>
      </w:pPr>
      <w:r>
        <w:rPr>
          <w:rFonts w:ascii="Arial" w:eastAsia="Times New Roman" w:hAnsi="Arial" w:cs="Arial"/>
          <w:b/>
          <w:bCs/>
          <w:color w:val="0046AD"/>
          <w:sz w:val="20"/>
          <w:szCs w:val="20"/>
        </w:rPr>
        <w:t>9. GOODWILL AND OTHER INTANGIBLE ASSETS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4AD81F49" w14:textId="77777777">
        <w:trPr>
          <w:divId w:val="1567454158"/>
        </w:trPr>
        <w:tc>
          <w:tcPr>
            <w:tcW w:w="5" w:type="pct"/>
            <w:vAlign w:val="center"/>
            <w:hideMark/>
          </w:tcPr>
          <w:p w14:paraId="31057F97" w14:textId="77777777" w:rsidR="00000000" w:rsidRDefault="001D0688">
            <w:pPr>
              <w:rPr>
                <w:rFonts w:eastAsia="Times New Roman"/>
              </w:rPr>
            </w:pPr>
          </w:p>
        </w:tc>
        <w:tc>
          <w:tcPr>
            <w:tcW w:w="129" w:type="pct"/>
            <w:vAlign w:val="center"/>
            <w:hideMark/>
          </w:tcPr>
          <w:p w14:paraId="3AFC9A19" w14:textId="77777777" w:rsidR="00000000" w:rsidRDefault="001D0688">
            <w:pPr>
              <w:rPr>
                <w:rFonts w:eastAsia="Times New Roman"/>
                <w:sz w:val="20"/>
                <w:szCs w:val="20"/>
              </w:rPr>
            </w:pPr>
          </w:p>
        </w:tc>
        <w:tc>
          <w:tcPr>
            <w:tcW w:w="5" w:type="pct"/>
            <w:vAlign w:val="center"/>
            <w:hideMark/>
          </w:tcPr>
          <w:p w14:paraId="07B08D8C" w14:textId="77777777" w:rsidR="00000000" w:rsidRDefault="001D0688">
            <w:pPr>
              <w:rPr>
                <w:rFonts w:eastAsia="Times New Roman"/>
                <w:sz w:val="20"/>
                <w:szCs w:val="20"/>
              </w:rPr>
            </w:pPr>
          </w:p>
        </w:tc>
        <w:tc>
          <w:tcPr>
            <w:tcW w:w="50" w:type="pct"/>
            <w:vAlign w:val="center"/>
            <w:hideMark/>
          </w:tcPr>
          <w:p w14:paraId="1B32ECE2" w14:textId="77777777" w:rsidR="00000000" w:rsidRDefault="001D0688">
            <w:pPr>
              <w:rPr>
                <w:rFonts w:eastAsia="Times New Roman"/>
                <w:sz w:val="20"/>
                <w:szCs w:val="20"/>
              </w:rPr>
            </w:pPr>
          </w:p>
        </w:tc>
        <w:tc>
          <w:tcPr>
            <w:tcW w:w="4805" w:type="pct"/>
            <w:vAlign w:val="center"/>
            <w:hideMark/>
          </w:tcPr>
          <w:p w14:paraId="0BB65659" w14:textId="77777777" w:rsidR="00000000" w:rsidRDefault="001D0688">
            <w:pPr>
              <w:rPr>
                <w:rFonts w:eastAsia="Times New Roman"/>
                <w:sz w:val="20"/>
                <w:szCs w:val="20"/>
              </w:rPr>
            </w:pPr>
          </w:p>
        </w:tc>
        <w:tc>
          <w:tcPr>
            <w:tcW w:w="5" w:type="pct"/>
            <w:vAlign w:val="center"/>
            <w:hideMark/>
          </w:tcPr>
          <w:p w14:paraId="6D1B494E" w14:textId="77777777" w:rsidR="00000000" w:rsidRDefault="001D0688">
            <w:pPr>
              <w:rPr>
                <w:rFonts w:eastAsia="Times New Roman"/>
                <w:sz w:val="20"/>
                <w:szCs w:val="20"/>
              </w:rPr>
            </w:pPr>
          </w:p>
        </w:tc>
      </w:tr>
      <w:tr w:rsidR="00000000" w14:paraId="57FBDEDB" w14:textId="77777777">
        <w:trPr>
          <w:divId w:val="1567454158"/>
          <w:trHeight w:val="60"/>
        </w:trPr>
        <w:tc>
          <w:tcPr>
            <w:tcW w:w="0" w:type="auto"/>
            <w:gridSpan w:val="3"/>
            <w:tcBorders>
              <w:top w:val="single" w:sz="8" w:space="0" w:color="E98300"/>
            </w:tcBorders>
            <w:tcMar>
              <w:top w:w="0" w:type="dxa"/>
              <w:left w:w="20" w:type="dxa"/>
              <w:bottom w:w="0" w:type="dxa"/>
              <w:right w:w="20" w:type="dxa"/>
            </w:tcMar>
            <w:vAlign w:val="center"/>
            <w:hideMark/>
          </w:tcPr>
          <w:p w14:paraId="6035075D"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D685E70" w14:textId="77777777" w:rsidR="00000000" w:rsidRDefault="001D0688">
            <w:pPr>
              <w:rPr>
                <w:rFonts w:eastAsia="Times New Roman"/>
                <w:sz w:val="20"/>
                <w:szCs w:val="20"/>
              </w:rPr>
            </w:pPr>
          </w:p>
        </w:tc>
      </w:tr>
    </w:tbl>
    <w:p w14:paraId="74A14E3F" w14:textId="77777777" w:rsidR="00000000" w:rsidRDefault="001D0688">
      <w:pPr>
        <w:ind w:firstLine="720"/>
        <w:jc w:val="both"/>
        <w:divId w:val="1187598957"/>
        <w:rPr>
          <w:rFonts w:eastAsia="Times New Roman"/>
        </w:rPr>
      </w:pPr>
      <w:r>
        <w:rPr>
          <w:rFonts w:ascii="Arial" w:eastAsia="Times New Roman" w:hAnsi="Arial" w:cs="Arial"/>
          <w:color w:val="000000"/>
          <w:sz w:val="20"/>
          <w:szCs w:val="20"/>
        </w:rPr>
        <w:t xml:space="preserve">During the second quarter of 2020, given the general deterioration in economic and market conditions arising from the Pandemic, we identified a triggering event which resulted in impairment of goodwill and intangible assets. </w:t>
      </w:r>
    </w:p>
    <w:p w14:paraId="6B43CD28" w14:textId="77777777" w:rsidR="00000000" w:rsidRDefault="001D0688">
      <w:pPr>
        <w:divId w:val="954749723"/>
        <w:rPr>
          <w:rFonts w:eastAsia="Times New Roman"/>
        </w:rPr>
      </w:pPr>
      <w:r>
        <w:rPr>
          <w:rFonts w:ascii="Arial" w:eastAsia="Times New Roman" w:hAnsi="Arial" w:cs="Arial"/>
          <w:b/>
          <w:bCs/>
          <w:color w:val="0046AD"/>
          <w:sz w:val="20"/>
          <w:szCs w:val="20"/>
        </w:rPr>
        <w:t>Goodwill</w:t>
      </w:r>
    </w:p>
    <w:tbl>
      <w:tblPr>
        <w:tblW w:w="5000" w:type="pct"/>
        <w:tblCellMar>
          <w:top w:w="15" w:type="dxa"/>
          <w:left w:w="15" w:type="dxa"/>
          <w:bottom w:w="15" w:type="dxa"/>
          <w:right w:w="15" w:type="dxa"/>
        </w:tblCellMar>
        <w:tblLook w:val="04A0" w:firstRow="1" w:lastRow="0" w:firstColumn="1" w:lastColumn="0" w:noHBand="0" w:noVBand="1"/>
      </w:tblPr>
      <w:tblGrid>
        <w:gridCol w:w="40"/>
        <w:gridCol w:w="955"/>
        <w:gridCol w:w="38"/>
        <w:gridCol w:w="122"/>
        <w:gridCol w:w="754"/>
        <w:gridCol w:w="36"/>
        <w:gridCol w:w="36"/>
        <w:gridCol w:w="36"/>
        <w:gridCol w:w="36"/>
        <w:gridCol w:w="122"/>
        <w:gridCol w:w="1172"/>
        <w:gridCol w:w="36"/>
        <w:gridCol w:w="36"/>
        <w:gridCol w:w="36"/>
        <w:gridCol w:w="36"/>
        <w:gridCol w:w="122"/>
        <w:gridCol w:w="806"/>
        <w:gridCol w:w="36"/>
        <w:gridCol w:w="36"/>
        <w:gridCol w:w="36"/>
        <w:gridCol w:w="36"/>
        <w:gridCol w:w="122"/>
        <w:gridCol w:w="658"/>
        <w:gridCol w:w="36"/>
        <w:gridCol w:w="36"/>
        <w:gridCol w:w="36"/>
        <w:gridCol w:w="36"/>
        <w:gridCol w:w="122"/>
        <w:gridCol w:w="770"/>
        <w:gridCol w:w="36"/>
        <w:gridCol w:w="36"/>
        <w:gridCol w:w="36"/>
        <w:gridCol w:w="36"/>
        <w:gridCol w:w="122"/>
        <w:gridCol w:w="855"/>
        <w:gridCol w:w="36"/>
        <w:gridCol w:w="36"/>
        <w:gridCol w:w="36"/>
        <w:gridCol w:w="36"/>
        <w:gridCol w:w="121"/>
        <w:gridCol w:w="651"/>
        <w:gridCol w:w="36"/>
      </w:tblGrid>
      <w:tr w:rsidR="00000000" w14:paraId="19A1BF95" w14:textId="77777777">
        <w:trPr>
          <w:divId w:val="431709636"/>
        </w:trPr>
        <w:tc>
          <w:tcPr>
            <w:tcW w:w="50" w:type="pct"/>
            <w:vAlign w:val="center"/>
            <w:hideMark/>
          </w:tcPr>
          <w:p w14:paraId="2322648E" w14:textId="77777777" w:rsidR="00000000" w:rsidRDefault="001D0688">
            <w:pPr>
              <w:rPr>
                <w:rFonts w:eastAsia="Times New Roman"/>
              </w:rPr>
            </w:pPr>
          </w:p>
        </w:tc>
        <w:tc>
          <w:tcPr>
            <w:tcW w:w="1209" w:type="pct"/>
            <w:vAlign w:val="center"/>
            <w:hideMark/>
          </w:tcPr>
          <w:p w14:paraId="79785A26" w14:textId="77777777" w:rsidR="00000000" w:rsidRDefault="001D0688">
            <w:pPr>
              <w:rPr>
                <w:rFonts w:eastAsia="Times New Roman"/>
                <w:sz w:val="20"/>
                <w:szCs w:val="20"/>
              </w:rPr>
            </w:pPr>
          </w:p>
        </w:tc>
        <w:tc>
          <w:tcPr>
            <w:tcW w:w="5" w:type="pct"/>
            <w:vAlign w:val="center"/>
            <w:hideMark/>
          </w:tcPr>
          <w:p w14:paraId="19275759" w14:textId="77777777" w:rsidR="00000000" w:rsidRDefault="001D0688">
            <w:pPr>
              <w:rPr>
                <w:rFonts w:eastAsia="Times New Roman"/>
                <w:sz w:val="20"/>
                <w:szCs w:val="20"/>
              </w:rPr>
            </w:pPr>
          </w:p>
        </w:tc>
        <w:tc>
          <w:tcPr>
            <w:tcW w:w="50" w:type="pct"/>
            <w:vAlign w:val="center"/>
            <w:hideMark/>
          </w:tcPr>
          <w:p w14:paraId="154EA868" w14:textId="77777777" w:rsidR="00000000" w:rsidRDefault="001D0688">
            <w:pPr>
              <w:rPr>
                <w:rFonts w:eastAsia="Times New Roman"/>
                <w:sz w:val="20"/>
                <w:szCs w:val="20"/>
              </w:rPr>
            </w:pPr>
          </w:p>
        </w:tc>
        <w:tc>
          <w:tcPr>
            <w:tcW w:w="471" w:type="pct"/>
            <w:vAlign w:val="center"/>
            <w:hideMark/>
          </w:tcPr>
          <w:p w14:paraId="059F64AB" w14:textId="77777777" w:rsidR="00000000" w:rsidRDefault="001D0688">
            <w:pPr>
              <w:rPr>
                <w:rFonts w:eastAsia="Times New Roman"/>
                <w:sz w:val="20"/>
                <w:szCs w:val="20"/>
              </w:rPr>
            </w:pPr>
          </w:p>
        </w:tc>
        <w:tc>
          <w:tcPr>
            <w:tcW w:w="5" w:type="pct"/>
            <w:vAlign w:val="center"/>
            <w:hideMark/>
          </w:tcPr>
          <w:p w14:paraId="4EE5A127" w14:textId="77777777" w:rsidR="00000000" w:rsidRDefault="001D0688">
            <w:pPr>
              <w:rPr>
                <w:rFonts w:eastAsia="Times New Roman"/>
                <w:sz w:val="20"/>
                <w:szCs w:val="20"/>
              </w:rPr>
            </w:pPr>
          </w:p>
        </w:tc>
        <w:tc>
          <w:tcPr>
            <w:tcW w:w="5" w:type="pct"/>
            <w:vAlign w:val="center"/>
            <w:hideMark/>
          </w:tcPr>
          <w:p w14:paraId="5A643560" w14:textId="77777777" w:rsidR="00000000" w:rsidRDefault="001D0688">
            <w:pPr>
              <w:rPr>
                <w:rFonts w:eastAsia="Times New Roman"/>
                <w:sz w:val="20"/>
                <w:szCs w:val="20"/>
              </w:rPr>
            </w:pPr>
          </w:p>
        </w:tc>
        <w:tc>
          <w:tcPr>
            <w:tcW w:w="26" w:type="pct"/>
            <w:vAlign w:val="center"/>
            <w:hideMark/>
          </w:tcPr>
          <w:p w14:paraId="51608668" w14:textId="77777777" w:rsidR="00000000" w:rsidRDefault="001D0688">
            <w:pPr>
              <w:rPr>
                <w:rFonts w:eastAsia="Times New Roman"/>
                <w:sz w:val="20"/>
                <w:szCs w:val="20"/>
              </w:rPr>
            </w:pPr>
          </w:p>
        </w:tc>
        <w:tc>
          <w:tcPr>
            <w:tcW w:w="5" w:type="pct"/>
            <w:vAlign w:val="center"/>
            <w:hideMark/>
          </w:tcPr>
          <w:p w14:paraId="7F111826" w14:textId="77777777" w:rsidR="00000000" w:rsidRDefault="001D0688">
            <w:pPr>
              <w:rPr>
                <w:rFonts w:eastAsia="Times New Roman"/>
                <w:sz w:val="20"/>
                <w:szCs w:val="20"/>
              </w:rPr>
            </w:pPr>
          </w:p>
        </w:tc>
        <w:tc>
          <w:tcPr>
            <w:tcW w:w="50" w:type="pct"/>
            <w:vAlign w:val="center"/>
            <w:hideMark/>
          </w:tcPr>
          <w:p w14:paraId="4DD857E0" w14:textId="77777777" w:rsidR="00000000" w:rsidRDefault="001D0688">
            <w:pPr>
              <w:rPr>
                <w:rFonts w:eastAsia="Times New Roman"/>
                <w:sz w:val="20"/>
                <w:szCs w:val="20"/>
              </w:rPr>
            </w:pPr>
          </w:p>
        </w:tc>
        <w:tc>
          <w:tcPr>
            <w:tcW w:w="595" w:type="pct"/>
            <w:vAlign w:val="center"/>
            <w:hideMark/>
          </w:tcPr>
          <w:p w14:paraId="7FAFFFC4" w14:textId="77777777" w:rsidR="00000000" w:rsidRDefault="001D0688">
            <w:pPr>
              <w:rPr>
                <w:rFonts w:eastAsia="Times New Roman"/>
                <w:sz w:val="20"/>
                <w:szCs w:val="20"/>
              </w:rPr>
            </w:pPr>
          </w:p>
        </w:tc>
        <w:tc>
          <w:tcPr>
            <w:tcW w:w="5" w:type="pct"/>
            <w:vAlign w:val="center"/>
            <w:hideMark/>
          </w:tcPr>
          <w:p w14:paraId="1DF408C7" w14:textId="77777777" w:rsidR="00000000" w:rsidRDefault="001D0688">
            <w:pPr>
              <w:rPr>
                <w:rFonts w:eastAsia="Times New Roman"/>
                <w:sz w:val="20"/>
                <w:szCs w:val="20"/>
              </w:rPr>
            </w:pPr>
          </w:p>
        </w:tc>
        <w:tc>
          <w:tcPr>
            <w:tcW w:w="5" w:type="pct"/>
            <w:vAlign w:val="center"/>
            <w:hideMark/>
          </w:tcPr>
          <w:p w14:paraId="36017676" w14:textId="77777777" w:rsidR="00000000" w:rsidRDefault="001D0688">
            <w:pPr>
              <w:rPr>
                <w:rFonts w:eastAsia="Times New Roman"/>
                <w:sz w:val="20"/>
                <w:szCs w:val="20"/>
              </w:rPr>
            </w:pPr>
          </w:p>
        </w:tc>
        <w:tc>
          <w:tcPr>
            <w:tcW w:w="26" w:type="pct"/>
            <w:vAlign w:val="center"/>
            <w:hideMark/>
          </w:tcPr>
          <w:p w14:paraId="712A613C" w14:textId="77777777" w:rsidR="00000000" w:rsidRDefault="001D0688">
            <w:pPr>
              <w:rPr>
                <w:rFonts w:eastAsia="Times New Roman"/>
                <w:sz w:val="20"/>
                <w:szCs w:val="20"/>
              </w:rPr>
            </w:pPr>
          </w:p>
        </w:tc>
        <w:tc>
          <w:tcPr>
            <w:tcW w:w="5" w:type="pct"/>
            <w:vAlign w:val="center"/>
            <w:hideMark/>
          </w:tcPr>
          <w:p w14:paraId="01E128DF" w14:textId="77777777" w:rsidR="00000000" w:rsidRDefault="001D0688">
            <w:pPr>
              <w:rPr>
                <w:rFonts w:eastAsia="Times New Roman"/>
                <w:sz w:val="20"/>
                <w:szCs w:val="20"/>
              </w:rPr>
            </w:pPr>
          </w:p>
        </w:tc>
        <w:tc>
          <w:tcPr>
            <w:tcW w:w="50" w:type="pct"/>
            <w:vAlign w:val="center"/>
            <w:hideMark/>
          </w:tcPr>
          <w:p w14:paraId="35E9A00B" w14:textId="77777777" w:rsidR="00000000" w:rsidRDefault="001D0688">
            <w:pPr>
              <w:rPr>
                <w:rFonts w:eastAsia="Times New Roman"/>
                <w:sz w:val="20"/>
                <w:szCs w:val="20"/>
              </w:rPr>
            </w:pPr>
          </w:p>
        </w:tc>
        <w:tc>
          <w:tcPr>
            <w:tcW w:w="420" w:type="pct"/>
            <w:vAlign w:val="center"/>
            <w:hideMark/>
          </w:tcPr>
          <w:p w14:paraId="5EADA634" w14:textId="77777777" w:rsidR="00000000" w:rsidRDefault="001D0688">
            <w:pPr>
              <w:rPr>
                <w:rFonts w:eastAsia="Times New Roman"/>
                <w:sz w:val="20"/>
                <w:szCs w:val="20"/>
              </w:rPr>
            </w:pPr>
          </w:p>
        </w:tc>
        <w:tc>
          <w:tcPr>
            <w:tcW w:w="5" w:type="pct"/>
            <w:vAlign w:val="center"/>
            <w:hideMark/>
          </w:tcPr>
          <w:p w14:paraId="46CE126D" w14:textId="77777777" w:rsidR="00000000" w:rsidRDefault="001D0688">
            <w:pPr>
              <w:rPr>
                <w:rFonts w:eastAsia="Times New Roman"/>
                <w:sz w:val="20"/>
                <w:szCs w:val="20"/>
              </w:rPr>
            </w:pPr>
          </w:p>
        </w:tc>
        <w:tc>
          <w:tcPr>
            <w:tcW w:w="5" w:type="pct"/>
            <w:vAlign w:val="center"/>
            <w:hideMark/>
          </w:tcPr>
          <w:p w14:paraId="6AA5AAE6" w14:textId="77777777" w:rsidR="00000000" w:rsidRDefault="001D0688">
            <w:pPr>
              <w:rPr>
                <w:rFonts w:eastAsia="Times New Roman"/>
                <w:sz w:val="20"/>
                <w:szCs w:val="20"/>
              </w:rPr>
            </w:pPr>
          </w:p>
        </w:tc>
        <w:tc>
          <w:tcPr>
            <w:tcW w:w="26" w:type="pct"/>
            <w:vAlign w:val="center"/>
            <w:hideMark/>
          </w:tcPr>
          <w:p w14:paraId="709A2872" w14:textId="77777777" w:rsidR="00000000" w:rsidRDefault="001D0688">
            <w:pPr>
              <w:rPr>
                <w:rFonts w:eastAsia="Times New Roman"/>
                <w:sz w:val="20"/>
                <w:szCs w:val="20"/>
              </w:rPr>
            </w:pPr>
          </w:p>
        </w:tc>
        <w:tc>
          <w:tcPr>
            <w:tcW w:w="5" w:type="pct"/>
            <w:vAlign w:val="center"/>
            <w:hideMark/>
          </w:tcPr>
          <w:p w14:paraId="650E9705" w14:textId="77777777" w:rsidR="00000000" w:rsidRDefault="001D0688">
            <w:pPr>
              <w:rPr>
                <w:rFonts w:eastAsia="Times New Roman"/>
                <w:sz w:val="20"/>
                <w:szCs w:val="20"/>
              </w:rPr>
            </w:pPr>
          </w:p>
        </w:tc>
        <w:tc>
          <w:tcPr>
            <w:tcW w:w="50" w:type="pct"/>
            <w:vAlign w:val="center"/>
            <w:hideMark/>
          </w:tcPr>
          <w:p w14:paraId="7BC49386" w14:textId="77777777" w:rsidR="00000000" w:rsidRDefault="001D0688">
            <w:pPr>
              <w:rPr>
                <w:rFonts w:eastAsia="Times New Roman"/>
                <w:sz w:val="20"/>
                <w:szCs w:val="20"/>
              </w:rPr>
            </w:pPr>
          </w:p>
        </w:tc>
        <w:tc>
          <w:tcPr>
            <w:tcW w:w="390" w:type="pct"/>
            <w:vAlign w:val="center"/>
            <w:hideMark/>
          </w:tcPr>
          <w:p w14:paraId="3F5C6D6C" w14:textId="77777777" w:rsidR="00000000" w:rsidRDefault="001D0688">
            <w:pPr>
              <w:rPr>
                <w:rFonts w:eastAsia="Times New Roman"/>
                <w:sz w:val="20"/>
                <w:szCs w:val="20"/>
              </w:rPr>
            </w:pPr>
          </w:p>
        </w:tc>
        <w:tc>
          <w:tcPr>
            <w:tcW w:w="5" w:type="pct"/>
            <w:vAlign w:val="center"/>
            <w:hideMark/>
          </w:tcPr>
          <w:p w14:paraId="57DE97E2" w14:textId="77777777" w:rsidR="00000000" w:rsidRDefault="001D0688">
            <w:pPr>
              <w:rPr>
                <w:rFonts w:eastAsia="Times New Roman"/>
                <w:sz w:val="20"/>
                <w:szCs w:val="20"/>
              </w:rPr>
            </w:pPr>
          </w:p>
        </w:tc>
        <w:tc>
          <w:tcPr>
            <w:tcW w:w="5" w:type="pct"/>
            <w:vAlign w:val="center"/>
            <w:hideMark/>
          </w:tcPr>
          <w:p w14:paraId="1175962A" w14:textId="77777777" w:rsidR="00000000" w:rsidRDefault="001D0688">
            <w:pPr>
              <w:rPr>
                <w:rFonts w:eastAsia="Times New Roman"/>
                <w:sz w:val="20"/>
                <w:szCs w:val="20"/>
              </w:rPr>
            </w:pPr>
          </w:p>
        </w:tc>
        <w:tc>
          <w:tcPr>
            <w:tcW w:w="26" w:type="pct"/>
            <w:vAlign w:val="center"/>
            <w:hideMark/>
          </w:tcPr>
          <w:p w14:paraId="670E93A9" w14:textId="77777777" w:rsidR="00000000" w:rsidRDefault="001D0688">
            <w:pPr>
              <w:rPr>
                <w:rFonts w:eastAsia="Times New Roman"/>
                <w:sz w:val="20"/>
                <w:szCs w:val="20"/>
              </w:rPr>
            </w:pPr>
          </w:p>
        </w:tc>
        <w:tc>
          <w:tcPr>
            <w:tcW w:w="5" w:type="pct"/>
            <w:vAlign w:val="center"/>
            <w:hideMark/>
          </w:tcPr>
          <w:p w14:paraId="3543A265" w14:textId="77777777" w:rsidR="00000000" w:rsidRDefault="001D0688">
            <w:pPr>
              <w:rPr>
                <w:rFonts w:eastAsia="Times New Roman"/>
                <w:sz w:val="20"/>
                <w:szCs w:val="20"/>
              </w:rPr>
            </w:pPr>
          </w:p>
        </w:tc>
        <w:tc>
          <w:tcPr>
            <w:tcW w:w="50" w:type="pct"/>
            <w:vAlign w:val="center"/>
            <w:hideMark/>
          </w:tcPr>
          <w:p w14:paraId="7EB9DB06" w14:textId="77777777" w:rsidR="00000000" w:rsidRDefault="001D0688">
            <w:pPr>
              <w:rPr>
                <w:rFonts w:eastAsia="Times New Roman"/>
                <w:sz w:val="20"/>
                <w:szCs w:val="20"/>
              </w:rPr>
            </w:pPr>
          </w:p>
        </w:tc>
        <w:tc>
          <w:tcPr>
            <w:tcW w:w="420" w:type="pct"/>
            <w:vAlign w:val="center"/>
            <w:hideMark/>
          </w:tcPr>
          <w:p w14:paraId="3B146952" w14:textId="77777777" w:rsidR="00000000" w:rsidRDefault="001D0688">
            <w:pPr>
              <w:rPr>
                <w:rFonts w:eastAsia="Times New Roman"/>
                <w:sz w:val="20"/>
                <w:szCs w:val="20"/>
              </w:rPr>
            </w:pPr>
          </w:p>
        </w:tc>
        <w:tc>
          <w:tcPr>
            <w:tcW w:w="5" w:type="pct"/>
            <w:vAlign w:val="center"/>
            <w:hideMark/>
          </w:tcPr>
          <w:p w14:paraId="1919373F" w14:textId="77777777" w:rsidR="00000000" w:rsidRDefault="001D0688">
            <w:pPr>
              <w:rPr>
                <w:rFonts w:eastAsia="Times New Roman"/>
                <w:sz w:val="20"/>
                <w:szCs w:val="20"/>
              </w:rPr>
            </w:pPr>
          </w:p>
        </w:tc>
        <w:tc>
          <w:tcPr>
            <w:tcW w:w="5" w:type="pct"/>
            <w:vAlign w:val="center"/>
            <w:hideMark/>
          </w:tcPr>
          <w:p w14:paraId="77693829" w14:textId="77777777" w:rsidR="00000000" w:rsidRDefault="001D0688">
            <w:pPr>
              <w:rPr>
                <w:rFonts w:eastAsia="Times New Roman"/>
                <w:sz w:val="20"/>
                <w:szCs w:val="20"/>
              </w:rPr>
            </w:pPr>
          </w:p>
        </w:tc>
        <w:tc>
          <w:tcPr>
            <w:tcW w:w="26" w:type="pct"/>
            <w:vAlign w:val="center"/>
            <w:hideMark/>
          </w:tcPr>
          <w:p w14:paraId="1A9C79A7" w14:textId="77777777" w:rsidR="00000000" w:rsidRDefault="001D0688">
            <w:pPr>
              <w:rPr>
                <w:rFonts w:eastAsia="Times New Roman"/>
                <w:sz w:val="20"/>
                <w:szCs w:val="20"/>
              </w:rPr>
            </w:pPr>
          </w:p>
        </w:tc>
        <w:tc>
          <w:tcPr>
            <w:tcW w:w="5" w:type="pct"/>
            <w:vAlign w:val="center"/>
            <w:hideMark/>
          </w:tcPr>
          <w:p w14:paraId="7FF3BFC6" w14:textId="77777777" w:rsidR="00000000" w:rsidRDefault="001D0688">
            <w:pPr>
              <w:rPr>
                <w:rFonts w:eastAsia="Times New Roman"/>
                <w:sz w:val="20"/>
                <w:szCs w:val="20"/>
              </w:rPr>
            </w:pPr>
          </w:p>
        </w:tc>
        <w:tc>
          <w:tcPr>
            <w:tcW w:w="50" w:type="pct"/>
            <w:vAlign w:val="center"/>
            <w:hideMark/>
          </w:tcPr>
          <w:p w14:paraId="45111367" w14:textId="77777777" w:rsidR="00000000" w:rsidRDefault="001D0688">
            <w:pPr>
              <w:rPr>
                <w:rFonts w:eastAsia="Times New Roman"/>
                <w:sz w:val="20"/>
                <w:szCs w:val="20"/>
              </w:rPr>
            </w:pPr>
          </w:p>
        </w:tc>
        <w:tc>
          <w:tcPr>
            <w:tcW w:w="442" w:type="pct"/>
            <w:vAlign w:val="center"/>
            <w:hideMark/>
          </w:tcPr>
          <w:p w14:paraId="3B2235A7" w14:textId="77777777" w:rsidR="00000000" w:rsidRDefault="001D0688">
            <w:pPr>
              <w:rPr>
                <w:rFonts w:eastAsia="Times New Roman"/>
                <w:sz w:val="20"/>
                <w:szCs w:val="20"/>
              </w:rPr>
            </w:pPr>
          </w:p>
        </w:tc>
        <w:tc>
          <w:tcPr>
            <w:tcW w:w="5" w:type="pct"/>
            <w:vAlign w:val="center"/>
            <w:hideMark/>
          </w:tcPr>
          <w:p w14:paraId="2A711C57" w14:textId="77777777" w:rsidR="00000000" w:rsidRDefault="001D0688">
            <w:pPr>
              <w:rPr>
                <w:rFonts w:eastAsia="Times New Roman"/>
                <w:sz w:val="20"/>
                <w:szCs w:val="20"/>
              </w:rPr>
            </w:pPr>
          </w:p>
        </w:tc>
        <w:tc>
          <w:tcPr>
            <w:tcW w:w="5" w:type="pct"/>
            <w:vAlign w:val="center"/>
            <w:hideMark/>
          </w:tcPr>
          <w:p w14:paraId="5058F2D2" w14:textId="77777777" w:rsidR="00000000" w:rsidRDefault="001D0688">
            <w:pPr>
              <w:rPr>
                <w:rFonts w:eastAsia="Times New Roman"/>
                <w:sz w:val="20"/>
                <w:szCs w:val="20"/>
              </w:rPr>
            </w:pPr>
          </w:p>
        </w:tc>
        <w:tc>
          <w:tcPr>
            <w:tcW w:w="26" w:type="pct"/>
            <w:vAlign w:val="center"/>
            <w:hideMark/>
          </w:tcPr>
          <w:p w14:paraId="7F684B7C" w14:textId="77777777" w:rsidR="00000000" w:rsidRDefault="001D0688">
            <w:pPr>
              <w:rPr>
                <w:rFonts w:eastAsia="Times New Roman"/>
                <w:sz w:val="20"/>
                <w:szCs w:val="20"/>
              </w:rPr>
            </w:pPr>
          </w:p>
        </w:tc>
        <w:tc>
          <w:tcPr>
            <w:tcW w:w="5" w:type="pct"/>
            <w:vAlign w:val="center"/>
            <w:hideMark/>
          </w:tcPr>
          <w:p w14:paraId="5F24D526" w14:textId="77777777" w:rsidR="00000000" w:rsidRDefault="001D0688">
            <w:pPr>
              <w:rPr>
                <w:rFonts w:eastAsia="Times New Roman"/>
                <w:sz w:val="20"/>
                <w:szCs w:val="20"/>
              </w:rPr>
            </w:pPr>
          </w:p>
        </w:tc>
        <w:tc>
          <w:tcPr>
            <w:tcW w:w="50" w:type="pct"/>
            <w:vAlign w:val="center"/>
            <w:hideMark/>
          </w:tcPr>
          <w:p w14:paraId="2311EB72" w14:textId="77777777" w:rsidR="00000000" w:rsidRDefault="001D0688">
            <w:pPr>
              <w:rPr>
                <w:rFonts w:eastAsia="Times New Roman"/>
                <w:sz w:val="20"/>
                <w:szCs w:val="20"/>
              </w:rPr>
            </w:pPr>
          </w:p>
        </w:tc>
        <w:tc>
          <w:tcPr>
            <w:tcW w:w="391" w:type="pct"/>
            <w:vAlign w:val="center"/>
            <w:hideMark/>
          </w:tcPr>
          <w:p w14:paraId="018249B0" w14:textId="77777777" w:rsidR="00000000" w:rsidRDefault="001D0688">
            <w:pPr>
              <w:rPr>
                <w:rFonts w:eastAsia="Times New Roman"/>
                <w:sz w:val="20"/>
                <w:szCs w:val="20"/>
              </w:rPr>
            </w:pPr>
          </w:p>
        </w:tc>
        <w:tc>
          <w:tcPr>
            <w:tcW w:w="5" w:type="pct"/>
            <w:vAlign w:val="center"/>
            <w:hideMark/>
          </w:tcPr>
          <w:p w14:paraId="7E518D2C" w14:textId="77777777" w:rsidR="00000000" w:rsidRDefault="001D0688">
            <w:pPr>
              <w:rPr>
                <w:rFonts w:eastAsia="Times New Roman"/>
                <w:sz w:val="20"/>
                <w:szCs w:val="20"/>
              </w:rPr>
            </w:pPr>
          </w:p>
        </w:tc>
      </w:tr>
      <w:tr w:rsidR="00000000" w14:paraId="57010D30" w14:textId="77777777">
        <w:trPr>
          <w:divId w:val="431709636"/>
        </w:trPr>
        <w:tc>
          <w:tcPr>
            <w:tcW w:w="0" w:type="auto"/>
            <w:gridSpan w:val="3"/>
            <w:tcMar>
              <w:top w:w="30" w:type="dxa"/>
              <w:left w:w="20" w:type="dxa"/>
              <w:bottom w:w="30" w:type="dxa"/>
              <w:right w:w="20" w:type="dxa"/>
            </w:tcMar>
            <w:vAlign w:val="bottom"/>
            <w:hideMark/>
          </w:tcPr>
          <w:p w14:paraId="6D3F7A0A"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3739B357" w14:textId="77777777" w:rsidR="00000000" w:rsidRDefault="001D0688">
            <w:pPr>
              <w:jc w:val="center"/>
              <w:rPr>
                <w:rFonts w:eastAsia="Times New Roman"/>
              </w:rPr>
            </w:pPr>
            <w:r>
              <w:rPr>
                <w:rFonts w:ascii="Arial" w:eastAsia="Times New Roman" w:hAnsi="Arial" w:cs="Arial"/>
                <w:b/>
                <w:bCs/>
                <w:color w:val="000000"/>
                <w:sz w:val="18"/>
                <w:szCs w:val="18"/>
              </w:rPr>
              <w:t>Business &amp; Industry</w:t>
            </w:r>
          </w:p>
        </w:tc>
        <w:tc>
          <w:tcPr>
            <w:tcW w:w="0" w:type="auto"/>
            <w:gridSpan w:val="3"/>
            <w:tcMar>
              <w:top w:w="0" w:type="dxa"/>
              <w:left w:w="20" w:type="dxa"/>
              <w:bottom w:w="0" w:type="dxa"/>
              <w:right w:w="20" w:type="dxa"/>
            </w:tcMar>
            <w:vAlign w:val="center"/>
            <w:hideMark/>
          </w:tcPr>
          <w:p w14:paraId="3BA1E50D"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CDCF266" w14:textId="77777777" w:rsidR="00000000" w:rsidRDefault="001D0688">
            <w:pPr>
              <w:jc w:val="center"/>
              <w:rPr>
                <w:rFonts w:eastAsia="Times New Roman"/>
              </w:rPr>
            </w:pPr>
            <w:r>
              <w:rPr>
                <w:rFonts w:ascii="Arial" w:eastAsia="Times New Roman" w:hAnsi="Arial" w:cs="Arial"/>
                <w:b/>
                <w:bCs/>
                <w:color w:val="000000"/>
                <w:sz w:val="18"/>
                <w:szCs w:val="18"/>
              </w:rPr>
              <w:t>Technology &amp; Manufacturing</w:t>
            </w:r>
          </w:p>
        </w:tc>
        <w:tc>
          <w:tcPr>
            <w:tcW w:w="0" w:type="auto"/>
            <w:gridSpan w:val="3"/>
            <w:tcMar>
              <w:top w:w="0" w:type="dxa"/>
              <w:left w:w="20" w:type="dxa"/>
              <w:bottom w:w="0" w:type="dxa"/>
              <w:right w:w="20" w:type="dxa"/>
            </w:tcMar>
            <w:vAlign w:val="center"/>
            <w:hideMark/>
          </w:tcPr>
          <w:p w14:paraId="534C024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25FF513B" w14:textId="77777777" w:rsidR="00000000" w:rsidRDefault="001D0688">
            <w:pPr>
              <w:jc w:val="center"/>
              <w:rPr>
                <w:rFonts w:eastAsia="Times New Roman"/>
              </w:rPr>
            </w:pPr>
            <w:r>
              <w:rPr>
                <w:rFonts w:ascii="Arial" w:eastAsia="Times New Roman" w:hAnsi="Arial" w:cs="Arial"/>
                <w:b/>
                <w:bCs/>
                <w:color w:val="000000"/>
                <w:sz w:val="18"/>
                <w:szCs w:val="18"/>
              </w:rPr>
              <w:t>Education</w:t>
            </w:r>
          </w:p>
        </w:tc>
        <w:tc>
          <w:tcPr>
            <w:tcW w:w="0" w:type="auto"/>
            <w:gridSpan w:val="3"/>
            <w:tcMar>
              <w:top w:w="0" w:type="dxa"/>
              <w:left w:w="20" w:type="dxa"/>
              <w:bottom w:w="0" w:type="dxa"/>
              <w:right w:w="20" w:type="dxa"/>
            </w:tcMar>
            <w:vAlign w:val="center"/>
            <w:hideMark/>
          </w:tcPr>
          <w:p w14:paraId="4EDC013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926E747" w14:textId="77777777" w:rsidR="00000000" w:rsidRDefault="001D0688">
            <w:pPr>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14:paraId="1483824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428F44C" w14:textId="77777777" w:rsidR="00000000" w:rsidRDefault="001D0688">
            <w:pPr>
              <w:jc w:val="center"/>
              <w:rPr>
                <w:rFonts w:eastAsia="Times New Roman"/>
              </w:rPr>
            </w:pPr>
            <w:r>
              <w:rPr>
                <w:rFonts w:ascii="Arial" w:eastAsia="Times New Roman" w:hAnsi="Arial" w:cs="Arial"/>
                <w:b/>
                <w:bCs/>
                <w:color w:val="000000"/>
                <w:sz w:val="18"/>
                <w:szCs w:val="18"/>
              </w:rPr>
              <w:t>Technical Solutions</w:t>
            </w:r>
          </w:p>
        </w:tc>
        <w:tc>
          <w:tcPr>
            <w:tcW w:w="0" w:type="auto"/>
            <w:gridSpan w:val="3"/>
            <w:tcMar>
              <w:top w:w="0" w:type="dxa"/>
              <w:left w:w="20" w:type="dxa"/>
              <w:bottom w:w="0" w:type="dxa"/>
              <w:right w:w="20" w:type="dxa"/>
            </w:tcMar>
            <w:vAlign w:val="center"/>
            <w:hideMark/>
          </w:tcPr>
          <w:p w14:paraId="0230C4AE"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23F5FC1D" w14:textId="77777777" w:rsidR="00000000" w:rsidRDefault="001D0688">
            <w:pPr>
              <w:jc w:val="center"/>
              <w:rPr>
                <w:rFonts w:eastAsia="Times New Roman"/>
              </w:rPr>
            </w:pPr>
            <w:r>
              <w:rPr>
                <w:rFonts w:ascii="Arial" w:eastAsia="Times New Roman" w:hAnsi="Arial" w:cs="Arial"/>
                <w:b/>
                <w:bCs/>
                <w:color w:val="000000"/>
                <w:sz w:val="18"/>
                <w:szCs w:val="18"/>
              </w:rPr>
              <w:t>Healthcare</w:t>
            </w:r>
          </w:p>
        </w:tc>
        <w:tc>
          <w:tcPr>
            <w:tcW w:w="0" w:type="auto"/>
            <w:gridSpan w:val="3"/>
            <w:tcMar>
              <w:top w:w="0" w:type="dxa"/>
              <w:left w:w="20" w:type="dxa"/>
              <w:bottom w:w="0" w:type="dxa"/>
              <w:right w:w="20" w:type="dxa"/>
            </w:tcMar>
            <w:vAlign w:val="center"/>
            <w:hideMark/>
          </w:tcPr>
          <w:p w14:paraId="2ED5A128"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549443FC" w14:textId="77777777" w:rsidR="00000000" w:rsidRDefault="001D0688">
            <w:pPr>
              <w:jc w:val="center"/>
              <w:rPr>
                <w:rFonts w:eastAsia="Times New Roman"/>
              </w:rPr>
            </w:pPr>
            <w:r>
              <w:rPr>
                <w:rFonts w:ascii="Arial" w:eastAsia="Times New Roman" w:hAnsi="Arial" w:cs="Arial"/>
                <w:b/>
                <w:bCs/>
                <w:color w:val="000000"/>
                <w:sz w:val="18"/>
                <w:szCs w:val="18"/>
              </w:rPr>
              <w:t>Total</w:t>
            </w:r>
          </w:p>
        </w:tc>
      </w:tr>
      <w:tr w:rsidR="001D0688" w14:paraId="5C3ACFC2" w14:textId="77777777">
        <w:trPr>
          <w:divId w:val="431709636"/>
        </w:trPr>
        <w:tc>
          <w:tcPr>
            <w:tcW w:w="0" w:type="auto"/>
            <w:gridSpan w:val="3"/>
            <w:shd w:val="clear" w:color="auto" w:fill="DCE2EF"/>
            <w:tcMar>
              <w:top w:w="30" w:type="dxa"/>
              <w:left w:w="20" w:type="dxa"/>
              <w:bottom w:w="30" w:type="dxa"/>
              <w:right w:w="20" w:type="dxa"/>
            </w:tcMar>
            <w:vAlign w:val="bottom"/>
            <w:hideMark/>
          </w:tcPr>
          <w:p w14:paraId="5E63C0D4" w14:textId="77777777" w:rsidR="00000000" w:rsidRDefault="001D0688">
            <w:pPr>
              <w:rPr>
                <w:rFonts w:eastAsia="Times New Roman"/>
              </w:rPr>
            </w:pPr>
            <w:r>
              <w:rPr>
                <w:rFonts w:ascii="Arial" w:eastAsia="Times New Roman" w:hAnsi="Arial" w:cs="Arial"/>
                <w:b/>
                <w:bCs/>
                <w:color w:val="000000"/>
                <w:sz w:val="18"/>
                <w:szCs w:val="18"/>
              </w:rPr>
              <w:t>Balance at October 31, 2018</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3E96F6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D640CA7" w14:textId="77777777" w:rsidR="00000000" w:rsidRDefault="001D0688">
            <w:pPr>
              <w:jc w:val="right"/>
              <w:rPr>
                <w:rFonts w:eastAsia="Times New Roman"/>
              </w:rPr>
            </w:pPr>
            <w:r>
              <w:rPr>
                <w:rFonts w:ascii="Arial" w:eastAsia="Times New Roman" w:hAnsi="Arial" w:cs="Arial"/>
                <w:color w:val="000000"/>
                <w:sz w:val="18"/>
                <w:szCs w:val="18"/>
              </w:rPr>
              <w:t>527.9 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2461FA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396AB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0BEC909"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2335C13" w14:textId="77777777" w:rsidR="00000000" w:rsidRDefault="001D0688">
            <w:pPr>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7601DD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65B23F"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173FF5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A1882F5" w14:textId="77777777" w:rsidR="00000000" w:rsidRDefault="001D0688">
            <w:pPr>
              <w:jc w:val="right"/>
              <w:rPr>
                <w:rFonts w:eastAsia="Times New Roman"/>
              </w:rPr>
            </w:pPr>
            <w:r>
              <w:rPr>
                <w:rFonts w:ascii="Arial" w:eastAsia="Times New Roman" w:hAnsi="Arial" w:cs="Arial"/>
                <w:color w:val="000000"/>
                <w:sz w:val="18"/>
                <w:szCs w:val="18"/>
              </w:rPr>
              <w:t>557.4 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964A15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8E19C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80210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080617C" w14:textId="77777777" w:rsidR="00000000" w:rsidRDefault="001D0688">
            <w:pPr>
              <w:jc w:val="right"/>
              <w:rPr>
                <w:rFonts w:eastAsia="Times New Roman"/>
              </w:rPr>
            </w:pPr>
            <w:r>
              <w:rPr>
                <w:rFonts w:ascii="Arial" w:eastAsia="Times New Roman" w:hAnsi="Arial" w:cs="Arial"/>
                <w:color w:val="000000"/>
                <w:sz w:val="18"/>
                <w:szCs w:val="18"/>
              </w:rPr>
              <w:t>124.9 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28BE9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2594C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2CA81C6"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DE141CD" w14:textId="77777777" w:rsidR="00000000" w:rsidRDefault="001D0688">
            <w:pPr>
              <w:jc w:val="right"/>
              <w:rPr>
                <w:rFonts w:eastAsia="Times New Roman"/>
              </w:rPr>
            </w:pPr>
            <w:r>
              <w:rPr>
                <w:rFonts w:ascii="Arial" w:eastAsia="Times New Roman" w:hAnsi="Arial" w:cs="Arial"/>
                <w:color w:val="000000"/>
                <w:sz w:val="18"/>
                <w:szCs w:val="18"/>
              </w:rPr>
              <w:t>158.7 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A62A2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ABA1A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D65B087"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132069B" w14:textId="77777777" w:rsidR="00000000" w:rsidRDefault="001D0688">
            <w:pPr>
              <w:jc w:val="right"/>
              <w:rPr>
                <w:rFonts w:eastAsia="Times New Roman"/>
              </w:rPr>
            </w:pPr>
            <w:r>
              <w:rPr>
                <w:rFonts w:ascii="Arial" w:eastAsia="Times New Roman" w:hAnsi="Arial" w:cs="Arial"/>
                <w:color w:val="000000"/>
                <w:sz w:val="18"/>
                <w:szCs w:val="18"/>
              </w:rPr>
              <w:t>58.7 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3440C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A6BFC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A1918A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FD492C4" w14:textId="77777777" w:rsidR="00000000" w:rsidRDefault="001D0688">
            <w:pPr>
              <w:jc w:val="right"/>
              <w:rPr>
                <w:rFonts w:eastAsia="Times New Roman"/>
              </w:rPr>
            </w:pPr>
            <w:r>
              <w:rPr>
                <w:rFonts w:ascii="Arial" w:eastAsia="Times New Roman" w:hAnsi="Arial" w:cs="Arial"/>
                <w:color w:val="000000"/>
                <w:sz w:val="18"/>
                <w:szCs w:val="18"/>
              </w:rPr>
              <w:t>1,834.8 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90F54F2" w14:textId="77777777" w:rsidR="00000000" w:rsidRDefault="001D0688">
            <w:pPr>
              <w:jc w:val="right"/>
              <w:rPr>
                <w:rFonts w:eastAsia="Times New Roman"/>
              </w:rPr>
            </w:pPr>
          </w:p>
        </w:tc>
      </w:tr>
      <w:tr w:rsidR="00000000" w14:paraId="2D36F8F2" w14:textId="77777777">
        <w:trPr>
          <w:divId w:val="431709636"/>
        </w:trPr>
        <w:tc>
          <w:tcPr>
            <w:tcW w:w="0" w:type="auto"/>
            <w:gridSpan w:val="3"/>
            <w:shd w:val="clear" w:color="auto" w:fill="FFFFFF"/>
            <w:tcMar>
              <w:top w:w="30" w:type="dxa"/>
              <w:left w:w="20" w:type="dxa"/>
              <w:bottom w:w="30" w:type="dxa"/>
              <w:right w:w="20" w:type="dxa"/>
            </w:tcMar>
            <w:vAlign w:val="bottom"/>
            <w:hideMark/>
          </w:tcPr>
          <w:p w14:paraId="57412B74" w14:textId="77777777" w:rsidR="00000000" w:rsidRDefault="001D0688">
            <w:pPr>
              <w:ind w:hanging="180"/>
              <w:divId w:val="1166091239"/>
              <w:rPr>
                <w:rFonts w:eastAsia="Times New Roman"/>
              </w:rPr>
            </w:pPr>
            <w:r>
              <w:rPr>
                <w:rFonts w:ascii="Arial" w:eastAsia="Times New Roman" w:hAnsi="Arial" w:cs="Arial"/>
                <w:color w:val="000000"/>
                <w:sz w:val="18"/>
                <w:szCs w:val="18"/>
              </w:rPr>
              <w:t>Reallocatio</w:t>
            </w:r>
            <w:r>
              <w:rPr>
                <w:rFonts w:ascii="Arial" w:eastAsia="Times New Roman" w:hAnsi="Arial" w:cs="Arial"/>
                <w:color w:val="000000"/>
                <w:sz w:val="18"/>
                <w:szCs w:val="18"/>
              </w:rPr>
              <w:t>n</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7A2CE325" w14:textId="77777777" w:rsidR="00000000" w:rsidRDefault="001D0688">
            <w:pPr>
              <w:jc w:val="right"/>
              <w:rPr>
                <w:rFonts w:eastAsia="Times New Roman"/>
              </w:rPr>
            </w:pPr>
            <w:r>
              <w:rPr>
                <w:rFonts w:ascii="Arial" w:eastAsia="Times New Roman" w:hAnsi="Arial" w:cs="Arial"/>
                <w:color w:val="000000"/>
                <w:sz w:val="18"/>
                <w:szCs w:val="18"/>
              </w:rPr>
              <w:t>45.7 </w:t>
            </w:r>
          </w:p>
        </w:tc>
        <w:tc>
          <w:tcPr>
            <w:tcW w:w="0" w:type="auto"/>
            <w:shd w:val="clear" w:color="auto" w:fill="FFFFFF"/>
            <w:tcMar>
              <w:top w:w="30" w:type="dxa"/>
              <w:left w:w="0" w:type="dxa"/>
              <w:bottom w:w="30" w:type="dxa"/>
              <w:right w:w="20" w:type="dxa"/>
            </w:tcMar>
            <w:vAlign w:val="bottom"/>
            <w:hideMark/>
          </w:tcPr>
          <w:p w14:paraId="2712F2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7E11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3A07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0B02FB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3D07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0E2D5" w14:textId="77777777" w:rsidR="00000000" w:rsidRDefault="001D0688">
            <w:pPr>
              <w:jc w:val="right"/>
              <w:rPr>
                <w:rFonts w:eastAsia="Times New Roman"/>
              </w:rPr>
            </w:pPr>
            <w:r>
              <w:rPr>
                <w:rFonts w:ascii="Arial" w:eastAsia="Times New Roman" w:hAnsi="Arial" w:cs="Arial"/>
                <w:color w:val="000000"/>
                <w:sz w:val="18"/>
                <w:szCs w:val="18"/>
              </w:rPr>
              <w:t>1.2 </w:t>
            </w:r>
          </w:p>
        </w:tc>
        <w:tc>
          <w:tcPr>
            <w:tcW w:w="0" w:type="auto"/>
            <w:shd w:val="clear" w:color="auto" w:fill="FFFFFF"/>
            <w:tcMar>
              <w:top w:w="30" w:type="dxa"/>
              <w:left w:w="0" w:type="dxa"/>
              <w:bottom w:w="30" w:type="dxa"/>
              <w:right w:w="20" w:type="dxa"/>
            </w:tcMar>
            <w:vAlign w:val="bottom"/>
            <w:hideMark/>
          </w:tcPr>
          <w:p w14:paraId="140AE66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62C9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9DD5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08D6B2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4E25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7C0F03" w14:textId="77777777" w:rsidR="00000000" w:rsidRDefault="001D0688">
            <w:pPr>
              <w:jc w:val="right"/>
              <w:rPr>
                <w:rFonts w:eastAsia="Times New Roman"/>
              </w:rPr>
            </w:pPr>
            <w:r>
              <w:rPr>
                <w:rFonts w:ascii="Arial" w:eastAsia="Times New Roman" w:hAnsi="Arial" w:cs="Arial"/>
                <w:color w:val="000000"/>
                <w:sz w:val="18"/>
                <w:szCs w:val="18"/>
              </w:rPr>
              <w:t>11.8 </w:t>
            </w:r>
          </w:p>
        </w:tc>
        <w:tc>
          <w:tcPr>
            <w:tcW w:w="0" w:type="auto"/>
            <w:shd w:val="clear" w:color="auto" w:fill="FFFFFF"/>
            <w:tcMar>
              <w:top w:w="30" w:type="dxa"/>
              <w:left w:w="0" w:type="dxa"/>
              <w:bottom w:w="30" w:type="dxa"/>
              <w:right w:w="20" w:type="dxa"/>
            </w:tcMar>
            <w:vAlign w:val="bottom"/>
            <w:hideMark/>
          </w:tcPr>
          <w:p w14:paraId="5558E1C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9B4D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C062F" w14:textId="77777777" w:rsidR="00000000" w:rsidRDefault="001D0688">
            <w:pPr>
              <w:jc w:val="right"/>
              <w:rPr>
                <w:rFonts w:eastAsia="Times New Roman"/>
              </w:rPr>
            </w:pPr>
            <w:r>
              <w:rPr>
                <w:rFonts w:ascii="Arial" w:eastAsia="Times New Roman" w:hAnsi="Arial" w:cs="Arial"/>
                <w:color w:val="000000"/>
                <w:sz w:val="18"/>
                <w:szCs w:val="18"/>
              </w:rPr>
              <w:t>(58.7)</w:t>
            </w:r>
          </w:p>
        </w:tc>
        <w:tc>
          <w:tcPr>
            <w:tcW w:w="0" w:type="auto"/>
            <w:shd w:val="clear" w:color="auto" w:fill="FFFFFF"/>
            <w:tcMar>
              <w:top w:w="30" w:type="dxa"/>
              <w:left w:w="0" w:type="dxa"/>
              <w:bottom w:w="30" w:type="dxa"/>
              <w:right w:w="20" w:type="dxa"/>
            </w:tcMar>
            <w:vAlign w:val="bottom"/>
            <w:hideMark/>
          </w:tcPr>
          <w:p w14:paraId="6685FDA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0116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88AFA7"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7BC77095" w14:textId="77777777" w:rsidR="00000000" w:rsidRDefault="001D0688">
            <w:pPr>
              <w:jc w:val="right"/>
              <w:rPr>
                <w:rFonts w:eastAsia="Times New Roman"/>
              </w:rPr>
            </w:pPr>
          </w:p>
        </w:tc>
      </w:tr>
      <w:tr w:rsidR="00000000" w14:paraId="341AA175" w14:textId="77777777">
        <w:trPr>
          <w:divId w:val="431709636"/>
        </w:trPr>
        <w:tc>
          <w:tcPr>
            <w:tcW w:w="0" w:type="auto"/>
            <w:gridSpan w:val="3"/>
            <w:shd w:val="clear" w:color="auto" w:fill="DCE2EF"/>
            <w:tcMar>
              <w:top w:w="30" w:type="dxa"/>
              <w:left w:w="20" w:type="dxa"/>
              <w:bottom w:w="30" w:type="dxa"/>
              <w:right w:w="20" w:type="dxa"/>
            </w:tcMar>
            <w:vAlign w:val="bottom"/>
            <w:hideMark/>
          </w:tcPr>
          <w:p w14:paraId="30F91649" w14:textId="77777777" w:rsidR="00000000" w:rsidRDefault="001D0688">
            <w:pPr>
              <w:ind w:hanging="180"/>
              <w:divId w:val="1439376197"/>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DCE2EF"/>
            <w:tcMar>
              <w:top w:w="30" w:type="dxa"/>
              <w:left w:w="20" w:type="dxa"/>
              <w:bottom w:w="30" w:type="dxa"/>
              <w:right w:w="0" w:type="dxa"/>
            </w:tcMar>
            <w:vAlign w:val="bottom"/>
            <w:hideMark/>
          </w:tcPr>
          <w:p w14:paraId="5ED8B51A" w14:textId="77777777" w:rsidR="00000000" w:rsidRDefault="001D0688">
            <w:pPr>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14:paraId="3AA8845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E97B3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128814A"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79F4B00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12B71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806DB93"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1A2277A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555F6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3966BA"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14:paraId="7226E0E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8E2CD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5B464A" w14:textId="77777777" w:rsidR="00000000" w:rsidRDefault="001D0688">
            <w:pPr>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14:paraId="05A46D5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0337A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7B29CE"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1DFFB4C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C61FA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CBA7908" w14:textId="77777777" w:rsidR="00000000" w:rsidRDefault="001D0688">
            <w:pPr>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14:paraId="28C1F682" w14:textId="77777777" w:rsidR="00000000" w:rsidRDefault="001D0688">
            <w:pPr>
              <w:jc w:val="right"/>
              <w:rPr>
                <w:rFonts w:eastAsia="Times New Roman"/>
              </w:rPr>
            </w:pPr>
          </w:p>
        </w:tc>
      </w:tr>
      <w:tr w:rsidR="00000000" w14:paraId="782E834D" w14:textId="77777777">
        <w:trPr>
          <w:divId w:val="431709636"/>
        </w:trPr>
        <w:tc>
          <w:tcPr>
            <w:tcW w:w="0" w:type="auto"/>
            <w:gridSpan w:val="3"/>
            <w:vAlign w:val="center"/>
            <w:hideMark/>
          </w:tcPr>
          <w:p w14:paraId="7CB0E33C" w14:textId="77777777" w:rsidR="00000000" w:rsidRDefault="001D0688">
            <w:pPr>
              <w:jc w:val="right"/>
              <w:rPr>
                <w:rFonts w:eastAsia="Times New Roman"/>
                <w:sz w:val="20"/>
                <w:szCs w:val="20"/>
              </w:rPr>
            </w:pPr>
          </w:p>
        </w:tc>
        <w:tc>
          <w:tcPr>
            <w:tcW w:w="0" w:type="auto"/>
            <w:gridSpan w:val="3"/>
            <w:vAlign w:val="center"/>
            <w:hideMark/>
          </w:tcPr>
          <w:p w14:paraId="290A7DEB" w14:textId="77777777" w:rsidR="00000000" w:rsidRDefault="001D0688">
            <w:pPr>
              <w:rPr>
                <w:rFonts w:eastAsia="Times New Roman"/>
                <w:sz w:val="20"/>
                <w:szCs w:val="20"/>
              </w:rPr>
            </w:pPr>
          </w:p>
        </w:tc>
        <w:tc>
          <w:tcPr>
            <w:tcW w:w="0" w:type="auto"/>
            <w:gridSpan w:val="3"/>
            <w:vAlign w:val="center"/>
            <w:hideMark/>
          </w:tcPr>
          <w:p w14:paraId="128D636F" w14:textId="77777777" w:rsidR="00000000" w:rsidRDefault="001D0688">
            <w:pPr>
              <w:rPr>
                <w:rFonts w:eastAsia="Times New Roman"/>
                <w:sz w:val="20"/>
                <w:szCs w:val="20"/>
              </w:rPr>
            </w:pPr>
          </w:p>
        </w:tc>
        <w:tc>
          <w:tcPr>
            <w:tcW w:w="0" w:type="auto"/>
            <w:gridSpan w:val="3"/>
            <w:vAlign w:val="center"/>
            <w:hideMark/>
          </w:tcPr>
          <w:p w14:paraId="552C629A" w14:textId="77777777" w:rsidR="00000000" w:rsidRDefault="001D0688">
            <w:pPr>
              <w:rPr>
                <w:rFonts w:eastAsia="Times New Roman"/>
                <w:sz w:val="20"/>
                <w:szCs w:val="20"/>
              </w:rPr>
            </w:pPr>
          </w:p>
        </w:tc>
        <w:tc>
          <w:tcPr>
            <w:tcW w:w="0" w:type="auto"/>
            <w:gridSpan w:val="3"/>
            <w:vAlign w:val="center"/>
            <w:hideMark/>
          </w:tcPr>
          <w:p w14:paraId="22CFA083" w14:textId="77777777" w:rsidR="00000000" w:rsidRDefault="001D0688">
            <w:pPr>
              <w:rPr>
                <w:rFonts w:eastAsia="Times New Roman"/>
                <w:sz w:val="20"/>
                <w:szCs w:val="20"/>
              </w:rPr>
            </w:pPr>
          </w:p>
        </w:tc>
        <w:tc>
          <w:tcPr>
            <w:tcW w:w="0" w:type="auto"/>
            <w:gridSpan w:val="3"/>
            <w:vAlign w:val="center"/>
            <w:hideMark/>
          </w:tcPr>
          <w:p w14:paraId="124D9104" w14:textId="77777777" w:rsidR="00000000" w:rsidRDefault="001D0688">
            <w:pPr>
              <w:rPr>
                <w:rFonts w:eastAsia="Times New Roman"/>
                <w:sz w:val="20"/>
                <w:szCs w:val="20"/>
              </w:rPr>
            </w:pPr>
          </w:p>
        </w:tc>
        <w:tc>
          <w:tcPr>
            <w:tcW w:w="0" w:type="auto"/>
            <w:gridSpan w:val="3"/>
            <w:vAlign w:val="center"/>
            <w:hideMark/>
          </w:tcPr>
          <w:p w14:paraId="44C10E9C" w14:textId="77777777" w:rsidR="00000000" w:rsidRDefault="001D0688">
            <w:pPr>
              <w:rPr>
                <w:rFonts w:eastAsia="Times New Roman"/>
                <w:sz w:val="20"/>
                <w:szCs w:val="20"/>
              </w:rPr>
            </w:pPr>
          </w:p>
        </w:tc>
        <w:tc>
          <w:tcPr>
            <w:tcW w:w="0" w:type="auto"/>
            <w:gridSpan w:val="3"/>
            <w:vAlign w:val="center"/>
            <w:hideMark/>
          </w:tcPr>
          <w:p w14:paraId="3D5A4D70" w14:textId="77777777" w:rsidR="00000000" w:rsidRDefault="001D0688">
            <w:pPr>
              <w:rPr>
                <w:rFonts w:eastAsia="Times New Roman"/>
                <w:sz w:val="20"/>
                <w:szCs w:val="20"/>
              </w:rPr>
            </w:pPr>
          </w:p>
        </w:tc>
        <w:tc>
          <w:tcPr>
            <w:tcW w:w="0" w:type="auto"/>
            <w:gridSpan w:val="3"/>
            <w:vAlign w:val="center"/>
            <w:hideMark/>
          </w:tcPr>
          <w:p w14:paraId="4C59A890" w14:textId="77777777" w:rsidR="00000000" w:rsidRDefault="001D0688">
            <w:pPr>
              <w:rPr>
                <w:rFonts w:eastAsia="Times New Roman"/>
                <w:sz w:val="20"/>
                <w:szCs w:val="20"/>
              </w:rPr>
            </w:pPr>
          </w:p>
        </w:tc>
        <w:tc>
          <w:tcPr>
            <w:tcW w:w="0" w:type="auto"/>
            <w:gridSpan w:val="3"/>
            <w:vAlign w:val="center"/>
            <w:hideMark/>
          </w:tcPr>
          <w:p w14:paraId="26A48537" w14:textId="77777777" w:rsidR="00000000" w:rsidRDefault="001D0688">
            <w:pPr>
              <w:rPr>
                <w:rFonts w:eastAsia="Times New Roman"/>
                <w:sz w:val="20"/>
                <w:szCs w:val="20"/>
              </w:rPr>
            </w:pPr>
          </w:p>
        </w:tc>
        <w:tc>
          <w:tcPr>
            <w:tcW w:w="0" w:type="auto"/>
            <w:gridSpan w:val="3"/>
            <w:vAlign w:val="center"/>
            <w:hideMark/>
          </w:tcPr>
          <w:p w14:paraId="10974DD9" w14:textId="77777777" w:rsidR="00000000" w:rsidRDefault="001D0688">
            <w:pPr>
              <w:rPr>
                <w:rFonts w:eastAsia="Times New Roman"/>
                <w:sz w:val="20"/>
                <w:szCs w:val="20"/>
              </w:rPr>
            </w:pPr>
          </w:p>
        </w:tc>
        <w:tc>
          <w:tcPr>
            <w:tcW w:w="0" w:type="auto"/>
            <w:gridSpan w:val="3"/>
            <w:vAlign w:val="center"/>
            <w:hideMark/>
          </w:tcPr>
          <w:p w14:paraId="17924085" w14:textId="77777777" w:rsidR="00000000" w:rsidRDefault="001D0688">
            <w:pPr>
              <w:rPr>
                <w:rFonts w:eastAsia="Times New Roman"/>
                <w:sz w:val="20"/>
                <w:szCs w:val="20"/>
              </w:rPr>
            </w:pPr>
          </w:p>
        </w:tc>
        <w:tc>
          <w:tcPr>
            <w:tcW w:w="0" w:type="auto"/>
            <w:gridSpan w:val="3"/>
            <w:vAlign w:val="center"/>
            <w:hideMark/>
          </w:tcPr>
          <w:p w14:paraId="60C1FB1E" w14:textId="77777777" w:rsidR="00000000" w:rsidRDefault="001D0688">
            <w:pPr>
              <w:rPr>
                <w:rFonts w:eastAsia="Times New Roman"/>
                <w:sz w:val="20"/>
                <w:szCs w:val="20"/>
              </w:rPr>
            </w:pPr>
          </w:p>
        </w:tc>
        <w:tc>
          <w:tcPr>
            <w:tcW w:w="0" w:type="auto"/>
            <w:gridSpan w:val="3"/>
            <w:vAlign w:val="center"/>
            <w:hideMark/>
          </w:tcPr>
          <w:p w14:paraId="0CCB8EB6" w14:textId="77777777" w:rsidR="00000000" w:rsidRDefault="001D0688">
            <w:pPr>
              <w:rPr>
                <w:rFonts w:eastAsia="Times New Roman"/>
                <w:sz w:val="20"/>
                <w:szCs w:val="20"/>
              </w:rPr>
            </w:pPr>
          </w:p>
        </w:tc>
      </w:tr>
      <w:tr w:rsidR="001D0688" w14:paraId="5DAEE5B3" w14:textId="77777777">
        <w:trPr>
          <w:divId w:val="431709636"/>
        </w:trPr>
        <w:tc>
          <w:tcPr>
            <w:tcW w:w="0" w:type="auto"/>
            <w:gridSpan w:val="3"/>
            <w:shd w:val="clear" w:color="auto" w:fill="FFFFFF"/>
            <w:tcMar>
              <w:top w:w="30" w:type="dxa"/>
              <w:left w:w="20" w:type="dxa"/>
              <w:bottom w:w="30" w:type="dxa"/>
              <w:right w:w="20" w:type="dxa"/>
            </w:tcMar>
            <w:vAlign w:val="bottom"/>
            <w:hideMark/>
          </w:tcPr>
          <w:p w14:paraId="2B70211A" w14:textId="77777777" w:rsidR="00000000" w:rsidRDefault="001D0688">
            <w:pPr>
              <w:rPr>
                <w:rFonts w:eastAsia="Times New Roman"/>
              </w:rPr>
            </w:pPr>
            <w:r>
              <w:rPr>
                <w:rFonts w:ascii="Arial" w:eastAsia="Times New Roman" w:hAnsi="Arial" w:cs="Arial"/>
                <w:b/>
                <w:bCs/>
                <w:color w:val="000000"/>
                <w:sz w:val="18"/>
                <w:szCs w:val="18"/>
              </w:rPr>
              <w:t>Balance at October 31,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B2AD4D"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AF280E" w14:textId="77777777" w:rsidR="00000000" w:rsidRDefault="001D0688">
            <w:pPr>
              <w:jc w:val="right"/>
              <w:rPr>
                <w:rFonts w:eastAsia="Times New Roman"/>
              </w:rPr>
            </w:pPr>
            <w:r>
              <w:rPr>
                <w:rFonts w:ascii="Arial" w:eastAsia="Times New Roman" w:hAnsi="Arial" w:cs="Arial"/>
                <w:color w:val="000000"/>
                <w:sz w:val="18"/>
                <w:szCs w:val="18"/>
              </w:rPr>
              <w:t>573.9 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A08D0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0488D"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FC035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1A0531" w14:textId="77777777" w:rsidR="00000000" w:rsidRDefault="001D0688">
            <w:pPr>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45ECA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5E524"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8481C1"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727D44" w14:textId="77777777" w:rsidR="00000000" w:rsidRDefault="001D0688">
            <w:pPr>
              <w:jc w:val="right"/>
              <w:rPr>
                <w:rFonts w:eastAsia="Times New Roman"/>
              </w:rPr>
            </w:pPr>
            <w:r>
              <w:rPr>
                <w:rFonts w:ascii="Arial" w:eastAsia="Times New Roman" w:hAnsi="Arial" w:cs="Arial"/>
                <w:color w:val="000000"/>
                <w:sz w:val="18"/>
                <w:szCs w:val="18"/>
              </w:rPr>
              <w:t>558.6 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3C5D5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69373"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E3746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F4594C" w14:textId="77777777" w:rsidR="00000000" w:rsidRDefault="001D0688">
            <w:pPr>
              <w:jc w:val="right"/>
              <w:rPr>
                <w:rFonts w:eastAsia="Times New Roman"/>
              </w:rPr>
            </w:pPr>
            <w:r>
              <w:rPr>
                <w:rFonts w:ascii="Arial" w:eastAsia="Times New Roman" w:hAnsi="Arial" w:cs="Arial"/>
                <w:color w:val="000000"/>
                <w:sz w:val="18"/>
                <w:szCs w:val="18"/>
              </w:rPr>
              <w:t>125.0 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128AF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9A462"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D4131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ED9B92" w14:textId="77777777" w:rsidR="00000000" w:rsidRDefault="001D0688">
            <w:pPr>
              <w:jc w:val="right"/>
              <w:rPr>
                <w:rFonts w:eastAsia="Times New Roman"/>
              </w:rPr>
            </w:pPr>
            <w:r>
              <w:rPr>
                <w:rFonts w:ascii="Arial" w:eastAsia="Times New Roman" w:hAnsi="Arial" w:cs="Arial"/>
                <w:color w:val="000000"/>
                <w:sz w:val="18"/>
                <w:szCs w:val="18"/>
              </w:rPr>
              <w:t>170.7 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7602A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1DAD4"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44B608"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082187"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FB22F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93F5D"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80A04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911424" w14:textId="77777777" w:rsidR="00000000" w:rsidRDefault="001D0688">
            <w:pPr>
              <w:jc w:val="right"/>
              <w:rPr>
                <w:rFonts w:eastAsia="Times New Roman"/>
              </w:rPr>
            </w:pPr>
            <w:r>
              <w:rPr>
                <w:rFonts w:ascii="Arial" w:eastAsia="Times New Roman" w:hAnsi="Arial" w:cs="Arial"/>
                <w:color w:val="000000"/>
                <w:sz w:val="18"/>
                <w:szCs w:val="18"/>
              </w:rPr>
              <w:t>1,835.4 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BE6ED7" w14:textId="77777777" w:rsidR="00000000" w:rsidRDefault="001D0688">
            <w:pPr>
              <w:jc w:val="right"/>
              <w:rPr>
                <w:rFonts w:eastAsia="Times New Roman"/>
              </w:rPr>
            </w:pPr>
          </w:p>
        </w:tc>
      </w:tr>
      <w:tr w:rsidR="00000000" w14:paraId="509DBB3F" w14:textId="77777777">
        <w:trPr>
          <w:divId w:val="431709636"/>
        </w:trPr>
        <w:tc>
          <w:tcPr>
            <w:tcW w:w="0" w:type="auto"/>
            <w:gridSpan w:val="3"/>
            <w:shd w:val="clear" w:color="auto" w:fill="DCE2EF"/>
            <w:tcMar>
              <w:top w:w="30" w:type="dxa"/>
              <w:left w:w="20" w:type="dxa"/>
              <w:bottom w:w="30" w:type="dxa"/>
              <w:right w:w="20" w:type="dxa"/>
            </w:tcMar>
            <w:vAlign w:val="bottom"/>
            <w:hideMark/>
          </w:tcPr>
          <w:p w14:paraId="19AEFBB1" w14:textId="77777777" w:rsidR="00000000" w:rsidRDefault="001D0688">
            <w:pPr>
              <w:ind w:hanging="180"/>
              <w:divId w:val="662005716"/>
              <w:rPr>
                <w:rFonts w:eastAsia="Times New Roman"/>
              </w:rPr>
            </w:pPr>
            <w:r>
              <w:rPr>
                <w:rFonts w:ascii="Arial" w:eastAsia="Times New Roman" w:hAnsi="Arial" w:cs="Arial"/>
                <w:color w:val="000000"/>
                <w:sz w:val="18"/>
                <w:szCs w:val="18"/>
              </w:rPr>
              <w:t>Foreign currency translation</w:t>
            </w: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68FA6BD9"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6A0846A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8BB1A3"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3C2A97CD"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490E684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C3D066"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1B1EBA04"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04D2E09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FE5F4A"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419A6556"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5B2E6AB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C0931F"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5CD8DF48" w14:textId="77777777" w:rsidR="00000000" w:rsidRDefault="001D0688">
            <w:pPr>
              <w:jc w:val="right"/>
              <w:rPr>
                <w:rFonts w:eastAsia="Times New Roman"/>
              </w:rPr>
            </w:pPr>
            <w:r>
              <w:rPr>
                <w:rFonts w:ascii="Arial" w:eastAsia="Times New Roman" w:hAnsi="Arial" w:cs="Arial"/>
                <w:color w:val="000000"/>
                <w:sz w:val="18"/>
                <w:szCs w:val="18"/>
              </w:rPr>
              <w:t>(0.3)</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06FAB0E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60C53C"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4D7B87A8"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1710115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764A96" w14:textId="77777777" w:rsidR="00000000" w:rsidRDefault="001D0688">
            <w:pPr>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14:paraId="7B1852BA" w14:textId="77777777" w:rsidR="00000000" w:rsidRDefault="001D0688">
            <w:pPr>
              <w:jc w:val="right"/>
              <w:rPr>
                <w:rFonts w:eastAsia="Times New Roman"/>
              </w:rPr>
            </w:pPr>
            <w:r>
              <w:rPr>
                <w:rFonts w:ascii="Arial" w:eastAsia="Times New Roman" w:hAnsi="Arial" w:cs="Arial"/>
                <w:color w:val="000000"/>
                <w:sz w:val="18"/>
                <w:szCs w:val="18"/>
              </w:rPr>
              <w:t>(0.2)</w:t>
            </w:r>
          </w:p>
        </w:tc>
        <w:tc>
          <w:tcPr>
            <w:tcW w:w="0" w:type="auto"/>
            <w:tcBorders>
              <w:top w:val="double" w:sz="6" w:space="0" w:color="000000"/>
            </w:tcBorders>
            <w:shd w:val="clear" w:color="auto" w:fill="DCE2EF"/>
            <w:tcMar>
              <w:top w:w="30" w:type="dxa"/>
              <w:left w:w="0" w:type="dxa"/>
              <w:bottom w:w="30" w:type="dxa"/>
              <w:right w:w="20" w:type="dxa"/>
            </w:tcMar>
            <w:vAlign w:val="bottom"/>
            <w:hideMark/>
          </w:tcPr>
          <w:p w14:paraId="6F2A9B89" w14:textId="77777777" w:rsidR="00000000" w:rsidRDefault="001D0688">
            <w:pPr>
              <w:jc w:val="right"/>
              <w:rPr>
                <w:rFonts w:eastAsia="Times New Roman"/>
              </w:rPr>
            </w:pPr>
          </w:p>
        </w:tc>
      </w:tr>
      <w:tr w:rsidR="00000000" w14:paraId="70531E79" w14:textId="77777777">
        <w:trPr>
          <w:divId w:val="431709636"/>
        </w:trPr>
        <w:tc>
          <w:tcPr>
            <w:tcW w:w="0" w:type="auto"/>
            <w:gridSpan w:val="3"/>
            <w:shd w:val="clear" w:color="auto" w:fill="FFFFFF"/>
            <w:tcMar>
              <w:top w:w="30" w:type="dxa"/>
              <w:left w:w="20" w:type="dxa"/>
              <w:bottom w:w="30" w:type="dxa"/>
              <w:right w:w="20" w:type="dxa"/>
            </w:tcMar>
            <w:vAlign w:val="bottom"/>
            <w:hideMark/>
          </w:tcPr>
          <w:p w14:paraId="4E25500E" w14:textId="77777777" w:rsidR="00000000" w:rsidRDefault="001D0688">
            <w:pPr>
              <w:divId w:val="1194264591"/>
              <w:rPr>
                <w:rFonts w:eastAsia="Times New Roman"/>
              </w:rPr>
            </w:pPr>
            <w:r>
              <w:rPr>
                <w:rFonts w:ascii="Arial" w:eastAsia="Times New Roman" w:hAnsi="Arial" w:cs="Arial"/>
                <w:color w:val="000000"/>
                <w:sz w:val="18"/>
                <w:szCs w:val="18"/>
              </w:rPr>
              <w:t>Impairment los</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087CFFB5"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3E6A755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408A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6CF983"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9ACE05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6797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0D9AC0" w14:textId="77777777" w:rsidR="00000000" w:rsidRDefault="001D0688">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99.3)</w:t>
            </w:r>
          </w:p>
        </w:tc>
        <w:tc>
          <w:tcPr>
            <w:tcW w:w="0" w:type="auto"/>
            <w:shd w:val="clear" w:color="auto" w:fill="FFFFFF"/>
            <w:tcMar>
              <w:top w:w="30" w:type="dxa"/>
              <w:left w:w="0" w:type="dxa"/>
              <w:bottom w:w="30" w:type="dxa"/>
              <w:right w:w="20" w:type="dxa"/>
            </w:tcMar>
            <w:vAlign w:val="bottom"/>
            <w:hideMark/>
          </w:tcPr>
          <w:p w14:paraId="6FF6822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BFA2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921F5" w14:textId="77777777" w:rsidR="00000000" w:rsidRDefault="001D0688">
            <w:pPr>
              <w:jc w:val="right"/>
              <w:rPr>
                <w:rFonts w:eastAsia="Times New Roman"/>
              </w:rPr>
            </w:pPr>
            <w:r>
              <w:rPr>
                <w:rFonts w:ascii="Arial" w:eastAsia="Times New Roman" w:hAnsi="Arial" w:cs="Arial"/>
                <w:color w:val="000000"/>
                <w:sz w:val="18"/>
                <w:szCs w:val="18"/>
              </w:rPr>
              <w:t>(55.5)</w:t>
            </w:r>
          </w:p>
        </w:tc>
        <w:tc>
          <w:tcPr>
            <w:tcW w:w="0" w:type="auto"/>
            <w:shd w:val="clear" w:color="auto" w:fill="FFFFFF"/>
            <w:tcMar>
              <w:top w:w="30" w:type="dxa"/>
              <w:left w:w="0" w:type="dxa"/>
              <w:bottom w:w="30" w:type="dxa"/>
              <w:right w:w="20" w:type="dxa"/>
            </w:tcMar>
            <w:vAlign w:val="bottom"/>
            <w:hideMark/>
          </w:tcPr>
          <w:p w14:paraId="13C881C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79DF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3CB13" w14:textId="77777777" w:rsidR="00000000" w:rsidRDefault="001D0688">
            <w:pPr>
              <w:jc w:val="right"/>
              <w:rPr>
                <w:rFonts w:eastAsia="Times New Roman"/>
              </w:rPr>
            </w:pPr>
            <w:r>
              <w:rPr>
                <w:rFonts w:ascii="Arial" w:eastAsia="Times New Roman" w:hAnsi="Arial" w:cs="Arial"/>
                <w:color w:val="000000"/>
                <w:sz w:val="18"/>
                <w:szCs w:val="18"/>
              </w:rPr>
              <w:t>(9.0)</w:t>
            </w:r>
          </w:p>
        </w:tc>
        <w:tc>
          <w:tcPr>
            <w:tcW w:w="0" w:type="auto"/>
            <w:shd w:val="clear" w:color="auto" w:fill="FFFFFF"/>
            <w:tcMar>
              <w:top w:w="30" w:type="dxa"/>
              <w:left w:w="0" w:type="dxa"/>
              <w:bottom w:w="30" w:type="dxa"/>
              <w:right w:w="20" w:type="dxa"/>
            </w:tcMar>
            <w:vAlign w:val="bottom"/>
            <w:hideMark/>
          </w:tcPr>
          <w:p w14:paraId="5DF2502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A91A2"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B1D20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D38978" w14:textId="77777777" w:rsidR="00000000" w:rsidRDefault="001D0688">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4DB782" w14:textId="77777777" w:rsidR="00000000" w:rsidRDefault="001D0688">
            <w:pPr>
              <w:jc w:val="right"/>
              <w:rPr>
                <w:rFonts w:eastAsia="Times New Roman"/>
              </w:rPr>
            </w:pPr>
            <w:r>
              <w:rPr>
                <w:rFonts w:ascii="Arial" w:eastAsia="Times New Roman" w:hAnsi="Arial" w:cs="Arial"/>
                <w:color w:val="000000"/>
                <w:sz w:val="18"/>
                <w:szCs w:val="18"/>
              </w:rPr>
              <w:t>(163.8)</w:t>
            </w:r>
          </w:p>
        </w:tc>
        <w:tc>
          <w:tcPr>
            <w:tcW w:w="0" w:type="auto"/>
            <w:shd w:val="clear" w:color="auto" w:fill="FFFFFF"/>
            <w:tcMar>
              <w:top w:w="30" w:type="dxa"/>
              <w:left w:w="0" w:type="dxa"/>
              <w:bottom w:w="30" w:type="dxa"/>
              <w:right w:w="20" w:type="dxa"/>
            </w:tcMar>
            <w:vAlign w:val="bottom"/>
            <w:hideMark/>
          </w:tcPr>
          <w:p w14:paraId="3C85B3E5" w14:textId="77777777" w:rsidR="00000000" w:rsidRDefault="001D0688">
            <w:pPr>
              <w:jc w:val="right"/>
              <w:rPr>
                <w:rFonts w:eastAsia="Times New Roman"/>
              </w:rPr>
            </w:pPr>
          </w:p>
        </w:tc>
      </w:tr>
      <w:tr w:rsidR="001D0688" w14:paraId="5358D2E3" w14:textId="77777777">
        <w:trPr>
          <w:divId w:val="431709636"/>
        </w:trPr>
        <w:tc>
          <w:tcPr>
            <w:tcW w:w="0" w:type="auto"/>
            <w:gridSpan w:val="3"/>
            <w:shd w:val="clear" w:color="auto" w:fill="DCE2EF"/>
            <w:tcMar>
              <w:top w:w="30" w:type="dxa"/>
              <w:left w:w="20" w:type="dxa"/>
              <w:bottom w:w="30" w:type="dxa"/>
              <w:right w:w="20" w:type="dxa"/>
            </w:tcMar>
            <w:vAlign w:val="bottom"/>
            <w:hideMark/>
          </w:tcPr>
          <w:p w14:paraId="3FC4F055" w14:textId="77777777" w:rsidR="00000000" w:rsidRDefault="001D0688">
            <w:pPr>
              <w:rPr>
                <w:rFonts w:eastAsia="Times New Roman"/>
              </w:rPr>
            </w:pPr>
            <w:r>
              <w:rPr>
                <w:rFonts w:ascii="Arial" w:eastAsia="Times New Roman" w:hAnsi="Arial" w:cs="Arial"/>
                <w:b/>
                <w:bCs/>
                <w:color w:val="000000"/>
                <w:sz w:val="18"/>
                <w:szCs w:val="18"/>
              </w:rPr>
              <w:t>Balance at October 31, 2020</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144C7C5"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6B090B4" w14:textId="77777777" w:rsidR="00000000" w:rsidRDefault="001D0688">
            <w:pPr>
              <w:jc w:val="right"/>
              <w:rPr>
                <w:rFonts w:eastAsia="Times New Roman"/>
              </w:rPr>
            </w:pPr>
            <w:r>
              <w:rPr>
                <w:rFonts w:ascii="Arial" w:eastAsia="Times New Roman" w:hAnsi="Arial" w:cs="Arial"/>
                <w:color w:val="000000"/>
                <w:sz w:val="18"/>
                <w:szCs w:val="18"/>
              </w:rPr>
              <w:t>574.0 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EAC35C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994B7F"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6F2265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2B6DF2F" w14:textId="77777777" w:rsidR="00000000" w:rsidRDefault="001D0688">
            <w:pPr>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C9CCB4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2FBF16"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0C2635E"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C6AE5B6" w14:textId="77777777" w:rsidR="00000000" w:rsidRDefault="001D0688">
            <w:pPr>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BFB6BC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62AA73"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F31F2F7"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A42CADE" w14:textId="77777777" w:rsidR="00000000" w:rsidRDefault="001D0688">
            <w:pPr>
              <w:jc w:val="right"/>
              <w:rPr>
                <w:rFonts w:eastAsia="Times New Roman"/>
              </w:rPr>
            </w:pPr>
            <w:r>
              <w:rPr>
                <w:rFonts w:ascii="Arial" w:eastAsia="Times New Roman" w:hAnsi="Arial" w:cs="Arial"/>
                <w:color w:val="000000"/>
                <w:sz w:val="18"/>
                <w:szCs w:val="18"/>
              </w:rPr>
              <w:t>69.5 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F6D780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A23BB3"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BD8FA72"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E0CDF00" w14:textId="77777777" w:rsidR="00000000" w:rsidRDefault="001D0688">
            <w:pPr>
              <w:jc w:val="right"/>
              <w:rPr>
                <w:rFonts w:eastAsia="Times New Roman"/>
              </w:rPr>
            </w:pPr>
            <w:r>
              <w:rPr>
                <w:rFonts w:ascii="Arial" w:eastAsia="Times New Roman" w:hAnsi="Arial" w:cs="Arial"/>
                <w:color w:val="000000"/>
                <w:sz w:val="18"/>
                <w:szCs w:val="18"/>
              </w:rPr>
              <w:t>161.5 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ED3D8F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367C8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5532A5F"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28D3942"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EDA5C0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09B4E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16E584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13DDC37" w14:textId="77777777" w:rsidR="00000000" w:rsidRDefault="001D0688">
            <w:pPr>
              <w:jc w:val="right"/>
              <w:rPr>
                <w:rFonts w:eastAsia="Times New Roman"/>
              </w:rPr>
            </w:pPr>
            <w:r>
              <w:rPr>
                <w:rFonts w:ascii="Arial" w:eastAsia="Times New Roman" w:hAnsi="Arial" w:cs="Arial"/>
                <w:color w:val="000000"/>
                <w:sz w:val="18"/>
                <w:szCs w:val="18"/>
              </w:rPr>
              <w:t>1,671.4 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D35C87A" w14:textId="77777777" w:rsidR="00000000" w:rsidRDefault="001D0688">
            <w:pPr>
              <w:jc w:val="right"/>
              <w:rPr>
                <w:rFonts w:eastAsia="Times New Roman"/>
              </w:rPr>
            </w:pPr>
          </w:p>
        </w:tc>
      </w:tr>
    </w:tbl>
    <w:p w14:paraId="119F228A" w14:textId="77777777" w:rsidR="00000000" w:rsidRDefault="001D0688">
      <w:pPr>
        <w:ind w:hanging="180"/>
        <w:jc w:val="both"/>
        <w:divId w:val="95964591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Goodwill associated with our Healthcare business was reallocated in connection with the reorganization of this business during the third quarter of 2019. </w:t>
      </w:r>
    </w:p>
    <w:p w14:paraId="20FCB3F8" w14:textId="77777777" w:rsidR="00000000" w:rsidRDefault="001D0688">
      <w:pPr>
        <w:ind w:hanging="180"/>
        <w:jc w:val="both"/>
        <w:divId w:val="1226649943"/>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impairment charge is included in “Imp</w:t>
      </w:r>
      <w:r>
        <w:rPr>
          <w:rFonts w:ascii="Arial" w:eastAsia="Times New Roman" w:hAnsi="Arial" w:cs="Arial"/>
          <w:color w:val="000000"/>
          <w:sz w:val="18"/>
          <w:szCs w:val="18"/>
        </w:rPr>
        <w:t>airment loss” on our Consolidated Statements of Comprehensive (Loss) Income for the year ended October 31, 2020, and is not tax deductible.</w:t>
      </w:r>
    </w:p>
    <w:p w14:paraId="1990EE8A" w14:textId="77777777" w:rsidR="00000000" w:rsidRDefault="001D0688">
      <w:pPr>
        <w:ind w:firstLine="720"/>
        <w:jc w:val="both"/>
        <w:divId w:val="1664963574"/>
        <w:rPr>
          <w:rFonts w:eastAsia="Times New Roman"/>
        </w:rPr>
      </w:pPr>
      <w:r>
        <w:rPr>
          <w:rFonts w:ascii="Arial" w:eastAsia="Times New Roman" w:hAnsi="Arial" w:cs="Arial"/>
          <w:color w:val="000000"/>
          <w:sz w:val="20"/>
          <w:szCs w:val="20"/>
        </w:rPr>
        <w:t>Due to the triggering event identified above arising from the impact of the Pandemic, we first performed a qualitati</w:t>
      </w:r>
      <w:r>
        <w:rPr>
          <w:rFonts w:ascii="Arial" w:eastAsia="Times New Roman" w:hAnsi="Arial" w:cs="Arial"/>
          <w:color w:val="000000"/>
          <w:sz w:val="20"/>
          <w:szCs w:val="20"/>
        </w:rPr>
        <w:t>ve assessment of goodwill to determine whether it was more likely than not that impairment occurred within our goodwill reporting units in the second quarter of 2020. Based on this qualitative assessment, we determined that goodwill impairment was not more</w:t>
      </w:r>
      <w:r>
        <w:rPr>
          <w:rFonts w:ascii="Arial" w:eastAsia="Times New Roman" w:hAnsi="Arial" w:cs="Arial"/>
          <w:color w:val="000000"/>
          <w:sz w:val="20"/>
          <w:szCs w:val="20"/>
        </w:rPr>
        <w:t xml:space="preserve"> likely than not in our goodwill reporting units, except in Education, Aviation, and our U.K. Technical Solutions business. As a result, we performed an interim quantitative impairment test as of March 31, 2020, on these three goodwill reporting units. </w:t>
      </w:r>
    </w:p>
    <w:p w14:paraId="681BD582" w14:textId="77777777" w:rsidR="00000000" w:rsidRDefault="001D0688">
      <w:pPr>
        <w:ind w:firstLine="720"/>
        <w:jc w:val="both"/>
        <w:divId w:val="558053732"/>
        <w:rPr>
          <w:rFonts w:eastAsia="Times New Roman"/>
        </w:rPr>
      </w:pPr>
      <w:r>
        <w:rPr>
          <w:rFonts w:ascii="Arial" w:eastAsia="Times New Roman" w:hAnsi="Arial" w:cs="Arial"/>
          <w:color w:val="000000"/>
          <w:sz w:val="20"/>
          <w:szCs w:val="20"/>
        </w:rPr>
        <w:t>For the three goodwill reporting units tested quantitatively, we estimated the fair value using a weighting of fair values derived from an income approach and a market approach. The income approach incorporates the use of a discounted cash flow method in w</w:t>
      </w:r>
      <w:r>
        <w:rPr>
          <w:rFonts w:ascii="Arial" w:eastAsia="Times New Roman" w:hAnsi="Arial" w:cs="Arial"/>
          <w:color w:val="000000"/>
          <w:sz w:val="20"/>
          <w:szCs w:val="20"/>
        </w:rPr>
        <w:t>hich the estimated future cash flows and terminal value are calculated for each reporting unit and then discounted to present value using an appropriate discount rate. The discount rates utilized in the income approach valuation method are summarized in th</w:t>
      </w:r>
      <w:r>
        <w:rPr>
          <w:rFonts w:ascii="Arial" w:eastAsia="Times New Roman" w:hAnsi="Arial" w:cs="Arial"/>
          <w:color w:val="000000"/>
          <w:sz w:val="20"/>
          <w:szCs w:val="20"/>
        </w:rPr>
        <w:t xml:space="preserve">e table below. </w:t>
      </w:r>
    </w:p>
    <w:tbl>
      <w:tblPr>
        <w:tblW w:w="5000" w:type="pct"/>
        <w:tblCellMar>
          <w:top w:w="15" w:type="dxa"/>
          <w:left w:w="15" w:type="dxa"/>
          <w:bottom w:w="15" w:type="dxa"/>
          <w:right w:w="15" w:type="dxa"/>
        </w:tblCellMar>
        <w:tblLook w:val="04A0" w:firstRow="1" w:lastRow="0" w:firstColumn="1" w:lastColumn="0" w:noHBand="0" w:noVBand="1"/>
      </w:tblPr>
      <w:tblGrid>
        <w:gridCol w:w="60"/>
        <w:gridCol w:w="6293"/>
        <w:gridCol w:w="36"/>
        <w:gridCol w:w="36"/>
        <w:gridCol w:w="36"/>
        <w:gridCol w:w="36"/>
        <w:gridCol w:w="44"/>
        <w:gridCol w:w="1657"/>
        <w:gridCol w:w="36"/>
        <w:gridCol w:w="36"/>
        <w:gridCol w:w="36"/>
      </w:tblGrid>
      <w:tr w:rsidR="00000000" w14:paraId="7A984CCF" w14:textId="77777777">
        <w:trPr>
          <w:divId w:val="1649087679"/>
        </w:trPr>
        <w:tc>
          <w:tcPr>
            <w:tcW w:w="50" w:type="pct"/>
            <w:vAlign w:val="center"/>
            <w:hideMark/>
          </w:tcPr>
          <w:p w14:paraId="0EDAD0F8" w14:textId="77777777" w:rsidR="00000000" w:rsidRDefault="001D0688">
            <w:pPr>
              <w:ind w:firstLine="720"/>
              <w:jc w:val="both"/>
              <w:rPr>
                <w:rFonts w:eastAsia="Times New Roman"/>
              </w:rPr>
            </w:pPr>
          </w:p>
        </w:tc>
        <w:tc>
          <w:tcPr>
            <w:tcW w:w="3833" w:type="pct"/>
            <w:vAlign w:val="center"/>
            <w:hideMark/>
          </w:tcPr>
          <w:p w14:paraId="7B8F6D6B" w14:textId="77777777" w:rsidR="00000000" w:rsidRDefault="001D0688">
            <w:pPr>
              <w:rPr>
                <w:rFonts w:eastAsia="Times New Roman"/>
                <w:sz w:val="20"/>
                <w:szCs w:val="20"/>
              </w:rPr>
            </w:pPr>
          </w:p>
        </w:tc>
        <w:tc>
          <w:tcPr>
            <w:tcW w:w="5" w:type="pct"/>
            <w:vAlign w:val="center"/>
            <w:hideMark/>
          </w:tcPr>
          <w:p w14:paraId="48658BF8" w14:textId="77777777" w:rsidR="00000000" w:rsidRDefault="001D0688">
            <w:pPr>
              <w:rPr>
                <w:rFonts w:eastAsia="Times New Roman"/>
                <w:sz w:val="20"/>
                <w:szCs w:val="20"/>
              </w:rPr>
            </w:pPr>
          </w:p>
        </w:tc>
        <w:tc>
          <w:tcPr>
            <w:tcW w:w="5" w:type="pct"/>
            <w:vAlign w:val="center"/>
            <w:hideMark/>
          </w:tcPr>
          <w:p w14:paraId="7AB78AB9" w14:textId="77777777" w:rsidR="00000000" w:rsidRDefault="001D0688">
            <w:pPr>
              <w:rPr>
                <w:rFonts w:eastAsia="Times New Roman"/>
                <w:sz w:val="20"/>
                <w:szCs w:val="20"/>
              </w:rPr>
            </w:pPr>
          </w:p>
        </w:tc>
        <w:tc>
          <w:tcPr>
            <w:tcW w:w="26" w:type="pct"/>
            <w:vAlign w:val="center"/>
            <w:hideMark/>
          </w:tcPr>
          <w:p w14:paraId="6E51CF0B" w14:textId="77777777" w:rsidR="00000000" w:rsidRDefault="001D0688">
            <w:pPr>
              <w:rPr>
                <w:rFonts w:eastAsia="Times New Roman"/>
                <w:sz w:val="20"/>
                <w:szCs w:val="20"/>
              </w:rPr>
            </w:pPr>
          </w:p>
        </w:tc>
        <w:tc>
          <w:tcPr>
            <w:tcW w:w="5" w:type="pct"/>
            <w:vAlign w:val="center"/>
            <w:hideMark/>
          </w:tcPr>
          <w:p w14:paraId="5380D24E" w14:textId="77777777" w:rsidR="00000000" w:rsidRDefault="001D0688">
            <w:pPr>
              <w:rPr>
                <w:rFonts w:eastAsia="Times New Roman"/>
                <w:sz w:val="20"/>
                <w:szCs w:val="20"/>
              </w:rPr>
            </w:pPr>
          </w:p>
        </w:tc>
        <w:tc>
          <w:tcPr>
            <w:tcW w:w="50" w:type="pct"/>
            <w:vAlign w:val="center"/>
            <w:hideMark/>
          </w:tcPr>
          <w:p w14:paraId="1010D72D" w14:textId="77777777" w:rsidR="00000000" w:rsidRDefault="001D0688">
            <w:pPr>
              <w:rPr>
                <w:rFonts w:eastAsia="Times New Roman"/>
                <w:sz w:val="20"/>
                <w:szCs w:val="20"/>
              </w:rPr>
            </w:pPr>
          </w:p>
        </w:tc>
        <w:tc>
          <w:tcPr>
            <w:tcW w:w="1019" w:type="pct"/>
            <w:vAlign w:val="center"/>
            <w:hideMark/>
          </w:tcPr>
          <w:p w14:paraId="711B8ED8" w14:textId="77777777" w:rsidR="00000000" w:rsidRDefault="001D0688">
            <w:pPr>
              <w:rPr>
                <w:rFonts w:eastAsia="Times New Roman"/>
                <w:sz w:val="20"/>
                <w:szCs w:val="20"/>
              </w:rPr>
            </w:pPr>
          </w:p>
        </w:tc>
        <w:tc>
          <w:tcPr>
            <w:tcW w:w="5" w:type="pct"/>
            <w:vAlign w:val="center"/>
            <w:hideMark/>
          </w:tcPr>
          <w:p w14:paraId="4943E8D5" w14:textId="77777777" w:rsidR="00000000" w:rsidRDefault="001D0688">
            <w:pPr>
              <w:rPr>
                <w:rFonts w:eastAsia="Times New Roman"/>
                <w:sz w:val="20"/>
                <w:szCs w:val="20"/>
              </w:rPr>
            </w:pPr>
          </w:p>
        </w:tc>
        <w:tc>
          <w:tcPr>
            <w:tcW w:w="0" w:type="auto"/>
            <w:vAlign w:val="center"/>
            <w:hideMark/>
          </w:tcPr>
          <w:p w14:paraId="4D4810AA" w14:textId="77777777" w:rsidR="00000000" w:rsidRDefault="001D0688">
            <w:pPr>
              <w:rPr>
                <w:rFonts w:eastAsia="Times New Roman"/>
                <w:sz w:val="20"/>
                <w:szCs w:val="20"/>
              </w:rPr>
            </w:pPr>
          </w:p>
        </w:tc>
        <w:tc>
          <w:tcPr>
            <w:tcW w:w="0" w:type="auto"/>
            <w:vAlign w:val="center"/>
            <w:hideMark/>
          </w:tcPr>
          <w:p w14:paraId="60B42911" w14:textId="77777777" w:rsidR="00000000" w:rsidRDefault="001D0688">
            <w:pPr>
              <w:rPr>
                <w:rFonts w:eastAsia="Times New Roman"/>
                <w:sz w:val="20"/>
                <w:szCs w:val="20"/>
              </w:rPr>
            </w:pPr>
          </w:p>
        </w:tc>
      </w:tr>
      <w:tr w:rsidR="00000000" w14:paraId="21ED4E15" w14:textId="77777777">
        <w:trPr>
          <w:divId w:val="1649087679"/>
        </w:trPr>
        <w:tc>
          <w:tcPr>
            <w:tcW w:w="0" w:type="auto"/>
            <w:gridSpan w:val="3"/>
            <w:tcMar>
              <w:top w:w="0" w:type="dxa"/>
              <w:left w:w="20" w:type="dxa"/>
              <w:bottom w:w="0" w:type="dxa"/>
              <w:right w:w="20" w:type="dxa"/>
            </w:tcMar>
            <w:vAlign w:val="center"/>
            <w:hideMark/>
          </w:tcPr>
          <w:p w14:paraId="3FC7A70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95F548A"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093B174A" w14:textId="77777777" w:rsidR="00000000" w:rsidRDefault="001D0688">
            <w:pPr>
              <w:jc w:val="center"/>
              <w:rPr>
                <w:rFonts w:eastAsia="Times New Roman"/>
              </w:rPr>
            </w:pPr>
            <w:r>
              <w:rPr>
                <w:rFonts w:ascii="Arial" w:eastAsia="Times New Roman" w:hAnsi="Arial" w:cs="Arial"/>
                <w:b/>
                <w:bCs/>
                <w:color w:val="000000"/>
                <w:sz w:val="20"/>
                <w:szCs w:val="20"/>
              </w:rPr>
              <w:t xml:space="preserve">Discount </w:t>
            </w:r>
            <w:r>
              <w:rPr>
                <w:rFonts w:ascii="Arial" w:eastAsia="Times New Roman" w:hAnsi="Arial" w:cs="Arial"/>
                <w:b/>
                <w:bCs/>
                <w:color w:val="000000"/>
                <w:sz w:val="20"/>
                <w:szCs w:val="20"/>
              </w:rPr>
              <w:br/>
              <w:t>Rates</w:t>
            </w:r>
          </w:p>
        </w:tc>
        <w:tc>
          <w:tcPr>
            <w:tcW w:w="0" w:type="auto"/>
            <w:vAlign w:val="center"/>
            <w:hideMark/>
          </w:tcPr>
          <w:p w14:paraId="3AF92D9A" w14:textId="77777777" w:rsidR="00000000" w:rsidRDefault="001D0688">
            <w:pPr>
              <w:jc w:val="center"/>
              <w:rPr>
                <w:rFonts w:eastAsia="Times New Roman"/>
              </w:rPr>
            </w:pPr>
          </w:p>
        </w:tc>
        <w:tc>
          <w:tcPr>
            <w:tcW w:w="0" w:type="auto"/>
            <w:vAlign w:val="center"/>
            <w:hideMark/>
          </w:tcPr>
          <w:p w14:paraId="04573DDF" w14:textId="77777777" w:rsidR="00000000" w:rsidRDefault="001D0688">
            <w:pPr>
              <w:rPr>
                <w:rFonts w:eastAsia="Times New Roman"/>
                <w:sz w:val="20"/>
                <w:szCs w:val="20"/>
              </w:rPr>
            </w:pPr>
          </w:p>
        </w:tc>
      </w:tr>
      <w:tr w:rsidR="00000000" w14:paraId="5527A132" w14:textId="77777777">
        <w:trPr>
          <w:divId w:val="1649087679"/>
        </w:trPr>
        <w:tc>
          <w:tcPr>
            <w:tcW w:w="0" w:type="auto"/>
            <w:gridSpan w:val="3"/>
            <w:shd w:val="clear" w:color="auto" w:fill="DCE2EF"/>
            <w:tcMar>
              <w:top w:w="30" w:type="dxa"/>
              <w:left w:w="20" w:type="dxa"/>
              <w:bottom w:w="30" w:type="dxa"/>
              <w:right w:w="20" w:type="dxa"/>
            </w:tcMar>
            <w:vAlign w:val="bottom"/>
            <w:hideMark/>
          </w:tcPr>
          <w:p w14:paraId="27D94CB4" w14:textId="77777777" w:rsidR="00000000" w:rsidRDefault="001D0688">
            <w:pPr>
              <w:rPr>
                <w:rFonts w:eastAsia="Times New Roman"/>
              </w:rPr>
            </w:pPr>
            <w:r>
              <w:rPr>
                <w:rFonts w:ascii="Arial" w:eastAsia="Times New Roman" w:hAnsi="Arial" w:cs="Arial"/>
                <w:color w:val="000000"/>
                <w:sz w:val="20"/>
                <w:szCs w:val="20"/>
              </w:rPr>
              <w:t>Education</w:t>
            </w:r>
          </w:p>
        </w:tc>
        <w:tc>
          <w:tcPr>
            <w:tcW w:w="0" w:type="auto"/>
            <w:gridSpan w:val="3"/>
            <w:shd w:val="clear" w:color="auto" w:fill="DCE2EF"/>
            <w:tcMar>
              <w:top w:w="0" w:type="dxa"/>
              <w:left w:w="20" w:type="dxa"/>
              <w:bottom w:w="0" w:type="dxa"/>
              <w:right w:w="20" w:type="dxa"/>
            </w:tcMar>
            <w:vAlign w:val="center"/>
            <w:hideMark/>
          </w:tcPr>
          <w:p w14:paraId="56605D65" w14:textId="77777777" w:rsidR="00000000" w:rsidRDefault="001D0688">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9EBDAE2" w14:textId="77777777" w:rsidR="00000000" w:rsidRDefault="001D0688">
            <w:pPr>
              <w:jc w:val="center"/>
              <w:rPr>
                <w:rFonts w:eastAsia="Times New Roman"/>
              </w:rPr>
            </w:pPr>
            <w:r>
              <w:rPr>
                <w:rFonts w:ascii="Arial" w:eastAsia="Times New Roman" w:hAnsi="Arial" w:cs="Arial"/>
                <w:color w:val="000000"/>
                <w:sz w:val="20"/>
                <w:szCs w:val="20"/>
              </w:rPr>
              <w:t>10.0%</w:t>
            </w:r>
          </w:p>
        </w:tc>
        <w:tc>
          <w:tcPr>
            <w:tcW w:w="0" w:type="auto"/>
            <w:vAlign w:val="center"/>
            <w:hideMark/>
          </w:tcPr>
          <w:p w14:paraId="7838FF38" w14:textId="77777777" w:rsidR="00000000" w:rsidRDefault="001D0688">
            <w:pPr>
              <w:jc w:val="center"/>
              <w:rPr>
                <w:rFonts w:eastAsia="Times New Roman"/>
              </w:rPr>
            </w:pPr>
          </w:p>
        </w:tc>
        <w:tc>
          <w:tcPr>
            <w:tcW w:w="0" w:type="auto"/>
            <w:vAlign w:val="center"/>
            <w:hideMark/>
          </w:tcPr>
          <w:p w14:paraId="3DA3EF7F" w14:textId="77777777" w:rsidR="00000000" w:rsidRDefault="001D0688">
            <w:pPr>
              <w:rPr>
                <w:rFonts w:eastAsia="Times New Roman"/>
                <w:sz w:val="20"/>
                <w:szCs w:val="20"/>
              </w:rPr>
            </w:pPr>
          </w:p>
        </w:tc>
      </w:tr>
      <w:tr w:rsidR="00000000" w14:paraId="1387078E" w14:textId="77777777">
        <w:trPr>
          <w:divId w:val="1649087679"/>
        </w:trPr>
        <w:tc>
          <w:tcPr>
            <w:tcW w:w="0" w:type="auto"/>
            <w:gridSpan w:val="3"/>
            <w:shd w:val="clear" w:color="auto" w:fill="FFFFFF"/>
            <w:tcMar>
              <w:top w:w="30" w:type="dxa"/>
              <w:left w:w="20" w:type="dxa"/>
              <w:bottom w:w="30" w:type="dxa"/>
              <w:right w:w="20" w:type="dxa"/>
            </w:tcMar>
            <w:vAlign w:val="bottom"/>
            <w:hideMark/>
          </w:tcPr>
          <w:p w14:paraId="6C5FCEA2" w14:textId="77777777" w:rsidR="00000000" w:rsidRDefault="001D0688">
            <w:pPr>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14:paraId="32870407"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B25F08" w14:textId="77777777" w:rsidR="00000000" w:rsidRDefault="001D0688">
            <w:pPr>
              <w:jc w:val="center"/>
              <w:rPr>
                <w:rFonts w:eastAsia="Times New Roman"/>
              </w:rPr>
            </w:pPr>
            <w:r>
              <w:rPr>
                <w:rFonts w:ascii="Arial" w:eastAsia="Times New Roman" w:hAnsi="Arial" w:cs="Arial"/>
                <w:color w:val="000000"/>
                <w:sz w:val="20"/>
                <w:szCs w:val="20"/>
              </w:rPr>
              <w:t>10.5%</w:t>
            </w:r>
          </w:p>
        </w:tc>
        <w:tc>
          <w:tcPr>
            <w:tcW w:w="0" w:type="auto"/>
            <w:vAlign w:val="center"/>
            <w:hideMark/>
          </w:tcPr>
          <w:p w14:paraId="55F46B41" w14:textId="77777777" w:rsidR="00000000" w:rsidRDefault="001D0688">
            <w:pPr>
              <w:jc w:val="center"/>
              <w:rPr>
                <w:rFonts w:eastAsia="Times New Roman"/>
              </w:rPr>
            </w:pPr>
          </w:p>
        </w:tc>
        <w:tc>
          <w:tcPr>
            <w:tcW w:w="0" w:type="auto"/>
            <w:vAlign w:val="center"/>
            <w:hideMark/>
          </w:tcPr>
          <w:p w14:paraId="1CC3830B" w14:textId="77777777" w:rsidR="00000000" w:rsidRDefault="001D0688">
            <w:pPr>
              <w:rPr>
                <w:rFonts w:eastAsia="Times New Roman"/>
                <w:sz w:val="20"/>
                <w:szCs w:val="20"/>
              </w:rPr>
            </w:pPr>
          </w:p>
        </w:tc>
      </w:tr>
      <w:tr w:rsidR="00000000" w14:paraId="2739E395" w14:textId="77777777">
        <w:trPr>
          <w:divId w:val="1649087679"/>
        </w:trPr>
        <w:tc>
          <w:tcPr>
            <w:tcW w:w="0" w:type="auto"/>
            <w:gridSpan w:val="3"/>
            <w:shd w:val="clear" w:color="auto" w:fill="DCE2EF"/>
            <w:tcMar>
              <w:top w:w="30" w:type="dxa"/>
              <w:left w:w="20" w:type="dxa"/>
              <w:bottom w:w="30" w:type="dxa"/>
              <w:right w:w="20" w:type="dxa"/>
            </w:tcMar>
            <w:vAlign w:val="bottom"/>
            <w:hideMark/>
          </w:tcPr>
          <w:p w14:paraId="3E397BCC" w14:textId="77777777" w:rsidR="00000000" w:rsidRDefault="001D0688">
            <w:pPr>
              <w:rPr>
                <w:rFonts w:eastAsia="Times New Roman"/>
              </w:rPr>
            </w:pPr>
            <w:r>
              <w:rPr>
                <w:rFonts w:ascii="Arial" w:eastAsia="Times New Roman" w:hAnsi="Arial" w:cs="Arial"/>
                <w:color w:val="000000"/>
                <w:sz w:val="20"/>
                <w:szCs w:val="20"/>
              </w:rPr>
              <w:t>Technical Solutions</w:t>
            </w:r>
          </w:p>
        </w:tc>
        <w:tc>
          <w:tcPr>
            <w:tcW w:w="0" w:type="auto"/>
            <w:gridSpan w:val="3"/>
            <w:shd w:val="clear" w:color="auto" w:fill="DCE2EF"/>
            <w:tcMar>
              <w:top w:w="0" w:type="dxa"/>
              <w:left w:w="20" w:type="dxa"/>
              <w:bottom w:w="0" w:type="dxa"/>
              <w:right w:w="20" w:type="dxa"/>
            </w:tcMar>
            <w:vAlign w:val="center"/>
            <w:hideMark/>
          </w:tcPr>
          <w:p w14:paraId="3E4F1734"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B39F46A" w14:textId="77777777" w:rsidR="00000000" w:rsidRDefault="001D0688">
            <w:pPr>
              <w:jc w:val="center"/>
              <w:rPr>
                <w:rFonts w:eastAsia="Times New Roman"/>
              </w:rPr>
            </w:pPr>
            <w:r>
              <w:rPr>
                <w:rFonts w:ascii="Arial" w:eastAsia="Times New Roman" w:hAnsi="Arial" w:cs="Arial"/>
                <w:color w:val="000000"/>
                <w:sz w:val="20"/>
                <w:szCs w:val="20"/>
              </w:rPr>
              <w:t>11.0%</w:t>
            </w:r>
          </w:p>
        </w:tc>
        <w:tc>
          <w:tcPr>
            <w:tcW w:w="0" w:type="auto"/>
            <w:vAlign w:val="center"/>
            <w:hideMark/>
          </w:tcPr>
          <w:p w14:paraId="79626E21" w14:textId="77777777" w:rsidR="00000000" w:rsidRDefault="001D0688">
            <w:pPr>
              <w:jc w:val="center"/>
              <w:rPr>
                <w:rFonts w:eastAsia="Times New Roman"/>
              </w:rPr>
            </w:pPr>
          </w:p>
        </w:tc>
        <w:tc>
          <w:tcPr>
            <w:tcW w:w="0" w:type="auto"/>
            <w:vAlign w:val="center"/>
            <w:hideMark/>
          </w:tcPr>
          <w:p w14:paraId="5027F048" w14:textId="77777777" w:rsidR="00000000" w:rsidRDefault="001D0688">
            <w:pPr>
              <w:rPr>
                <w:rFonts w:eastAsia="Times New Roman"/>
                <w:sz w:val="20"/>
                <w:szCs w:val="20"/>
              </w:rPr>
            </w:pPr>
          </w:p>
        </w:tc>
      </w:tr>
    </w:tbl>
    <w:p w14:paraId="72DC9468" w14:textId="77777777" w:rsidR="00000000" w:rsidRDefault="001D0688">
      <w:pPr>
        <w:jc w:val="both"/>
        <w:divId w:val="1624270242"/>
        <w:rPr>
          <w:rFonts w:eastAsia="Times New Roman"/>
        </w:rPr>
      </w:pPr>
      <w:r>
        <w:rPr>
          <w:rFonts w:ascii="Arial" w:eastAsia="Times New Roman" w:hAnsi="Arial" w:cs="Arial"/>
          <w:color w:val="000000"/>
          <w:sz w:val="20"/>
          <w:szCs w:val="20"/>
        </w:rPr>
        <w:t>The market approach estimates the fair value of a reporting unit by using market comparables for reasonably similar public companies and a control premium of 15.0%.</w:t>
      </w:r>
    </w:p>
    <w:p w14:paraId="13364C5A" w14:textId="77777777" w:rsidR="00000000" w:rsidRDefault="001D0688">
      <w:pPr>
        <w:ind w:firstLine="720"/>
        <w:jc w:val="both"/>
        <w:divId w:val="703871649"/>
        <w:rPr>
          <w:rFonts w:eastAsia="Times New Roman"/>
        </w:rPr>
      </w:pPr>
      <w:r>
        <w:rPr>
          <w:rFonts w:ascii="Arial" w:eastAsia="Times New Roman" w:hAnsi="Arial" w:cs="Arial"/>
          <w:color w:val="000000"/>
          <w:sz w:val="20"/>
          <w:szCs w:val="20"/>
        </w:rPr>
        <w:t>The valuation of our reporting units requires significant judgment in evaluating recent ind</w:t>
      </w:r>
      <w:r>
        <w:rPr>
          <w:rFonts w:ascii="Arial" w:eastAsia="Times New Roman" w:hAnsi="Arial" w:cs="Arial"/>
          <w:color w:val="000000"/>
          <w:sz w:val="20"/>
          <w:szCs w:val="20"/>
        </w:rPr>
        <w:t>icators of market activity and estimated future cash flows, discount rates, and other factors. Our impairment analyses contain inherent uncertainties due to uncontrollable events that could positively or negatively impact anticipated future economic and op</w:t>
      </w:r>
      <w:r>
        <w:rPr>
          <w:rFonts w:ascii="Arial" w:eastAsia="Times New Roman" w:hAnsi="Arial" w:cs="Arial"/>
          <w:color w:val="000000"/>
          <w:sz w:val="20"/>
          <w:szCs w:val="20"/>
        </w:rPr>
        <w:t>erating conditions. In making these estimates, the weighted-average cost of capital is utilized to calculate the present value of future cash flows and terminal value. Many variables go into estimating future cash flows, including estimates of our future r</w:t>
      </w:r>
      <w:r>
        <w:rPr>
          <w:rFonts w:ascii="Arial" w:eastAsia="Times New Roman" w:hAnsi="Arial" w:cs="Arial"/>
          <w:color w:val="000000"/>
          <w:sz w:val="20"/>
          <w:szCs w:val="20"/>
        </w:rPr>
        <w:t>evenue growth and operating results. When estimating our projected revenue growth and future operating results, we consider industry trends, economic data, and our competitive advantage. If future cash flows or future growth rates vary from what is expecte</w:t>
      </w:r>
      <w:r>
        <w:rPr>
          <w:rFonts w:ascii="Arial" w:eastAsia="Times New Roman" w:hAnsi="Arial" w:cs="Arial"/>
          <w:color w:val="000000"/>
          <w:sz w:val="20"/>
          <w:szCs w:val="20"/>
        </w:rPr>
        <w:t xml:space="preserve">d, including those assumptions relating to the duration and severity of the Pandemic, this may reduce the underlying cash flows used to estimate fair values and result in a further decline in fair value, which may trigger future impairment charges. </w:t>
      </w:r>
    </w:p>
    <w:p w14:paraId="251BC1D5" w14:textId="77777777" w:rsidR="00000000" w:rsidRDefault="001D0688">
      <w:pPr>
        <w:ind w:firstLine="720"/>
        <w:jc w:val="both"/>
        <w:divId w:val="1463428628"/>
        <w:rPr>
          <w:rFonts w:eastAsia="Times New Roman"/>
        </w:rPr>
      </w:pPr>
    </w:p>
    <w:p w14:paraId="34E7D781" w14:textId="77777777" w:rsidR="00000000" w:rsidRDefault="001D0688">
      <w:pPr>
        <w:jc w:val="center"/>
        <w:divId w:val="1548712940"/>
        <w:rPr>
          <w:rFonts w:eastAsia="Times New Roman"/>
        </w:rPr>
      </w:pPr>
      <w:r>
        <w:rPr>
          <w:rFonts w:ascii="Arial" w:eastAsia="Times New Roman" w:hAnsi="Arial" w:cs="Arial"/>
          <w:color w:val="000000"/>
          <w:sz w:val="20"/>
          <w:szCs w:val="20"/>
        </w:rPr>
        <w:t>77</w:t>
      </w:r>
    </w:p>
    <w:p w14:paraId="3D434282" w14:textId="77777777" w:rsidR="00000000" w:rsidRDefault="001D0688">
      <w:pPr>
        <w:rPr>
          <w:rFonts w:eastAsia="Times New Roman"/>
        </w:rPr>
      </w:pPr>
      <w:r>
        <w:rPr>
          <w:rFonts w:eastAsia="Times New Roman"/>
        </w:rPr>
        <w:pict w14:anchorId="77DDCA2C">
          <v:rect id="_x0000_i1114" style="width:0;height:1.5pt" o:hralign="center" o:hrstd="t" o:hr="t" fillcolor="#a0a0a0" stroked="f"/>
        </w:pict>
      </w:r>
    </w:p>
    <w:p w14:paraId="585B5C7A" w14:textId="77777777" w:rsidR="00000000" w:rsidRDefault="001D0688">
      <w:pPr>
        <w:divId w:val="761797215"/>
        <w:rPr>
          <w:rFonts w:eastAsia="Times New Roman"/>
        </w:rPr>
      </w:pPr>
    </w:p>
    <w:p w14:paraId="43F799B3" w14:textId="77777777" w:rsidR="00000000" w:rsidRDefault="001D0688">
      <w:pPr>
        <w:ind w:firstLine="720"/>
        <w:jc w:val="both"/>
        <w:divId w:val="257905821"/>
        <w:rPr>
          <w:rFonts w:eastAsia="Times New Roman"/>
        </w:rPr>
      </w:pPr>
    </w:p>
    <w:p w14:paraId="0CD038A7" w14:textId="77777777" w:rsidR="00000000" w:rsidRDefault="001D0688">
      <w:pPr>
        <w:divId w:val="520437073"/>
        <w:rPr>
          <w:rFonts w:eastAsia="Times New Roman"/>
        </w:rPr>
      </w:pPr>
      <w:r>
        <w:rPr>
          <w:rFonts w:ascii="Arial" w:eastAsia="Times New Roman" w:hAnsi="Arial" w:cs="Arial"/>
          <w:b/>
          <w:bCs/>
          <w:color w:val="0046AD"/>
          <w:sz w:val="20"/>
          <w:szCs w:val="20"/>
        </w:rPr>
        <w:t>Other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224"/>
        <w:gridCol w:w="36"/>
        <w:gridCol w:w="122"/>
        <w:gridCol w:w="694"/>
        <w:gridCol w:w="36"/>
        <w:gridCol w:w="36"/>
        <w:gridCol w:w="36"/>
        <w:gridCol w:w="36"/>
        <w:gridCol w:w="122"/>
        <w:gridCol w:w="1066"/>
        <w:gridCol w:w="36"/>
        <w:gridCol w:w="36"/>
        <w:gridCol w:w="36"/>
        <w:gridCol w:w="36"/>
        <w:gridCol w:w="121"/>
        <w:gridCol w:w="501"/>
        <w:gridCol w:w="36"/>
        <w:gridCol w:w="36"/>
        <w:gridCol w:w="36"/>
        <w:gridCol w:w="36"/>
        <w:gridCol w:w="122"/>
        <w:gridCol w:w="694"/>
        <w:gridCol w:w="36"/>
        <w:gridCol w:w="36"/>
        <w:gridCol w:w="36"/>
        <w:gridCol w:w="36"/>
        <w:gridCol w:w="122"/>
        <w:gridCol w:w="1066"/>
        <w:gridCol w:w="36"/>
        <w:gridCol w:w="36"/>
        <w:gridCol w:w="36"/>
        <w:gridCol w:w="36"/>
        <w:gridCol w:w="121"/>
        <w:gridCol w:w="501"/>
        <w:gridCol w:w="36"/>
      </w:tblGrid>
      <w:tr w:rsidR="00000000" w14:paraId="3D99929E" w14:textId="77777777">
        <w:trPr>
          <w:divId w:val="1158349069"/>
          <w:jc w:val="center"/>
        </w:trPr>
        <w:tc>
          <w:tcPr>
            <w:tcW w:w="50" w:type="pct"/>
            <w:vAlign w:val="center"/>
            <w:hideMark/>
          </w:tcPr>
          <w:p w14:paraId="2B1A233B" w14:textId="77777777" w:rsidR="00000000" w:rsidRDefault="001D0688">
            <w:pPr>
              <w:rPr>
                <w:rFonts w:eastAsia="Times New Roman"/>
              </w:rPr>
            </w:pPr>
          </w:p>
        </w:tc>
        <w:tc>
          <w:tcPr>
            <w:tcW w:w="1618" w:type="pct"/>
            <w:vAlign w:val="center"/>
            <w:hideMark/>
          </w:tcPr>
          <w:p w14:paraId="24C649A1" w14:textId="77777777" w:rsidR="00000000" w:rsidRDefault="001D0688">
            <w:pPr>
              <w:rPr>
                <w:rFonts w:eastAsia="Times New Roman"/>
                <w:sz w:val="20"/>
                <w:szCs w:val="20"/>
              </w:rPr>
            </w:pPr>
          </w:p>
        </w:tc>
        <w:tc>
          <w:tcPr>
            <w:tcW w:w="5" w:type="pct"/>
            <w:vAlign w:val="center"/>
            <w:hideMark/>
          </w:tcPr>
          <w:p w14:paraId="66036BFE" w14:textId="77777777" w:rsidR="00000000" w:rsidRDefault="001D0688">
            <w:pPr>
              <w:rPr>
                <w:rFonts w:eastAsia="Times New Roman"/>
                <w:sz w:val="20"/>
                <w:szCs w:val="20"/>
              </w:rPr>
            </w:pPr>
          </w:p>
        </w:tc>
        <w:tc>
          <w:tcPr>
            <w:tcW w:w="50" w:type="pct"/>
            <w:vAlign w:val="center"/>
            <w:hideMark/>
          </w:tcPr>
          <w:p w14:paraId="2C52EC8E" w14:textId="77777777" w:rsidR="00000000" w:rsidRDefault="001D0688">
            <w:pPr>
              <w:rPr>
                <w:rFonts w:eastAsia="Times New Roman"/>
                <w:sz w:val="20"/>
                <w:szCs w:val="20"/>
              </w:rPr>
            </w:pPr>
          </w:p>
        </w:tc>
        <w:tc>
          <w:tcPr>
            <w:tcW w:w="434" w:type="pct"/>
            <w:vAlign w:val="center"/>
            <w:hideMark/>
          </w:tcPr>
          <w:p w14:paraId="0449D20A" w14:textId="77777777" w:rsidR="00000000" w:rsidRDefault="001D0688">
            <w:pPr>
              <w:rPr>
                <w:rFonts w:eastAsia="Times New Roman"/>
                <w:sz w:val="20"/>
                <w:szCs w:val="20"/>
              </w:rPr>
            </w:pPr>
          </w:p>
        </w:tc>
        <w:tc>
          <w:tcPr>
            <w:tcW w:w="5" w:type="pct"/>
            <w:vAlign w:val="center"/>
            <w:hideMark/>
          </w:tcPr>
          <w:p w14:paraId="1F0B83EE" w14:textId="77777777" w:rsidR="00000000" w:rsidRDefault="001D0688">
            <w:pPr>
              <w:rPr>
                <w:rFonts w:eastAsia="Times New Roman"/>
                <w:sz w:val="20"/>
                <w:szCs w:val="20"/>
              </w:rPr>
            </w:pPr>
          </w:p>
        </w:tc>
        <w:tc>
          <w:tcPr>
            <w:tcW w:w="5" w:type="pct"/>
            <w:vAlign w:val="center"/>
            <w:hideMark/>
          </w:tcPr>
          <w:p w14:paraId="17D10114" w14:textId="77777777" w:rsidR="00000000" w:rsidRDefault="001D0688">
            <w:pPr>
              <w:rPr>
                <w:rFonts w:eastAsia="Times New Roman"/>
                <w:sz w:val="20"/>
                <w:szCs w:val="20"/>
              </w:rPr>
            </w:pPr>
          </w:p>
        </w:tc>
        <w:tc>
          <w:tcPr>
            <w:tcW w:w="26" w:type="pct"/>
            <w:vAlign w:val="center"/>
            <w:hideMark/>
          </w:tcPr>
          <w:p w14:paraId="482317E9" w14:textId="77777777" w:rsidR="00000000" w:rsidRDefault="001D0688">
            <w:pPr>
              <w:rPr>
                <w:rFonts w:eastAsia="Times New Roman"/>
                <w:sz w:val="20"/>
                <w:szCs w:val="20"/>
              </w:rPr>
            </w:pPr>
          </w:p>
        </w:tc>
        <w:tc>
          <w:tcPr>
            <w:tcW w:w="5" w:type="pct"/>
            <w:vAlign w:val="center"/>
            <w:hideMark/>
          </w:tcPr>
          <w:p w14:paraId="05590F9A" w14:textId="77777777" w:rsidR="00000000" w:rsidRDefault="001D0688">
            <w:pPr>
              <w:rPr>
                <w:rFonts w:eastAsia="Times New Roman"/>
                <w:sz w:val="20"/>
                <w:szCs w:val="20"/>
              </w:rPr>
            </w:pPr>
          </w:p>
        </w:tc>
        <w:tc>
          <w:tcPr>
            <w:tcW w:w="50" w:type="pct"/>
            <w:vAlign w:val="center"/>
            <w:hideMark/>
          </w:tcPr>
          <w:p w14:paraId="44B84523" w14:textId="77777777" w:rsidR="00000000" w:rsidRDefault="001D0688">
            <w:pPr>
              <w:rPr>
                <w:rFonts w:eastAsia="Times New Roman"/>
                <w:sz w:val="20"/>
                <w:szCs w:val="20"/>
              </w:rPr>
            </w:pPr>
          </w:p>
        </w:tc>
        <w:tc>
          <w:tcPr>
            <w:tcW w:w="559" w:type="pct"/>
            <w:vAlign w:val="center"/>
            <w:hideMark/>
          </w:tcPr>
          <w:p w14:paraId="6C412069" w14:textId="77777777" w:rsidR="00000000" w:rsidRDefault="001D0688">
            <w:pPr>
              <w:rPr>
                <w:rFonts w:eastAsia="Times New Roman"/>
                <w:sz w:val="20"/>
                <w:szCs w:val="20"/>
              </w:rPr>
            </w:pPr>
          </w:p>
        </w:tc>
        <w:tc>
          <w:tcPr>
            <w:tcW w:w="5" w:type="pct"/>
            <w:vAlign w:val="center"/>
            <w:hideMark/>
          </w:tcPr>
          <w:p w14:paraId="19854E0A" w14:textId="77777777" w:rsidR="00000000" w:rsidRDefault="001D0688">
            <w:pPr>
              <w:rPr>
                <w:rFonts w:eastAsia="Times New Roman"/>
                <w:sz w:val="20"/>
                <w:szCs w:val="20"/>
              </w:rPr>
            </w:pPr>
          </w:p>
        </w:tc>
        <w:tc>
          <w:tcPr>
            <w:tcW w:w="5" w:type="pct"/>
            <w:vAlign w:val="center"/>
            <w:hideMark/>
          </w:tcPr>
          <w:p w14:paraId="2A0F8CB5" w14:textId="77777777" w:rsidR="00000000" w:rsidRDefault="001D0688">
            <w:pPr>
              <w:rPr>
                <w:rFonts w:eastAsia="Times New Roman"/>
                <w:sz w:val="20"/>
                <w:szCs w:val="20"/>
              </w:rPr>
            </w:pPr>
          </w:p>
        </w:tc>
        <w:tc>
          <w:tcPr>
            <w:tcW w:w="26" w:type="pct"/>
            <w:vAlign w:val="center"/>
            <w:hideMark/>
          </w:tcPr>
          <w:p w14:paraId="3195C2A3" w14:textId="77777777" w:rsidR="00000000" w:rsidRDefault="001D0688">
            <w:pPr>
              <w:rPr>
                <w:rFonts w:eastAsia="Times New Roman"/>
                <w:sz w:val="20"/>
                <w:szCs w:val="20"/>
              </w:rPr>
            </w:pPr>
          </w:p>
        </w:tc>
        <w:tc>
          <w:tcPr>
            <w:tcW w:w="5" w:type="pct"/>
            <w:vAlign w:val="center"/>
            <w:hideMark/>
          </w:tcPr>
          <w:p w14:paraId="5958BA9C" w14:textId="77777777" w:rsidR="00000000" w:rsidRDefault="001D0688">
            <w:pPr>
              <w:rPr>
                <w:rFonts w:eastAsia="Times New Roman"/>
                <w:sz w:val="20"/>
                <w:szCs w:val="20"/>
              </w:rPr>
            </w:pPr>
          </w:p>
        </w:tc>
        <w:tc>
          <w:tcPr>
            <w:tcW w:w="50" w:type="pct"/>
            <w:vAlign w:val="center"/>
            <w:hideMark/>
          </w:tcPr>
          <w:p w14:paraId="3BFBD2E1" w14:textId="77777777" w:rsidR="00000000" w:rsidRDefault="001D0688">
            <w:pPr>
              <w:rPr>
                <w:rFonts w:eastAsia="Times New Roman"/>
                <w:sz w:val="20"/>
                <w:szCs w:val="20"/>
              </w:rPr>
            </w:pPr>
          </w:p>
        </w:tc>
        <w:tc>
          <w:tcPr>
            <w:tcW w:w="412" w:type="pct"/>
            <w:vAlign w:val="center"/>
            <w:hideMark/>
          </w:tcPr>
          <w:p w14:paraId="46D5E445" w14:textId="77777777" w:rsidR="00000000" w:rsidRDefault="001D0688">
            <w:pPr>
              <w:rPr>
                <w:rFonts w:eastAsia="Times New Roman"/>
                <w:sz w:val="20"/>
                <w:szCs w:val="20"/>
              </w:rPr>
            </w:pPr>
          </w:p>
        </w:tc>
        <w:tc>
          <w:tcPr>
            <w:tcW w:w="5" w:type="pct"/>
            <w:vAlign w:val="center"/>
            <w:hideMark/>
          </w:tcPr>
          <w:p w14:paraId="16A2FF70" w14:textId="77777777" w:rsidR="00000000" w:rsidRDefault="001D0688">
            <w:pPr>
              <w:rPr>
                <w:rFonts w:eastAsia="Times New Roman"/>
                <w:sz w:val="20"/>
                <w:szCs w:val="20"/>
              </w:rPr>
            </w:pPr>
          </w:p>
        </w:tc>
        <w:tc>
          <w:tcPr>
            <w:tcW w:w="5" w:type="pct"/>
            <w:vAlign w:val="center"/>
            <w:hideMark/>
          </w:tcPr>
          <w:p w14:paraId="062E3366" w14:textId="77777777" w:rsidR="00000000" w:rsidRDefault="001D0688">
            <w:pPr>
              <w:rPr>
                <w:rFonts w:eastAsia="Times New Roman"/>
                <w:sz w:val="20"/>
                <w:szCs w:val="20"/>
              </w:rPr>
            </w:pPr>
          </w:p>
        </w:tc>
        <w:tc>
          <w:tcPr>
            <w:tcW w:w="26" w:type="pct"/>
            <w:vAlign w:val="center"/>
            <w:hideMark/>
          </w:tcPr>
          <w:p w14:paraId="35767D03" w14:textId="77777777" w:rsidR="00000000" w:rsidRDefault="001D0688">
            <w:pPr>
              <w:rPr>
                <w:rFonts w:eastAsia="Times New Roman"/>
                <w:sz w:val="20"/>
                <w:szCs w:val="20"/>
              </w:rPr>
            </w:pPr>
          </w:p>
        </w:tc>
        <w:tc>
          <w:tcPr>
            <w:tcW w:w="5" w:type="pct"/>
            <w:vAlign w:val="center"/>
            <w:hideMark/>
          </w:tcPr>
          <w:p w14:paraId="1DA6B555" w14:textId="77777777" w:rsidR="00000000" w:rsidRDefault="001D0688">
            <w:pPr>
              <w:rPr>
                <w:rFonts w:eastAsia="Times New Roman"/>
                <w:sz w:val="20"/>
                <w:szCs w:val="20"/>
              </w:rPr>
            </w:pPr>
          </w:p>
        </w:tc>
        <w:tc>
          <w:tcPr>
            <w:tcW w:w="50" w:type="pct"/>
            <w:vAlign w:val="center"/>
            <w:hideMark/>
          </w:tcPr>
          <w:p w14:paraId="1F873E2B" w14:textId="77777777" w:rsidR="00000000" w:rsidRDefault="001D0688">
            <w:pPr>
              <w:rPr>
                <w:rFonts w:eastAsia="Times New Roman"/>
                <w:sz w:val="20"/>
                <w:szCs w:val="20"/>
              </w:rPr>
            </w:pPr>
          </w:p>
        </w:tc>
        <w:tc>
          <w:tcPr>
            <w:tcW w:w="434" w:type="pct"/>
            <w:vAlign w:val="center"/>
            <w:hideMark/>
          </w:tcPr>
          <w:p w14:paraId="2268CB9E" w14:textId="77777777" w:rsidR="00000000" w:rsidRDefault="001D0688">
            <w:pPr>
              <w:rPr>
                <w:rFonts w:eastAsia="Times New Roman"/>
                <w:sz w:val="20"/>
                <w:szCs w:val="20"/>
              </w:rPr>
            </w:pPr>
          </w:p>
        </w:tc>
        <w:tc>
          <w:tcPr>
            <w:tcW w:w="5" w:type="pct"/>
            <w:vAlign w:val="center"/>
            <w:hideMark/>
          </w:tcPr>
          <w:p w14:paraId="295837A1" w14:textId="77777777" w:rsidR="00000000" w:rsidRDefault="001D0688">
            <w:pPr>
              <w:rPr>
                <w:rFonts w:eastAsia="Times New Roman"/>
                <w:sz w:val="20"/>
                <w:szCs w:val="20"/>
              </w:rPr>
            </w:pPr>
          </w:p>
        </w:tc>
        <w:tc>
          <w:tcPr>
            <w:tcW w:w="5" w:type="pct"/>
            <w:vAlign w:val="center"/>
            <w:hideMark/>
          </w:tcPr>
          <w:p w14:paraId="385ADD0D" w14:textId="77777777" w:rsidR="00000000" w:rsidRDefault="001D0688">
            <w:pPr>
              <w:rPr>
                <w:rFonts w:eastAsia="Times New Roman"/>
                <w:sz w:val="20"/>
                <w:szCs w:val="20"/>
              </w:rPr>
            </w:pPr>
          </w:p>
        </w:tc>
        <w:tc>
          <w:tcPr>
            <w:tcW w:w="26" w:type="pct"/>
            <w:vAlign w:val="center"/>
            <w:hideMark/>
          </w:tcPr>
          <w:p w14:paraId="10DF1318" w14:textId="77777777" w:rsidR="00000000" w:rsidRDefault="001D0688">
            <w:pPr>
              <w:rPr>
                <w:rFonts w:eastAsia="Times New Roman"/>
                <w:sz w:val="20"/>
                <w:szCs w:val="20"/>
              </w:rPr>
            </w:pPr>
          </w:p>
        </w:tc>
        <w:tc>
          <w:tcPr>
            <w:tcW w:w="5" w:type="pct"/>
            <w:vAlign w:val="center"/>
            <w:hideMark/>
          </w:tcPr>
          <w:p w14:paraId="58EC2B40" w14:textId="77777777" w:rsidR="00000000" w:rsidRDefault="001D0688">
            <w:pPr>
              <w:rPr>
                <w:rFonts w:eastAsia="Times New Roman"/>
                <w:sz w:val="20"/>
                <w:szCs w:val="20"/>
              </w:rPr>
            </w:pPr>
          </w:p>
        </w:tc>
        <w:tc>
          <w:tcPr>
            <w:tcW w:w="50" w:type="pct"/>
            <w:vAlign w:val="center"/>
            <w:hideMark/>
          </w:tcPr>
          <w:p w14:paraId="7744248B" w14:textId="77777777" w:rsidR="00000000" w:rsidRDefault="001D0688">
            <w:pPr>
              <w:rPr>
                <w:rFonts w:eastAsia="Times New Roman"/>
                <w:sz w:val="20"/>
                <w:szCs w:val="20"/>
              </w:rPr>
            </w:pPr>
          </w:p>
        </w:tc>
        <w:tc>
          <w:tcPr>
            <w:tcW w:w="559" w:type="pct"/>
            <w:vAlign w:val="center"/>
            <w:hideMark/>
          </w:tcPr>
          <w:p w14:paraId="0C3AD0BA" w14:textId="77777777" w:rsidR="00000000" w:rsidRDefault="001D0688">
            <w:pPr>
              <w:rPr>
                <w:rFonts w:eastAsia="Times New Roman"/>
                <w:sz w:val="20"/>
                <w:szCs w:val="20"/>
              </w:rPr>
            </w:pPr>
          </w:p>
        </w:tc>
        <w:tc>
          <w:tcPr>
            <w:tcW w:w="5" w:type="pct"/>
            <w:vAlign w:val="center"/>
            <w:hideMark/>
          </w:tcPr>
          <w:p w14:paraId="47661629" w14:textId="77777777" w:rsidR="00000000" w:rsidRDefault="001D0688">
            <w:pPr>
              <w:rPr>
                <w:rFonts w:eastAsia="Times New Roman"/>
                <w:sz w:val="20"/>
                <w:szCs w:val="20"/>
              </w:rPr>
            </w:pPr>
          </w:p>
        </w:tc>
        <w:tc>
          <w:tcPr>
            <w:tcW w:w="5" w:type="pct"/>
            <w:vAlign w:val="center"/>
            <w:hideMark/>
          </w:tcPr>
          <w:p w14:paraId="326CEB47" w14:textId="77777777" w:rsidR="00000000" w:rsidRDefault="001D0688">
            <w:pPr>
              <w:rPr>
                <w:rFonts w:eastAsia="Times New Roman"/>
                <w:sz w:val="20"/>
                <w:szCs w:val="20"/>
              </w:rPr>
            </w:pPr>
          </w:p>
        </w:tc>
        <w:tc>
          <w:tcPr>
            <w:tcW w:w="26" w:type="pct"/>
            <w:vAlign w:val="center"/>
            <w:hideMark/>
          </w:tcPr>
          <w:p w14:paraId="178AC81B" w14:textId="77777777" w:rsidR="00000000" w:rsidRDefault="001D0688">
            <w:pPr>
              <w:rPr>
                <w:rFonts w:eastAsia="Times New Roman"/>
                <w:sz w:val="20"/>
                <w:szCs w:val="20"/>
              </w:rPr>
            </w:pPr>
          </w:p>
        </w:tc>
        <w:tc>
          <w:tcPr>
            <w:tcW w:w="5" w:type="pct"/>
            <w:vAlign w:val="center"/>
            <w:hideMark/>
          </w:tcPr>
          <w:p w14:paraId="422B67F5" w14:textId="77777777" w:rsidR="00000000" w:rsidRDefault="001D0688">
            <w:pPr>
              <w:rPr>
                <w:rFonts w:eastAsia="Times New Roman"/>
                <w:sz w:val="20"/>
                <w:szCs w:val="20"/>
              </w:rPr>
            </w:pPr>
          </w:p>
        </w:tc>
        <w:tc>
          <w:tcPr>
            <w:tcW w:w="50" w:type="pct"/>
            <w:vAlign w:val="center"/>
            <w:hideMark/>
          </w:tcPr>
          <w:p w14:paraId="16400C08" w14:textId="77777777" w:rsidR="00000000" w:rsidRDefault="001D0688">
            <w:pPr>
              <w:rPr>
                <w:rFonts w:eastAsia="Times New Roman"/>
                <w:sz w:val="20"/>
                <w:szCs w:val="20"/>
              </w:rPr>
            </w:pPr>
          </w:p>
        </w:tc>
        <w:tc>
          <w:tcPr>
            <w:tcW w:w="413" w:type="pct"/>
            <w:vAlign w:val="center"/>
            <w:hideMark/>
          </w:tcPr>
          <w:p w14:paraId="321A4335" w14:textId="77777777" w:rsidR="00000000" w:rsidRDefault="001D0688">
            <w:pPr>
              <w:rPr>
                <w:rFonts w:eastAsia="Times New Roman"/>
                <w:sz w:val="20"/>
                <w:szCs w:val="20"/>
              </w:rPr>
            </w:pPr>
          </w:p>
        </w:tc>
        <w:tc>
          <w:tcPr>
            <w:tcW w:w="5" w:type="pct"/>
            <w:vAlign w:val="center"/>
            <w:hideMark/>
          </w:tcPr>
          <w:p w14:paraId="349119DA" w14:textId="77777777" w:rsidR="00000000" w:rsidRDefault="001D0688">
            <w:pPr>
              <w:rPr>
                <w:rFonts w:eastAsia="Times New Roman"/>
                <w:sz w:val="20"/>
                <w:szCs w:val="20"/>
              </w:rPr>
            </w:pPr>
          </w:p>
        </w:tc>
      </w:tr>
      <w:tr w:rsidR="00000000" w14:paraId="2D404B9A" w14:textId="77777777">
        <w:trPr>
          <w:divId w:val="1158349069"/>
          <w:jc w:val="center"/>
        </w:trPr>
        <w:tc>
          <w:tcPr>
            <w:tcW w:w="0" w:type="auto"/>
            <w:gridSpan w:val="3"/>
            <w:tcMar>
              <w:top w:w="0" w:type="dxa"/>
              <w:left w:w="20" w:type="dxa"/>
              <w:bottom w:w="0" w:type="dxa"/>
              <w:right w:w="20" w:type="dxa"/>
            </w:tcMar>
            <w:vAlign w:val="center"/>
            <w:hideMark/>
          </w:tcPr>
          <w:p w14:paraId="479A89BF"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0EA32FC5" w14:textId="77777777" w:rsidR="00000000" w:rsidRDefault="001D0688">
            <w:pPr>
              <w:jc w:val="center"/>
              <w:rPr>
                <w:rFonts w:eastAsia="Times New Roman"/>
              </w:rPr>
            </w:pPr>
            <w:r>
              <w:rPr>
                <w:rFonts w:ascii="Arial" w:eastAsia="Times New Roman" w:hAnsi="Arial" w:cs="Arial"/>
                <w:b/>
                <w:bCs/>
                <w:color w:val="000000"/>
                <w:sz w:val="18"/>
                <w:szCs w:val="18"/>
              </w:rPr>
              <w:t>October 31, 2020</w:t>
            </w:r>
          </w:p>
        </w:tc>
        <w:tc>
          <w:tcPr>
            <w:tcW w:w="0" w:type="auto"/>
            <w:gridSpan w:val="3"/>
            <w:tcMar>
              <w:top w:w="0" w:type="dxa"/>
              <w:left w:w="20" w:type="dxa"/>
              <w:bottom w:w="0" w:type="dxa"/>
              <w:right w:w="20" w:type="dxa"/>
            </w:tcMar>
            <w:vAlign w:val="center"/>
            <w:hideMark/>
          </w:tcPr>
          <w:p w14:paraId="256C41B4" w14:textId="77777777" w:rsidR="00000000" w:rsidRDefault="001D0688">
            <w:pPr>
              <w:jc w:val="center"/>
              <w:rPr>
                <w:rFonts w:eastAsia="Times New Roman"/>
              </w:rPr>
            </w:pPr>
          </w:p>
        </w:tc>
        <w:tc>
          <w:tcPr>
            <w:tcW w:w="0" w:type="auto"/>
            <w:gridSpan w:val="15"/>
            <w:tcMar>
              <w:top w:w="30" w:type="dxa"/>
              <w:left w:w="20" w:type="dxa"/>
              <w:bottom w:w="30" w:type="dxa"/>
              <w:right w:w="20" w:type="dxa"/>
            </w:tcMar>
            <w:vAlign w:val="bottom"/>
            <w:hideMark/>
          </w:tcPr>
          <w:p w14:paraId="45216584" w14:textId="77777777" w:rsidR="00000000" w:rsidRDefault="001D0688">
            <w:pPr>
              <w:jc w:val="center"/>
              <w:rPr>
                <w:rFonts w:eastAsia="Times New Roman"/>
              </w:rPr>
            </w:pPr>
            <w:r>
              <w:rPr>
                <w:rFonts w:ascii="Arial" w:eastAsia="Times New Roman" w:hAnsi="Arial" w:cs="Arial"/>
                <w:b/>
                <w:bCs/>
                <w:color w:val="000000"/>
                <w:sz w:val="18"/>
                <w:szCs w:val="18"/>
              </w:rPr>
              <w:t>October 31, 2019</w:t>
            </w:r>
          </w:p>
        </w:tc>
      </w:tr>
      <w:tr w:rsidR="00000000" w14:paraId="135EF303" w14:textId="77777777">
        <w:trPr>
          <w:divId w:val="1158349069"/>
          <w:jc w:val="center"/>
        </w:trPr>
        <w:tc>
          <w:tcPr>
            <w:tcW w:w="0" w:type="auto"/>
            <w:gridSpan w:val="3"/>
            <w:shd w:val="clear" w:color="auto" w:fill="FFFFFF"/>
            <w:tcMar>
              <w:top w:w="30" w:type="dxa"/>
              <w:left w:w="20" w:type="dxa"/>
              <w:bottom w:w="30" w:type="dxa"/>
              <w:right w:w="20" w:type="dxa"/>
            </w:tcMar>
            <w:vAlign w:val="bottom"/>
            <w:hideMark/>
          </w:tcPr>
          <w:p w14:paraId="16A113D6"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82B7C2" w14:textId="77777777" w:rsidR="00000000" w:rsidRDefault="001D0688">
            <w:pPr>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D05E19"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DB6D001" w14:textId="77777777" w:rsidR="00000000" w:rsidRDefault="001D0688">
            <w:pPr>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5697FF"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A11DF1C" w14:textId="77777777" w:rsidR="00000000" w:rsidRDefault="001D0688">
            <w:pPr>
              <w:jc w:val="center"/>
              <w:rPr>
                <w:rFonts w:eastAsia="Times New Roman"/>
              </w:rPr>
            </w:pPr>
            <w:r>
              <w:rPr>
                <w:rFonts w:ascii="Arial" w:eastAsia="Times New Roman" w:hAnsi="Arial" w:cs="Arial"/>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1AA92E55"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76341C7" w14:textId="77777777" w:rsidR="00000000" w:rsidRDefault="001D0688">
            <w:pPr>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DF5365"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8F3D4E" w14:textId="77777777" w:rsidR="00000000" w:rsidRDefault="001D0688">
            <w:pPr>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2FBD96"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789250B" w14:textId="77777777" w:rsidR="00000000" w:rsidRDefault="001D0688">
            <w:pPr>
              <w:jc w:val="center"/>
              <w:rPr>
                <w:rFonts w:eastAsia="Times New Roman"/>
              </w:rPr>
            </w:pPr>
            <w:r>
              <w:rPr>
                <w:rFonts w:ascii="Arial" w:eastAsia="Times New Roman" w:hAnsi="Arial" w:cs="Arial"/>
                <w:b/>
                <w:bCs/>
                <w:color w:val="000000"/>
                <w:sz w:val="18"/>
                <w:szCs w:val="18"/>
              </w:rPr>
              <w:t>Total</w:t>
            </w:r>
          </w:p>
        </w:tc>
      </w:tr>
      <w:tr w:rsidR="00000000" w14:paraId="5DCE3DE9" w14:textId="77777777">
        <w:trPr>
          <w:divId w:val="1158349069"/>
          <w:jc w:val="center"/>
        </w:trPr>
        <w:tc>
          <w:tcPr>
            <w:tcW w:w="0" w:type="auto"/>
            <w:gridSpan w:val="3"/>
            <w:shd w:val="clear" w:color="auto" w:fill="DCE2EF"/>
            <w:tcMar>
              <w:top w:w="30" w:type="dxa"/>
              <w:left w:w="20" w:type="dxa"/>
              <w:bottom w:w="30" w:type="dxa"/>
              <w:right w:w="20" w:type="dxa"/>
            </w:tcMar>
            <w:vAlign w:val="bottom"/>
            <w:hideMark/>
          </w:tcPr>
          <w:p w14:paraId="3C9D6FAA" w14:textId="77777777" w:rsidR="00000000" w:rsidRDefault="001D0688">
            <w:pPr>
              <w:divId w:val="1429349206"/>
              <w:rPr>
                <w:rFonts w:eastAsia="Times New Roman"/>
              </w:rPr>
            </w:pPr>
            <w:r>
              <w:rPr>
                <w:rFonts w:ascii="Arial" w:eastAsia="Times New Roman" w:hAnsi="Arial" w:cs="Arial"/>
                <w:color w:val="000000"/>
                <w:sz w:val="18"/>
                <w:szCs w:val="18"/>
              </w:rPr>
              <w:t>Customer contracts and relationship</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ED1A1B9"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3635A9" w14:textId="77777777" w:rsidR="00000000" w:rsidRDefault="001D0688">
            <w:pPr>
              <w:jc w:val="right"/>
              <w:rPr>
                <w:rFonts w:eastAsia="Times New Roman"/>
              </w:rPr>
            </w:pPr>
            <w:r>
              <w:rPr>
                <w:rFonts w:ascii="Arial" w:eastAsia="Times New Roman" w:hAnsi="Arial" w:cs="Arial"/>
                <w:color w:val="000000"/>
                <w:sz w:val="18"/>
                <w:szCs w:val="18"/>
              </w:rPr>
              <w:t>573.1 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9B56D2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2A874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A949B84"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21EDFEE" w14:textId="77777777" w:rsidR="00000000" w:rsidRDefault="001D0688">
            <w:pPr>
              <w:jc w:val="right"/>
              <w:rPr>
                <w:rFonts w:eastAsia="Times New Roman"/>
              </w:rPr>
            </w:pPr>
            <w:r>
              <w:rPr>
                <w:rFonts w:ascii="Arial" w:eastAsia="Times New Roman" w:hAnsi="Arial" w:cs="Arial"/>
                <w:color w:val="000000"/>
                <w:sz w:val="18"/>
                <w:szCs w:val="18"/>
              </w:rPr>
              <w:t>(333.6)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581AA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7769EF"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227E9D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041B14B" w14:textId="77777777" w:rsidR="00000000" w:rsidRDefault="001D0688">
            <w:pPr>
              <w:jc w:val="right"/>
              <w:rPr>
                <w:rFonts w:eastAsia="Times New Roman"/>
              </w:rPr>
            </w:pPr>
            <w:r>
              <w:rPr>
                <w:rFonts w:ascii="Arial" w:eastAsia="Times New Roman" w:hAnsi="Arial" w:cs="Arial"/>
                <w:color w:val="000000"/>
                <w:sz w:val="18"/>
                <w:szCs w:val="18"/>
              </w:rPr>
              <w:t>239.6 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33B773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B5870B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AE7DA43"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BAD43BD" w14:textId="77777777" w:rsidR="00000000" w:rsidRDefault="001D0688">
            <w:pPr>
              <w:jc w:val="right"/>
              <w:rPr>
                <w:rFonts w:eastAsia="Times New Roman"/>
              </w:rPr>
            </w:pPr>
            <w:r>
              <w:rPr>
                <w:rFonts w:ascii="Arial" w:eastAsia="Times New Roman" w:hAnsi="Arial" w:cs="Arial"/>
                <w:color w:val="000000"/>
                <w:sz w:val="18"/>
                <w:szCs w:val="18"/>
              </w:rPr>
              <w:t>595.9 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10C65D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AB4A6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D517FAC"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9BBCCE" w14:textId="77777777" w:rsidR="00000000" w:rsidRDefault="001D0688">
            <w:pPr>
              <w:jc w:val="right"/>
              <w:rPr>
                <w:rFonts w:eastAsia="Times New Roman"/>
              </w:rPr>
            </w:pPr>
            <w:r>
              <w:rPr>
                <w:rFonts w:ascii="Arial" w:eastAsia="Times New Roman" w:hAnsi="Arial" w:cs="Arial"/>
                <w:color w:val="000000"/>
                <w:sz w:val="18"/>
                <w:szCs w:val="18"/>
              </w:rPr>
              <w:t>(298.9)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A7041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54338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E4AA295"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04BF95B" w14:textId="77777777" w:rsidR="00000000" w:rsidRDefault="001D0688">
            <w:pPr>
              <w:jc w:val="right"/>
              <w:rPr>
                <w:rFonts w:eastAsia="Times New Roman"/>
              </w:rPr>
            </w:pPr>
            <w:r>
              <w:rPr>
                <w:rFonts w:ascii="Arial" w:eastAsia="Times New Roman" w:hAnsi="Arial" w:cs="Arial"/>
                <w:color w:val="000000"/>
                <w:sz w:val="18"/>
                <w:szCs w:val="18"/>
              </w:rPr>
              <w:t>297.0 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A9FFFC" w14:textId="77777777" w:rsidR="00000000" w:rsidRDefault="001D0688">
            <w:pPr>
              <w:jc w:val="right"/>
              <w:rPr>
                <w:rFonts w:eastAsia="Times New Roman"/>
              </w:rPr>
            </w:pPr>
          </w:p>
        </w:tc>
      </w:tr>
      <w:tr w:rsidR="00000000" w14:paraId="322DCE22" w14:textId="77777777">
        <w:trPr>
          <w:divId w:val="1158349069"/>
          <w:jc w:val="center"/>
        </w:trPr>
        <w:tc>
          <w:tcPr>
            <w:tcW w:w="0" w:type="auto"/>
            <w:gridSpan w:val="3"/>
            <w:tcMar>
              <w:top w:w="30" w:type="dxa"/>
              <w:left w:w="20" w:type="dxa"/>
              <w:bottom w:w="30" w:type="dxa"/>
              <w:right w:w="20" w:type="dxa"/>
            </w:tcMar>
            <w:vAlign w:val="bottom"/>
            <w:hideMark/>
          </w:tcPr>
          <w:p w14:paraId="4C2A0BE7" w14:textId="77777777" w:rsidR="00000000" w:rsidRDefault="001D0688">
            <w:pPr>
              <w:rPr>
                <w:rFonts w:eastAsia="Times New Roman"/>
              </w:rPr>
            </w:pPr>
            <w:r>
              <w:rPr>
                <w:rFonts w:ascii="Arial" w:eastAsia="Times New Roman" w:hAnsi="Arial" w:cs="Arial"/>
                <w:color w:val="000000"/>
                <w:sz w:val="18"/>
                <w:szCs w:val="18"/>
              </w:rPr>
              <w:t>Trademarks and trade names</w:t>
            </w:r>
          </w:p>
        </w:tc>
        <w:tc>
          <w:tcPr>
            <w:tcW w:w="0" w:type="auto"/>
            <w:gridSpan w:val="2"/>
            <w:shd w:val="clear" w:color="auto" w:fill="FFFFFF"/>
            <w:tcMar>
              <w:top w:w="30" w:type="dxa"/>
              <w:left w:w="20" w:type="dxa"/>
              <w:bottom w:w="30" w:type="dxa"/>
              <w:right w:w="0" w:type="dxa"/>
            </w:tcMar>
            <w:vAlign w:val="bottom"/>
            <w:hideMark/>
          </w:tcPr>
          <w:p w14:paraId="04178B37" w14:textId="77777777" w:rsidR="00000000" w:rsidRDefault="001D0688">
            <w:pPr>
              <w:jc w:val="right"/>
              <w:rPr>
                <w:rFonts w:eastAsia="Times New Roman"/>
              </w:rPr>
            </w:pPr>
            <w:r>
              <w:rPr>
                <w:rFonts w:ascii="Arial" w:eastAsia="Times New Roman" w:hAnsi="Arial" w:cs="Arial"/>
                <w:color w:val="000000"/>
                <w:sz w:val="18"/>
                <w:szCs w:val="18"/>
              </w:rPr>
              <w:t>9.8 </w:t>
            </w:r>
          </w:p>
        </w:tc>
        <w:tc>
          <w:tcPr>
            <w:tcW w:w="0" w:type="auto"/>
            <w:shd w:val="clear" w:color="auto" w:fill="FFFFFF"/>
            <w:tcMar>
              <w:top w:w="30" w:type="dxa"/>
              <w:left w:w="0" w:type="dxa"/>
              <w:bottom w:w="30" w:type="dxa"/>
              <w:right w:w="20" w:type="dxa"/>
            </w:tcMar>
            <w:vAlign w:val="bottom"/>
            <w:hideMark/>
          </w:tcPr>
          <w:p w14:paraId="16447ED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2F15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B1A4BF" w14:textId="77777777" w:rsidR="00000000" w:rsidRDefault="001D0688">
            <w:pPr>
              <w:jc w:val="right"/>
              <w:rPr>
                <w:rFonts w:eastAsia="Times New Roman"/>
              </w:rPr>
            </w:pPr>
            <w:r>
              <w:rPr>
                <w:rFonts w:ascii="Arial" w:eastAsia="Times New Roman" w:hAnsi="Arial" w:cs="Arial"/>
                <w:color w:val="000000"/>
                <w:sz w:val="18"/>
                <w:szCs w:val="18"/>
              </w:rPr>
              <w:t>(9.8)</w:t>
            </w:r>
          </w:p>
        </w:tc>
        <w:tc>
          <w:tcPr>
            <w:tcW w:w="0" w:type="auto"/>
            <w:shd w:val="clear" w:color="auto" w:fill="FFFFFF"/>
            <w:tcMar>
              <w:top w:w="30" w:type="dxa"/>
              <w:left w:w="0" w:type="dxa"/>
              <w:bottom w:w="30" w:type="dxa"/>
              <w:right w:w="20" w:type="dxa"/>
            </w:tcMar>
            <w:vAlign w:val="bottom"/>
            <w:hideMark/>
          </w:tcPr>
          <w:p w14:paraId="6309FCD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4B81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62B5C" w14:textId="77777777" w:rsidR="00000000" w:rsidRDefault="001D0688">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6C3A315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3333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18F31" w14:textId="77777777" w:rsidR="00000000" w:rsidRDefault="001D0688">
            <w:pPr>
              <w:jc w:val="right"/>
              <w:rPr>
                <w:rFonts w:eastAsia="Times New Roman"/>
              </w:rPr>
            </w:pPr>
            <w:r>
              <w:rPr>
                <w:rFonts w:ascii="Arial" w:eastAsia="Times New Roman" w:hAnsi="Arial" w:cs="Arial"/>
                <w:color w:val="000000"/>
                <w:sz w:val="18"/>
                <w:szCs w:val="18"/>
              </w:rPr>
              <w:t>9.8 </w:t>
            </w:r>
          </w:p>
        </w:tc>
        <w:tc>
          <w:tcPr>
            <w:tcW w:w="0" w:type="auto"/>
            <w:shd w:val="clear" w:color="auto" w:fill="FFFFFF"/>
            <w:tcMar>
              <w:top w:w="30" w:type="dxa"/>
              <w:left w:w="0" w:type="dxa"/>
              <w:bottom w:w="30" w:type="dxa"/>
              <w:right w:w="20" w:type="dxa"/>
            </w:tcMar>
            <w:vAlign w:val="bottom"/>
            <w:hideMark/>
          </w:tcPr>
          <w:p w14:paraId="4EEF111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F3B0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7702C" w14:textId="77777777" w:rsidR="00000000" w:rsidRDefault="001D0688">
            <w:pPr>
              <w:jc w:val="right"/>
              <w:rPr>
                <w:rFonts w:eastAsia="Times New Roman"/>
              </w:rPr>
            </w:pPr>
            <w:r>
              <w:rPr>
                <w:rFonts w:ascii="Arial" w:eastAsia="Times New Roman" w:hAnsi="Arial" w:cs="Arial"/>
                <w:color w:val="000000"/>
                <w:sz w:val="18"/>
                <w:szCs w:val="18"/>
              </w:rPr>
              <w:t>(9.8)</w:t>
            </w:r>
          </w:p>
        </w:tc>
        <w:tc>
          <w:tcPr>
            <w:tcW w:w="0" w:type="auto"/>
            <w:shd w:val="clear" w:color="auto" w:fill="FFFFFF"/>
            <w:tcMar>
              <w:top w:w="30" w:type="dxa"/>
              <w:left w:w="0" w:type="dxa"/>
              <w:bottom w:w="30" w:type="dxa"/>
              <w:right w:w="20" w:type="dxa"/>
            </w:tcMar>
            <w:vAlign w:val="bottom"/>
            <w:hideMark/>
          </w:tcPr>
          <w:p w14:paraId="3BD74DE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3A15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E1FA1F"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5A455DD6" w14:textId="77777777" w:rsidR="00000000" w:rsidRDefault="001D0688">
            <w:pPr>
              <w:jc w:val="right"/>
              <w:rPr>
                <w:rFonts w:eastAsia="Times New Roman"/>
              </w:rPr>
            </w:pPr>
          </w:p>
        </w:tc>
      </w:tr>
      <w:tr w:rsidR="00000000" w14:paraId="31ACC45F" w14:textId="77777777">
        <w:trPr>
          <w:divId w:val="1158349069"/>
          <w:jc w:val="center"/>
        </w:trPr>
        <w:tc>
          <w:tcPr>
            <w:tcW w:w="0" w:type="auto"/>
            <w:gridSpan w:val="3"/>
            <w:shd w:val="clear" w:color="auto" w:fill="DCE2EF"/>
            <w:tcMar>
              <w:top w:w="30" w:type="dxa"/>
              <w:left w:w="20" w:type="dxa"/>
              <w:bottom w:w="30" w:type="dxa"/>
              <w:right w:w="20" w:type="dxa"/>
            </w:tcMar>
            <w:vAlign w:val="bottom"/>
            <w:hideMark/>
          </w:tcPr>
          <w:p w14:paraId="2249BDB4" w14:textId="77777777" w:rsidR="00000000" w:rsidRDefault="001D0688">
            <w:pPr>
              <w:rPr>
                <w:rFonts w:eastAsia="Times New Roman"/>
              </w:rPr>
            </w:pPr>
            <w:r>
              <w:rPr>
                <w:rFonts w:ascii="Arial" w:eastAsia="Times New Roman" w:hAnsi="Arial" w:cs="Arial"/>
                <w:color w:val="000000"/>
                <w:sz w:val="18"/>
                <w:szCs w:val="18"/>
              </w:rPr>
              <w:t>Contract rights and other</w:t>
            </w:r>
          </w:p>
        </w:tc>
        <w:tc>
          <w:tcPr>
            <w:tcW w:w="0" w:type="auto"/>
            <w:gridSpan w:val="2"/>
            <w:shd w:val="clear" w:color="auto" w:fill="DCE2EF"/>
            <w:tcMar>
              <w:top w:w="30" w:type="dxa"/>
              <w:left w:w="20" w:type="dxa"/>
              <w:bottom w:w="30" w:type="dxa"/>
              <w:right w:w="0" w:type="dxa"/>
            </w:tcMar>
            <w:vAlign w:val="bottom"/>
            <w:hideMark/>
          </w:tcPr>
          <w:p w14:paraId="01FF6395" w14:textId="77777777" w:rsidR="00000000" w:rsidRDefault="001D0688">
            <w:pPr>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14:paraId="3D9BFFA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AB902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C6C50B" w14:textId="77777777" w:rsidR="00000000" w:rsidRDefault="001D0688">
            <w:pPr>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14:paraId="388227C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3C4BD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365571"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14:paraId="67789DE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4E763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2191661" w14:textId="77777777" w:rsidR="00000000" w:rsidRDefault="001D0688">
            <w:pPr>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14:paraId="477C8C9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2B22C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1E2DC0D" w14:textId="77777777" w:rsidR="00000000" w:rsidRDefault="001D0688">
            <w:pPr>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14:paraId="5720C6C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77656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7A5D2A" w14:textId="77777777" w:rsidR="00000000" w:rsidRDefault="001D0688">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14:paraId="6B54DCF0" w14:textId="77777777" w:rsidR="00000000" w:rsidRDefault="001D0688">
            <w:pPr>
              <w:jc w:val="right"/>
              <w:rPr>
                <w:rFonts w:eastAsia="Times New Roman"/>
              </w:rPr>
            </w:pPr>
          </w:p>
        </w:tc>
      </w:tr>
      <w:tr w:rsidR="00000000" w14:paraId="478528D8" w14:textId="77777777">
        <w:trPr>
          <w:divId w:val="1158349069"/>
          <w:jc w:val="center"/>
        </w:trPr>
        <w:tc>
          <w:tcPr>
            <w:tcW w:w="0" w:type="auto"/>
            <w:gridSpan w:val="3"/>
            <w:shd w:val="clear" w:color="auto" w:fill="FFFFFF"/>
            <w:tcMar>
              <w:top w:w="30" w:type="dxa"/>
              <w:left w:w="20" w:type="dxa"/>
              <w:bottom w:w="30" w:type="dxa"/>
              <w:right w:w="20" w:type="dxa"/>
            </w:tcMar>
            <w:vAlign w:val="bottom"/>
            <w:hideMark/>
          </w:tcPr>
          <w:p w14:paraId="4BF63A9E" w14:textId="77777777" w:rsidR="00000000" w:rsidRDefault="001D0688">
            <w:pPr>
              <w:divId w:val="1004016708"/>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338B87"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7C8280" w14:textId="77777777" w:rsidR="00000000" w:rsidRDefault="001D0688">
            <w:pPr>
              <w:jc w:val="right"/>
              <w:rPr>
                <w:rFonts w:eastAsia="Times New Roman"/>
              </w:rPr>
            </w:pPr>
            <w:r>
              <w:rPr>
                <w:rFonts w:ascii="Arial" w:eastAsia="Times New Roman" w:hAnsi="Arial" w:cs="Arial"/>
                <w:color w:val="000000"/>
                <w:sz w:val="18"/>
                <w:szCs w:val="18"/>
              </w:rPr>
              <w:t>583.5 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A734C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08CB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41FFF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05CA9A" w14:textId="77777777" w:rsidR="00000000" w:rsidRDefault="001D0688">
            <w:pPr>
              <w:jc w:val="right"/>
              <w:rPr>
                <w:rFonts w:eastAsia="Times New Roman"/>
              </w:rPr>
            </w:pPr>
            <w:r>
              <w:rPr>
                <w:rFonts w:ascii="Arial" w:eastAsia="Times New Roman" w:hAnsi="Arial" w:cs="Arial"/>
                <w:color w:val="000000"/>
                <w:sz w:val="18"/>
                <w:szCs w:val="18"/>
              </w:rPr>
              <w:t>(343.8)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3A32F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0F57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9656CA"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8C3477" w14:textId="77777777" w:rsidR="00000000" w:rsidRDefault="001D0688">
            <w:pPr>
              <w:jc w:val="right"/>
              <w:rPr>
                <w:rFonts w:eastAsia="Times New Roman"/>
              </w:rPr>
            </w:pPr>
            <w:r>
              <w:rPr>
                <w:rFonts w:ascii="Arial" w:eastAsia="Times New Roman" w:hAnsi="Arial" w:cs="Arial"/>
                <w:color w:val="000000"/>
                <w:sz w:val="18"/>
                <w:szCs w:val="18"/>
              </w:rPr>
              <w:t>239.7 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C56BB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2CF1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902769"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44B080" w14:textId="77777777" w:rsidR="00000000" w:rsidRDefault="001D0688">
            <w:pPr>
              <w:jc w:val="right"/>
              <w:rPr>
                <w:rFonts w:eastAsia="Times New Roman"/>
              </w:rPr>
            </w:pPr>
            <w:r>
              <w:rPr>
                <w:rFonts w:ascii="Arial" w:eastAsia="Times New Roman" w:hAnsi="Arial" w:cs="Arial"/>
                <w:color w:val="000000"/>
                <w:sz w:val="18"/>
                <w:szCs w:val="18"/>
              </w:rPr>
              <w:t>606.2 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33F1A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B1ECA"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68F3EB"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622B40" w14:textId="77777777" w:rsidR="00000000" w:rsidRDefault="001D0688">
            <w:pPr>
              <w:jc w:val="right"/>
              <w:rPr>
                <w:rFonts w:eastAsia="Times New Roman"/>
              </w:rPr>
            </w:pPr>
            <w:r>
              <w:rPr>
                <w:rFonts w:ascii="Arial" w:eastAsia="Times New Roman" w:hAnsi="Arial" w:cs="Arial"/>
                <w:color w:val="000000"/>
                <w:sz w:val="18"/>
                <w:szCs w:val="18"/>
              </w:rPr>
              <w:t>(309.0)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222EE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D7EE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A92B00" w14:textId="77777777" w:rsidR="00000000" w:rsidRDefault="001D0688">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E34763" w14:textId="77777777" w:rsidR="00000000" w:rsidRDefault="001D0688">
            <w:pPr>
              <w:jc w:val="right"/>
              <w:rPr>
                <w:rFonts w:eastAsia="Times New Roman"/>
              </w:rPr>
            </w:pPr>
            <w:r>
              <w:rPr>
                <w:rFonts w:ascii="Arial" w:eastAsia="Times New Roman" w:hAnsi="Arial" w:cs="Arial"/>
                <w:color w:val="000000"/>
                <w:sz w:val="18"/>
                <w:szCs w:val="18"/>
              </w:rPr>
              <w:t>297.2 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367721" w14:textId="77777777" w:rsidR="00000000" w:rsidRDefault="001D0688">
            <w:pPr>
              <w:jc w:val="right"/>
              <w:rPr>
                <w:rFonts w:eastAsia="Times New Roman"/>
              </w:rPr>
            </w:pPr>
          </w:p>
        </w:tc>
      </w:tr>
    </w:tbl>
    <w:p w14:paraId="5A7CC9F9" w14:textId="77777777" w:rsidR="00000000" w:rsidRDefault="001D0688">
      <w:pPr>
        <w:ind w:hanging="180"/>
        <w:jc w:val="both"/>
        <w:divId w:val="121951261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a net impairment charge of $9.0 million recorded in 2020 as a result of the triggering event described above. We recognized net impairment charges of $5.6 million related to Aviation (consisting of a $13.8 milli</w:t>
      </w:r>
      <w:r>
        <w:rPr>
          <w:rFonts w:ascii="Arial" w:eastAsia="Times New Roman" w:hAnsi="Arial" w:cs="Arial"/>
          <w:color w:val="000000"/>
          <w:sz w:val="18"/>
          <w:szCs w:val="18"/>
        </w:rPr>
        <w:t>on reduction in the gross carrying amount of the underlying customer relationships less $8.2 million of accumulated amortization) and $3.4 million related to our U.K. Technical Solutions business (consisting of an $8.7 million reduction in the gross carryi</w:t>
      </w:r>
      <w:r>
        <w:rPr>
          <w:rFonts w:ascii="Arial" w:eastAsia="Times New Roman" w:hAnsi="Arial" w:cs="Arial"/>
          <w:color w:val="000000"/>
          <w:sz w:val="18"/>
          <w:szCs w:val="18"/>
        </w:rPr>
        <w:t>ng amount of the underlying customer relationships less $5.3 million of accumulated amortization). These impairment charges are included in “Impairment loss” on our Consolidated Statements of Comprehensive (Loss) Income for the year ended October 31, 2020.</w:t>
      </w:r>
      <w:r>
        <w:rPr>
          <w:rFonts w:ascii="Arial" w:eastAsia="Times New Roman" w:hAnsi="Arial" w:cs="Arial"/>
          <w:color w:val="000000"/>
          <w:sz w:val="18"/>
          <w:szCs w:val="18"/>
        </w:rPr>
        <w:t xml:space="preserve"> We did not record impairment charges on other intangible assets during 2019.</w:t>
      </w:r>
    </w:p>
    <w:p w14:paraId="005D37B1" w14:textId="77777777" w:rsidR="00000000" w:rsidRDefault="001D0688">
      <w:pPr>
        <w:ind w:hanging="180"/>
        <w:jc w:val="both"/>
        <w:divId w:val="92677034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These intangible assets are being amortized over the expected period of benefit, with a weighted average life of approximately 11 years. </w:t>
      </w:r>
    </w:p>
    <w:p w14:paraId="132E39CD" w14:textId="77777777" w:rsidR="00000000" w:rsidRDefault="001D0688">
      <w:pPr>
        <w:jc w:val="both"/>
        <w:divId w:val="662978522"/>
        <w:rPr>
          <w:rFonts w:eastAsia="Times New Roman"/>
        </w:rPr>
      </w:pPr>
      <w:r>
        <w:rPr>
          <w:rFonts w:ascii="Arial" w:eastAsia="Times New Roman" w:hAnsi="Arial" w:cs="Arial"/>
          <w:b/>
          <w:bCs/>
          <w:i/>
          <w:iCs/>
          <w:color w:val="0046AD"/>
          <w:sz w:val="20"/>
          <w:szCs w:val="20"/>
        </w:rPr>
        <w:t>Estimated Annual Amortization Expens</w:t>
      </w:r>
      <w:r>
        <w:rPr>
          <w:rFonts w:ascii="Arial" w:eastAsia="Times New Roman" w:hAnsi="Arial" w:cs="Arial"/>
          <w:b/>
          <w:bCs/>
          <w:i/>
          <w:iCs/>
          <w:color w:val="0046AD"/>
          <w:sz w:val="20"/>
          <w:szCs w:val="20"/>
        </w:rPr>
        <w:t>e For Each of the Next Five Years</w:t>
      </w:r>
    </w:p>
    <w:tbl>
      <w:tblPr>
        <w:tblW w:w="5000" w:type="pct"/>
        <w:tblCellMar>
          <w:top w:w="15" w:type="dxa"/>
          <w:left w:w="15" w:type="dxa"/>
          <w:bottom w:w="15" w:type="dxa"/>
          <w:right w:w="15" w:type="dxa"/>
        </w:tblCellMar>
        <w:tblLook w:val="04A0" w:firstRow="1" w:lastRow="0" w:firstColumn="1" w:lastColumn="0" w:noHBand="0" w:noVBand="1"/>
      </w:tblPr>
      <w:tblGrid>
        <w:gridCol w:w="38"/>
        <w:gridCol w:w="3045"/>
        <w:gridCol w:w="36"/>
        <w:gridCol w:w="132"/>
        <w:gridCol w:w="822"/>
        <w:gridCol w:w="36"/>
        <w:gridCol w:w="36"/>
        <w:gridCol w:w="36"/>
        <w:gridCol w:w="36"/>
        <w:gridCol w:w="132"/>
        <w:gridCol w:w="772"/>
        <w:gridCol w:w="36"/>
        <w:gridCol w:w="36"/>
        <w:gridCol w:w="36"/>
        <w:gridCol w:w="36"/>
        <w:gridCol w:w="132"/>
        <w:gridCol w:w="773"/>
        <w:gridCol w:w="36"/>
        <w:gridCol w:w="36"/>
        <w:gridCol w:w="36"/>
        <w:gridCol w:w="36"/>
        <w:gridCol w:w="132"/>
        <w:gridCol w:w="773"/>
        <w:gridCol w:w="36"/>
        <w:gridCol w:w="36"/>
        <w:gridCol w:w="36"/>
        <w:gridCol w:w="36"/>
        <w:gridCol w:w="132"/>
        <w:gridCol w:w="775"/>
        <w:gridCol w:w="36"/>
      </w:tblGrid>
      <w:tr w:rsidR="00000000" w14:paraId="51182891" w14:textId="77777777">
        <w:trPr>
          <w:divId w:val="1969703501"/>
        </w:trPr>
        <w:tc>
          <w:tcPr>
            <w:tcW w:w="50" w:type="pct"/>
            <w:vAlign w:val="center"/>
            <w:hideMark/>
          </w:tcPr>
          <w:p w14:paraId="6F6C1F4D" w14:textId="77777777" w:rsidR="00000000" w:rsidRDefault="001D0688">
            <w:pPr>
              <w:jc w:val="both"/>
              <w:rPr>
                <w:rFonts w:eastAsia="Times New Roman"/>
              </w:rPr>
            </w:pPr>
          </w:p>
        </w:tc>
        <w:tc>
          <w:tcPr>
            <w:tcW w:w="1874" w:type="pct"/>
            <w:vAlign w:val="center"/>
            <w:hideMark/>
          </w:tcPr>
          <w:p w14:paraId="21F9AD2A" w14:textId="77777777" w:rsidR="00000000" w:rsidRDefault="001D0688">
            <w:pPr>
              <w:rPr>
                <w:rFonts w:eastAsia="Times New Roman"/>
                <w:sz w:val="20"/>
                <w:szCs w:val="20"/>
              </w:rPr>
            </w:pPr>
          </w:p>
        </w:tc>
        <w:tc>
          <w:tcPr>
            <w:tcW w:w="5" w:type="pct"/>
            <w:vAlign w:val="center"/>
            <w:hideMark/>
          </w:tcPr>
          <w:p w14:paraId="0274E85F" w14:textId="77777777" w:rsidR="00000000" w:rsidRDefault="001D0688">
            <w:pPr>
              <w:rPr>
                <w:rFonts w:eastAsia="Times New Roman"/>
                <w:sz w:val="20"/>
                <w:szCs w:val="20"/>
              </w:rPr>
            </w:pPr>
          </w:p>
        </w:tc>
        <w:tc>
          <w:tcPr>
            <w:tcW w:w="50" w:type="pct"/>
            <w:vAlign w:val="center"/>
            <w:hideMark/>
          </w:tcPr>
          <w:p w14:paraId="5A033C42" w14:textId="77777777" w:rsidR="00000000" w:rsidRDefault="001D0688">
            <w:pPr>
              <w:rPr>
                <w:rFonts w:eastAsia="Times New Roman"/>
                <w:sz w:val="20"/>
                <w:szCs w:val="20"/>
              </w:rPr>
            </w:pPr>
          </w:p>
        </w:tc>
        <w:tc>
          <w:tcPr>
            <w:tcW w:w="529" w:type="pct"/>
            <w:vAlign w:val="center"/>
            <w:hideMark/>
          </w:tcPr>
          <w:p w14:paraId="492B8F36" w14:textId="77777777" w:rsidR="00000000" w:rsidRDefault="001D0688">
            <w:pPr>
              <w:rPr>
                <w:rFonts w:eastAsia="Times New Roman"/>
                <w:sz w:val="20"/>
                <w:szCs w:val="20"/>
              </w:rPr>
            </w:pPr>
          </w:p>
        </w:tc>
        <w:tc>
          <w:tcPr>
            <w:tcW w:w="5" w:type="pct"/>
            <w:vAlign w:val="center"/>
            <w:hideMark/>
          </w:tcPr>
          <w:p w14:paraId="2721F64A" w14:textId="77777777" w:rsidR="00000000" w:rsidRDefault="001D0688">
            <w:pPr>
              <w:rPr>
                <w:rFonts w:eastAsia="Times New Roman"/>
                <w:sz w:val="20"/>
                <w:szCs w:val="20"/>
              </w:rPr>
            </w:pPr>
          </w:p>
        </w:tc>
        <w:tc>
          <w:tcPr>
            <w:tcW w:w="5" w:type="pct"/>
            <w:vAlign w:val="center"/>
            <w:hideMark/>
          </w:tcPr>
          <w:p w14:paraId="5CF24F65" w14:textId="77777777" w:rsidR="00000000" w:rsidRDefault="001D0688">
            <w:pPr>
              <w:rPr>
                <w:rFonts w:eastAsia="Times New Roman"/>
                <w:sz w:val="20"/>
                <w:szCs w:val="20"/>
              </w:rPr>
            </w:pPr>
          </w:p>
        </w:tc>
        <w:tc>
          <w:tcPr>
            <w:tcW w:w="26" w:type="pct"/>
            <w:vAlign w:val="center"/>
            <w:hideMark/>
          </w:tcPr>
          <w:p w14:paraId="56DCBFB7" w14:textId="77777777" w:rsidR="00000000" w:rsidRDefault="001D0688">
            <w:pPr>
              <w:rPr>
                <w:rFonts w:eastAsia="Times New Roman"/>
                <w:sz w:val="20"/>
                <w:szCs w:val="20"/>
              </w:rPr>
            </w:pPr>
          </w:p>
        </w:tc>
        <w:tc>
          <w:tcPr>
            <w:tcW w:w="5" w:type="pct"/>
            <w:vAlign w:val="center"/>
            <w:hideMark/>
          </w:tcPr>
          <w:p w14:paraId="6DB3AA24" w14:textId="77777777" w:rsidR="00000000" w:rsidRDefault="001D0688">
            <w:pPr>
              <w:rPr>
                <w:rFonts w:eastAsia="Times New Roman"/>
                <w:sz w:val="20"/>
                <w:szCs w:val="20"/>
              </w:rPr>
            </w:pPr>
          </w:p>
        </w:tc>
        <w:tc>
          <w:tcPr>
            <w:tcW w:w="50" w:type="pct"/>
            <w:vAlign w:val="center"/>
            <w:hideMark/>
          </w:tcPr>
          <w:p w14:paraId="20931F0A" w14:textId="77777777" w:rsidR="00000000" w:rsidRDefault="001D0688">
            <w:pPr>
              <w:rPr>
                <w:rFonts w:eastAsia="Times New Roman"/>
                <w:sz w:val="20"/>
                <w:szCs w:val="20"/>
              </w:rPr>
            </w:pPr>
          </w:p>
        </w:tc>
        <w:tc>
          <w:tcPr>
            <w:tcW w:w="529" w:type="pct"/>
            <w:vAlign w:val="center"/>
            <w:hideMark/>
          </w:tcPr>
          <w:p w14:paraId="471A9521" w14:textId="77777777" w:rsidR="00000000" w:rsidRDefault="001D0688">
            <w:pPr>
              <w:rPr>
                <w:rFonts w:eastAsia="Times New Roman"/>
                <w:sz w:val="20"/>
                <w:szCs w:val="20"/>
              </w:rPr>
            </w:pPr>
          </w:p>
        </w:tc>
        <w:tc>
          <w:tcPr>
            <w:tcW w:w="5" w:type="pct"/>
            <w:vAlign w:val="center"/>
            <w:hideMark/>
          </w:tcPr>
          <w:p w14:paraId="61D7EC4D" w14:textId="77777777" w:rsidR="00000000" w:rsidRDefault="001D0688">
            <w:pPr>
              <w:rPr>
                <w:rFonts w:eastAsia="Times New Roman"/>
                <w:sz w:val="20"/>
                <w:szCs w:val="20"/>
              </w:rPr>
            </w:pPr>
          </w:p>
        </w:tc>
        <w:tc>
          <w:tcPr>
            <w:tcW w:w="5" w:type="pct"/>
            <w:vAlign w:val="center"/>
            <w:hideMark/>
          </w:tcPr>
          <w:p w14:paraId="33913398" w14:textId="77777777" w:rsidR="00000000" w:rsidRDefault="001D0688">
            <w:pPr>
              <w:rPr>
                <w:rFonts w:eastAsia="Times New Roman"/>
                <w:sz w:val="20"/>
                <w:szCs w:val="20"/>
              </w:rPr>
            </w:pPr>
          </w:p>
        </w:tc>
        <w:tc>
          <w:tcPr>
            <w:tcW w:w="26" w:type="pct"/>
            <w:vAlign w:val="center"/>
            <w:hideMark/>
          </w:tcPr>
          <w:p w14:paraId="64751E17" w14:textId="77777777" w:rsidR="00000000" w:rsidRDefault="001D0688">
            <w:pPr>
              <w:rPr>
                <w:rFonts w:eastAsia="Times New Roman"/>
                <w:sz w:val="20"/>
                <w:szCs w:val="20"/>
              </w:rPr>
            </w:pPr>
          </w:p>
        </w:tc>
        <w:tc>
          <w:tcPr>
            <w:tcW w:w="5" w:type="pct"/>
            <w:vAlign w:val="center"/>
            <w:hideMark/>
          </w:tcPr>
          <w:p w14:paraId="7C104A51" w14:textId="77777777" w:rsidR="00000000" w:rsidRDefault="001D0688">
            <w:pPr>
              <w:rPr>
                <w:rFonts w:eastAsia="Times New Roman"/>
                <w:sz w:val="20"/>
                <w:szCs w:val="20"/>
              </w:rPr>
            </w:pPr>
          </w:p>
        </w:tc>
        <w:tc>
          <w:tcPr>
            <w:tcW w:w="50" w:type="pct"/>
            <w:vAlign w:val="center"/>
            <w:hideMark/>
          </w:tcPr>
          <w:p w14:paraId="18001032" w14:textId="77777777" w:rsidR="00000000" w:rsidRDefault="001D0688">
            <w:pPr>
              <w:rPr>
                <w:rFonts w:eastAsia="Times New Roman"/>
                <w:sz w:val="20"/>
                <w:szCs w:val="20"/>
              </w:rPr>
            </w:pPr>
          </w:p>
        </w:tc>
        <w:tc>
          <w:tcPr>
            <w:tcW w:w="529" w:type="pct"/>
            <w:vAlign w:val="center"/>
            <w:hideMark/>
          </w:tcPr>
          <w:p w14:paraId="557A10ED" w14:textId="77777777" w:rsidR="00000000" w:rsidRDefault="001D0688">
            <w:pPr>
              <w:rPr>
                <w:rFonts w:eastAsia="Times New Roman"/>
                <w:sz w:val="20"/>
                <w:szCs w:val="20"/>
              </w:rPr>
            </w:pPr>
          </w:p>
        </w:tc>
        <w:tc>
          <w:tcPr>
            <w:tcW w:w="5" w:type="pct"/>
            <w:vAlign w:val="center"/>
            <w:hideMark/>
          </w:tcPr>
          <w:p w14:paraId="46E827DE" w14:textId="77777777" w:rsidR="00000000" w:rsidRDefault="001D0688">
            <w:pPr>
              <w:rPr>
                <w:rFonts w:eastAsia="Times New Roman"/>
                <w:sz w:val="20"/>
                <w:szCs w:val="20"/>
              </w:rPr>
            </w:pPr>
          </w:p>
        </w:tc>
        <w:tc>
          <w:tcPr>
            <w:tcW w:w="5" w:type="pct"/>
            <w:vAlign w:val="center"/>
            <w:hideMark/>
          </w:tcPr>
          <w:p w14:paraId="534E4C55" w14:textId="77777777" w:rsidR="00000000" w:rsidRDefault="001D0688">
            <w:pPr>
              <w:rPr>
                <w:rFonts w:eastAsia="Times New Roman"/>
                <w:sz w:val="20"/>
                <w:szCs w:val="20"/>
              </w:rPr>
            </w:pPr>
          </w:p>
        </w:tc>
        <w:tc>
          <w:tcPr>
            <w:tcW w:w="26" w:type="pct"/>
            <w:vAlign w:val="center"/>
            <w:hideMark/>
          </w:tcPr>
          <w:p w14:paraId="7DD34D2A" w14:textId="77777777" w:rsidR="00000000" w:rsidRDefault="001D0688">
            <w:pPr>
              <w:rPr>
                <w:rFonts w:eastAsia="Times New Roman"/>
                <w:sz w:val="20"/>
                <w:szCs w:val="20"/>
              </w:rPr>
            </w:pPr>
          </w:p>
        </w:tc>
        <w:tc>
          <w:tcPr>
            <w:tcW w:w="5" w:type="pct"/>
            <w:vAlign w:val="center"/>
            <w:hideMark/>
          </w:tcPr>
          <w:p w14:paraId="2E4440DD" w14:textId="77777777" w:rsidR="00000000" w:rsidRDefault="001D0688">
            <w:pPr>
              <w:rPr>
                <w:rFonts w:eastAsia="Times New Roman"/>
                <w:sz w:val="20"/>
                <w:szCs w:val="20"/>
              </w:rPr>
            </w:pPr>
          </w:p>
        </w:tc>
        <w:tc>
          <w:tcPr>
            <w:tcW w:w="50" w:type="pct"/>
            <w:vAlign w:val="center"/>
            <w:hideMark/>
          </w:tcPr>
          <w:p w14:paraId="0B793AD3" w14:textId="77777777" w:rsidR="00000000" w:rsidRDefault="001D0688">
            <w:pPr>
              <w:rPr>
                <w:rFonts w:eastAsia="Times New Roman"/>
                <w:sz w:val="20"/>
                <w:szCs w:val="20"/>
              </w:rPr>
            </w:pPr>
          </w:p>
        </w:tc>
        <w:tc>
          <w:tcPr>
            <w:tcW w:w="529" w:type="pct"/>
            <w:vAlign w:val="center"/>
            <w:hideMark/>
          </w:tcPr>
          <w:p w14:paraId="44D270A4" w14:textId="77777777" w:rsidR="00000000" w:rsidRDefault="001D0688">
            <w:pPr>
              <w:rPr>
                <w:rFonts w:eastAsia="Times New Roman"/>
                <w:sz w:val="20"/>
                <w:szCs w:val="20"/>
              </w:rPr>
            </w:pPr>
          </w:p>
        </w:tc>
        <w:tc>
          <w:tcPr>
            <w:tcW w:w="5" w:type="pct"/>
            <w:vAlign w:val="center"/>
            <w:hideMark/>
          </w:tcPr>
          <w:p w14:paraId="58382210" w14:textId="77777777" w:rsidR="00000000" w:rsidRDefault="001D0688">
            <w:pPr>
              <w:rPr>
                <w:rFonts w:eastAsia="Times New Roman"/>
                <w:sz w:val="20"/>
                <w:szCs w:val="20"/>
              </w:rPr>
            </w:pPr>
          </w:p>
        </w:tc>
        <w:tc>
          <w:tcPr>
            <w:tcW w:w="5" w:type="pct"/>
            <w:vAlign w:val="center"/>
            <w:hideMark/>
          </w:tcPr>
          <w:p w14:paraId="7C7F9B85" w14:textId="77777777" w:rsidR="00000000" w:rsidRDefault="001D0688">
            <w:pPr>
              <w:rPr>
                <w:rFonts w:eastAsia="Times New Roman"/>
                <w:sz w:val="20"/>
                <w:szCs w:val="20"/>
              </w:rPr>
            </w:pPr>
          </w:p>
        </w:tc>
        <w:tc>
          <w:tcPr>
            <w:tcW w:w="26" w:type="pct"/>
            <w:vAlign w:val="center"/>
            <w:hideMark/>
          </w:tcPr>
          <w:p w14:paraId="467E4A1B" w14:textId="77777777" w:rsidR="00000000" w:rsidRDefault="001D0688">
            <w:pPr>
              <w:rPr>
                <w:rFonts w:eastAsia="Times New Roman"/>
                <w:sz w:val="20"/>
                <w:szCs w:val="20"/>
              </w:rPr>
            </w:pPr>
          </w:p>
        </w:tc>
        <w:tc>
          <w:tcPr>
            <w:tcW w:w="5" w:type="pct"/>
            <w:vAlign w:val="center"/>
            <w:hideMark/>
          </w:tcPr>
          <w:p w14:paraId="75EDD355" w14:textId="77777777" w:rsidR="00000000" w:rsidRDefault="001D0688">
            <w:pPr>
              <w:rPr>
                <w:rFonts w:eastAsia="Times New Roman"/>
                <w:sz w:val="20"/>
                <w:szCs w:val="20"/>
              </w:rPr>
            </w:pPr>
          </w:p>
        </w:tc>
        <w:tc>
          <w:tcPr>
            <w:tcW w:w="50" w:type="pct"/>
            <w:vAlign w:val="center"/>
            <w:hideMark/>
          </w:tcPr>
          <w:p w14:paraId="3FD168CD" w14:textId="77777777" w:rsidR="00000000" w:rsidRDefault="001D0688">
            <w:pPr>
              <w:rPr>
                <w:rFonts w:eastAsia="Times New Roman"/>
                <w:sz w:val="20"/>
                <w:szCs w:val="20"/>
              </w:rPr>
            </w:pPr>
          </w:p>
        </w:tc>
        <w:tc>
          <w:tcPr>
            <w:tcW w:w="530" w:type="pct"/>
            <w:vAlign w:val="center"/>
            <w:hideMark/>
          </w:tcPr>
          <w:p w14:paraId="5FAE634D" w14:textId="77777777" w:rsidR="00000000" w:rsidRDefault="001D0688">
            <w:pPr>
              <w:rPr>
                <w:rFonts w:eastAsia="Times New Roman"/>
                <w:sz w:val="20"/>
                <w:szCs w:val="20"/>
              </w:rPr>
            </w:pPr>
          </w:p>
        </w:tc>
        <w:tc>
          <w:tcPr>
            <w:tcW w:w="5" w:type="pct"/>
            <w:vAlign w:val="center"/>
            <w:hideMark/>
          </w:tcPr>
          <w:p w14:paraId="40247137" w14:textId="77777777" w:rsidR="00000000" w:rsidRDefault="001D0688">
            <w:pPr>
              <w:rPr>
                <w:rFonts w:eastAsia="Times New Roman"/>
                <w:sz w:val="20"/>
                <w:szCs w:val="20"/>
              </w:rPr>
            </w:pPr>
          </w:p>
        </w:tc>
      </w:tr>
      <w:tr w:rsidR="00000000" w14:paraId="7FD05769" w14:textId="77777777">
        <w:trPr>
          <w:divId w:val="1969703501"/>
        </w:trPr>
        <w:tc>
          <w:tcPr>
            <w:tcW w:w="0" w:type="auto"/>
            <w:gridSpan w:val="3"/>
            <w:tcMar>
              <w:top w:w="30" w:type="dxa"/>
              <w:left w:w="20" w:type="dxa"/>
              <w:bottom w:w="30" w:type="dxa"/>
              <w:right w:w="20" w:type="dxa"/>
            </w:tcMar>
            <w:vAlign w:val="bottom"/>
            <w:hideMark/>
          </w:tcPr>
          <w:p w14:paraId="26D9177F"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71672E49" w14:textId="77777777" w:rsidR="00000000" w:rsidRDefault="001D0688">
            <w:pPr>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14:paraId="1E67ADD8"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A84ECBF" w14:textId="77777777" w:rsidR="00000000" w:rsidRDefault="001D0688">
            <w:pPr>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14:paraId="287B147C"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4CD9C43" w14:textId="77777777" w:rsidR="00000000" w:rsidRDefault="001D0688">
            <w:pPr>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14:paraId="2EF06732"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57B3AD1F" w14:textId="77777777" w:rsidR="00000000" w:rsidRDefault="001D0688">
            <w:pPr>
              <w:jc w:val="center"/>
              <w:rPr>
                <w:rFonts w:eastAsia="Times New Roman"/>
              </w:rPr>
            </w:pPr>
            <w:r>
              <w:rPr>
                <w:rFonts w:ascii="Arial" w:eastAsia="Times New Roman" w:hAnsi="Arial" w:cs="Arial"/>
                <w:b/>
                <w:bCs/>
                <w:color w:val="000000"/>
                <w:sz w:val="20"/>
                <w:szCs w:val="20"/>
              </w:rPr>
              <w:t>2024</w:t>
            </w:r>
          </w:p>
        </w:tc>
        <w:tc>
          <w:tcPr>
            <w:tcW w:w="0" w:type="auto"/>
            <w:gridSpan w:val="3"/>
            <w:tcMar>
              <w:top w:w="0" w:type="dxa"/>
              <w:left w:w="20" w:type="dxa"/>
              <w:bottom w:w="0" w:type="dxa"/>
              <w:right w:w="20" w:type="dxa"/>
            </w:tcMar>
            <w:vAlign w:val="center"/>
            <w:hideMark/>
          </w:tcPr>
          <w:p w14:paraId="230574CD"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235E9D96" w14:textId="77777777" w:rsidR="00000000" w:rsidRDefault="001D0688">
            <w:pPr>
              <w:jc w:val="center"/>
              <w:rPr>
                <w:rFonts w:eastAsia="Times New Roman"/>
              </w:rPr>
            </w:pPr>
            <w:r>
              <w:rPr>
                <w:rFonts w:ascii="Arial" w:eastAsia="Times New Roman" w:hAnsi="Arial" w:cs="Arial"/>
                <w:b/>
                <w:bCs/>
                <w:color w:val="000000"/>
                <w:sz w:val="20"/>
                <w:szCs w:val="20"/>
              </w:rPr>
              <w:t>2025</w:t>
            </w:r>
          </w:p>
        </w:tc>
      </w:tr>
      <w:tr w:rsidR="00000000" w14:paraId="4ED91B40" w14:textId="77777777">
        <w:trPr>
          <w:divId w:val="1969703501"/>
        </w:trPr>
        <w:tc>
          <w:tcPr>
            <w:tcW w:w="0" w:type="auto"/>
            <w:gridSpan w:val="3"/>
            <w:shd w:val="clear" w:color="auto" w:fill="DCE2EF"/>
            <w:tcMar>
              <w:top w:w="30" w:type="dxa"/>
              <w:left w:w="20" w:type="dxa"/>
              <w:bottom w:w="30" w:type="dxa"/>
              <w:right w:w="20" w:type="dxa"/>
            </w:tcMar>
            <w:vAlign w:val="bottom"/>
            <w:hideMark/>
          </w:tcPr>
          <w:p w14:paraId="76B641C4" w14:textId="77777777" w:rsidR="00000000" w:rsidRDefault="001D0688">
            <w:pPr>
              <w:divId w:val="510073018"/>
              <w:rPr>
                <w:rFonts w:eastAsia="Times New Roman"/>
              </w:rPr>
            </w:pPr>
            <w:r>
              <w:rPr>
                <w:rFonts w:ascii="Arial" w:eastAsia="Times New Roman" w:hAnsi="Arial" w:cs="Arial"/>
                <w:color w:val="000000"/>
                <w:sz w:val="20"/>
                <w:szCs w:val="20"/>
              </w:rPr>
              <w:t>Estimated amortization expens</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905E85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2AE9631" w14:textId="77777777" w:rsidR="00000000" w:rsidRDefault="001D0688">
            <w:pPr>
              <w:jc w:val="right"/>
              <w:rPr>
                <w:rFonts w:eastAsia="Times New Roman"/>
              </w:rPr>
            </w:pPr>
            <w:r>
              <w:rPr>
                <w:rFonts w:ascii="Arial" w:eastAsia="Times New Roman" w:hAnsi="Arial" w:cs="Arial"/>
                <w:color w:val="000000"/>
                <w:sz w:val="20"/>
                <w:szCs w:val="20"/>
              </w:rPr>
              <w:t>42.1 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EC487B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96DD2F"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AB027E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2F84607" w14:textId="77777777" w:rsidR="00000000" w:rsidRDefault="001D0688">
            <w:pPr>
              <w:jc w:val="right"/>
              <w:rPr>
                <w:rFonts w:eastAsia="Times New Roman"/>
              </w:rPr>
            </w:pPr>
            <w:r>
              <w:rPr>
                <w:rFonts w:ascii="Arial" w:eastAsia="Times New Roman" w:hAnsi="Arial" w:cs="Arial"/>
                <w:color w:val="000000"/>
                <w:sz w:val="20"/>
                <w:szCs w:val="20"/>
              </w:rPr>
              <w:t>36.8 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A3445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81E0F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9FA33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3456620" w14:textId="77777777" w:rsidR="00000000" w:rsidRDefault="001D0688">
            <w:pPr>
              <w:jc w:val="right"/>
              <w:rPr>
                <w:rFonts w:eastAsia="Times New Roman"/>
              </w:rPr>
            </w:pPr>
            <w:r>
              <w:rPr>
                <w:rFonts w:ascii="Arial" w:eastAsia="Times New Roman" w:hAnsi="Arial" w:cs="Arial"/>
                <w:color w:val="000000"/>
                <w:sz w:val="20"/>
                <w:szCs w:val="20"/>
              </w:rPr>
              <w:t>32.2 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6B97E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AEDD80"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974188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5DE6A4F" w14:textId="77777777" w:rsidR="00000000" w:rsidRDefault="001D0688">
            <w:pPr>
              <w:jc w:val="right"/>
              <w:rPr>
                <w:rFonts w:eastAsia="Times New Roman"/>
              </w:rPr>
            </w:pPr>
            <w:r>
              <w:rPr>
                <w:rFonts w:ascii="Arial" w:eastAsia="Times New Roman" w:hAnsi="Arial" w:cs="Arial"/>
                <w:color w:val="000000"/>
                <w:sz w:val="20"/>
                <w:szCs w:val="20"/>
              </w:rPr>
              <w:t>28.0 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0A1330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306CE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3CE214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5DF5373" w14:textId="77777777" w:rsidR="00000000" w:rsidRDefault="001D0688">
            <w:pPr>
              <w:jc w:val="right"/>
              <w:rPr>
                <w:rFonts w:eastAsia="Times New Roman"/>
              </w:rPr>
            </w:pPr>
            <w:r>
              <w:rPr>
                <w:rFonts w:ascii="Arial" w:eastAsia="Times New Roman" w:hAnsi="Arial" w:cs="Arial"/>
                <w:color w:val="000000"/>
                <w:sz w:val="20"/>
                <w:szCs w:val="20"/>
              </w:rPr>
              <w:t>23.9 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3910E29" w14:textId="77777777" w:rsidR="00000000" w:rsidRDefault="001D0688">
            <w:pPr>
              <w:jc w:val="right"/>
              <w:rPr>
                <w:rFonts w:eastAsia="Times New Roman"/>
              </w:rPr>
            </w:pPr>
          </w:p>
        </w:tc>
      </w:tr>
    </w:tbl>
    <w:p w14:paraId="79F756B7" w14:textId="77777777" w:rsidR="00000000" w:rsidRDefault="001D0688">
      <w:pPr>
        <w:ind w:hanging="180"/>
        <w:jc w:val="both"/>
        <w:divId w:val="14609260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These amounts could va</w:t>
      </w:r>
      <w:r>
        <w:rPr>
          <w:rFonts w:ascii="Arial" w:eastAsia="Times New Roman" w:hAnsi="Arial" w:cs="Arial"/>
          <w:color w:val="000000"/>
          <w:sz w:val="18"/>
          <w:szCs w:val="18"/>
        </w:rPr>
        <w:t>ry as acquisitions of additional intangible assets occur in the future.</w:t>
      </w:r>
    </w:p>
    <w:p w14:paraId="20C69CF9" w14:textId="77777777" w:rsidR="00000000" w:rsidRDefault="001D0688">
      <w:pPr>
        <w:ind w:firstLine="720"/>
        <w:jc w:val="both"/>
        <w:divId w:val="53554298"/>
        <w:rPr>
          <w:rFonts w:eastAsia="Times New Roman"/>
        </w:rPr>
      </w:pPr>
      <w:r>
        <w:rPr>
          <w:rFonts w:ascii="Arial" w:eastAsia="Times New Roman" w:hAnsi="Arial" w:cs="Arial"/>
          <w:color w:val="000000"/>
          <w:sz w:val="20"/>
          <w:szCs w:val="20"/>
        </w:rPr>
        <w:t>The estimates of future cash flows used in determining the fair value of goodwill and other intangible assets involve significant management judgment and are based upon assumptions abo</w:t>
      </w:r>
      <w:r>
        <w:rPr>
          <w:rFonts w:ascii="Arial" w:eastAsia="Times New Roman" w:hAnsi="Arial" w:cs="Arial"/>
          <w:color w:val="000000"/>
          <w:sz w:val="20"/>
          <w:szCs w:val="20"/>
        </w:rPr>
        <w:t>ut expected future operating performance, economic conditions, market conditions, and cost of capital. Inherent in estimating the future cash flows are uncertainties beyond our control, such as changes in capital markets. The actual cash flows could differ</w:t>
      </w:r>
      <w:r>
        <w:rPr>
          <w:rFonts w:ascii="Arial" w:eastAsia="Times New Roman" w:hAnsi="Arial" w:cs="Arial"/>
          <w:color w:val="000000"/>
          <w:sz w:val="20"/>
          <w:szCs w:val="20"/>
        </w:rPr>
        <w:t xml:space="preserve"> materially from management’s estimates due to changes in business conditions, operating performance, and economic conditions.</w:t>
      </w:r>
    </w:p>
    <w:p w14:paraId="7E80C4E9" w14:textId="77777777" w:rsidR="00000000" w:rsidRDefault="001D0688">
      <w:pPr>
        <w:divId w:val="1468547672"/>
        <w:rPr>
          <w:rFonts w:eastAsia="Times New Roman"/>
        </w:rPr>
      </w:pPr>
    </w:p>
    <w:p w14:paraId="2D0F1149" w14:textId="77777777" w:rsidR="00000000" w:rsidRDefault="001D0688">
      <w:pPr>
        <w:divId w:val="1380472833"/>
        <w:rPr>
          <w:rFonts w:eastAsia="Times New Roman"/>
        </w:rPr>
      </w:pPr>
      <w:r>
        <w:rPr>
          <w:rFonts w:ascii="Arial" w:eastAsia="Times New Roman" w:hAnsi="Arial" w:cs="Arial"/>
          <w:b/>
          <w:bCs/>
          <w:color w:val="0046AD"/>
          <w:sz w:val="20"/>
          <w:szCs w:val="20"/>
        </w:rPr>
        <w:t>10. INSURANCE</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4849C94E" w14:textId="77777777">
        <w:trPr>
          <w:divId w:val="235436924"/>
        </w:trPr>
        <w:tc>
          <w:tcPr>
            <w:tcW w:w="5" w:type="pct"/>
            <w:vAlign w:val="center"/>
            <w:hideMark/>
          </w:tcPr>
          <w:p w14:paraId="3616F410" w14:textId="77777777" w:rsidR="00000000" w:rsidRDefault="001D0688">
            <w:pPr>
              <w:rPr>
                <w:rFonts w:eastAsia="Times New Roman"/>
              </w:rPr>
            </w:pPr>
          </w:p>
        </w:tc>
        <w:tc>
          <w:tcPr>
            <w:tcW w:w="129" w:type="pct"/>
            <w:vAlign w:val="center"/>
            <w:hideMark/>
          </w:tcPr>
          <w:p w14:paraId="299DDBC9" w14:textId="77777777" w:rsidR="00000000" w:rsidRDefault="001D0688">
            <w:pPr>
              <w:rPr>
                <w:rFonts w:eastAsia="Times New Roman"/>
                <w:sz w:val="20"/>
                <w:szCs w:val="20"/>
              </w:rPr>
            </w:pPr>
          </w:p>
        </w:tc>
        <w:tc>
          <w:tcPr>
            <w:tcW w:w="5" w:type="pct"/>
            <w:vAlign w:val="center"/>
            <w:hideMark/>
          </w:tcPr>
          <w:p w14:paraId="28057CEC" w14:textId="77777777" w:rsidR="00000000" w:rsidRDefault="001D0688">
            <w:pPr>
              <w:rPr>
                <w:rFonts w:eastAsia="Times New Roman"/>
                <w:sz w:val="20"/>
                <w:szCs w:val="20"/>
              </w:rPr>
            </w:pPr>
          </w:p>
        </w:tc>
        <w:tc>
          <w:tcPr>
            <w:tcW w:w="50" w:type="pct"/>
            <w:vAlign w:val="center"/>
            <w:hideMark/>
          </w:tcPr>
          <w:p w14:paraId="75962779" w14:textId="77777777" w:rsidR="00000000" w:rsidRDefault="001D0688">
            <w:pPr>
              <w:rPr>
                <w:rFonts w:eastAsia="Times New Roman"/>
                <w:sz w:val="20"/>
                <w:szCs w:val="20"/>
              </w:rPr>
            </w:pPr>
          </w:p>
        </w:tc>
        <w:tc>
          <w:tcPr>
            <w:tcW w:w="4805" w:type="pct"/>
            <w:vAlign w:val="center"/>
            <w:hideMark/>
          </w:tcPr>
          <w:p w14:paraId="1C754093" w14:textId="77777777" w:rsidR="00000000" w:rsidRDefault="001D0688">
            <w:pPr>
              <w:rPr>
                <w:rFonts w:eastAsia="Times New Roman"/>
                <w:sz w:val="20"/>
                <w:szCs w:val="20"/>
              </w:rPr>
            </w:pPr>
          </w:p>
        </w:tc>
        <w:tc>
          <w:tcPr>
            <w:tcW w:w="5" w:type="pct"/>
            <w:vAlign w:val="center"/>
            <w:hideMark/>
          </w:tcPr>
          <w:p w14:paraId="593B055E" w14:textId="77777777" w:rsidR="00000000" w:rsidRDefault="001D0688">
            <w:pPr>
              <w:rPr>
                <w:rFonts w:eastAsia="Times New Roman"/>
                <w:sz w:val="20"/>
                <w:szCs w:val="20"/>
              </w:rPr>
            </w:pPr>
          </w:p>
        </w:tc>
      </w:tr>
      <w:tr w:rsidR="00000000" w14:paraId="39016F0D" w14:textId="77777777">
        <w:trPr>
          <w:divId w:val="235436924"/>
          <w:trHeight w:val="60"/>
        </w:trPr>
        <w:tc>
          <w:tcPr>
            <w:tcW w:w="0" w:type="auto"/>
            <w:gridSpan w:val="3"/>
            <w:tcBorders>
              <w:top w:val="single" w:sz="8" w:space="0" w:color="E98300"/>
            </w:tcBorders>
            <w:tcMar>
              <w:top w:w="0" w:type="dxa"/>
              <w:left w:w="20" w:type="dxa"/>
              <w:bottom w:w="0" w:type="dxa"/>
              <w:right w:w="20" w:type="dxa"/>
            </w:tcMar>
            <w:vAlign w:val="center"/>
            <w:hideMark/>
          </w:tcPr>
          <w:p w14:paraId="51BC8D3A"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4982C662" w14:textId="77777777" w:rsidR="00000000" w:rsidRDefault="001D0688">
            <w:pPr>
              <w:rPr>
                <w:rFonts w:eastAsia="Times New Roman"/>
                <w:sz w:val="20"/>
                <w:szCs w:val="20"/>
              </w:rPr>
            </w:pPr>
          </w:p>
        </w:tc>
      </w:tr>
    </w:tbl>
    <w:p w14:paraId="070E0A36" w14:textId="77777777" w:rsidR="00000000" w:rsidRDefault="001D0688">
      <w:pPr>
        <w:ind w:firstLine="720"/>
        <w:jc w:val="both"/>
        <w:divId w:val="2041082305"/>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For the majority of these insurance programs, we retain the initial $1.0 millio</w:t>
      </w:r>
      <w:r>
        <w:rPr>
          <w:rFonts w:ascii="Arial" w:eastAsia="Times New Roman" w:hAnsi="Arial" w:cs="Arial"/>
          <w:color w:val="000000"/>
          <w:sz w:val="20"/>
          <w:szCs w:val="20"/>
        </w:rPr>
        <w:t>n to $1.5 million of exposure on a per-occurrence basis, either through deductibles or self-insured retentions. Beyond the retained exposures, we have varying primary policy limits ranging between $1.0 million and $5.0 million per occurrence. To cover gene</w:t>
      </w:r>
      <w:r>
        <w:rPr>
          <w:rFonts w:ascii="Arial" w:eastAsia="Times New Roman" w:hAnsi="Arial" w:cs="Arial"/>
          <w:color w:val="000000"/>
          <w:sz w:val="20"/>
          <w:szCs w:val="20"/>
        </w:rPr>
        <w:t>ral liability and automobile liability losses above these primary limits, we maintain commercial umbrella insurance policies that provide aggregate limits of $200.0 million. Our insurance policies generally cover workers’ compensation losses to the full ex</w:t>
      </w:r>
      <w:r>
        <w:rPr>
          <w:rFonts w:ascii="Arial" w:eastAsia="Times New Roman" w:hAnsi="Arial" w:cs="Arial"/>
          <w:color w:val="000000"/>
          <w:sz w:val="20"/>
          <w:szCs w:val="20"/>
        </w:rPr>
        <w:t>tent of statutory requirements. Additionally, to cover property damage risks above our retained limits, we maintain policies that provide per occurrence limits of $75.0 million. We are also self-insured for certain employee medical and dental plans. We mai</w:t>
      </w:r>
      <w:r>
        <w:rPr>
          <w:rFonts w:ascii="Arial" w:eastAsia="Times New Roman" w:hAnsi="Arial" w:cs="Arial"/>
          <w:color w:val="000000"/>
          <w:sz w:val="20"/>
          <w:szCs w:val="20"/>
        </w:rPr>
        <w:t xml:space="preserve">ntain stop-loss insurance for our self-insured medical plan under which we retain up to $0.5 million of exposure on a per-participant, per-year basis with respect to claims. </w:t>
      </w:r>
    </w:p>
    <w:p w14:paraId="40AA6DD8" w14:textId="77777777" w:rsidR="00000000" w:rsidRDefault="001D0688">
      <w:pPr>
        <w:ind w:firstLine="720"/>
        <w:jc w:val="both"/>
        <w:divId w:val="306936404"/>
        <w:rPr>
          <w:rFonts w:eastAsia="Times New Roman"/>
        </w:rPr>
      </w:pPr>
      <w:r>
        <w:rPr>
          <w:rFonts w:ascii="Arial" w:eastAsia="Times New Roman" w:hAnsi="Arial" w:cs="Arial"/>
          <w:color w:val="000000"/>
          <w:sz w:val="20"/>
          <w:szCs w:val="20"/>
        </w:rPr>
        <w:t>We maintain our reserves for workers’ compensation, general liability, automobile</w:t>
      </w:r>
      <w:r>
        <w:rPr>
          <w:rFonts w:ascii="Arial" w:eastAsia="Times New Roman" w:hAnsi="Arial" w:cs="Arial"/>
          <w:color w:val="000000"/>
          <w:sz w:val="20"/>
          <w:szCs w:val="20"/>
        </w:rPr>
        <w:t xml:space="preserve"> liability, and property damage insurance claims based upon known trends and events and the actuarial estimates of required reserves considering the most recently completed actuarial reports. We use all available information to develop our best estimate of</w:t>
      </w:r>
      <w:r>
        <w:rPr>
          <w:rFonts w:ascii="Arial" w:eastAsia="Times New Roman" w:hAnsi="Arial" w:cs="Arial"/>
          <w:color w:val="000000"/>
          <w:sz w:val="20"/>
          <w:szCs w:val="20"/>
        </w:rPr>
        <w:t xml:space="preserve"> insurance claims reserves as information is obtained. The results of actuarial reviews are used to estimate our insurance rates and insurance reserves for future periods and to adjust reserves, if appropriate, for prior years. </w:t>
      </w:r>
    </w:p>
    <w:p w14:paraId="6544C218" w14:textId="77777777" w:rsidR="00000000" w:rsidRDefault="001D0688">
      <w:pPr>
        <w:jc w:val="center"/>
        <w:divId w:val="81533298"/>
        <w:rPr>
          <w:rFonts w:eastAsia="Times New Roman"/>
        </w:rPr>
      </w:pPr>
      <w:r>
        <w:rPr>
          <w:rFonts w:ascii="Arial" w:eastAsia="Times New Roman" w:hAnsi="Arial" w:cs="Arial"/>
          <w:color w:val="000000"/>
          <w:sz w:val="20"/>
          <w:szCs w:val="20"/>
        </w:rPr>
        <w:t>78</w:t>
      </w:r>
    </w:p>
    <w:p w14:paraId="19D70FA0" w14:textId="77777777" w:rsidR="00000000" w:rsidRDefault="001D0688">
      <w:pPr>
        <w:rPr>
          <w:rFonts w:eastAsia="Times New Roman"/>
        </w:rPr>
      </w:pPr>
      <w:r>
        <w:rPr>
          <w:rFonts w:eastAsia="Times New Roman"/>
        </w:rPr>
        <w:pict w14:anchorId="12A1EAE8">
          <v:rect id="_x0000_i1115" style="width:0;height:1.5pt" o:hralign="center" o:hrstd="t" o:hr="t" fillcolor="#a0a0a0" stroked="f"/>
        </w:pict>
      </w:r>
    </w:p>
    <w:p w14:paraId="6A7F3F18" w14:textId="77777777" w:rsidR="00000000" w:rsidRDefault="001D0688">
      <w:pPr>
        <w:divId w:val="457451724"/>
        <w:rPr>
          <w:rFonts w:eastAsia="Times New Roman"/>
        </w:rPr>
      </w:pPr>
    </w:p>
    <w:p w14:paraId="2EA470FC" w14:textId="77777777" w:rsidR="00000000" w:rsidRDefault="001D0688">
      <w:pPr>
        <w:jc w:val="both"/>
        <w:divId w:val="149520333"/>
        <w:rPr>
          <w:rFonts w:eastAsia="Times New Roman"/>
        </w:rPr>
      </w:pPr>
      <w:r>
        <w:rPr>
          <w:rFonts w:ascii="Arial" w:eastAsia="Times New Roman" w:hAnsi="Arial" w:cs="Arial"/>
          <w:b/>
          <w:bCs/>
          <w:color w:val="0046AD"/>
          <w:sz w:val="20"/>
          <w:szCs w:val="20"/>
        </w:rPr>
        <w:t>Insurance Reserve Adjustments</w:t>
      </w:r>
    </w:p>
    <w:p w14:paraId="758F3149" w14:textId="77777777" w:rsidR="00000000" w:rsidRDefault="001D0688">
      <w:pPr>
        <w:jc w:val="both"/>
        <w:divId w:val="2043819872"/>
        <w:rPr>
          <w:rFonts w:eastAsia="Times New Roman"/>
        </w:rPr>
      </w:pPr>
      <w:r>
        <w:rPr>
          <w:rFonts w:ascii="Arial" w:eastAsia="Times New Roman" w:hAnsi="Arial" w:cs="Arial"/>
          <w:b/>
          <w:bCs/>
          <w:i/>
          <w:iCs/>
          <w:color w:val="0046AD"/>
          <w:sz w:val="20"/>
          <w:szCs w:val="20"/>
        </w:rPr>
        <w:t>Actuarial Reviews and Updates Performed During 2020</w:t>
      </w:r>
    </w:p>
    <w:p w14:paraId="1162B123" w14:textId="77777777" w:rsidR="00000000" w:rsidRDefault="001D0688">
      <w:pPr>
        <w:ind w:firstLine="720"/>
        <w:jc w:val="both"/>
        <w:divId w:val="2113470883"/>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w:t>
      </w:r>
      <w:r>
        <w:rPr>
          <w:rFonts w:ascii="Arial" w:eastAsia="Times New Roman" w:hAnsi="Arial" w:cs="Arial"/>
          <w:color w:val="000000"/>
          <w:sz w:val="20"/>
          <w:szCs w:val="20"/>
        </w:rPr>
        <w:t>ay vary from our assumptions and estimates, which may result in material losses or gains. As we obtain additional information that affects the assumptions and estimates used in our reserve liability calculations, we adjust our self-insurance rates and rese</w:t>
      </w:r>
      <w:r>
        <w:rPr>
          <w:rFonts w:ascii="Arial" w:eastAsia="Times New Roman" w:hAnsi="Arial" w:cs="Arial"/>
          <w:color w:val="000000"/>
          <w:sz w:val="20"/>
          <w:szCs w:val="20"/>
        </w:rPr>
        <w:t>rves for future periods and, if appropriate, adjust our reserves for claims incurred in prior accounting periods.</w:t>
      </w:r>
    </w:p>
    <w:p w14:paraId="123249AF" w14:textId="77777777" w:rsidR="00000000" w:rsidRDefault="001D0688">
      <w:pPr>
        <w:ind w:firstLine="720"/>
        <w:jc w:val="both"/>
        <w:divId w:val="1439257863"/>
        <w:rPr>
          <w:rFonts w:eastAsia="Times New Roman"/>
        </w:rPr>
      </w:pPr>
      <w:r>
        <w:rPr>
          <w:rFonts w:ascii="Arial" w:eastAsia="Times New Roman" w:hAnsi="Arial" w:cs="Arial"/>
          <w:color w:val="000000"/>
          <w:sz w:val="20"/>
          <w:szCs w:val="20"/>
        </w:rPr>
        <w:t>During the first and third quarters of 2020, we performed comprehensive actuarial reviews of the majority of our casualty insurance programs t</w:t>
      </w:r>
      <w:r>
        <w:rPr>
          <w:rFonts w:ascii="Arial" w:eastAsia="Times New Roman" w:hAnsi="Arial" w:cs="Arial"/>
          <w:color w:val="000000"/>
          <w:sz w:val="20"/>
          <w:szCs w:val="20"/>
        </w:rPr>
        <w:t xml:space="preserve">o evaluate changes made to claims reserves and claims payment activity for the periods of May 1, 2019, through October 31, 2019, and November 1, 2019, through April 30, 2020, respectively (the “Actuarial Reviews”). The Actuarial Reviews were comprehensive </w:t>
      </w:r>
      <w:r>
        <w:rPr>
          <w:rFonts w:ascii="Arial" w:eastAsia="Times New Roman" w:hAnsi="Arial" w:cs="Arial"/>
          <w:color w:val="000000"/>
          <w:sz w:val="20"/>
          <w:szCs w:val="20"/>
        </w:rPr>
        <w:t xml:space="preserve">in nature and were based on loss development patterns, trend assumptions, and underlying expected loss costs during the periods analyzed. </w:t>
      </w:r>
    </w:p>
    <w:p w14:paraId="2E417A5E" w14:textId="77777777" w:rsidR="00000000" w:rsidRDefault="001D0688">
      <w:pPr>
        <w:ind w:firstLine="720"/>
        <w:jc w:val="both"/>
        <w:divId w:val="546188620"/>
        <w:rPr>
          <w:rFonts w:eastAsia="Times New Roman"/>
        </w:rPr>
      </w:pPr>
      <w:r>
        <w:rPr>
          <w:rFonts w:ascii="Arial" w:eastAsia="Times New Roman" w:hAnsi="Arial" w:cs="Arial"/>
          <w:color w:val="000000"/>
          <w:sz w:val="20"/>
          <w:szCs w:val="20"/>
        </w:rPr>
        <w:t>During the second and fourth quarters of 2020, we performed interim actuarial updates of the majority of our casualty</w:t>
      </w:r>
      <w:r>
        <w:rPr>
          <w:rFonts w:ascii="Arial" w:eastAsia="Times New Roman" w:hAnsi="Arial" w:cs="Arial"/>
          <w:color w:val="000000"/>
          <w:sz w:val="20"/>
          <w:szCs w:val="20"/>
        </w:rPr>
        <w:t xml:space="preserve"> insurance programs that considered changes in claims development and claims payment activity for the respective periods analyzed (the “Interim Updates”). These Interim Updates were abbreviated in nature based on actual versus expected development during t</w:t>
      </w:r>
      <w:r>
        <w:rPr>
          <w:rFonts w:ascii="Arial" w:eastAsia="Times New Roman" w:hAnsi="Arial" w:cs="Arial"/>
          <w:color w:val="000000"/>
          <w:sz w:val="20"/>
          <w:szCs w:val="20"/>
        </w:rPr>
        <w:t>he periods analyzed and relied on the key assumptions in the Actuarial Reviews (most notably loss development patterns, trend assumptions, and underlying expected loss costs).</w:t>
      </w:r>
    </w:p>
    <w:p w14:paraId="2100400B" w14:textId="77777777" w:rsidR="00000000" w:rsidRDefault="001D0688">
      <w:pPr>
        <w:ind w:firstLine="720"/>
        <w:jc w:val="both"/>
        <w:divId w:val="1189639302"/>
        <w:rPr>
          <w:rFonts w:eastAsia="Times New Roman"/>
        </w:rPr>
      </w:pPr>
      <w:r>
        <w:rPr>
          <w:rFonts w:ascii="Arial" w:eastAsia="Times New Roman" w:hAnsi="Arial" w:cs="Arial"/>
          <w:color w:val="000000"/>
          <w:sz w:val="20"/>
          <w:szCs w:val="20"/>
        </w:rPr>
        <w:t xml:space="preserve">Based on the results of the Actuarial Reviews and Interim Updates, </w:t>
      </w:r>
      <w:r>
        <w:rPr>
          <w:rFonts w:ascii="Arial" w:eastAsia="Times New Roman" w:hAnsi="Arial" w:cs="Arial"/>
          <w:color w:val="000000"/>
          <w:sz w:val="20"/>
          <w:szCs w:val="20"/>
          <w:shd w:val="clear" w:color="auto" w:fill="FFFFFF"/>
        </w:rPr>
        <w:t xml:space="preserve">we decreased </w:t>
      </w:r>
      <w:r>
        <w:rPr>
          <w:rFonts w:ascii="Arial" w:eastAsia="Times New Roman" w:hAnsi="Arial" w:cs="Arial"/>
          <w:color w:val="000000"/>
          <w:sz w:val="20"/>
          <w:szCs w:val="20"/>
          <w:shd w:val="clear" w:color="auto" w:fill="FFFFFF"/>
        </w:rPr>
        <w:t>our total reserves for known claims as well as our estimate of the loss amounts associated with IBNR Claims by $36.6 million, $30.2 million of which relates to prior years, during 2020</w:t>
      </w:r>
      <w:r>
        <w:rPr>
          <w:rFonts w:ascii="Arial" w:eastAsia="Times New Roman" w:hAnsi="Arial" w:cs="Arial"/>
          <w:color w:val="000000"/>
          <w:sz w:val="20"/>
          <w:szCs w:val="20"/>
        </w:rPr>
        <w:t xml:space="preserve">. In 2019, we decreased our total reserves related to prior year claims </w:t>
      </w:r>
      <w:r>
        <w:rPr>
          <w:rFonts w:ascii="Arial" w:eastAsia="Times New Roman" w:hAnsi="Arial" w:cs="Arial"/>
          <w:color w:val="000000"/>
          <w:sz w:val="20"/>
          <w:szCs w:val="20"/>
        </w:rPr>
        <w:t xml:space="preserve">by $3.4 million. </w:t>
      </w:r>
    </w:p>
    <w:p w14:paraId="21A59BF2" w14:textId="77777777" w:rsidR="00000000" w:rsidRDefault="001D0688">
      <w:pPr>
        <w:jc w:val="both"/>
        <w:divId w:val="1738363497"/>
        <w:rPr>
          <w:rFonts w:eastAsia="Times New Roman"/>
        </w:rPr>
      </w:pPr>
      <w:r>
        <w:rPr>
          <w:rFonts w:ascii="Arial" w:eastAsia="Times New Roman" w:hAnsi="Arial" w:cs="Arial"/>
          <w:b/>
          <w:bCs/>
          <w:color w:val="0046AD"/>
          <w:sz w:val="20"/>
          <w:szCs w:val="20"/>
        </w:rPr>
        <w:t xml:space="preserve">Insurance 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274"/>
        <w:gridCol w:w="37"/>
        <w:gridCol w:w="133"/>
        <w:gridCol w:w="1281"/>
        <w:gridCol w:w="36"/>
        <w:gridCol w:w="36"/>
        <w:gridCol w:w="36"/>
        <w:gridCol w:w="36"/>
        <w:gridCol w:w="133"/>
        <w:gridCol w:w="1229"/>
        <w:gridCol w:w="36"/>
      </w:tblGrid>
      <w:tr w:rsidR="00000000" w14:paraId="7FBA43CA" w14:textId="77777777">
        <w:trPr>
          <w:divId w:val="1078213867"/>
        </w:trPr>
        <w:tc>
          <w:tcPr>
            <w:tcW w:w="50" w:type="pct"/>
            <w:vAlign w:val="center"/>
            <w:hideMark/>
          </w:tcPr>
          <w:p w14:paraId="695C645C" w14:textId="77777777" w:rsidR="00000000" w:rsidRDefault="001D0688">
            <w:pPr>
              <w:jc w:val="both"/>
              <w:rPr>
                <w:rFonts w:eastAsia="Times New Roman"/>
              </w:rPr>
            </w:pPr>
          </w:p>
        </w:tc>
        <w:tc>
          <w:tcPr>
            <w:tcW w:w="3205" w:type="pct"/>
            <w:vAlign w:val="center"/>
            <w:hideMark/>
          </w:tcPr>
          <w:p w14:paraId="18830846" w14:textId="77777777" w:rsidR="00000000" w:rsidRDefault="001D0688">
            <w:pPr>
              <w:rPr>
                <w:rFonts w:eastAsia="Times New Roman"/>
                <w:sz w:val="20"/>
                <w:szCs w:val="20"/>
              </w:rPr>
            </w:pPr>
          </w:p>
        </w:tc>
        <w:tc>
          <w:tcPr>
            <w:tcW w:w="5" w:type="pct"/>
            <w:vAlign w:val="center"/>
            <w:hideMark/>
          </w:tcPr>
          <w:p w14:paraId="75E119A7" w14:textId="77777777" w:rsidR="00000000" w:rsidRDefault="001D0688">
            <w:pPr>
              <w:rPr>
                <w:rFonts w:eastAsia="Times New Roman"/>
                <w:sz w:val="20"/>
                <w:szCs w:val="20"/>
              </w:rPr>
            </w:pPr>
          </w:p>
        </w:tc>
        <w:tc>
          <w:tcPr>
            <w:tcW w:w="50" w:type="pct"/>
            <w:vAlign w:val="center"/>
            <w:hideMark/>
          </w:tcPr>
          <w:p w14:paraId="57A20CA9" w14:textId="77777777" w:rsidR="00000000" w:rsidRDefault="001D0688">
            <w:pPr>
              <w:rPr>
                <w:rFonts w:eastAsia="Times New Roman"/>
                <w:sz w:val="20"/>
                <w:szCs w:val="20"/>
              </w:rPr>
            </w:pPr>
          </w:p>
        </w:tc>
        <w:tc>
          <w:tcPr>
            <w:tcW w:w="800" w:type="pct"/>
            <w:vAlign w:val="center"/>
            <w:hideMark/>
          </w:tcPr>
          <w:p w14:paraId="7ECC85EF" w14:textId="77777777" w:rsidR="00000000" w:rsidRDefault="001D0688">
            <w:pPr>
              <w:rPr>
                <w:rFonts w:eastAsia="Times New Roman"/>
                <w:sz w:val="20"/>
                <w:szCs w:val="20"/>
              </w:rPr>
            </w:pPr>
          </w:p>
        </w:tc>
        <w:tc>
          <w:tcPr>
            <w:tcW w:w="5" w:type="pct"/>
            <w:vAlign w:val="center"/>
            <w:hideMark/>
          </w:tcPr>
          <w:p w14:paraId="073B1A2A" w14:textId="77777777" w:rsidR="00000000" w:rsidRDefault="001D0688">
            <w:pPr>
              <w:rPr>
                <w:rFonts w:eastAsia="Times New Roman"/>
                <w:sz w:val="20"/>
                <w:szCs w:val="20"/>
              </w:rPr>
            </w:pPr>
          </w:p>
        </w:tc>
        <w:tc>
          <w:tcPr>
            <w:tcW w:w="5" w:type="pct"/>
            <w:vAlign w:val="center"/>
            <w:hideMark/>
          </w:tcPr>
          <w:p w14:paraId="016765F3" w14:textId="77777777" w:rsidR="00000000" w:rsidRDefault="001D0688">
            <w:pPr>
              <w:rPr>
                <w:rFonts w:eastAsia="Times New Roman"/>
                <w:sz w:val="20"/>
                <w:szCs w:val="20"/>
              </w:rPr>
            </w:pPr>
          </w:p>
        </w:tc>
        <w:tc>
          <w:tcPr>
            <w:tcW w:w="26" w:type="pct"/>
            <w:vAlign w:val="center"/>
            <w:hideMark/>
          </w:tcPr>
          <w:p w14:paraId="76BEC097" w14:textId="77777777" w:rsidR="00000000" w:rsidRDefault="001D0688">
            <w:pPr>
              <w:rPr>
                <w:rFonts w:eastAsia="Times New Roman"/>
                <w:sz w:val="20"/>
                <w:szCs w:val="20"/>
              </w:rPr>
            </w:pPr>
          </w:p>
        </w:tc>
        <w:tc>
          <w:tcPr>
            <w:tcW w:w="5" w:type="pct"/>
            <w:vAlign w:val="center"/>
            <w:hideMark/>
          </w:tcPr>
          <w:p w14:paraId="0EEF4C3B" w14:textId="77777777" w:rsidR="00000000" w:rsidRDefault="001D0688">
            <w:pPr>
              <w:rPr>
                <w:rFonts w:eastAsia="Times New Roman"/>
                <w:sz w:val="20"/>
                <w:szCs w:val="20"/>
              </w:rPr>
            </w:pPr>
          </w:p>
        </w:tc>
        <w:tc>
          <w:tcPr>
            <w:tcW w:w="50" w:type="pct"/>
            <w:vAlign w:val="center"/>
            <w:hideMark/>
          </w:tcPr>
          <w:p w14:paraId="0D4C3DB1" w14:textId="77777777" w:rsidR="00000000" w:rsidRDefault="001D0688">
            <w:pPr>
              <w:rPr>
                <w:rFonts w:eastAsia="Times New Roman"/>
                <w:sz w:val="20"/>
                <w:szCs w:val="20"/>
              </w:rPr>
            </w:pPr>
          </w:p>
        </w:tc>
        <w:tc>
          <w:tcPr>
            <w:tcW w:w="793" w:type="pct"/>
            <w:vAlign w:val="center"/>
            <w:hideMark/>
          </w:tcPr>
          <w:p w14:paraId="40E76300" w14:textId="77777777" w:rsidR="00000000" w:rsidRDefault="001D0688">
            <w:pPr>
              <w:rPr>
                <w:rFonts w:eastAsia="Times New Roman"/>
                <w:sz w:val="20"/>
                <w:szCs w:val="20"/>
              </w:rPr>
            </w:pPr>
          </w:p>
        </w:tc>
        <w:tc>
          <w:tcPr>
            <w:tcW w:w="5" w:type="pct"/>
            <w:vAlign w:val="center"/>
            <w:hideMark/>
          </w:tcPr>
          <w:p w14:paraId="07CDDD95" w14:textId="77777777" w:rsidR="00000000" w:rsidRDefault="001D0688">
            <w:pPr>
              <w:rPr>
                <w:rFonts w:eastAsia="Times New Roman"/>
                <w:sz w:val="20"/>
                <w:szCs w:val="20"/>
              </w:rPr>
            </w:pPr>
          </w:p>
        </w:tc>
      </w:tr>
      <w:tr w:rsidR="00000000" w14:paraId="3B6207B4" w14:textId="77777777">
        <w:trPr>
          <w:divId w:val="1078213867"/>
        </w:trPr>
        <w:tc>
          <w:tcPr>
            <w:tcW w:w="0" w:type="auto"/>
            <w:gridSpan w:val="3"/>
            <w:tcMar>
              <w:top w:w="30" w:type="dxa"/>
              <w:left w:w="20" w:type="dxa"/>
              <w:bottom w:w="30" w:type="dxa"/>
              <w:right w:w="20" w:type="dxa"/>
            </w:tcMar>
            <w:vAlign w:val="bottom"/>
            <w:hideMark/>
          </w:tcPr>
          <w:p w14:paraId="27C79219"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2E3C8A59"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c>
          <w:tcPr>
            <w:tcW w:w="0" w:type="auto"/>
            <w:gridSpan w:val="3"/>
            <w:tcMar>
              <w:top w:w="0" w:type="dxa"/>
              <w:left w:w="20" w:type="dxa"/>
              <w:bottom w:w="0" w:type="dxa"/>
              <w:right w:w="20" w:type="dxa"/>
            </w:tcMar>
            <w:vAlign w:val="center"/>
            <w:hideMark/>
          </w:tcPr>
          <w:p w14:paraId="639433D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7950808" w14:textId="77777777" w:rsidR="00000000" w:rsidRDefault="001D0688">
            <w:pPr>
              <w:jc w:val="center"/>
              <w:rPr>
                <w:rFonts w:eastAsia="Times New Roman"/>
              </w:rPr>
            </w:pPr>
            <w:r>
              <w:rPr>
                <w:rFonts w:ascii="Arial" w:eastAsia="Times New Roman" w:hAnsi="Arial" w:cs="Arial"/>
                <w:b/>
                <w:bCs/>
                <w:color w:val="000000"/>
                <w:sz w:val="20"/>
                <w:szCs w:val="20"/>
              </w:rPr>
              <w:t>October 31, 2019</w:t>
            </w:r>
          </w:p>
        </w:tc>
      </w:tr>
      <w:tr w:rsidR="00000000" w14:paraId="643EA26B" w14:textId="77777777">
        <w:trPr>
          <w:divId w:val="1078213867"/>
        </w:trPr>
        <w:tc>
          <w:tcPr>
            <w:tcW w:w="0" w:type="auto"/>
            <w:gridSpan w:val="3"/>
            <w:shd w:val="clear" w:color="auto" w:fill="DCE2EF"/>
            <w:tcMar>
              <w:top w:w="30" w:type="dxa"/>
              <w:left w:w="20" w:type="dxa"/>
              <w:bottom w:w="30" w:type="dxa"/>
              <w:right w:w="20" w:type="dxa"/>
            </w:tcMar>
            <w:vAlign w:val="bottom"/>
            <w:hideMark/>
          </w:tcPr>
          <w:p w14:paraId="3ACE5457" w14:textId="77777777" w:rsidR="00000000" w:rsidRDefault="001D0688">
            <w:pPr>
              <w:rPr>
                <w:rFonts w:eastAsia="Times New Roman"/>
              </w:rPr>
            </w:pPr>
            <w:r>
              <w:rPr>
                <w:rFonts w:ascii="Arial" w:eastAsia="Times New Roman" w:hAnsi="Arial" w:cs="Arial"/>
                <w:color w:val="000000"/>
                <w:sz w:val="20"/>
                <w:szCs w:val="20"/>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886602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6247EA1" w14:textId="77777777" w:rsidR="00000000" w:rsidRDefault="001D0688">
            <w:pPr>
              <w:jc w:val="right"/>
              <w:rPr>
                <w:rFonts w:eastAsia="Times New Roman"/>
              </w:rPr>
            </w:pPr>
            <w:r>
              <w:rPr>
                <w:rFonts w:ascii="Arial" w:eastAsia="Times New Roman" w:hAnsi="Arial" w:cs="Arial"/>
                <w:color w:val="000000"/>
                <w:sz w:val="20"/>
                <w:szCs w:val="20"/>
              </w:rPr>
              <w:t>504.9 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11ACFF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A9ED2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DFC060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880F77E" w14:textId="77777777" w:rsidR="00000000" w:rsidRDefault="001D0688">
            <w:pPr>
              <w:jc w:val="right"/>
              <w:rPr>
                <w:rFonts w:eastAsia="Times New Roman"/>
              </w:rPr>
            </w:pPr>
            <w:r>
              <w:rPr>
                <w:rFonts w:ascii="Arial" w:eastAsia="Times New Roman" w:hAnsi="Arial" w:cs="Arial"/>
                <w:color w:val="000000"/>
                <w:sz w:val="20"/>
                <w:szCs w:val="20"/>
              </w:rPr>
              <w:t>507.8 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A35D4A" w14:textId="77777777" w:rsidR="00000000" w:rsidRDefault="001D0688">
            <w:pPr>
              <w:jc w:val="right"/>
              <w:rPr>
                <w:rFonts w:eastAsia="Times New Roman"/>
              </w:rPr>
            </w:pPr>
          </w:p>
        </w:tc>
      </w:tr>
      <w:tr w:rsidR="00000000" w14:paraId="3BDA6DA6" w14:textId="77777777">
        <w:trPr>
          <w:divId w:val="1078213867"/>
        </w:trPr>
        <w:tc>
          <w:tcPr>
            <w:tcW w:w="0" w:type="auto"/>
            <w:gridSpan w:val="3"/>
            <w:shd w:val="clear" w:color="auto" w:fill="FFFFFF"/>
            <w:tcMar>
              <w:top w:w="30" w:type="dxa"/>
              <w:left w:w="20" w:type="dxa"/>
              <w:bottom w:w="30" w:type="dxa"/>
              <w:right w:w="20" w:type="dxa"/>
            </w:tcMar>
            <w:vAlign w:val="bottom"/>
            <w:hideMark/>
          </w:tcPr>
          <w:p w14:paraId="51E9C819" w14:textId="77777777" w:rsidR="00000000" w:rsidRDefault="001D0688">
            <w:pPr>
              <w:rPr>
                <w:rFonts w:eastAsia="Times New Roman"/>
              </w:rPr>
            </w:pPr>
            <w:r>
              <w:rPr>
                <w:rFonts w:ascii="Arial" w:eastAsia="Times New Roman" w:hAnsi="Arial" w:cs="Arial"/>
                <w:color w:val="000000"/>
                <w:sz w:val="20"/>
                <w:szCs w:val="20"/>
              </w:rPr>
              <w:t>Medical and dental claim reserves</w:t>
            </w:r>
          </w:p>
        </w:tc>
        <w:tc>
          <w:tcPr>
            <w:tcW w:w="0" w:type="auto"/>
            <w:gridSpan w:val="2"/>
            <w:shd w:val="clear" w:color="auto" w:fill="FFFFFF"/>
            <w:tcMar>
              <w:top w:w="30" w:type="dxa"/>
              <w:left w:w="20" w:type="dxa"/>
              <w:bottom w:w="30" w:type="dxa"/>
              <w:right w:w="0" w:type="dxa"/>
            </w:tcMar>
            <w:vAlign w:val="bottom"/>
            <w:hideMark/>
          </w:tcPr>
          <w:p w14:paraId="10AE5022" w14:textId="77777777" w:rsidR="00000000" w:rsidRDefault="001D0688">
            <w:pPr>
              <w:jc w:val="right"/>
              <w:rPr>
                <w:rFonts w:eastAsia="Times New Roman"/>
              </w:rPr>
            </w:pPr>
            <w:r>
              <w:rPr>
                <w:rFonts w:ascii="Arial" w:eastAsia="Times New Roman" w:hAnsi="Arial" w:cs="Arial"/>
                <w:color w:val="000000"/>
                <w:sz w:val="20"/>
                <w:szCs w:val="20"/>
              </w:rPr>
              <w:t>16.6 </w:t>
            </w:r>
          </w:p>
        </w:tc>
        <w:tc>
          <w:tcPr>
            <w:tcW w:w="0" w:type="auto"/>
            <w:shd w:val="clear" w:color="auto" w:fill="FFFFFF"/>
            <w:tcMar>
              <w:top w:w="30" w:type="dxa"/>
              <w:left w:w="0" w:type="dxa"/>
              <w:bottom w:w="30" w:type="dxa"/>
              <w:right w:w="20" w:type="dxa"/>
            </w:tcMar>
            <w:vAlign w:val="bottom"/>
            <w:hideMark/>
          </w:tcPr>
          <w:p w14:paraId="0A44F52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DB9F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4795E" w14:textId="77777777" w:rsidR="00000000" w:rsidRDefault="001D0688">
            <w:pPr>
              <w:jc w:val="right"/>
              <w:rPr>
                <w:rFonts w:eastAsia="Times New Roman"/>
              </w:rPr>
            </w:pPr>
            <w:r>
              <w:rPr>
                <w:rFonts w:ascii="Arial" w:eastAsia="Times New Roman" w:hAnsi="Arial" w:cs="Arial"/>
                <w:color w:val="000000"/>
                <w:sz w:val="20"/>
                <w:szCs w:val="20"/>
              </w:rPr>
              <w:t>7.2 </w:t>
            </w:r>
          </w:p>
        </w:tc>
        <w:tc>
          <w:tcPr>
            <w:tcW w:w="0" w:type="auto"/>
            <w:shd w:val="clear" w:color="auto" w:fill="FFFFFF"/>
            <w:tcMar>
              <w:top w:w="30" w:type="dxa"/>
              <w:left w:w="0" w:type="dxa"/>
              <w:bottom w:w="30" w:type="dxa"/>
              <w:right w:w="20" w:type="dxa"/>
            </w:tcMar>
            <w:vAlign w:val="bottom"/>
            <w:hideMark/>
          </w:tcPr>
          <w:p w14:paraId="4FC10B46" w14:textId="77777777" w:rsidR="00000000" w:rsidRDefault="001D0688">
            <w:pPr>
              <w:jc w:val="right"/>
              <w:rPr>
                <w:rFonts w:eastAsia="Times New Roman"/>
              </w:rPr>
            </w:pPr>
          </w:p>
        </w:tc>
      </w:tr>
      <w:tr w:rsidR="00000000" w14:paraId="3C59B5F8" w14:textId="77777777">
        <w:trPr>
          <w:divId w:val="1078213867"/>
        </w:trPr>
        <w:tc>
          <w:tcPr>
            <w:tcW w:w="0" w:type="auto"/>
            <w:gridSpan w:val="3"/>
            <w:shd w:val="clear" w:color="auto" w:fill="DCE2EF"/>
            <w:tcMar>
              <w:top w:w="30" w:type="dxa"/>
              <w:left w:w="20" w:type="dxa"/>
              <w:bottom w:w="30" w:type="dxa"/>
              <w:right w:w="20" w:type="dxa"/>
            </w:tcMar>
            <w:vAlign w:val="bottom"/>
            <w:hideMark/>
          </w:tcPr>
          <w:p w14:paraId="45AD3E63" w14:textId="77777777" w:rsidR="00000000" w:rsidRDefault="001D0688">
            <w:pPr>
              <w:rPr>
                <w:rFonts w:eastAsia="Times New Roman"/>
              </w:rPr>
            </w:pPr>
            <w:r>
              <w:rPr>
                <w:rFonts w:ascii="Arial" w:eastAsia="Times New Roman" w:hAnsi="Arial" w:cs="Arial"/>
                <w:color w:val="000000"/>
                <w:sz w:val="20"/>
                <w:szCs w:val="20"/>
              </w:rPr>
              <w:t>Insurance recoverables</w:t>
            </w:r>
          </w:p>
        </w:tc>
        <w:tc>
          <w:tcPr>
            <w:tcW w:w="0" w:type="auto"/>
            <w:gridSpan w:val="2"/>
            <w:shd w:val="clear" w:color="auto" w:fill="DCE2EF"/>
            <w:tcMar>
              <w:top w:w="30" w:type="dxa"/>
              <w:left w:w="20" w:type="dxa"/>
              <w:bottom w:w="30" w:type="dxa"/>
              <w:right w:w="0" w:type="dxa"/>
            </w:tcMar>
            <w:vAlign w:val="bottom"/>
            <w:hideMark/>
          </w:tcPr>
          <w:p w14:paraId="223F47F0" w14:textId="77777777" w:rsidR="00000000" w:rsidRDefault="001D0688">
            <w:pPr>
              <w:jc w:val="right"/>
              <w:rPr>
                <w:rFonts w:eastAsia="Times New Roman"/>
              </w:rPr>
            </w:pPr>
            <w:r>
              <w:rPr>
                <w:rFonts w:ascii="Arial" w:eastAsia="Times New Roman" w:hAnsi="Arial" w:cs="Arial"/>
                <w:color w:val="000000"/>
                <w:sz w:val="20"/>
                <w:szCs w:val="20"/>
              </w:rPr>
              <w:t>70.1 </w:t>
            </w:r>
          </w:p>
        </w:tc>
        <w:tc>
          <w:tcPr>
            <w:tcW w:w="0" w:type="auto"/>
            <w:shd w:val="clear" w:color="auto" w:fill="DCE2EF"/>
            <w:tcMar>
              <w:top w:w="30" w:type="dxa"/>
              <w:left w:w="0" w:type="dxa"/>
              <w:bottom w:w="30" w:type="dxa"/>
              <w:right w:w="20" w:type="dxa"/>
            </w:tcMar>
            <w:vAlign w:val="bottom"/>
            <w:hideMark/>
          </w:tcPr>
          <w:p w14:paraId="70B7923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70FB2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6009C6" w14:textId="77777777" w:rsidR="00000000" w:rsidRDefault="001D0688">
            <w:pPr>
              <w:jc w:val="right"/>
              <w:rPr>
                <w:rFonts w:eastAsia="Times New Roman"/>
              </w:rPr>
            </w:pPr>
            <w:r>
              <w:rPr>
                <w:rFonts w:ascii="Arial" w:eastAsia="Times New Roman" w:hAnsi="Arial" w:cs="Arial"/>
                <w:color w:val="000000"/>
                <w:sz w:val="20"/>
                <w:szCs w:val="20"/>
              </w:rPr>
              <w:t>64.5 </w:t>
            </w:r>
          </w:p>
        </w:tc>
        <w:tc>
          <w:tcPr>
            <w:tcW w:w="0" w:type="auto"/>
            <w:shd w:val="clear" w:color="auto" w:fill="DCE2EF"/>
            <w:tcMar>
              <w:top w:w="30" w:type="dxa"/>
              <w:left w:w="0" w:type="dxa"/>
              <w:bottom w:w="30" w:type="dxa"/>
              <w:right w:w="20" w:type="dxa"/>
            </w:tcMar>
            <w:vAlign w:val="bottom"/>
            <w:hideMark/>
          </w:tcPr>
          <w:p w14:paraId="3963950C" w14:textId="77777777" w:rsidR="00000000" w:rsidRDefault="001D0688">
            <w:pPr>
              <w:jc w:val="right"/>
              <w:rPr>
                <w:rFonts w:eastAsia="Times New Roman"/>
              </w:rPr>
            </w:pPr>
          </w:p>
        </w:tc>
      </w:tr>
    </w:tbl>
    <w:p w14:paraId="58A6B5F2" w14:textId="77777777" w:rsidR="00000000" w:rsidRDefault="001D0688">
      <w:pPr>
        <w:ind w:firstLine="720"/>
        <w:jc w:val="both"/>
        <w:divId w:val="772549902"/>
        <w:rPr>
          <w:rFonts w:eastAsia="Times New Roman"/>
        </w:rPr>
      </w:pPr>
      <w:r>
        <w:rPr>
          <w:rFonts w:ascii="Arial" w:eastAsia="Times New Roman" w:hAnsi="Arial" w:cs="Arial"/>
          <w:color w:val="000000"/>
          <w:sz w:val="20"/>
          <w:szCs w:val="20"/>
        </w:rPr>
        <w:t xml:space="preserve">At October 31, 2020 and 2019, insurance recoverables are included in both “Other current assets” and “Other noncurrent assets” </w:t>
      </w:r>
      <w:r>
        <w:rPr>
          <w:rFonts w:ascii="Arial" w:eastAsia="Times New Roman" w:hAnsi="Arial" w:cs="Arial"/>
          <w:color w:val="000000"/>
          <w:sz w:val="20"/>
          <w:szCs w:val="20"/>
        </w:rPr>
        <w:t>on the accompanying Consolidated Balance Sheets.</w:t>
      </w:r>
    </w:p>
    <w:p w14:paraId="0E9EF05D" w14:textId="77777777" w:rsidR="00000000" w:rsidRDefault="001D0688">
      <w:pPr>
        <w:jc w:val="both"/>
        <w:divId w:val="173885864"/>
        <w:rPr>
          <w:rFonts w:eastAsia="Times New Roman"/>
        </w:rPr>
      </w:pPr>
      <w:r>
        <w:rPr>
          <w:rFonts w:ascii="Arial" w:eastAsia="Times New Roman" w:hAnsi="Arial" w:cs="Arial"/>
          <w:b/>
          <w:bCs/>
          <w:i/>
          <w:iCs/>
          <w:color w:val="0046AD"/>
          <w:sz w:val="20"/>
          <w:szCs w:val="20"/>
        </w:rPr>
        <w:t>Casualty Program Insurance Reserves Rollforward</w:t>
      </w:r>
    </w:p>
    <w:tbl>
      <w:tblPr>
        <w:tblW w:w="5000" w:type="pct"/>
        <w:tblCellMar>
          <w:top w:w="15" w:type="dxa"/>
          <w:left w:w="15" w:type="dxa"/>
          <w:bottom w:w="15" w:type="dxa"/>
          <w:right w:w="15" w:type="dxa"/>
        </w:tblCellMar>
        <w:tblLook w:val="04A0" w:firstRow="1" w:lastRow="0" w:firstColumn="1" w:lastColumn="0" w:noHBand="0" w:noVBand="1"/>
      </w:tblPr>
      <w:tblGrid>
        <w:gridCol w:w="39"/>
        <w:gridCol w:w="4488"/>
        <w:gridCol w:w="37"/>
        <w:gridCol w:w="36"/>
        <w:gridCol w:w="36"/>
        <w:gridCol w:w="36"/>
        <w:gridCol w:w="132"/>
        <w:gridCol w:w="963"/>
        <w:gridCol w:w="36"/>
        <w:gridCol w:w="36"/>
        <w:gridCol w:w="36"/>
        <w:gridCol w:w="36"/>
        <w:gridCol w:w="132"/>
        <w:gridCol w:w="974"/>
        <w:gridCol w:w="36"/>
        <w:gridCol w:w="36"/>
        <w:gridCol w:w="36"/>
        <w:gridCol w:w="36"/>
        <w:gridCol w:w="132"/>
        <w:gridCol w:w="977"/>
        <w:gridCol w:w="36"/>
      </w:tblGrid>
      <w:tr w:rsidR="00000000" w14:paraId="60BD9062" w14:textId="77777777">
        <w:trPr>
          <w:divId w:val="1231698778"/>
        </w:trPr>
        <w:tc>
          <w:tcPr>
            <w:tcW w:w="50" w:type="pct"/>
            <w:vAlign w:val="center"/>
            <w:hideMark/>
          </w:tcPr>
          <w:p w14:paraId="0277E566" w14:textId="77777777" w:rsidR="00000000" w:rsidRDefault="001D0688">
            <w:pPr>
              <w:jc w:val="both"/>
              <w:rPr>
                <w:rFonts w:eastAsia="Times New Roman"/>
              </w:rPr>
            </w:pPr>
          </w:p>
        </w:tc>
        <w:tc>
          <w:tcPr>
            <w:tcW w:w="2737" w:type="pct"/>
            <w:vAlign w:val="center"/>
            <w:hideMark/>
          </w:tcPr>
          <w:p w14:paraId="4CA823B7" w14:textId="77777777" w:rsidR="00000000" w:rsidRDefault="001D0688">
            <w:pPr>
              <w:rPr>
                <w:rFonts w:eastAsia="Times New Roman"/>
                <w:sz w:val="20"/>
                <w:szCs w:val="20"/>
              </w:rPr>
            </w:pPr>
          </w:p>
        </w:tc>
        <w:tc>
          <w:tcPr>
            <w:tcW w:w="5" w:type="pct"/>
            <w:vAlign w:val="center"/>
            <w:hideMark/>
          </w:tcPr>
          <w:p w14:paraId="696EFD05" w14:textId="77777777" w:rsidR="00000000" w:rsidRDefault="001D0688">
            <w:pPr>
              <w:rPr>
                <w:rFonts w:eastAsia="Times New Roman"/>
                <w:sz w:val="20"/>
                <w:szCs w:val="20"/>
              </w:rPr>
            </w:pPr>
          </w:p>
        </w:tc>
        <w:tc>
          <w:tcPr>
            <w:tcW w:w="5" w:type="pct"/>
            <w:vAlign w:val="center"/>
            <w:hideMark/>
          </w:tcPr>
          <w:p w14:paraId="61ED9BFB" w14:textId="77777777" w:rsidR="00000000" w:rsidRDefault="001D0688">
            <w:pPr>
              <w:rPr>
                <w:rFonts w:eastAsia="Times New Roman"/>
                <w:sz w:val="20"/>
                <w:szCs w:val="20"/>
              </w:rPr>
            </w:pPr>
          </w:p>
        </w:tc>
        <w:tc>
          <w:tcPr>
            <w:tcW w:w="26" w:type="pct"/>
            <w:vAlign w:val="center"/>
            <w:hideMark/>
          </w:tcPr>
          <w:p w14:paraId="7385CCFD" w14:textId="77777777" w:rsidR="00000000" w:rsidRDefault="001D0688">
            <w:pPr>
              <w:rPr>
                <w:rFonts w:eastAsia="Times New Roman"/>
                <w:sz w:val="20"/>
                <w:szCs w:val="20"/>
              </w:rPr>
            </w:pPr>
          </w:p>
        </w:tc>
        <w:tc>
          <w:tcPr>
            <w:tcW w:w="5" w:type="pct"/>
            <w:vAlign w:val="center"/>
            <w:hideMark/>
          </w:tcPr>
          <w:p w14:paraId="6F15F9D2" w14:textId="77777777" w:rsidR="00000000" w:rsidRDefault="001D0688">
            <w:pPr>
              <w:rPr>
                <w:rFonts w:eastAsia="Times New Roman"/>
                <w:sz w:val="20"/>
                <w:szCs w:val="20"/>
              </w:rPr>
            </w:pPr>
          </w:p>
        </w:tc>
        <w:tc>
          <w:tcPr>
            <w:tcW w:w="50" w:type="pct"/>
            <w:vAlign w:val="center"/>
            <w:hideMark/>
          </w:tcPr>
          <w:p w14:paraId="391DED7E" w14:textId="77777777" w:rsidR="00000000" w:rsidRDefault="001D0688">
            <w:pPr>
              <w:rPr>
                <w:rFonts w:eastAsia="Times New Roman"/>
                <w:sz w:val="20"/>
                <w:szCs w:val="20"/>
              </w:rPr>
            </w:pPr>
          </w:p>
        </w:tc>
        <w:tc>
          <w:tcPr>
            <w:tcW w:w="639" w:type="pct"/>
            <w:vAlign w:val="center"/>
            <w:hideMark/>
          </w:tcPr>
          <w:p w14:paraId="4C2CCC85" w14:textId="77777777" w:rsidR="00000000" w:rsidRDefault="001D0688">
            <w:pPr>
              <w:rPr>
                <w:rFonts w:eastAsia="Times New Roman"/>
                <w:sz w:val="20"/>
                <w:szCs w:val="20"/>
              </w:rPr>
            </w:pPr>
          </w:p>
        </w:tc>
        <w:tc>
          <w:tcPr>
            <w:tcW w:w="5" w:type="pct"/>
            <w:vAlign w:val="center"/>
            <w:hideMark/>
          </w:tcPr>
          <w:p w14:paraId="6DAEEAAC" w14:textId="77777777" w:rsidR="00000000" w:rsidRDefault="001D0688">
            <w:pPr>
              <w:rPr>
                <w:rFonts w:eastAsia="Times New Roman"/>
                <w:sz w:val="20"/>
                <w:szCs w:val="20"/>
              </w:rPr>
            </w:pPr>
          </w:p>
        </w:tc>
        <w:tc>
          <w:tcPr>
            <w:tcW w:w="5" w:type="pct"/>
            <w:vAlign w:val="center"/>
            <w:hideMark/>
          </w:tcPr>
          <w:p w14:paraId="6A6DB8F3" w14:textId="77777777" w:rsidR="00000000" w:rsidRDefault="001D0688">
            <w:pPr>
              <w:rPr>
                <w:rFonts w:eastAsia="Times New Roman"/>
                <w:sz w:val="20"/>
                <w:szCs w:val="20"/>
              </w:rPr>
            </w:pPr>
          </w:p>
        </w:tc>
        <w:tc>
          <w:tcPr>
            <w:tcW w:w="26" w:type="pct"/>
            <w:vAlign w:val="center"/>
            <w:hideMark/>
          </w:tcPr>
          <w:p w14:paraId="0E5D34D9" w14:textId="77777777" w:rsidR="00000000" w:rsidRDefault="001D0688">
            <w:pPr>
              <w:rPr>
                <w:rFonts w:eastAsia="Times New Roman"/>
                <w:sz w:val="20"/>
                <w:szCs w:val="20"/>
              </w:rPr>
            </w:pPr>
          </w:p>
        </w:tc>
        <w:tc>
          <w:tcPr>
            <w:tcW w:w="5" w:type="pct"/>
            <w:vAlign w:val="center"/>
            <w:hideMark/>
          </w:tcPr>
          <w:p w14:paraId="28C111E5" w14:textId="77777777" w:rsidR="00000000" w:rsidRDefault="001D0688">
            <w:pPr>
              <w:rPr>
                <w:rFonts w:eastAsia="Times New Roman"/>
                <w:sz w:val="20"/>
                <w:szCs w:val="20"/>
              </w:rPr>
            </w:pPr>
          </w:p>
        </w:tc>
        <w:tc>
          <w:tcPr>
            <w:tcW w:w="50" w:type="pct"/>
            <w:vAlign w:val="center"/>
            <w:hideMark/>
          </w:tcPr>
          <w:p w14:paraId="11D8465A" w14:textId="77777777" w:rsidR="00000000" w:rsidRDefault="001D0688">
            <w:pPr>
              <w:rPr>
                <w:rFonts w:eastAsia="Times New Roman"/>
                <w:sz w:val="20"/>
                <w:szCs w:val="20"/>
              </w:rPr>
            </w:pPr>
          </w:p>
        </w:tc>
        <w:tc>
          <w:tcPr>
            <w:tcW w:w="646" w:type="pct"/>
            <w:vAlign w:val="center"/>
            <w:hideMark/>
          </w:tcPr>
          <w:p w14:paraId="310F9B1A" w14:textId="77777777" w:rsidR="00000000" w:rsidRDefault="001D0688">
            <w:pPr>
              <w:rPr>
                <w:rFonts w:eastAsia="Times New Roman"/>
                <w:sz w:val="20"/>
                <w:szCs w:val="20"/>
              </w:rPr>
            </w:pPr>
          </w:p>
        </w:tc>
        <w:tc>
          <w:tcPr>
            <w:tcW w:w="5" w:type="pct"/>
            <w:vAlign w:val="center"/>
            <w:hideMark/>
          </w:tcPr>
          <w:p w14:paraId="3EBDF4F5" w14:textId="77777777" w:rsidR="00000000" w:rsidRDefault="001D0688">
            <w:pPr>
              <w:rPr>
                <w:rFonts w:eastAsia="Times New Roman"/>
                <w:sz w:val="20"/>
                <w:szCs w:val="20"/>
              </w:rPr>
            </w:pPr>
          </w:p>
        </w:tc>
        <w:tc>
          <w:tcPr>
            <w:tcW w:w="5" w:type="pct"/>
            <w:vAlign w:val="center"/>
            <w:hideMark/>
          </w:tcPr>
          <w:p w14:paraId="186B43E8" w14:textId="77777777" w:rsidR="00000000" w:rsidRDefault="001D0688">
            <w:pPr>
              <w:rPr>
                <w:rFonts w:eastAsia="Times New Roman"/>
                <w:sz w:val="20"/>
                <w:szCs w:val="20"/>
              </w:rPr>
            </w:pPr>
          </w:p>
        </w:tc>
        <w:tc>
          <w:tcPr>
            <w:tcW w:w="26" w:type="pct"/>
            <w:vAlign w:val="center"/>
            <w:hideMark/>
          </w:tcPr>
          <w:p w14:paraId="6618DA25" w14:textId="77777777" w:rsidR="00000000" w:rsidRDefault="001D0688">
            <w:pPr>
              <w:rPr>
                <w:rFonts w:eastAsia="Times New Roman"/>
                <w:sz w:val="20"/>
                <w:szCs w:val="20"/>
              </w:rPr>
            </w:pPr>
          </w:p>
        </w:tc>
        <w:tc>
          <w:tcPr>
            <w:tcW w:w="5" w:type="pct"/>
            <w:vAlign w:val="center"/>
            <w:hideMark/>
          </w:tcPr>
          <w:p w14:paraId="6275A67D" w14:textId="77777777" w:rsidR="00000000" w:rsidRDefault="001D0688">
            <w:pPr>
              <w:rPr>
                <w:rFonts w:eastAsia="Times New Roman"/>
                <w:sz w:val="20"/>
                <w:szCs w:val="20"/>
              </w:rPr>
            </w:pPr>
          </w:p>
        </w:tc>
        <w:tc>
          <w:tcPr>
            <w:tcW w:w="50" w:type="pct"/>
            <w:vAlign w:val="center"/>
            <w:hideMark/>
          </w:tcPr>
          <w:p w14:paraId="5680FC93" w14:textId="77777777" w:rsidR="00000000" w:rsidRDefault="001D0688">
            <w:pPr>
              <w:rPr>
                <w:rFonts w:eastAsia="Times New Roman"/>
                <w:sz w:val="20"/>
                <w:szCs w:val="20"/>
              </w:rPr>
            </w:pPr>
          </w:p>
        </w:tc>
        <w:tc>
          <w:tcPr>
            <w:tcW w:w="647" w:type="pct"/>
            <w:vAlign w:val="center"/>
            <w:hideMark/>
          </w:tcPr>
          <w:p w14:paraId="2D667436" w14:textId="77777777" w:rsidR="00000000" w:rsidRDefault="001D0688">
            <w:pPr>
              <w:rPr>
                <w:rFonts w:eastAsia="Times New Roman"/>
                <w:sz w:val="20"/>
                <w:szCs w:val="20"/>
              </w:rPr>
            </w:pPr>
          </w:p>
        </w:tc>
        <w:tc>
          <w:tcPr>
            <w:tcW w:w="5" w:type="pct"/>
            <w:vAlign w:val="center"/>
            <w:hideMark/>
          </w:tcPr>
          <w:p w14:paraId="4E85092B" w14:textId="77777777" w:rsidR="00000000" w:rsidRDefault="001D0688">
            <w:pPr>
              <w:rPr>
                <w:rFonts w:eastAsia="Times New Roman"/>
                <w:sz w:val="20"/>
                <w:szCs w:val="20"/>
              </w:rPr>
            </w:pPr>
          </w:p>
        </w:tc>
      </w:tr>
      <w:tr w:rsidR="00000000" w14:paraId="3355E1AA" w14:textId="77777777">
        <w:trPr>
          <w:divId w:val="1231698778"/>
        </w:trPr>
        <w:tc>
          <w:tcPr>
            <w:tcW w:w="0" w:type="auto"/>
            <w:gridSpan w:val="3"/>
            <w:tcMar>
              <w:top w:w="0" w:type="dxa"/>
              <w:left w:w="20" w:type="dxa"/>
              <w:bottom w:w="0" w:type="dxa"/>
              <w:right w:w="20" w:type="dxa"/>
            </w:tcMar>
            <w:vAlign w:val="center"/>
            <w:hideMark/>
          </w:tcPr>
          <w:p w14:paraId="6358F0AB"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615ADA1"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68B2EDB3"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06DF437F" w14:textId="77777777">
        <w:trPr>
          <w:divId w:val="1231698778"/>
        </w:trPr>
        <w:tc>
          <w:tcPr>
            <w:tcW w:w="0" w:type="auto"/>
            <w:gridSpan w:val="3"/>
            <w:tcMar>
              <w:top w:w="30" w:type="dxa"/>
              <w:left w:w="20" w:type="dxa"/>
              <w:bottom w:w="30" w:type="dxa"/>
              <w:right w:w="20" w:type="dxa"/>
            </w:tcMar>
            <w:vAlign w:val="bottom"/>
            <w:hideMark/>
          </w:tcPr>
          <w:p w14:paraId="00BF1758"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3DEF439D"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01C42A"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21CF544E"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E1EE08"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5B757D80"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5C741D"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5BA6B979" w14:textId="77777777">
        <w:trPr>
          <w:divId w:val="1231698778"/>
        </w:trPr>
        <w:tc>
          <w:tcPr>
            <w:tcW w:w="0" w:type="auto"/>
            <w:gridSpan w:val="3"/>
            <w:shd w:val="clear" w:color="auto" w:fill="DCE2EF"/>
            <w:tcMar>
              <w:top w:w="30" w:type="dxa"/>
              <w:left w:w="20" w:type="dxa"/>
              <w:bottom w:w="30" w:type="dxa"/>
              <w:right w:w="20" w:type="dxa"/>
            </w:tcMar>
            <w:vAlign w:val="bottom"/>
            <w:hideMark/>
          </w:tcPr>
          <w:p w14:paraId="3E2D1323" w14:textId="77777777" w:rsidR="00000000" w:rsidRDefault="001D0688">
            <w:pPr>
              <w:rPr>
                <w:rFonts w:eastAsia="Times New Roman"/>
              </w:rPr>
            </w:pPr>
            <w:r>
              <w:rPr>
                <w:rFonts w:ascii="Arial" w:eastAsia="Times New Roman" w:hAnsi="Arial" w:cs="Arial"/>
                <w:b/>
                <w:bCs/>
                <w:color w:val="000000"/>
                <w:sz w:val="20"/>
                <w:szCs w:val="20"/>
              </w:rPr>
              <w:t>Net balance at beginning of year</w:t>
            </w:r>
          </w:p>
        </w:tc>
        <w:tc>
          <w:tcPr>
            <w:tcW w:w="0" w:type="auto"/>
            <w:gridSpan w:val="3"/>
            <w:shd w:val="clear" w:color="auto" w:fill="DCE2EF"/>
            <w:tcMar>
              <w:top w:w="0" w:type="dxa"/>
              <w:left w:w="20" w:type="dxa"/>
              <w:bottom w:w="0" w:type="dxa"/>
              <w:right w:w="20" w:type="dxa"/>
            </w:tcMar>
            <w:vAlign w:val="center"/>
            <w:hideMark/>
          </w:tcPr>
          <w:p w14:paraId="624401CD"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605F86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E167217" w14:textId="77777777" w:rsidR="00000000" w:rsidRDefault="001D0688">
            <w:pPr>
              <w:jc w:val="right"/>
              <w:rPr>
                <w:rFonts w:eastAsia="Times New Roman"/>
              </w:rPr>
            </w:pPr>
            <w:r>
              <w:rPr>
                <w:rFonts w:ascii="Arial" w:eastAsia="Times New Roman" w:hAnsi="Arial" w:cs="Arial"/>
                <w:color w:val="000000"/>
                <w:sz w:val="20"/>
                <w:szCs w:val="20"/>
              </w:rPr>
              <w:t>443.3 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E238F7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4350B4"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27BAAA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D4EE1BF" w14:textId="77777777" w:rsidR="00000000" w:rsidRDefault="001D0688">
            <w:pPr>
              <w:jc w:val="right"/>
              <w:rPr>
                <w:rFonts w:eastAsia="Times New Roman"/>
              </w:rPr>
            </w:pPr>
            <w:r>
              <w:rPr>
                <w:rFonts w:ascii="Arial" w:eastAsia="Times New Roman" w:hAnsi="Arial" w:cs="Arial"/>
                <w:color w:val="000000"/>
                <w:sz w:val="20"/>
                <w:szCs w:val="20"/>
              </w:rPr>
              <w:t>427.7 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63739C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AF51A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3DCDB9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AE050C5" w14:textId="77777777" w:rsidR="00000000" w:rsidRDefault="001D0688">
            <w:pPr>
              <w:jc w:val="right"/>
              <w:rPr>
                <w:rFonts w:eastAsia="Times New Roman"/>
              </w:rPr>
            </w:pPr>
            <w:r>
              <w:rPr>
                <w:rFonts w:ascii="Arial" w:eastAsia="Times New Roman" w:hAnsi="Arial" w:cs="Arial"/>
                <w:color w:val="000000"/>
                <w:sz w:val="20"/>
                <w:szCs w:val="20"/>
              </w:rPr>
              <w:t>412.5 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A878284" w14:textId="77777777" w:rsidR="00000000" w:rsidRDefault="001D0688">
            <w:pPr>
              <w:jc w:val="right"/>
              <w:rPr>
                <w:rFonts w:eastAsia="Times New Roman"/>
              </w:rPr>
            </w:pPr>
          </w:p>
        </w:tc>
      </w:tr>
      <w:tr w:rsidR="00000000" w14:paraId="38CB07AE" w14:textId="77777777">
        <w:trPr>
          <w:divId w:val="1231698778"/>
        </w:trPr>
        <w:tc>
          <w:tcPr>
            <w:tcW w:w="0" w:type="auto"/>
            <w:gridSpan w:val="3"/>
            <w:shd w:val="clear" w:color="auto" w:fill="FFFFFF"/>
            <w:tcMar>
              <w:top w:w="30" w:type="dxa"/>
              <w:left w:w="20" w:type="dxa"/>
              <w:bottom w:w="30" w:type="dxa"/>
              <w:right w:w="20" w:type="dxa"/>
            </w:tcMar>
            <w:vAlign w:val="bottom"/>
            <w:hideMark/>
          </w:tcPr>
          <w:p w14:paraId="262647A7" w14:textId="77777777" w:rsidR="00000000" w:rsidRDefault="001D0688">
            <w:pPr>
              <w:divId w:val="1629630801"/>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current year</w:t>
            </w:r>
          </w:p>
        </w:tc>
        <w:tc>
          <w:tcPr>
            <w:tcW w:w="0" w:type="auto"/>
            <w:gridSpan w:val="3"/>
            <w:shd w:val="clear" w:color="auto" w:fill="FFFFFF"/>
            <w:tcMar>
              <w:top w:w="0" w:type="dxa"/>
              <w:left w:w="20" w:type="dxa"/>
              <w:bottom w:w="0" w:type="dxa"/>
              <w:right w:w="20" w:type="dxa"/>
            </w:tcMar>
            <w:vAlign w:val="center"/>
            <w:hideMark/>
          </w:tcPr>
          <w:p w14:paraId="25978C57"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EFA1B3" w14:textId="77777777" w:rsidR="00000000" w:rsidRDefault="001D0688">
            <w:pPr>
              <w:jc w:val="right"/>
              <w:rPr>
                <w:rFonts w:eastAsia="Times New Roman"/>
              </w:rPr>
            </w:pPr>
            <w:r>
              <w:rPr>
                <w:rFonts w:ascii="Arial" w:eastAsia="Times New Roman" w:hAnsi="Arial" w:cs="Arial"/>
                <w:color w:val="000000"/>
                <w:sz w:val="20"/>
                <w:szCs w:val="20"/>
              </w:rPr>
              <w:t>128.5 </w:t>
            </w:r>
          </w:p>
        </w:tc>
        <w:tc>
          <w:tcPr>
            <w:tcW w:w="0" w:type="auto"/>
            <w:shd w:val="clear" w:color="auto" w:fill="FFFFFF"/>
            <w:tcMar>
              <w:top w:w="30" w:type="dxa"/>
              <w:left w:w="0" w:type="dxa"/>
              <w:bottom w:w="30" w:type="dxa"/>
              <w:right w:w="20" w:type="dxa"/>
            </w:tcMar>
            <w:vAlign w:val="bottom"/>
            <w:hideMark/>
          </w:tcPr>
          <w:p w14:paraId="211B1D6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4D0C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AA853" w14:textId="77777777" w:rsidR="00000000" w:rsidRDefault="001D0688">
            <w:pPr>
              <w:jc w:val="right"/>
              <w:rPr>
                <w:rFonts w:eastAsia="Times New Roman"/>
              </w:rPr>
            </w:pPr>
            <w:r>
              <w:rPr>
                <w:rFonts w:ascii="Arial" w:eastAsia="Times New Roman" w:hAnsi="Arial" w:cs="Arial"/>
                <w:color w:val="000000"/>
                <w:sz w:val="20"/>
                <w:szCs w:val="20"/>
              </w:rPr>
              <w:t>137.9 </w:t>
            </w:r>
          </w:p>
        </w:tc>
        <w:tc>
          <w:tcPr>
            <w:tcW w:w="0" w:type="auto"/>
            <w:shd w:val="clear" w:color="auto" w:fill="FFFFFF"/>
            <w:tcMar>
              <w:top w:w="30" w:type="dxa"/>
              <w:left w:w="0" w:type="dxa"/>
              <w:bottom w:w="30" w:type="dxa"/>
              <w:right w:w="20" w:type="dxa"/>
            </w:tcMar>
            <w:vAlign w:val="bottom"/>
            <w:hideMark/>
          </w:tcPr>
          <w:p w14:paraId="7AE87B4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E27D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DB1CE0" w14:textId="77777777" w:rsidR="00000000" w:rsidRDefault="001D0688">
            <w:pPr>
              <w:jc w:val="right"/>
              <w:rPr>
                <w:rFonts w:eastAsia="Times New Roman"/>
              </w:rPr>
            </w:pPr>
            <w:r>
              <w:rPr>
                <w:rFonts w:ascii="Arial" w:eastAsia="Times New Roman" w:hAnsi="Arial" w:cs="Arial"/>
                <w:color w:val="000000"/>
                <w:sz w:val="20"/>
                <w:szCs w:val="20"/>
              </w:rPr>
              <w:t>131.4 </w:t>
            </w:r>
          </w:p>
        </w:tc>
        <w:tc>
          <w:tcPr>
            <w:tcW w:w="0" w:type="auto"/>
            <w:shd w:val="clear" w:color="auto" w:fill="FFFFFF"/>
            <w:tcMar>
              <w:top w:w="30" w:type="dxa"/>
              <w:left w:w="0" w:type="dxa"/>
              <w:bottom w:w="30" w:type="dxa"/>
              <w:right w:w="20" w:type="dxa"/>
            </w:tcMar>
            <w:vAlign w:val="bottom"/>
            <w:hideMark/>
          </w:tcPr>
          <w:p w14:paraId="2EEF98F0" w14:textId="77777777" w:rsidR="00000000" w:rsidRDefault="001D0688">
            <w:pPr>
              <w:jc w:val="right"/>
              <w:rPr>
                <w:rFonts w:eastAsia="Times New Roman"/>
              </w:rPr>
            </w:pPr>
          </w:p>
        </w:tc>
      </w:tr>
      <w:tr w:rsidR="00000000" w14:paraId="35575880" w14:textId="77777777">
        <w:trPr>
          <w:divId w:val="1231698778"/>
        </w:trPr>
        <w:tc>
          <w:tcPr>
            <w:tcW w:w="0" w:type="auto"/>
            <w:gridSpan w:val="3"/>
            <w:shd w:val="clear" w:color="auto" w:fill="DCE2EF"/>
            <w:tcMar>
              <w:top w:w="30" w:type="dxa"/>
              <w:left w:w="20" w:type="dxa"/>
              <w:bottom w:w="30" w:type="dxa"/>
              <w:right w:w="20" w:type="dxa"/>
            </w:tcMar>
            <w:vAlign w:val="bottom"/>
            <w:hideMark/>
          </w:tcPr>
          <w:p w14:paraId="5FF2658B" w14:textId="77777777" w:rsidR="00000000" w:rsidRDefault="001D0688">
            <w:pPr>
              <w:divId w:val="2120104408"/>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prior years</w:t>
            </w:r>
          </w:p>
        </w:tc>
        <w:tc>
          <w:tcPr>
            <w:tcW w:w="0" w:type="auto"/>
            <w:gridSpan w:val="3"/>
            <w:shd w:val="clear" w:color="auto" w:fill="DCE2EF"/>
            <w:tcMar>
              <w:top w:w="0" w:type="dxa"/>
              <w:left w:w="20" w:type="dxa"/>
              <w:bottom w:w="0" w:type="dxa"/>
              <w:right w:w="20" w:type="dxa"/>
            </w:tcMar>
            <w:vAlign w:val="center"/>
            <w:hideMark/>
          </w:tcPr>
          <w:p w14:paraId="712E5C56"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A993D17" w14:textId="77777777" w:rsidR="00000000" w:rsidRDefault="001D0688">
            <w:pPr>
              <w:jc w:val="right"/>
              <w:rPr>
                <w:rFonts w:eastAsia="Times New Roman"/>
              </w:rPr>
            </w:pPr>
            <w:r>
              <w:rPr>
                <w:rFonts w:ascii="Arial" w:eastAsia="Times New Roman" w:hAnsi="Arial" w:cs="Arial"/>
                <w:color w:val="000000"/>
                <w:sz w:val="20"/>
                <w:szCs w:val="20"/>
              </w:rPr>
              <w:t>(30.2)</w:t>
            </w:r>
          </w:p>
        </w:tc>
        <w:tc>
          <w:tcPr>
            <w:tcW w:w="0" w:type="auto"/>
            <w:shd w:val="clear" w:color="auto" w:fill="DCE2EF"/>
            <w:tcMar>
              <w:top w:w="30" w:type="dxa"/>
              <w:left w:w="0" w:type="dxa"/>
              <w:bottom w:w="30" w:type="dxa"/>
              <w:right w:w="20" w:type="dxa"/>
            </w:tcMar>
            <w:vAlign w:val="bottom"/>
            <w:hideMark/>
          </w:tcPr>
          <w:p w14:paraId="03C959E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8B7FE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B6EAEF" w14:textId="77777777" w:rsidR="00000000" w:rsidRDefault="001D0688">
            <w:pPr>
              <w:jc w:val="right"/>
              <w:rPr>
                <w:rFonts w:eastAsia="Times New Roman"/>
              </w:rPr>
            </w:pPr>
            <w:r>
              <w:rPr>
                <w:rFonts w:ascii="Arial" w:eastAsia="Times New Roman" w:hAnsi="Arial" w:cs="Arial"/>
                <w:color w:val="000000"/>
                <w:sz w:val="20"/>
                <w:szCs w:val="20"/>
              </w:rPr>
              <w:t>(3.4)</w:t>
            </w:r>
          </w:p>
        </w:tc>
        <w:tc>
          <w:tcPr>
            <w:tcW w:w="0" w:type="auto"/>
            <w:shd w:val="clear" w:color="auto" w:fill="DCE2EF"/>
            <w:tcMar>
              <w:top w:w="30" w:type="dxa"/>
              <w:left w:w="0" w:type="dxa"/>
              <w:bottom w:w="30" w:type="dxa"/>
              <w:right w:w="20" w:type="dxa"/>
            </w:tcMar>
            <w:vAlign w:val="bottom"/>
            <w:hideMark/>
          </w:tcPr>
          <w:p w14:paraId="0C5F8B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81E03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830A5A" w14:textId="77777777" w:rsidR="00000000" w:rsidRDefault="001D0688">
            <w:pPr>
              <w:jc w:val="right"/>
              <w:rPr>
                <w:rFonts w:eastAsia="Times New Roman"/>
              </w:rPr>
            </w:pPr>
            <w:r>
              <w:rPr>
                <w:rFonts w:ascii="Arial" w:eastAsia="Times New Roman" w:hAnsi="Arial" w:cs="Arial"/>
                <w:color w:val="000000"/>
                <w:sz w:val="20"/>
                <w:szCs w:val="20"/>
              </w:rPr>
              <w:t>10.2 </w:t>
            </w:r>
          </w:p>
        </w:tc>
        <w:tc>
          <w:tcPr>
            <w:tcW w:w="0" w:type="auto"/>
            <w:shd w:val="clear" w:color="auto" w:fill="DCE2EF"/>
            <w:tcMar>
              <w:top w:w="30" w:type="dxa"/>
              <w:left w:w="0" w:type="dxa"/>
              <w:bottom w:w="30" w:type="dxa"/>
              <w:right w:w="20" w:type="dxa"/>
            </w:tcMar>
            <w:vAlign w:val="bottom"/>
            <w:hideMark/>
          </w:tcPr>
          <w:p w14:paraId="7330E1E7" w14:textId="77777777" w:rsidR="00000000" w:rsidRDefault="001D0688">
            <w:pPr>
              <w:jc w:val="right"/>
              <w:rPr>
                <w:rFonts w:eastAsia="Times New Roman"/>
              </w:rPr>
            </w:pPr>
          </w:p>
        </w:tc>
      </w:tr>
      <w:tr w:rsidR="00000000" w14:paraId="4BB61D1A" w14:textId="77777777">
        <w:trPr>
          <w:divId w:val="1231698778"/>
        </w:trPr>
        <w:tc>
          <w:tcPr>
            <w:tcW w:w="0" w:type="auto"/>
            <w:gridSpan w:val="3"/>
            <w:shd w:val="clear" w:color="auto" w:fill="FFFFFF"/>
            <w:tcMar>
              <w:top w:w="30" w:type="dxa"/>
              <w:left w:w="20" w:type="dxa"/>
              <w:bottom w:w="30" w:type="dxa"/>
              <w:right w:w="20" w:type="dxa"/>
            </w:tcMar>
            <w:vAlign w:val="bottom"/>
            <w:hideMark/>
          </w:tcPr>
          <w:p w14:paraId="72EAEA75" w14:textId="77777777" w:rsidR="00000000" w:rsidRDefault="001D0688">
            <w:pPr>
              <w:rPr>
                <w:rFonts w:eastAsia="Times New Roman"/>
              </w:rPr>
            </w:pPr>
            <w:r>
              <w:rPr>
                <w:rFonts w:ascii="Arial" w:eastAsia="Times New Roman" w:hAnsi="Arial" w:cs="Arial"/>
                <w:color w:val="000000"/>
                <w:sz w:val="20"/>
                <w:szCs w:val="20"/>
              </w:rPr>
              <w:t>Claims paid</w:t>
            </w:r>
          </w:p>
        </w:tc>
        <w:tc>
          <w:tcPr>
            <w:tcW w:w="0" w:type="auto"/>
            <w:gridSpan w:val="3"/>
            <w:shd w:val="clear" w:color="auto" w:fill="FFFFFF"/>
            <w:tcMar>
              <w:top w:w="0" w:type="dxa"/>
              <w:left w:w="20" w:type="dxa"/>
              <w:bottom w:w="0" w:type="dxa"/>
              <w:right w:w="20" w:type="dxa"/>
            </w:tcMar>
            <w:vAlign w:val="center"/>
            <w:hideMark/>
          </w:tcPr>
          <w:p w14:paraId="3931810B" w14:textId="77777777" w:rsidR="00000000" w:rsidRDefault="001D0688">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304442" w14:textId="77777777" w:rsidR="00000000" w:rsidRDefault="001D0688">
            <w:pPr>
              <w:jc w:val="right"/>
              <w:rPr>
                <w:rFonts w:eastAsia="Times New Roman"/>
              </w:rPr>
            </w:pPr>
            <w:r>
              <w:rPr>
                <w:rFonts w:ascii="Arial" w:eastAsia="Times New Roman" w:hAnsi="Arial" w:cs="Arial"/>
                <w:color w:val="000000"/>
                <w:sz w:val="20"/>
                <w:szCs w:val="20"/>
              </w:rPr>
              <w:t>(106.8)</w:t>
            </w:r>
          </w:p>
        </w:tc>
        <w:tc>
          <w:tcPr>
            <w:tcW w:w="0" w:type="auto"/>
            <w:shd w:val="clear" w:color="auto" w:fill="FFFFFF"/>
            <w:tcMar>
              <w:top w:w="30" w:type="dxa"/>
              <w:left w:w="0" w:type="dxa"/>
              <w:bottom w:w="30" w:type="dxa"/>
              <w:right w:w="20" w:type="dxa"/>
            </w:tcMar>
            <w:vAlign w:val="bottom"/>
            <w:hideMark/>
          </w:tcPr>
          <w:p w14:paraId="45B779D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9C2C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417946" w14:textId="77777777" w:rsidR="00000000" w:rsidRDefault="001D0688">
            <w:pPr>
              <w:jc w:val="right"/>
              <w:rPr>
                <w:rFonts w:eastAsia="Times New Roman"/>
              </w:rPr>
            </w:pPr>
            <w:r>
              <w:rPr>
                <w:rFonts w:ascii="Arial" w:eastAsia="Times New Roman" w:hAnsi="Arial" w:cs="Arial"/>
                <w:color w:val="000000"/>
                <w:sz w:val="20"/>
                <w:szCs w:val="20"/>
              </w:rPr>
              <w:t>(119.1)</w:t>
            </w:r>
          </w:p>
        </w:tc>
        <w:tc>
          <w:tcPr>
            <w:tcW w:w="0" w:type="auto"/>
            <w:shd w:val="clear" w:color="auto" w:fill="FFFFFF"/>
            <w:tcMar>
              <w:top w:w="30" w:type="dxa"/>
              <w:left w:w="0" w:type="dxa"/>
              <w:bottom w:w="30" w:type="dxa"/>
              <w:right w:w="20" w:type="dxa"/>
            </w:tcMar>
            <w:vAlign w:val="bottom"/>
            <w:hideMark/>
          </w:tcPr>
          <w:p w14:paraId="7FD6426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D55C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91C6A2" w14:textId="77777777" w:rsidR="00000000" w:rsidRDefault="001D0688">
            <w:pPr>
              <w:jc w:val="right"/>
              <w:rPr>
                <w:rFonts w:eastAsia="Times New Roman"/>
              </w:rPr>
            </w:pPr>
            <w:r>
              <w:rPr>
                <w:rFonts w:ascii="Arial" w:eastAsia="Times New Roman" w:hAnsi="Arial" w:cs="Arial"/>
                <w:color w:val="000000"/>
                <w:sz w:val="20"/>
                <w:szCs w:val="20"/>
              </w:rPr>
              <w:t>(126.5)</w:t>
            </w:r>
          </w:p>
        </w:tc>
        <w:tc>
          <w:tcPr>
            <w:tcW w:w="0" w:type="auto"/>
            <w:shd w:val="clear" w:color="auto" w:fill="FFFFFF"/>
            <w:tcMar>
              <w:top w:w="30" w:type="dxa"/>
              <w:left w:w="0" w:type="dxa"/>
              <w:bottom w:w="30" w:type="dxa"/>
              <w:right w:w="20" w:type="dxa"/>
            </w:tcMar>
            <w:vAlign w:val="bottom"/>
            <w:hideMark/>
          </w:tcPr>
          <w:p w14:paraId="267E05ED" w14:textId="77777777" w:rsidR="00000000" w:rsidRDefault="001D0688">
            <w:pPr>
              <w:jc w:val="right"/>
              <w:rPr>
                <w:rFonts w:eastAsia="Times New Roman"/>
              </w:rPr>
            </w:pPr>
          </w:p>
        </w:tc>
      </w:tr>
      <w:tr w:rsidR="00000000" w14:paraId="04A51645" w14:textId="77777777">
        <w:trPr>
          <w:divId w:val="1231698778"/>
        </w:trPr>
        <w:tc>
          <w:tcPr>
            <w:tcW w:w="0" w:type="auto"/>
            <w:gridSpan w:val="3"/>
            <w:shd w:val="clear" w:color="auto" w:fill="DCE2EF"/>
            <w:tcMar>
              <w:top w:w="30" w:type="dxa"/>
              <w:left w:w="20" w:type="dxa"/>
              <w:bottom w:w="30" w:type="dxa"/>
              <w:right w:w="20" w:type="dxa"/>
            </w:tcMar>
            <w:vAlign w:val="bottom"/>
            <w:hideMark/>
          </w:tcPr>
          <w:p w14:paraId="24875DA4" w14:textId="77777777" w:rsidR="00000000" w:rsidRDefault="001D0688">
            <w:pPr>
              <w:rPr>
                <w:rFonts w:eastAsia="Times New Roman"/>
              </w:rPr>
            </w:pPr>
            <w:r>
              <w:rPr>
                <w:rFonts w:ascii="Arial" w:eastAsia="Times New Roman" w:hAnsi="Arial" w:cs="Arial"/>
                <w:color w:val="000000"/>
                <w:sz w:val="20"/>
                <w:szCs w:val="20"/>
              </w:rPr>
              <w:t>GCA acquisition</w:t>
            </w:r>
          </w:p>
        </w:tc>
        <w:tc>
          <w:tcPr>
            <w:tcW w:w="0" w:type="auto"/>
            <w:gridSpan w:val="3"/>
            <w:shd w:val="clear" w:color="auto" w:fill="DCE2EF"/>
            <w:tcMar>
              <w:top w:w="0" w:type="dxa"/>
              <w:left w:w="20" w:type="dxa"/>
              <w:bottom w:w="0" w:type="dxa"/>
              <w:right w:w="20" w:type="dxa"/>
            </w:tcMar>
            <w:vAlign w:val="center"/>
            <w:hideMark/>
          </w:tcPr>
          <w:p w14:paraId="78202555"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4451609"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696AF6F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91353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B2CCB5"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6E63F3C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8CD43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4B62C9B"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4BD9FBFE" w14:textId="77777777" w:rsidR="00000000" w:rsidRDefault="001D0688">
            <w:pPr>
              <w:jc w:val="right"/>
              <w:rPr>
                <w:rFonts w:eastAsia="Times New Roman"/>
              </w:rPr>
            </w:pPr>
          </w:p>
        </w:tc>
      </w:tr>
      <w:tr w:rsidR="00000000" w14:paraId="50FDF9A4" w14:textId="77777777">
        <w:trPr>
          <w:divId w:val="1231698778"/>
        </w:trPr>
        <w:tc>
          <w:tcPr>
            <w:tcW w:w="0" w:type="auto"/>
            <w:gridSpan w:val="3"/>
            <w:shd w:val="clear" w:color="auto" w:fill="FFFFFF"/>
            <w:tcMar>
              <w:top w:w="30" w:type="dxa"/>
              <w:left w:w="20" w:type="dxa"/>
              <w:bottom w:w="30" w:type="dxa"/>
              <w:right w:w="20" w:type="dxa"/>
            </w:tcMar>
            <w:vAlign w:val="bottom"/>
            <w:hideMark/>
          </w:tcPr>
          <w:p w14:paraId="4C54041F" w14:textId="77777777" w:rsidR="00000000" w:rsidRDefault="001D0688">
            <w:pPr>
              <w:divId w:val="976567117"/>
              <w:rPr>
                <w:rFonts w:eastAsia="Times New Roman"/>
              </w:rPr>
            </w:pPr>
            <w:r>
              <w:rPr>
                <w:rFonts w:ascii="Arial" w:eastAsia="Times New Roman" w:hAnsi="Arial" w:cs="Arial"/>
                <w:b/>
                <w:bCs/>
                <w:color w:val="000000"/>
                <w:sz w:val="20"/>
                <w:szCs w:val="20"/>
              </w:rPr>
              <w:t>Net balance, October 3</w:t>
            </w:r>
            <w:r>
              <w:rPr>
                <w:rFonts w:ascii="Arial" w:eastAsia="Times New Roman" w:hAnsi="Arial" w:cs="Arial"/>
                <w:b/>
                <w:bCs/>
                <w:color w:val="000000"/>
                <w:sz w:val="20"/>
                <w:szCs w:val="20"/>
              </w:rPr>
              <w:t>1</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E2EF5CC" w14:textId="77777777" w:rsidR="00000000" w:rsidRDefault="001D0688">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987975" w14:textId="77777777" w:rsidR="00000000" w:rsidRDefault="001D0688">
            <w:pPr>
              <w:jc w:val="right"/>
              <w:rPr>
                <w:rFonts w:eastAsia="Times New Roman"/>
              </w:rPr>
            </w:pPr>
            <w:r>
              <w:rPr>
                <w:rFonts w:ascii="Arial" w:eastAsia="Times New Roman" w:hAnsi="Arial" w:cs="Arial"/>
                <w:color w:val="000000"/>
                <w:sz w:val="20"/>
                <w:szCs w:val="20"/>
              </w:rPr>
              <w:t>434.8 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78825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D927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596615" w14:textId="77777777" w:rsidR="00000000" w:rsidRDefault="001D0688">
            <w:pPr>
              <w:jc w:val="right"/>
              <w:rPr>
                <w:rFonts w:eastAsia="Times New Roman"/>
              </w:rPr>
            </w:pPr>
            <w:r>
              <w:rPr>
                <w:rFonts w:ascii="Arial" w:eastAsia="Times New Roman" w:hAnsi="Arial" w:cs="Arial"/>
                <w:color w:val="000000"/>
                <w:sz w:val="20"/>
                <w:szCs w:val="20"/>
              </w:rPr>
              <w:t>443.3 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ADEE9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73B8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A44D25" w14:textId="77777777" w:rsidR="00000000" w:rsidRDefault="001D0688">
            <w:pPr>
              <w:jc w:val="right"/>
              <w:rPr>
                <w:rFonts w:eastAsia="Times New Roman"/>
              </w:rPr>
            </w:pPr>
            <w:r>
              <w:rPr>
                <w:rFonts w:ascii="Arial" w:eastAsia="Times New Roman" w:hAnsi="Arial" w:cs="Arial"/>
                <w:color w:val="000000"/>
                <w:sz w:val="20"/>
                <w:szCs w:val="20"/>
              </w:rPr>
              <w:t>427.7 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302B68" w14:textId="77777777" w:rsidR="00000000" w:rsidRDefault="001D0688">
            <w:pPr>
              <w:jc w:val="right"/>
              <w:rPr>
                <w:rFonts w:eastAsia="Times New Roman"/>
              </w:rPr>
            </w:pPr>
          </w:p>
        </w:tc>
      </w:tr>
      <w:tr w:rsidR="00000000" w14:paraId="209B9C3D" w14:textId="77777777">
        <w:trPr>
          <w:divId w:val="1231698778"/>
        </w:trPr>
        <w:tc>
          <w:tcPr>
            <w:tcW w:w="0" w:type="auto"/>
            <w:gridSpan w:val="3"/>
            <w:shd w:val="clear" w:color="auto" w:fill="DCE2EF"/>
            <w:tcMar>
              <w:top w:w="30" w:type="dxa"/>
              <w:left w:w="20" w:type="dxa"/>
              <w:bottom w:w="30" w:type="dxa"/>
              <w:right w:w="20" w:type="dxa"/>
            </w:tcMar>
            <w:vAlign w:val="bottom"/>
            <w:hideMark/>
          </w:tcPr>
          <w:p w14:paraId="3A5EDFA5" w14:textId="77777777" w:rsidR="00000000" w:rsidRDefault="001D0688">
            <w:pPr>
              <w:rPr>
                <w:rFonts w:eastAsia="Times New Roman"/>
              </w:rPr>
            </w:pPr>
            <w:r>
              <w:rPr>
                <w:rFonts w:ascii="Arial" w:eastAsia="Times New Roman" w:hAnsi="Arial" w:cs="Arial"/>
                <w:b/>
                <w:bCs/>
                <w:color w:val="000000"/>
                <w:sz w:val="20"/>
                <w:szCs w:val="20"/>
              </w:rPr>
              <w:t>Recoverables</w:t>
            </w:r>
          </w:p>
        </w:tc>
        <w:tc>
          <w:tcPr>
            <w:tcW w:w="0" w:type="auto"/>
            <w:gridSpan w:val="3"/>
            <w:shd w:val="clear" w:color="auto" w:fill="DCE2EF"/>
            <w:tcMar>
              <w:top w:w="0" w:type="dxa"/>
              <w:left w:w="20" w:type="dxa"/>
              <w:bottom w:w="0" w:type="dxa"/>
              <w:right w:w="20" w:type="dxa"/>
            </w:tcMar>
            <w:vAlign w:val="center"/>
            <w:hideMark/>
          </w:tcPr>
          <w:p w14:paraId="64B69953" w14:textId="77777777" w:rsidR="00000000" w:rsidRDefault="001D0688">
            <w:pP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C2503EE" w14:textId="77777777" w:rsidR="00000000" w:rsidRDefault="001D0688">
            <w:pPr>
              <w:jc w:val="right"/>
              <w:rPr>
                <w:rFonts w:eastAsia="Times New Roman"/>
              </w:rPr>
            </w:pPr>
            <w:r>
              <w:rPr>
                <w:rFonts w:ascii="Arial" w:eastAsia="Times New Roman" w:hAnsi="Arial" w:cs="Arial"/>
                <w:color w:val="000000"/>
                <w:sz w:val="20"/>
                <w:szCs w:val="20"/>
              </w:rPr>
              <w:t>70.1 </w:t>
            </w:r>
          </w:p>
        </w:tc>
        <w:tc>
          <w:tcPr>
            <w:tcW w:w="0" w:type="auto"/>
            <w:shd w:val="clear" w:color="auto" w:fill="DCE2EF"/>
            <w:tcMar>
              <w:top w:w="30" w:type="dxa"/>
              <w:left w:w="0" w:type="dxa"/>
              <w:bottom w:w="30" w:type="dxa"/>
              <w:right w:w="20" w:type="dxa"/>
            </w:tcMar>
            <w:vAlign w:val="bottom"/>
            <w:hideMark/>
          </w:tcPr>
          <w:p w14:paraId="4314A83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85146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6C7A87" w14:textId="77777777" w:rsidR="00000000" w:rsidRDefault="001D0688">
            <w:pPr>
              <w:jc w:val="right"/>
              <w:rPr>
                <w:rFonts w:eastAsia="Times New Roman"/>
              </w:rPr>
            </w:pPr>
            <w:r>
              <w:rPr>
                <w:rFonts w:ascii="Arial" w:eastAsia="Times New Roman" w:hAnsi="Arial" w:cs="Arial"/>
                <w:color w:val="000000"/>
                <w:sz w:val="20"/>
                <w:szCs w:val="20"/>
              </w:rPr>
              <w:t>64.5 </w:t>
            </w:r>
          </w:p>
        </w:tc>
        <w:tc>
          <w:tcPr>
            <w:tcW w:w="0" w:type="auto"/>
            <w:shd w:val="clear" w:color="auto" w:fill="DCE2EF"/>
            <w:tcMar>
              <w:top w:w="30" w:type="dxa"/>
              <w:left w:w="0" w:type="dxa"/>
              <w:bottom w:w="30" w:type="dxa"/>
              <w:right w:w="20" w:type="dxa"/>
            </w:tcMar>
            <w:vAlign w:val="bottom"/>
            <w:hideMark/>
          </w:tcPr>
          <w:p w14:paraId="12A54EF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D3C70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873B32" w14:textId="77777777" w:rsidR="00000000" w:rsidRDefault="001D0688">
            <w:pPr>
              <w:jc w:val="right"/>
              <w:rPr>
                <w:rFonts w:eastAsia="Times New Roman"/>
              </w:rPr>
            </w:pPr>
            <w:r>
              <w:rPr>
                <w:rFonts w:ascii="Arial" w:eastAsia="Times New Roman" w:hAnsi="Arial" w:cs="Arial"/>
                <w:color w:val="000000"/>
                <w:sz w:val="20"/>
                <w:szCs w:val="20"/>
              </w:rPr>
              <w:t>73.7 </w:t>
            </w:r>
          </w:p>
        </w:tc>
        <w:tc>
          <w:tcPr>
            <w:tcW w:w="0" w:type="auto"/>
            <w:shd w:val="clear" w:color="auto" w:fill="DCE2EF"/>
            <w:tcMar>
              <w:top w:w="30" w:type="dxa"/>
              <w:left w:w="0" w:type="dxa"/>
              <w:bottom w:w="30" w:type="dxa"/>
              <w:right w:w="20" w:type="dxa"/>
            </w:tcMar>
            <w:vAlign w:val="bottom"/>
            <w:hideMark/>
          </w:tcPr>
          <w:p w14:paraId="33F6DD7C" w14:textId="77777777" w:rsidR="00000000" w:rsidRDefault="001D0688">
            <w:pPr>
              <w:jc w:val="right"/>
              <w:rPr>
                <w:rFonts w:eastAsia="Times New Roman"/>
              </w:rPr>
            </w:pPr>
          </w:p>
        </w:tc>
      </w:tr>
      <w:tr w:rsidR="00000000" w14:paraId="6407892D" w14:textId="77777777">
        <w:trPr>
          <w:divId w:val="1231698778"/>
        </w:trPr>
        <w:tc>
          <w:tcPr>
            <w:tcW w:w="0" w:type="auto"/>
            <w:gridSpan w:val="3"/>
            <w:shd w:val="clear" w:color="auto" w:fill="FFFFFF"/>
            <w:tcMar>
              <w:top w:w="30" w:type="dxa"/>
              <w:left w:w="20" w:type="dxa"/>
              <w:bottom w:w="30" w:type="dxa"/>
              <w:right w:w="20" w:type="dxa"/>
            </w:tcMar>
            <w:vAlign w:val="bottom"/>
            <w:hideMark/>
          </w:tcPr>
          <w:p w14:paraId="0CC5A0DD" w14:textId="77777777" w:rsidR="00000000" w:rsidRDefault="001D0688">
            <w:pPr>
              <w:rPr>
                <w:rFonts w:eastAsia="Times New Roman"/>
              </w:rPr>
            </w:pPr>
            <w:r>
              <w:rPr>
                <w:rFonts w:ascii="Arial" w:eastAsia="Times New Roman" w:hAnsi="Arial" w:cs="Arial"/>
                <w:b/>
                <w:bCs/>
                <w:color w:val="000000"/>
                <w:sz w:val="20"/>
                <w:szCs w:val="20"/>
              </w:rPr>
              <w:t>Gross balance, October 31</w:t>
            </w:r>
          </w:p>
        </w:tc>
        <w:tc>
          <w:tcPr>
            <w:tcW w:w="0" w:type="auto"/>
            <w:gridSpan w:val="3"/>
            <w:shd w:val="clear" w:color="auto" w:fill="FFFFFF"/>
            <w:tcMar>
              <w:top w:w="0" w:type="dxa"/>
              <w:left w:w="20" w:type="dxa"/>
              <w:bottom w:w="0" w:type="dxa"/>
              <w:right w:w="20" w:type="dxa"/>
            </w:tcMar>
            <w:vAlign w:val="center"/>
            <w:hideMark/>
          </w:tcPr>
          <w:p w14:paraId="14B8E374" w14:textId="77777777" w:rsidR="00000000" w:rsidRDefault="001D0688">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FA903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7B54DE" w14:textId="77777777" w:rsidR="00000000" w:rsidRDefault="001D0688">
            <w:pPr>
              <w:jc w:val="right"/>
              <w:rPr>
                <w:rFonts w:eastAsia="Times New Roman"/>
              </w:rPr>
            </w:pPr>
            <w:r>
              <w:rPr>
                <w:rFonts w:ascii="Arial" w:eastAsia="Times New Roman" w:hAnsi="Arial" w:cs="Arial"/>
                <w:color w:val="000000"/>
                <w:sz w:val="20"/>
                <w:szCs w:val="20"/>
              </w:rPr>
              <w:t>504.9 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7375A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6746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5D0F6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24B6CA" w14:textId="77777777" w:rsidR="00000000" w:rsidRDefault="001D0688">
            <w:pPr>
              <w:jc w:val="right"/>
              <w:rPr>
                <w:rFonts w:eastAsia="Times New Roman"/>
              </w:rPr>
            </w:pPr>
            <w:r>
              <w:rPr>
                <w:rFonts w:ascii="Arial" w:eastAsia="Times New Roman" w:hAnsi="Arial" w:cs="Arial"/>
                <w:color w:val="000000"/>
                <w:sz w:val="20"/>
                <w:szCs w:val="20"/>
              </w:rPr>
              <w:t>507.8 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852B1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2E4AC"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9B9A1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7324B9" w14:textId="77777777" w:rsidR="00000000" w:rsidRDefault="001D0688">
            <w:pPr>
              <w:jc w:val="right"/>
              <w:rPr>
                <w:rFonts w:eastAsia="Times New Roman"/>
              </w:rPr>
            </w:pPr>
            <w:r>
              <w:rPr>
                <w:rFonts w:ascii="Arial" w:eastAsia="Times New Roman" w:hAnsi="Arial" w:cs="Arial"/>
                <w:color w:val="000000"/>
                <w:sz w:val="20"/>
                <w:szCs w:val="20"/>
              </w:rPr>
              <w:t>501.4 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5481E2" w14:textId="77777777" w:rsidR="00000000" w:rsidRDefault="001D0688">
            <w:pPr>
              <w:jc w:val="right"/>
              <w:rPr>
                <w:rFonts w:eastAsia="Times New Roman"/>
              </w:rPr>
            </w:pPr>
          </w:p>
        </w:tc>
      </w:tr>
    </w:tbl>
    <w:p w14:paraId="10266788" w14:textId="77777777" w:rsidR="00000000" w:rsidRDefault="001D0688">
      <w:pPr>
        <w:ind w:hanging="180"/>
        <w:jc w:val="both"/>
        <w:divId w:val="2355742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Includes reserves related to discontinued operations of approximately $0.5 million for 2020, $1.0 million for 2019, and $3.0 million for 2018. </w:t>
      </w:r>
    </w:p>
    <w:p w14:paraId="2C5E7A44" w14:textId="77777777" w:rsidR="00000000" w:rsidRDefault="001D0688">
      <w:pPr>
        <w:divId w:val="1859393116"/>
        <w:rPr>
          <w:rFonts w:eastAsia="Times New Roman"/>
        </w:rPr>
      </w:pPr>
    </w:p>
    <w:p w14:paraId="3F853C79" w14:textId="77777777" w:rsidR="00000000" w:rsidRDefault="001D0688">
      <w:pPr>
        <w:divId w:val="1610089555"/>
        <w:rPr>
          <w:rFonts w:eastAsia="Times New Roman"/>
        </w:rPr>
      </w:pPr>
    </w:p>
    <w:p w14:paraId="756DC984" w14:textId="77777777" w:rsidR="00000000" w:rsidRDefault="001D0688">
      <w:pPr>
        <w:divId w:val="1984966115"/>
        <w:rPr>
          <w:rFonts w:eastAsia="Times New Roman"/>
        </w:rPr>
      </w:pPr>
    </w:p>
    <w:p w14:paraId="0FD8CBCF" w14:textId="77777777" w:rsidR="00000000" w:rsidRDefault="001D0688">
      <w:pPr>
        <w:jc w:val="center"/>
        <w:divId w:val="1840998521"/>
        <w:rPr>
          <w:rFonts w:eastAsia="Times New Roman"/>
        </w:rPr>
      </w:pPr>
      <w:r>
        <w:rPr>
          <w:rFonts w:ascii="Arial" w:eastAsia="Times New Roman" w:hAnsi="Arial" w:cs="Arial"/>
          <w:color w:val="000000"/>
          <w:sz w:val="20"/>
          <w:szCs w:val="20"/>
        </w:rPr>
        <w:t>79</w:t>
      </w:r>
    </w:p>
    <w:p w14:paraId="0B0F8B9C" w14:textId="77777777" w:rsidR="00000000" w:rsidRDefault="001D0688">
      <w:pPr>
        <w:rPr>
          <w:rFonts w:eastAsia="Times New Roman"/>
        </w:rPr>
      </w:pPr>
      <w:r>
        <w:rPr>
          <w:rFonts w:eastAsia="Times New Roman"/>
        </w:rPr>
        <w:pict w14:anchorId="68BD6F91">
          <v:rect id="_x0000_i1116" style="width:0;height:1.5pt" o:hralign="center" o:hrstd="t" o:hr="t" fillcolor="#a0a0a0" stroked="f"/>
        </w:pict>
      </w:r>
    </w:p>
    <w:p w14:paraId="6E6B971E" w14:textId="77777777" w:rsidR="00000000" w:rsidRDefault="001D0688">
      <w:pPr>
        <w:divId w:val="1249848235"/>
        <w:rPr>
          <w:rFonts w:eastAsia="Times New Roman"/>
        </w:rPr>
      </w:pPr>
    </w:p>
    <w:p w14:paraId="309143A0" w14:textId="77777777" w:rsidR="00000000" w:rsidRDefault="001D0688">
      <w:pPr>
        <w:divId w:val="1980963333"/>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261"/>
        <w:gridCol w:w="38"/>
        <w:gridCol w:w="132"/>
        <w:gridCol w:w="1282"/>
        <w:gridCol w:w="36"/>
        <w:gridCol w:w="36"/>
        <w:gridCol w:w="36"/>
        <w:gridCol w:w="36"/>
        <w:gridCol w:w="132"/>
        <w:gridCol w:w="1242"/>
        <w:gridCol w:w="36"/>
      </w:tblGrid>
      <w:tr w:rsidR="00000000" w14:paraId="486154D4" w14:textId="77777777">
        <w:trPr>
          <w:divId w:val="1886522438"/>
        </w:trPr>
        <w:tc>
          <w:tcPr>
            <w:tcW w:w="50" w:type="pct"/>
            <w:vAlign w:val="center"/>
            <w:hideMark/>
          </w:tcPr>
          <w:p w14:paraId="4FDC0FFD" w14:textId="77777777" w:rsidR="00000000" w:rsidRDefault="001D0688">
            <w:pPr>
              <w:rPr>
                <w:rFonts w:eastAsia="Times New Roman"/>
              </w:rPr>
            </w:pPr>
          </w:p>
        </w:tc>
        <w:tc>
          <w:tcPr>
            <w:tcW w:w="3197" w:type="pct"/>
            <w:vAlign w:val="center"/>
            <w:hideMark/>
          </w:tcPr>
          <w:p w14:paraId="485E45F6" w14:textId="77777777" w:rsidR="00000000" w:rsidRDefault="001D0688">
            <w:pPr>
              <w:rPr>
                <w:rFonts w:eastAsia="Times New Roman"/>
                <w:sz w:val="20"/>
                <w:szCs w:val="20"/>
              </w:rPr>
            </w:pPr>
          </w:p>
        </w:tc>
        <w:tc>
          <w:tcPr>
            <w:tcW w:w="5" w:type="pct"/>
            <w:vAlign w:val="center"/>
            <w:hideMark/>
          </w:tcPr>
          <w:p w14:paraId="63AEBB2B" w14:textId="77777777" w:rsidR="00000000" w:rsidRDefault="001D0688">
            <w:pPr>
              <w:rPr>
                <w:rFonts w:eastAsia="Times New Roman"/>
                <w:sz w:val="20"/>
                <w:szCs w:val="20"/>
              </w:rPr>
            </w:pPr>
          </w:p>
        </w:tc>
        <w:tc>
          <w:tcPr>
            <w:tcW w:w="50" w:type="pct"/>
            <w:vAlign w:val="center"/>
            <w:hideMark/>
          </w:tcPr>
          <w:p w14:paraId="414F416E" w14:textId="77777777" w:rsidR="00000000" w:rsidRDefault="001D0688">
            <w:pPr>
              <w:rPr>
                <w:rFonts w:eastAsia="Times New Roman"/>
                <w:sz w:val="20"/>
                <w:szCs w:val="20"/>
              </w:rPr>
            </w:pPr>
          </w:p>
        </w:tc>
        <w:tc>
          <w:tcPr>
            <w:tcW w:w="800" w:type="pct"/>
            <w:vAlign w:val="center"/>
            <w:hideMark/>
          </w:tcPr>
          <w:p w14:paraId="188DE684" w14:textId="77777777" w:rsidR="00000000" w:rsidRDefault="001D0688">
            <w:pPr>
              <w:rPr>
                <w:rFonts w:eastAsia="Times New Roman"/>
                <w:sz w:val="20"/>
                <w:szCs w:val="20"/>
              </w:rPr>
            </w:pPr>
          </w:p>
        </w:tc>
        <w:tc>
          <w:tcPr>
            <w:tcW w:w="5" w:type="pct"/>
            <w:vAlign w:val="center"/>
            <w:hideMark/>
          </w:tcPr>
          <w:p w14:paraId="16D1095B" w14:textId="77777777" w:rsidR="00000000" w:rsidRDefault="001D0688">
            <w:pPr>
              <w:rPr>
                <w:rFonts w:eastAsia="Times New Roman"/>
                <w:sz w:val="20"/>
                <w:szCs w:val="20"/>
              </w:rPr>
            </w:pPr>
          </w:p>
        </w:tc>
        <w:tc>
          <w:tcPr>
            <w:tcW w:w="5" w:type="pct"/>
            <w:vAlign w:val="center"/>
            <w:hideMark/>
          </w:tcPr>
          <w:p w14:paraId="6C60B2C2" w14:textId="77777777" w:rsidR="00000000" w:rsidRDefault="001D0688">
            <w:pPr>
              <w:rPr>
                <w:rFonts w:eastAsia="Times New Roman"/>
                <w:sz w:val="20"/>
                <w:szCs w:val="20"/>
              </w:rPr>
            </w:pPr>
          </w:p>
        </w:tc>
        <w:tc>
          <w:tcPr>
            <w:tcW w:w="26" w:type="pct"/>
            <w:vAlign w:val="center"/>
            <w:hideMark/>
          </w:tcPr>
          <w:p w14:paraId="54B6C059" w14:textId="77777777" w:rsidR="00000000" w:rsidRDefault="001D0688">
            <w:pPr>
              <w:rPr>
                <w:rFonts w:eastAsia="Times New Roman"/>
                <w:sz w:val="20"/>
                <w:szCs w:val="20"/>
              </w:rPr>
            </w:pPr>
          </w:p>
        </w:tc>
        <w:tc>
          <w:tcPr>
            <w:tcW w:w="5" w:type="pct"/>
            <w:vAlign w:val="center"/>
            <w:hideMark/>
          </w:tcPr>
          <w:p w14:paraId="01FE0A8D" w14:textId="77777777" w:rsidR="00000000" w:rsidRDefault="001D0688">
            <w:pPr>
              <w:rPr>
                <w:rFonts w:eastAsia="Times New Roman"/>
                <w:sz w:val="20"/>
                <w:szCs w:val="20"/>
              </w:rPr>
            </w:pPr>
          </w:p>
        </w:tc>
        <w:tc>
          <w:tcPr>
            <w:tcW w:w="50" w:type="pct"/>
            <w:vAlign w:val="center"/>
            <w:hideMark/>
          </w:tcPr>
          <w:p w14:paraId="09E76C23" w14:textId="77777777" w:rsidR="00000000" w:rsidRDefault="001D0688">
            <w:pPr>
              <w:rPr>
                <w:rFonts w:eastAsia="Times New Roman"/>
                <w:sz w:val="20"/>
                <w:szCs w:val="20"/>
              </w:rPr>
            </w:pPr>
          </w:p>
        </w:tc>
        <w:tc>
          <w:tcPr>
            <w:tcW w:w="800" w:type="pct"/>
            <w:vAlign w:val="center"/>
            <w:hideMark/>
          </w:tcPr>
          <w:p w14:paraId="0E2C34F1" w14:textId="77777777" w:rsidR="00000000" w:rsidRDefault="001D0688">
            <w:pPr>
              <w:rPr>
                <w:rFonts w:eastAsia="Times New Roman"/>
                <w:sz w:val="20"/>
                <w:szCs w:val="20"/>
              </w:rPr>
            </w:pPr>
          </w:p>
        </w:tc>
        <w:tc>
          <w:tcPr>
            <w:tcW w:w="5" w:type="pct"/>
            <w:vAlign w:val="center"/>
            <w:hideMark/>
          </w:tcPr>
          <w:p w14:paraId="50F7AAD4" w14:textId="77777777" w:rsidR="00000000" w:rsidRDefault="001D0688">
            <w:pPr>
              <w:rPr>
                <w:rFonts w:eastAsia="Times New Roman"/>
                <w:sz w:val="20"/>
                <w:szCs w:val="20"/>
              </w:rPr>
            </w:pPr>
          </w:p>
        </w:tc>
      </w:tr>
      <w:tr w:rsidR="00000000" w14:paraId="520B2447" w14:textId="77777777">
        <w:trPr>
          <w:divId w:val="1886522438"/>
        </w:trPr>
        <w:tc>
          <w:tcPr>
            <w:tcW w:w="0" w:type="auto"/>
            <w:gridSpan w:val="3"/>
            <w:tcMar>
              <w:top w:w="0" w:type="dxa"/>
              <w:left w:w="20" w:type="dxa"/>
              <w:bottom w:w="0" w:type="dxa"/>
              <w:right w:w="20" w:type="dxa"/>
            </w:tcMar>
            <w:vAlign w:val="center"/>
            <w:hideMark/>
          </w:tcPr>
          <w:p w14:paraId="59002806"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760C544E" w14:textId="77777777" w:rsidR="00000000" w:rsidRDefault="001D0688">
            <w:pPr>
              <w:jc w:val="center"/>
              <w:rPr>
                <w:rFonts w:eastAsia="Times New Roman"/>
              </w:rPr>
            </w:pPr>
            <w:r>
              <w:rPr>
                <w:rFonts w:ascii="Arial" w:eastAsia="Times New Roman" w:hAnsi="Arial" w:cs="Arial"/>
                <w:b/>
                <w:bCs/>
                <w:color w:val="000000"/>
                <w:sz w:val="20"/>
                <w:szCs w:val="20"/>
              </w:rPr>
              <w:t>As of October 31,</w:t>
            </w:r>
          </w:p>
        </w:tc>
      </w:tr>
      <w:tr w:rsidR="00000000" w14:paraId="7AB2C8AC" w14:textId="77777777">
        <w:trPr>
          <w:divId w:val="1886522438"/>
        </w:trPr>
        <w:tc>
          <w:tcPr>
            <w:tcW w:w="0" w:type="auto"/>
            <w:gridSpan w:val="3"/>
            <w:tcMar>
              <w:top w:w="30" w:type="dxa"/>
              <w:left w:w="20" w:type="dxa"/>
              <w:bottom w:w="30" w:type="dxa"/>
              <w:right w:w="20" w:type="dxa"/>
            </w:tcMar>
            <w:vAlign w:val="bottom"/>
            <w:hideMark/>
          </w:tcPr>
          <w:p w14:paraId="107BA005"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1B6ACB1"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80BEA1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1FCAC5"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27AD82DE" w14:textId="77777777">
        <w:trPr>
          <w:divId w:val="1886522438"/>
        </w:trPr>
        <w:tc>
          <w:tcPr>
            <w:tcW w:w="0" w:type="auto"/>
            <w:gridSpan w:val="3"/>
            <w:shd w:val="clear" w:color="auto" w:fill="DCE2EF"/>
            <w:tcMar>
              <w:top w:w="30" w:type="dxa"/>
              <w:left w:w="20" w:type="dxa"/>
              <w:bottom w:w="30" w:type="dxa"/>
              <w:right w:w="20" w:type="dxa"/>
            </w:tcMar>
            <w:vAlign w:val="bottom"/>
            <w:hideMark/>
          </w:tcPr>
          <w:p w14:paraId="37C957E9" w14:textId="77777777" w:rsidR="00000000" w:rsidRDefault="001D0688">
            <w:pPr>
              <w:rPr>
                <w:rFonts w:eastAsia="Times New Roman"/>
              </w:rPr>
            </w:pPr>
            <w:r>
              <w:rPr>
                <w:rFonts w:ascii="Arial" w:eastAsia="Times New Roman" w:hAnsi="Arial" w:cs="Arial"/>
                <w:color w:val="000000"/>
                <w:sz w:val="20"/>
                <w:szCs w:val="20"/>
              </w:rPr>
              <w:t>Standby letters of credit</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3E4F0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B69862B" w14:textId="77777777" w:rsidR="00000000" w:rsidRDefault="001D0688">
            <w:pPr>
              <w:jc w:val="right"/>
              <w:rPr>
                <w:rFonts w:eastAsia="Times New Roman"/>
              </w:rPr>
            </w:pPr>
            <w:r>
              <w:rPr>
                <w:rFonts w:ascii="Arial" w:eastAsia="Times New Roman" w:hAnsi="Arial" w:cs="Arial"/>
                <w:color w:val="000000"/>
                <w:sz w:val="20"/>
                <w:szCs w:val="20"/>
              </w:rPr>
              <w:t>143.6 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A4D114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9D0C7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8F4F19F"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7E65547" w14:textId="77777777" w:rsidR="00000000" w:rsidRDefault="001D0688">
            <w:pPr>
              <w:jc w:val="right"/>
              <w:rPr>
                <w:rFonts w:eastAsia="Times New Roman"/>
              </w:rPr>
            </w:pPr>
            <w:r>
              <w:rPr>
                <w:rFonts w:ascii="Arial" w:eastAsia="Times New Roman" w:hAnsi="Arial" w:cs="Arial"/>
                <w:color w:val="000000"/>
                <w:sz w:val="20"/>
                <w:szCs w:val="20"/>
              </w:rPr>
              <w:t>141.0 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A624993" w14:textId="77777777" w:rsidR="00000000" w:rsidRDefault="001D0688">
            <w:pPr>
              <w:jc w:val="right"/>
              <w:rPr>
                <w:rFonts w:eastAsia="Times New Roman"/>
              </w:rPr>
            </w:pPr>
          </w:p>
        </w:tc>
      </w:tr>
      <w:tr w:rsidR="00000000" w14:paraId="272F7B46" w14:textId="77777777">
        <w:trPr>
          <w:divId w:val="1886522438"/>
        </w:trPr>
        <w:tc>
          <w:tcPr>
            <w:tcW w:w="0" w:type="auto"/>
            <w:gridSpan w:val="3"/>
            <w:shd w:val="clear" w:color="auto" w:fill="FFFFFF"/>
            <w:tcMar>
              <w:top w:w="30" w:type="dxa"/>
              <w:left w:w="20" w:type="dxa"/>
              <w:bottom w:w="30" w:type="dxa"/>
              <w:right w:w="20" w:type="dxa"/>
            </w:tcMar>
            <w:vAlign w:val="bottom"/>
            <w:hideMark/>
          </w:tcPr>
          <w:p w14:paraId="468238DE" w14:textId="77777777" w:rsidR="00000000" w:rsidRDefault="001D0688">
            <w:pPr>
              <w:rPr>
                <w:rFonts w:eastAsia="Times New Roman"/>
              </w:rPr>
            </w:pPr>
            <w:r>
              <w:rPr>
                <w:rFonts w:ascii="Arial" w:eastAsia="Times New Roman" w:hAnsi="Arial" w:cs="Arial"/>
                <w:color w:val="000000"/>
                <w:sz w:val="20"/>
                <w:szCs w:val="20"/>
              </w:rPr>
              <w:t>Surety bonds</w:t>
            </w:r>
          </w:p>
        </w:tc>
        <w:tc>
          <w:tcPr>
            <w:tcW w:w="0" w:type="auto"/>
            <w:gridSpan w:val="2"/>
            <w:shd w:val="clear" w:color="auto" w:fill="FFFFFF"/>
            <w:tcMar>
              <w:top w:w="30" w:type="dxa"/>
              <w:left w:w="20" w:type="dxa"/>
              <w:bottom w:w="30" w:type="dxa"/>
              <w:right w:w="0" w:type="dxa"/>
            </w:tcMar>
            <w:vAlign w:val="bottom"/>
            <w:hideMark/>
          </w:tcPr>
          <w:p w14:paraId="0CCC7BA9" w14:textId="77777777" w:rsidR="00000000" w:rsidRDefault="001D0688">
            <w:pPr>
              <w:jc w:val="right"/>
              <w:rPr>
                <w:rFonts w:eastAsia="Times New Roman"/>
              </w:rPr>
            </w:pPr>
            <w:r>
              <w:rPr>
                <w:rFonts w:ascii="Arial" w:eastAsia="Times New Roman" w:hAnsi="Arial" w:cs="Arial"/>
                <w:color w:val="000000"/>
                <w:sz w:val="20"/>
                <w:szCs w:val="20"/>
              </w:rPr>
              <w:t>82.6 </w:t>
            </w:r>
          </w:p>
        </w:tc>
        <w:tc>
          <w:tcPr>
            <w:tcW w:w="0" w:type="auto"/>
            <w:shd w:val="clear" w:color="auto" w:fill="FFFFFF"/>
            <w:tcMar>
              <w:top w:w="30" w:type="dxa"/>
              <w:left w:w="0" w:type="dxa"/>
              <w:bottom w:w="30" w:type="dxa"/>
              <w:right w:w="20" w:type="dxa"/>
            </w:tcMar>
            <w:vAlign w:val="bottom"/>
            <w:hideMark/>
          </w:tcPr>
          <w:p w14:paraId="1BB0C22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5687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55D208" w14:textId="77777777" w:rsidR="00000000" w:rsidRDefault="001D0688">
            <w:pPr>
              <w:jc w:val="right"/>
              <w:rPr>
                <w:rFonts w:eastAsia="Times New Roman"/>
              </w:rPr>
            </w:pPr>
            <w:r>
              <w:rPr>
                <w:rFonts w:ascii="Arial" w:eastAsia="Times New Roman" w:hAnsi="Arial" w:cs="Arial"/>
                <w:color w:val="000000"/>
                <w:sz w:val="20"/>
                <w:szCs w:val="20"/>
              </w:rPr>
              <w:t>90.8 </w:t>
            </w:r>
          </w:p>
        </w:tc>
        <w:tc>
          <w:tcPr>
            <w:tcW w:w="0" w:type="auto"/>
            <w:shd w:val="clear" w:color="auto" w:fill="FFFFFF"/>
            <w:tcMar>
              <w:top w:w="30" w:type="dxa"/>
              <w:left w:w="0" w:type="dxa"/>
              <w:bottom w:w="30" w:type="dxa"/>
              <w:right w:w="20" w:type="dxa"/>
            </w:tcMar>
            <w:vAlign w:val="bottom"/>
            <w:hideMark/>
          </w:tcPr>
          <w:p w14:paraId="66676235" w14:textId="77777777" w:rsidR="00000000" w:rsidRDefault="001D0688">
            <w:pPr>
              <w:jc w:val="right"/>
              <w:rPr>
                <w:rFonts w:eastAsia="Times New Roman"/>
              </w:rPr>
            </w:pPr>
          </w:p>
        </w:tc>
      </w:tr>
      <w:tr w:rsidR="00000000" w14:paraId="5F25D1B0" w14:textId="77777777">
        <w:trPr>
          <w:divId w:val="1886522438"/>
        </w:trPr>
        <w:tc>
          <w:tcPr>
            <w:tcW w:w="0" w:type="auto"/>
            <w:gridSpan w:val="3"/>
            <w:shd w:val="clear" w:color="auto" w:fill="DCE2EF"/>
            <w:tcMar>
              <w:top w:w="30" w:type="dxa"/>
              <w:left w:w="20" w:type="dxa"/>
              <w:bottom w:w="30" w:type="dxa"/>
              <w:right w:w="20" w:type="dxa"/>
            </w:tcMar>
            <w:vAlign w:val="bottom"/>
            <w:hideMark/>
          </w:tcPr>
          <w:p w14:paraId="6398F51C" w14:textId="77777777" w:rsidR="00000000" w:rsidRDefault="001D0688">
            <w:pPr>
              <w:rPr>
                <w:rFonts w:eastAsia="Times New Roman"/>
              </w:rPr>
            </w:pPr>
            <w:r>
              <w:rPr>
                <w:rFonts w:ascii="Arial" w:eastAsia="Times New Roman" w:hAnsi="Arial" w:cs="Arial"/>
                <w:color w:val="000000"/>
                <w:sz w:val="20"/>
                <w:szCs w:val="20"/>
              </w:rPr>
              <w:t>Restricted insurance deposits</w:t>
            </w:r>
          </w:p>
        </w:tc>
        <w:tc>
          <w:tcPr>
            <w:tcW w:w="0" w:type="auto"/>
            <w:gridSpan w:val="2"/>
            <w:shd w:val="clear" w:color="auto" w:fill="DCE2EF"/>
            <w:tcMar>
              <w:top w:w="30" w:type="dxa"/>
              <w:left w:w="20" w:type="dxa"/>
              <w:bottom w:w="30" w:type="dxa"/>
              <w:right w:w="0" w:type="dxa"/>
            </w:tcMar>
            <w:vAlign w:val="bottom"/>
            <w:hideMark/>
          </w:tcPr>
          <w:p w14:paraId="7E00145A"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14:paraId="6419B11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AB848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078887" w14:textId="77777777" w:rsidR="00000000" w:rsidRDefault="001D0688">
            <w:pPr>
              <w:jc w:val="right"/>
              <w:rPr>
                <w:rFonts w:eastAsia="Times New Roman"/>
              </w:rPr>
            </w:pPr>
            <w:r>
              <w:rPr>
                <w:rFonts w:ascii="Arial" w:eastAsia="Times New Roman" w:hAnsi="Arial" w:cs="Arial"/>
                <w:color w:val="000000"/>
                <w:sz w:val="20"/>
                <w:szCs w:val="20"/>
              </w:rPr>
              <w:t>0.8 </w:t>
            </w:r>
          </w:p>
        </w:tc>
        <w:tc>
          <w:tcPr>
            <w:tcW w:w="0" w:type="auto"/>
            <w:shd w:val="clear" w:color="auto" w:fill="DCE2EF"/>
            <w:tcMar>
              <w:top w:w="30" w:type="dxa"/>
              <w:left w:w="0" w:type="dxa"/>
              <w:bottom w:w="30" w:type="dxa"/>
              <w:right w:w="20" w:type="dxa"/>
            </w:tcMar>
            <w:vAlign w:val="bottom"/>
            <w:hideMark/>
          </w:tcPr>
          <w:p w14:paraId="770D954E" w14:textId="77777777" w:rsidR="00000000" w:rsidRDefault="001D0688">
            <w:pPr>
              <w:jc w:val="right"/>
              <w:rPr>
                <w:rFonts w:eastAsia="Times New Roman"/>
              </w:rPr>
            </w:pPr>
          </w:p>
        </w:tc>
      </w:tr>
      <w:tr w:rsidR="00000000" w14:paraId="5DCE6402" w14:textId="77777777">
        <w:trPr>
          <w:divId w:val="1886522438"/>
        </w:trPr>
        <w:tc>
          <w:tcPr>
            <w:tcW w:w="0" w:type="auto"/>
            <w:gridSpan w:val="3"/>
            <w:shd w:val="clear" w:color="auto" w:fill="FFFFFF"/>
            <w:tcMar>
              <w:top w:w="30" w:type="dxa"/>
              <w:left w:w="20" w:type="dxa"/>
              <w:bottom w:w="30" w:type="dxa"/>
              <w:right w:w="20" w:type="dxa"/>
            </w:tcMar>
            <w:vAlign w:val="bottom"/>
            <w:hideMark/>
          </w:tcPr>
          <w:p w14:paraId="48EA2C9F" w14:textId="77777777" w:rsidR="00000000" w:rsidRDefault="001D0688">
            <w:pPr>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BEA7E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3B2D97" w14:textId="77777777" w:rsidR="00000000" w:rsidRDefault="001D0688">
            <w:pPr>
              <w:jc w:val="right"/>
              <w:rPr>
                <w:rFonts w:eastAsia="Times New Roman"/>
              </w:rPr>
            </w:pPr>
            <w:r>
              <w:rPr>
                <w:rFonts w:ascii="Arial" w:eastAsia="Times New Roman" w:hAnsi="Arial" w:cs="Arial"/>
                <w:color w:val="000000"/>
                <w:sz w:val="20"/>
                <w:szCs w:val="20"/>
              </w:rPr>
              <w:t>226.9 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50E54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79A6F2"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06620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EAED99" w14:textId="77777777" w:rsidR="00000000" w:rsidRDefault="001D0688">
            <w:pPr>
              <w:jc w:val="right"/>
              <w:rPr>
                <w:rFonts w:eastAsia="Times New Roman"/>
              </w:rPr>
            </w:pPr>
            <w:r>
              <w:rPr>
                <w:rFonts w:ascii="Arial" w:eastAsia="Times New Roman" w:hAnsi="Arial" w:cs="Arial"/>
                <w:color w:val="000000"/>
                <w:sz w:val="20"/>
                <w:szCs w:val="20"/>
              </w:rPr>
              <w:t>232.6 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A9DEA0" w14:textId="77777777" w:rsidR="00000000" w:rsidRDefault="001D0688">
            <w:pPr>
              <w:jc w:val="right"/>
              <w:rPr>
                <w:rFonts w:eastAsia="Times New Roman"/>
              </w:rPr>
            </w:pPr>
          </w:p>
        </w:tc>
      </w:tr>
    </w:tbl>
    <w:p w14:paraId="51DF904B" w14:textId="77777777" w:rsidR="00000000" w:rsidRDefault="001D0688">
      <w:pPr>
        <w:divId w:val="1597707129"/>
        <w:rPr>
          <w:rFonts w:eastAsia="Times New Roman"/>
        </w:rPr>
      </w:pPr>
    </w:p>
    <w:p w14:paraId="08AF78D9" w14:textId="77777777" w:rsidR="00000000" w:rsidRDefault="001D0688">
      <w:pPr>
        <w:divId w:val="236133751"/>
        <w:rPr>
          <w:rFonts w:eastAsia="Times New Roman"/>
        </w:rPr>
      </w:pPr>
      <w:r>
        <w:rPr>
          <w:rFonts w:ascii="Arial" w:eastAsia="Times New Roman" w:hAnsi="Arial" w:cs="Arial"/>
          <w:b/>
          <w:bCs/>
          <w:color w:val="0046AD"/>
          <w:sz w:val="20"/>
          <w:szCs w:val="20"/>
        </w:rPr>
        <w:t xml:space="preserve">11. </w:t>
      </w:r>
      <w:r>
        <w:rPr>
          <w:rFonts w:ascii="Arial" w:eastAsia="Times New Roman" w:hAnsi="Arial" w:cs="Arial"/>
          <w:b/>
          <w:bCs/>
          <w:color w:val="0046AD"/>
          <w:sz w:val="20"/>
          <w:szCs w:val="20"/>
        </w:rPr>
        <w:t>CREDIT FACILITY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FA682FD" w14:textId="77777777">
        <w:trPr>
          <w:divId w:val="424762468"/>
        </w:trPr>
        <w:tc>
          <w:tcPr>
            <w:tcW w:w="5" w:type="pct"/>
            <w:vAlign w:val="center"/>
            <w:hideMark/>
          </w:tcPr>
          <w:p w14:paraId="4EBBCA03" w14:textId="77777777" w:rsidR="00000000" w:rsidRDefault="001D0688">
            <w:pPr>
              <w:rPr>
                <w:rFonts w:eastAsia="Times New Roman"/>
              </w:rPr>
            </w:pPr>
          </w:p>
        </w:tc>
        <w:tc>
          <w:tcPr>
            <w:tcW w:w="128" w:type="pct"/>
            <w:vAlign w:val="center"/>
            <w:hideMark/>
          </w:tcPr>
          <w:p w14:paraId="1541C33D" w14:textId="77777777" w:rsidR="00000000" w:rsidRDefault="001D0688">
            <w:pPr>
              <w:rPr>
                <w:rFonts w:eastAsia="Times New Roman"/>
                <w:sz w:val="20"/>
                <w:szCs w:val="20"/>
              </w:rPr>
            </w:pPr>
          </w:p>
        </w:tc>
        <w:tc>
          <w:tcPr>
            <w:tcW w:w="5" w:type="pct"/>
            <w:vAlign w:val="center"/>
            <w:hideMark/>
          </w:tcPr>
          <w:p w14:paraId="16EBAF17" w14:textId="77777777" w:rsidR="00000000" w:rsidRDefault="001D0688">
            <w:pPr>
              <w:rPr>
                <w:rFonts w:eastAsia="Times New Roman"/>
                <w:sz w:val="20"/>
                <w:szCs w:val="20"/>
              </w:rPr>
            </w:pPr>
          </w:p>
        </w:tc>
        <w:tc>
          <w:tcPr>
            <w:tcW w:w="50" w:type="pct"/>
            <w:vAlign w:val="center"/>
            <w:hideMark/>
          </w:tcPr>
          <w:p w14:paraId="6AA8B41C" w14:textId="77777777" w:rsidR="00000000" w:rsidRDefault="001D0688">
            <w:pPr>
              <w:rPr>
                <w:rFonts w:eastAsia="Times New Roman"/>
                <w:sz w:val="20"/>
                <w:szCs w:val="20"/>
              </w:rPr>
            </w:pPr>
          </w:p>
        </w:tc>
        <w:tc>
          <w:tcPr>
            <w:tcW w:w="4806" w:type="pct"/>
            <w:vAlign w:val="center"/>
            <w:hideMark/>
          </w:tcPr>
          <w:p w14:paraId="65127D32" w14:textId="77777777" w:rsidR="00000000" w:rsidRDefault="001D0688">
            <w:pPr>
              <w:rPr>
                <w:rFonts w:eastAsia="Times New Roman"/>
                <w:sz w:val="20"/>
                <w:szCs w:val="20"/>
              </w:rPr>
            </w:pPr>
          </w:p>
        </w:tc>
        <w:tc>
          <w:tcPr>
            <w:tcW w:w="5" w:type="pct"/>
            <w:vAlign w:val="center"/>
            <w:hideMark/>
          </w:tcPr>
          <w:p w14:paraId="1159DE01" w14:textId="77777777" w:rsidR="00000000" w:rsidRDefault="001D0688">
            <w:pPr>
              <w:rPr>
                <w:rFonts w:eastAsia="Times New Roman"/>
                <w:sz w:val="20"/>
                <w:szCs w:val="20"/>
              </w:rPr>
            </w:pPr>
          </w:p>
        </w:tc>
      </w:tr>
      <w:tr w:rsidR="00000000" w14:paraId="2507DB64" w14:textId="77777777">
        <w:trPr>
          <w:divId w:val="424762468"/>
          <w:trHeight w:val="60"/>
        </w:trPr>
        <w:tc>
          <w:tcPr>
            <w:tcW w:w="0" w:type="auto"/>
            <w:gridSpan w:val="3"/>
            <w:tcBorders>
              <w:top w:val="single" w:sz="8" w:space="0" w:color="E98300"/>
            </w:tcBorders>
            <w:tcMar>
              <w:top w:w="0" w:type="dxa"/>
              <w:left w:w="20" w:type="dxa"/>
              <w:bottom w:w="0" w:type="dxa"/>
              <w:right w:w="20" w:type="dxa"/>
            </w:tcMar>
            <w:vAlign w:val="center"/>
            <w:hideMark/>
          </w:tcPr>
          <w:p w14:paraId="71FBE758"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7E70717" w14:textId="77777777" w:rsidR="00000000" w:rsidRDefault="001D0688">
            <w:pPr>
              <w:rPr>
                <w:rFonts w:eastAsia="Times New Roman"/>
                <w:sz w:val="20"/>
                <w:szCs w:val="20"/>
              </w:rPr>
            </w:pPr>
          </w:p>
        </w:tc>
      </w:tr>
    </w:tbl>
    <w:p w14:paraId="39786398" w14:textId="77777777" w:rsidR="00000000" w:rsidRDefault="001D0688">
      <w:pPr>
        <w:ind w:firstLine="720"/>
        <w:jc w:val="both"/>
        <w:divId w:val="438451482"/>
        <w:rPr>
          <w:rFonts w:eastAsia="Times New Roman"/>
        </w:rPr>
      </w:pPr>
      <w:r>
        <w:rPr>
          <w:rFonts w:ascii="Arial" w:eastAsia="Times New Roman" w:hAnsi="Arial" w:cs="Arial"/>
          <w:color w:val="000000"/>
          <w:sz w:val="20"/>
          <w:szCs w:val="20"/>
        </w:rPr>
        <w:t xml:space="preserve">On September 1, 2017, we refinanced and replaced our then-existing $800.0 million credit facility with a new senior, secured five-year syndicated credit facility, consisting of a $900.0 </w:t>
      </w:r>
      <w:r>
        <w:rPr>
          <w:rFonts w:ascii="Arial" w:eastAsia="Times New Roman" w:hAnsi="Arial" w:cs="Arial"/>
          <w:color w:val="000000"/>
          <w:sz w:val="20"/>
          <w:szCs w:val="20"/>
        </w:rPr>
        <w:t>million revolving line of credit and an $800.0 million amortizing term loan, both of which are scheduled to mature on September 1, 2022. In accordance with the terms of the Credit Facility, the revolving line of credit was reduced to $800.0 million on Sept</w:t>
      </w:r>
      <w:r>
        <w:rPr>
          <w:rFonts w:ascii="Arial" w:eastAsia="Times New Roman" w:hAnsi="Arial" w:cs="Arial"/>
          <w:color w:val="000000"/>
          <w:sz w:val="20"/>
          <w:szCs w:val="20"/>
        </w:rPr>
        <w:t>ember 1, 2018. In late March 2020, we borrowed approximately $300 million as a precautionary measure to provide increased liquidity and preserve financial flexibility in response to uncertainty resulting from the Pandemic. This represented all remaining am</w:t>
      </w:r>
      <w:r>
        <w:rPr>
          <w:rFonts w:ascii="Arial" w:eastAsia="Times New Roman" w:hAnsi="Arial" w:cs="Arial"/>
          <w:color w:val="000000"/>
          <w:sz w:val="20"/>
          <w:szCs w:val="20"/>
        </w:rPr>
        <w:t>ounts then available under the revolving line of credit. During the quarter ended July 31, 2020, the Company repaid substantially all of these amounts borrowed under the revolving line of credit without penalty. The Credit Facility also provides for the is</w:t>
      </w:r>
      <w:r>
        <w:rPr>
          <w:rFonts w:ascii="Arial" w:eastAsia="Times New Roman" w:hAnsi="Arial" w:cs="Arial"/>
          <w:color w:val="000000"/>
          <w:sz w:val="20"/>
          <w:szCs w:val="20"/>
        </w:rPr>
        <w:t>suance of up to $300.0 million for standby letters of credit and the issuance of up to $75.0 million in swingline advances. The obligations under the Credit Facility are secured on a first-priority basis by a lien on substantially all of our assets and pro</w:t>
      </w:r>
      <w:r>
        <w:rPr>
          <w:rFonts w:ascii="Arial" w:eastAsia="Times New Roman" w:hAnsi="Arial" w:cs="Arial"/>
          <w:color w:val="000000"/>
          <w:sz w:val="20"/>
          <w:szCs w:val="20"/>
        </w:rPr>
        <w:t>perties, subject to certain exceptions. To further enhance our financial flexibility as a precautionary measure in response to uncertainty arising from the Pandemic, we amended our Credit Facility on May 28, 2020, as further described below.</w:t>
      </w:r>
    </w:p>
    <w:p w14:paraId="5A919702" w14:textId="77777777" w:rsidR="00000000" w:rsidRDefault="001D0688">
      <w:pPr>
        <w:ind w:firstLine="720"/>
        <w:jc w:val="both"/>
        <w:divId w:val="695498090"/>
        <w:rPr>
          <w:rFonts w:eastAsia="Times New Roman"/>
        </w:rPr>
      </w:pPr>
      <w:r>
        <w:rPr>
          <w:rFonts w:ascii="Arial" w:eastAsia="Times New Roman" w:hAnsi="Arial" w:cs="Arial"/>
          <w:color w:val="000000"/>
          <w:sz w:val="20"/>
          <w:szCs w:val="20"/>
        </w:rPr>
        <w:t xml:space="preserve">The Amendment </w:t>
      </w:r>
      <w:r>
        <w:rPr>
          <w:rFonts w:ascii="Arial" w:eastAsia="Times New Roman" w:hAnsi="Arial" w:cs="Arial"/>
          <w:color w:val="000000"/>
          <w:sz w:val="20"/>
          <w:szCs w:val="20"/>
        </w:rPr>
        <w:t>modified the financial covenants under the Credit Facility, including: (i) replacing a maximum total leverage ratio with a maximum total net leverage ratio that varies on a quarterly basis and adjusted to 6.50 to 1.00 by the quarter ending October 31, 2020</w:t>
      </w:r>
      <w:r>
        <w:rPr>
          <w:rFonts w:ascii="Arial" w:eastAsia="Times New Roman" w:hAnsi="Arial" w:cs="Arial"/>
          <w:color w:val="000000"/>
          <w:sz w:val="20"/>
          <w:szCs w:val="20"/>
        </w:rPr>
        <w:t>, and back to 4.00 to 1.00 by the quarter ending October 31, 2022; (ii) modifying the minimum fixed charge coverage ratio on a quarterly basis, which adjusts to 1.25 to 1.00 as of the quarter ending April 30, 2022; and (iii) adding a minimum liquidity (def</w:t>
      </w:r>
      <w:r>
        <w:rPr>
          <w:rFonts w:ascii="Arial" w:eastAsia="Times New Roman" w:hAnsi="Arial" w:cs="Arial"/>
          <w:color w:val="000000"/>
          <w:sz w:val="20"/>
          <w:szCs w:val="20"/>
        </w:rPr>
        <w:t>ined in the Amendment as domestic cash plus available revolving loans) of $250.0 million. These financial covenants were effective with the quarter ended April 30, 2020. Our borrowing capacity is subject to, and limited by, compliance with these covenants.</w:t>
      </w:r>
    </w:p>
    <w:p w14:paraId="1E5B0AEF" w14:textId="77777777" w:rsidR="00000000" w:rsidRDefault="001D0688">
      <w:pPr>
        <w:ind w:firstLine="720"/>
        <w:jc w:val="both"/>
        <w:divId w:val="528568314"/>
        <w:rPr>
          <w:rFonts w:eastAsia="Times New Roman"/>
        </w:rPr>
      </w:pPr>
      <w:r>
        <w:rPr>
          <w:rFonts w:ascii="Arial" w:eastAsia="Times New Roman" w:hAnsi="Arial" w:cs="Arial"/>
          <w:color w:val="000000"/>
          <w:sz w:val="20"/>
          <w:szCs w:val="20"/>
        </w:rPr>
        <w:t>The Amendment changed the interest rate, interest margins, and commitment fees applicable to loans and commitments under the Credit Facility. It also added a new anti-cash hoarding mandatory prepayment that requires us to repay outstanding revolving loans</w:t>
      </w:r>
      <w:r>
        <w:rPr>
          <w:rFonts w:ascii="Arial" w:eastAsia="Times New Roman" w:hAnsi="Arial" w:cs="Arial"/>
          <w:color w:val="000000"/>
          <w:sz w:val="20"/>
          <w:szCs w:val="20"/>
        </w:rPr>
        <w:t xml:space="preserve"> or swingline loans if at any time we have in excess of $250 million of cash and cash equivalents on our balance sheet. The Amendment made certain additional changes to the negative covenants restrictions under the Credit Facility, including, subject to ce</w:t>
      </w:r>
      <w:r>
        <w:rPr>
          <w:rFonts w:ascii="Arial" w:eastAsia="Times New Roman" w:hAnsi="Arial" w:cs="Arial"/>
          <w:color w:val="000000"/>
          <w:sz w:val="20"/>
          <w:szCs w:val="20"/>
        </w:rPr>
        <w:t>rtain exceptions, restrictions on our ability to make acquisitions, share repurchases, and other defined restricted payments, depending on our total net leverage ratio. The anti-cash hoarding provision and certain of these restrictions were terminated from</w:t>
      </w:r>
      <w:r>
        <w:rPr>
          <w:rFonts w:ascii="Arial" w:eastAsia="Times New Roman" w:hAnsi="Arial" w:cs="Arial"/>
          <w:color w:val="000000"/>
          <w:sz w:val="20"/>
          <w:szCs w:val="20"/>
        </w:rPr>
        <w:t xml:space="preserve"> the Credit Facility in the fourth quarter of 2020 due to our favorable cash flow position and leverage ratios. At October 31, 2020, we were in compliance with these covenants.</w:t>
      </w:r>
    </w:p>
    <w:p w14:paraId="25BF392F" w14:textId="77777777" w:rsidR="00000000" w:rsidRDefault="001D0688">
      <w:pPr>
        <w:ind w:firstLine="720"/>
        <w:jc w:val="both"/>
        <w:divId w:val="1242833320"/>
        <w:rPr>
          <w:rFonts w:eastAsia="Times New Roman"/>
        </w:rPr>
      </w:pPr>
      <w:r>
        <w:rPr>
          <w:rFonts w:ascii="Arial" w:eastAsia="Times New Roman" w:hAnsi="Arial" w:cs="Arial"/>
          <w:color w:val="000000"/>
          <w:sz w:val="20"/>
          <w:szCs w:val="20"/>
        </w:rPr>
        <w:t>Prior to the Amendment, borrowings under the Credit Facility bore interest at a</w:t>
      </w:r>
      <w:r>
        <w:rPr>
          <w:rFonts w:ascii="Arial" w:eastAsia="Times New Roman" w:hAnsi="Arial" w:cs="Arial"/>
          <w:color w:val="000000"/>
          <w:sz w:val="20"/>
          <w:szCs w:val="20"/>
        </w:rPr>
        <w:t xml:space="preserve"> rate equal to 1-month LIBOR plus a spread that was based upon our leverage ratio. The spread ranged from 1.00% to 2.25% for Eurocurrency loans and 0.00% to 1.25% for base rate loans. We were also charged a commitment fee, which was paid quarterly in arrea</w:t>
      </w:r>
      <w:r>
        <w:rPr>
          <w:rFonts w:ascii="Arial" w:eastAsia="Times New Roman" w:hAnsi="Arial" w:cs="Arial"/>
          <w:color w:val="000000"/>
          <w:sz w:val="20"/>
          <w:szCs w:val="20"/>
        </w:rPr>
        <w:t>rs and was based on our leverage ratio, that ranged from 0.200% to 0.350% on the average daily unused portion of the revolving line of credit. For purposes of this calculation, irrevocable standby letters of credit, which are issued primarily in conjunctio</w:t>
      </w:r>
      <w:r>
        <w:rPr>
          <w:rFonts w:ascii="Arial" w:eastAsia="Times New Roman" w:hAnsi="Arial" w:cs="Arial"/>
          <w:color w:val="000000"/>
          <w:sz w:val="20"/>
          <w:szCs w:val="20"/>
        </w:rPr>
        <w:t>n with our insurance programs, and cash borrowings were included as outstanding under the line of credit.</w:t>
      </w:r>
    </w:p>
    <w:p w14:paraId="3401890E" w14:textId="77777777" w:rsidR="00000000" w:rsidRDefault="001D0688">
      <w:pPr>
        <w:ind w:firstLine="720"/>
        <w:jc w:val="both"/>
        <w:divId w:val="1034232021"/>
        <w:rPr>
          <w:rFonts w:eastAsia="Times New Roman"/>
        </w:rPr>
      </w:pPr>
      <w:r>
        <w:rPr>
          <w:rFonts w:ascii="Arial" w:eastAsia="Times New Roman" w:hAnsi="Arial" w:cs="Arial"/>
          <w:color w:val="000000"/>
          <w:sz w:val="20"/>
          <w:szCs w:val="20"/>
        </w:rPr>
        <w:t xml:space="preserve">Subsequent to the Amendment, borrowings under the Credit Facility bear interest at a rate equal to 1-month LIBOR plus a spread that is based upon our </w:t>
      </w:r>
      <w:r>
        <w:rPr>
          <w:rFonts w:ascii="Arial" w:eastAsia="Times New Roman" w:hAnsi="Arial" w:cs="Arial"/>
          <w:color w:val="000000"/>
          <w:sz w:val="20"/>
          <w:szCs w:val="20"/>
        </w:rPr>
        <w:t>total leverage ratio. The spread ranges from 1.00% to 2.75% for revolving Eurocurrency loans and 0.00% to 1.75% for revolving base rate loans. At October 31, 2020, the weighted average interest rate on our outstanding borrowings was 2.45%. We are also char</w:t>
      </w:r>
      <w:r>
        <w:rPr>
          <w:rFonts w:ascii="Arial" w:eastAsia="Times New Roman" w:hAnsi="Arial" w:cs="Arial"/>
          <w:color w:val="000000"/>
          <w:sz w:val="20"/>
          <w:szCs w:val="20"/>
        </w:rPr>
        <w:t xml:space="preserve">ged a commitment fee, which is paid quarterly in arrears and is based on our total leverage ratio, that ranges from 0.200% to 0.450% on the average daily unused portion of the revolving line of credit. For purposes of this calculation, irrevocable standby </w:t>
      </w:r>
    </w:p>
    <w:p w14:paraId="39F3B4C7" w14:textId="77777777" w:rsidR="00000000" w:rsidRDefault="001D0688">
      <w:pPr>
        <w:jc w:val="center"/>
        <w:divId w:val="461652820"/>
        <w:rPr>
          <w:rFonts w:eastAsia="Times New Roman"/>
        </w:rPr>
      </w:pPr>
      <w:r>
        <w:rPr>
          <w:rFonts w:ascii="Arial" w:eastAsia="Times New Roman" w:hAnsi="Arial" w:cs="Arial"/>
          <w:color w:val="000000"/>
          <w:sz w:val="20"/>
          <w:szCs w:val="20"/>
        </w:rPr>
        <w:t>80</w:t>
      </w:r>
    </w:p>
    <w:p w14:paraId="556B1633" w14:textId="77777777" w:rsidR="00000000" w:rsidRDefault="001D0688">
      <w:pPr>
        <w:rPr>
          <w:rFonts w:eastAsia="Times New Roman"/>
        </w:rPr>
      </w:pPr>
      <w:r>
        <w:rPr>
          <w:rFonts w:eastAsia="Times New Roman"/>
        </w:rPr>
        <w:pict w14:anchorId="466DEABD">
          <v:rect id="_x0000_i1117" style="width:0;height:1.5pt" o:hralign="center" o:hrstd="t" o:hr="t" fillcolor="#a0a0a0" stroked="f"/>
        </w:pict>
      </w:r>
    </w:p>
    <w:p w14:paraId="083F8F8D" w14:textId="77777777" w:rsidR="00000000" w:rsidRDefault="001D0688">
      <w:pPr>
        <w:divId w:val="680591744"/>
        <w:rPr>
          <w:rFonts w:eastAsia="Times New Roman"/>
        </w:rPr>
      </w:pPr>
    </w:p>
    <w:p w14:paraId="0972D2B7" w14:textId="77777777" w:rsidR="00000000" w:rsidRDefault="001D0688">
      <w:pPr>
        <w:jc w:val="both"/>
        <w:divId w:val="1269390538"/>
        <w:rPr>
          <w:rFonts w:eastAsia="Times New Roman"/>
        </w:rPr>
      </w:pPr>
      <w:r>
        <w:rPr>
          <w:rFonts w:ascii="Arial" w:eastAsia="Times New Roman" w:hAnsi="Arial" w:cs="Arial"/>
          <w:color w:val="000000"/>
          <w:sz w:val="20"/>
          <w:szCs w:val="20"/>
        </w:rPr>
        <w:t>letters of credit, which are issued primarily in conjunction with our insurance programs, and cash borrowings are included as outstanding under the revolving line of credit.</w:t>
      </w:r>
    </w:p>
    <w:p w14:paraId="150A7CB1" w14:textId="77777777" w:rsidR="00000000" w:rsidRDefault="001D0688">
      <w:pPr>
        <w:ind w:firstLine="720"/>
        <w:jc w:val="both"/>
        <w:divId w:val="1253932977"/>
        <w:rPr>
          <w:rFonts w:eastAsia="Times New Roman"/>
        </w:rPr>
      </w:pPr>
      <w:r>
        <w:rPr>
          <w:rFonts w:ascii="Arial" w:eastAsia="Times New Roman" w:hAnsi="Arial" w:cs="Arial"/>
          <w:color w:val="000000"/>
          <w:sz w:val="20"/>
          <w:szCs w:val="20"/>
        </w:rPr>
        <w:t>The Credit Facility also includes custom</w:t>
      </w:r>
      <w:r>
        <w:rPr>
          <w:rFonts w:ascii="Arial" w:eastAsia="Times New Roman" w:hAnsi="Arial" w:cs="Arial"/>
          <w:color w:val="000000"/>
          <w:sz w:val="20"/>
          <w:szCs w:val="20"/>
        </w:rPr>
        <w:t>ary events of default, such as: failure to pay principal, interest, or fees when due; failure to comply with covenants; the occurrence of certain material judgments and a change in control of the Company. If certain events of default occur, including certa</w:t>
      </w:r>
      <w:r>
        <w:rPr>
          <w:rFonts w:ascii="Arial" w:eastAsia="Times New Roman" w:hAnsi="Arial" w:cs="Arial"/>
          <w:color w:val="000000"/>
          <w:sz w:val="20"/>
          <w:szCs w:val="20"/>
        </w:rPr>
        <w:t>in cross-defaults, insolvency, change in control, or violation of specific covenants, the lenders can terminate or suspend our access to the Credit Facility, declare all amounts outstanding (including all accrued interest and unpaid fees) to be immediately</w:t>
      </w:r>
      <w:r>
        <w:rPr>
          <w:rFonts w:ascii="Arial" w:eastAsia="Times New Roman" w:hAnsi="Arial" w:cs="Arial"/>
          <w:color w:val="000000"/>
          <w:sz w:val="20"/>
          <w:szCs w:val="20"/>
        </w:rPr>
        <w:t xml:space="preserve"> due and payable, and require that we cash collateralize the outstanding standby letters of credit. </w:t>
      </w:r>
    </w:p>
    <w:p w14:paraId="4E5E4D58" w14:textId="77777777" w:rsidR="00000000" w:rsidRDefault="001D0688">
      <w:pPr>
        <w:ind w:firstLine="720"/>
        <w:jc w:val="both"/>
        <w:divId w:val="1330866216"/>
        <w:rPr>
          <w:rFonts w:eastAsia="Times New Roman"/>
        </w:rPr>
      </w:pPr>
      <w:r>
        <w:rPr>
          <w:rFonts w:ascii="Arial" w:eastAsia="Times New Roman" w:hAnsi="Arial" w:cs="Arial"/>
          <w:color w:val="000000"/>
          <w:sz w:val="20"/>
          <w:szCs w:val="20"/>
        </w:rPr>
        <w:t>Total deferred financing costs related to the Credit Facility of $18.7 million, consisting of $13.4 million related to the term loan and $5.2 million relat</w:t>
      </w:r>
      <w:r>
        <w:rPr>
          <w:rFonts w:ascii="Arial" w:eastAsia="Times New Roman" w:hAnsi="Arial" w:cs="Arial"/>
          <w:color w:val="000000"/>
          <w:sz w:val="20"/>
          <w:szCs w:val="20"/>
        </w:rPr>
        <w:t>ed to the line of credit, are being amortized to interest expense over the term of the Credit Facility. We incurred total fees of $4.6 million in conjunction with the Amendment, the majority of which we capitalized in the quarter ended July 31, 2020, and a</w:t>
      </w:r>
      <w:r>
        <w:rPr>
          <w:rFonts w:ascii="Arial" w:eastAsia="Times New Roman" w:hAnsi="Arial" w:cs="Arial"/>
          <w:color w:val="000000"/>
          <w:sz w:val="20"/>
          <w:szCs w:val="20"/>
        </w:rPr>
        <w:t>re amortizing over the remaining term of the Credit Facility.</w:t>
      </w:r>
    </w:p>
    <w:p w14:paraId="12CA07E8" w14:textId="77777777" w:rsidR="00000000" w:rsidRDefault="001D0688">
      <w:pPr>
        <w:jc w:val="both"/>
        <w:divId w:val="1575822604"/>
        <w:rPr>
          <w:rFonts w:eastAsia="Times New Roman"/>
        </w:rPr>
      </w:pPr>
      <w:r>
        <w:rPr>
          <w:rFonts w:ascii="Arial" w:eastAsia="Times New Roman" w:hAnsi="Arial" w:cs="Arial"/>
          <w:b/>
          <w:bCs/>
          <w:color w:val="0046AD"/>
          <w:sz w:val="20"/>
          <w:szCs w:val="20"/>
        </w:rPr>
        <w:t>Credit Facility Information</w:t>
      </w:r>
    </w:p>
    <w:tbl>
      <w:tblPr>
        <w:tblW w:w="5000" w:type="pct"/>
        <w:tblCellMar>
          <w:top w:w="15" w:type="dxa"/>
          <w:left w:w="15" w:type="dxa"/>
          <w:bottom w:w="15" w:type="dxa"/>
          <w:right w:w="15" w:type="dxa"/>
        </w:tblCellMar>
        <w:tblLook w:val="04A0" w:firstRow="1" w:lastRow="0" w:firstColumn="1" w:lastColumn="0" w:noHBand="0" w:noVBand="1"/>
      </w:tblPr>
      <w:tblGrid>
        <w:gridCol w:w="41"/>
        <w:gridCol w:w="5185"/>
        <w:gridCol w:w="40"/>
        <w:gridCol w:w="133"/>
        <w:gridCol w:w="1317"/>
        <w:gridCol w:w="36"/>
        <w:gridCol w:w="36"/>
        <w:gridCol w:w="36"/>
        <w:gridCol w:w="36"/>
        <w:gridCol w:w="133"/>
        <w:gridCol w:w="1277"/>
        <w:gridCol w:w="36"/>
      </w:tblGrid>
      <w:tr w:rsidR="00000000" w14:paraId="4731C110" w14:textId="77777777">
        <w:trPr>
          <w:divId w:val="1492871067"/>
        </w:trPr>
        <w:tc>
          <w:tcPr>
            <w:tcW w:w="50" w:type="pct"/>
            <w:vAlign w:val="center"/>
            <w:hideMark/>
          </w:tcPr>
          <w:p w14:paraId="6B9E0813" w14:textId="77777777" w:rsidR="00000000" w:rsidRDefault="001D0688">
            <w:pPr>
              <w:jc w:val="both"/>
              <w:rPr>
                <w:rFonts w:eastAsia="Times New Roman"/>
              </w:rPr>
            </w:pPr>
          </w:p>
        </w:tc>
        <w:tc>
          <w:tcPr>
            <w:tcW w:w="3154" w:type="pct"/>
            <w:vAlign w:val="center"/>
            <w:hideMark/>
          </w:tcPr>
          <w:p w14:paraId="28A8B4F8" w14:textId="77777777" w:rsidR="00000000" w:rsidRDefault="001D0688">
            <w:pPr>
              <w:rPr>
                <w:rFonts w:eastAsia="Times New Roman"/>
                <w:sz w:val="20"/>
                <w:szCs w:val="20"/>
              </w:rPr>
            </w:pPr>
          </w:p>
        </w:tc>
        <w:tc>
          <w:tcPr>
            <w:tcW w:w="5" w:type="pct"/>
            <w:vAlign w:val="center"/>
            <w:hideMark/>
          </w:tcPr>
          <w:p w14:paraId="6B334F81" w14:textId="77777777" w:rsidR="00000000" w:rsidRDefault="001D0688">
            <w:pPr>
              <w:rPr>
                <w:rFonts w:eastAsia="Times New Roman"/>
                <w:sz w:val="20"/>
                <w:szCs w:val="20"/>
              </w:rPr>
            </w:pPr>
          </w:p>
        </w:tc>
        <w:tc>
          <w:tcPr>
            <w:tcW w:w="50" w:type="pct"/>
            <w:vAlign w:val="center"/>
            <w:hideMark/>
          </w:tcPr>
          <w:p w14:paraId="2A7DF7A8" w14:textId="77777777" w:rsidR="00000000" w:rsidRDefault="001D0688">
            <w:pPr>
              <w:rPr>
                <w:rFonts w:eastAsia="Times New Roman"/>
                <w:sz w:val="20"/>
                <w:szCs w:val="20"/>
              </w:rPr>
            </w:pPr>
          </w:p>
        </w:tc>
        <w:tc>
          <w:tcPr>
            <w:tcW w:w="822" w:type="pct"/>
            <w:vAlign w:val="center"/>
            <w:hideMark/>
          </w:tcPr>
          <w:p w14:paraId="3D92C22C" w14:textId="77777777" w:rsidR="00000000" w:rsidRDefault="001D0688">
            <w:pPr>
              <w:rPr>
                <w:rFonts w:eastAsia="Times New Roman"/>
                <w:sz w:val="20"/>
                <w:szCs w:val="20"/>
              </w:rPr>
            </w:pPr>
          </w:p>
        </w:tc>
        <w:tc>
          <w:tcPr>
            <w:tcW w:w="5" w:type="pct"/>
            <w:vAlign w:val="center"/>
            <w:hideMark/>
          </w:tcPr>
          <w:p w14:paraId="422FD92B" w14:textId="77777777" w:rsidR="00000000" w:rsidRDefault="001D0688">
            <w:pPr>
              <w:rPr>
                <w:rFonts w:eastAsia="Times New Roman"/>
                <w:sz w:val="20"/>
                <w:szCs w:val="20"/>
              </w:rPr>
            </w:pPr>
          </w:p>
        </w:tc>
        <w:tc>
          <w:tcPr>
            <w:tcW w:w="5" w:type="pct"/>
            <w:vAlign w:val="center"/>
            <w:hideMark/>
          </w:tcPr>
          <w:p w14:paraId="40AB0F87" w14:textId="77777777" w:rsidR="00000000" w:rsidRDefault="001D0688">
            <w:pPr>
              <w:rPr>
                <w:rFonts w:eastAsia="Times New Roman"/>
                <w:sz w:val="20"/>
                <w:szCs w:val="20"/>
              </w:rPr>
            </w:pPr>
          </w:p>
        </w:tc>
        <w:tc>
          <w:tcPr>
            <w:tcW w:w="26" w:type="pct"/>
            <w:vAlign w:val="center"/>
            <w:hideMark/>
          </w:tcPr>
          <w:p w14:paraId="7D7F7DC3" w14:textId="77777777" w:rsidR="00000000" w:rsidRDefault="001D0688">
            <w:pPr>
              <w:rPr>
                <w:rFonts w:eastAsia="Times New Roman"/>
                <w:sz w:val="20"/>
                <w:szCs w:val="20"/>
              </w:rPr>
            </w:pPr>
          </w:p>
        </w:tc>
        <w:tc>
          <w:tcPr>
            <w:tcW w:w="5" w:type="pct"/>
            <w:vAlign w:val="center"/>
            <w:hideMark/>
          </w:tcPr>
          <w:p w14:paraId="1F08AC3C" w14:textId="77777777" w:rsidR="00000000" w:rsidRDefault="001D0688">
            <w:pPr>
              <w:rPr>
                <w:rFonts w:eastAsia="Times New Roman"/>
                <w:sz w:val="20"/>
                <w:szCs w:val="20"/>
              </w:rPr>
            </w:pPr>
          </w:p>
        </w:tc>
        <w:tc>
          <w:tcPr>
            <w:tcW w:w="50" w:type="pct"/>
            <w:vAlign w:val="center"/>
            <w:hideMark/>
          </w:tcPr>
          <w:p w14:paraId="2AC44028" w14:textId="77777777" w:rsidR="00000000" w:rsidRDefault="001D0688">
            <w:pPr>
              <w:rPr>
                <w:rFonts w:eastAsia="Times New Roman"/>
                <w:sz w:val="20"/>
                <w:szCs w:val="20"/>
              </w:rPr>
            </w:pPr>
          </w:p>
        </w:tc>
        <w:tc>
          <w:tcPr>
            <w:tcW w:w="822" w:type="pct"/>
            <w:vAlign w:val="center"/>
            <w:hideMark/>
          </w:tcPr>
          <w:p w14:paraId="45DE0783" w14:textId="77777777" w:rsidR="00000000" w:rsidRDefault="001D0688">
            <w:pPr>
              <w:rPr>
                <w:rFonts w:eastAsia="Times New Roman"/>
                <w:sz w:val="20"/>
                <w:szCs w:val="20"/>
              </w:rPr>
            </w:pPr>
          </w:p>
        </w:tc>
        <w:tc>
          <w:tcPr>
            <w:tcW w:w="5" w:type="pct"/>
            <w:vAlign w:val="center"/>
            <w:hideMark/>
          </w:tcPr>
          <w:p w14:paraId="71D30347" w14:textId="77777777" w:rsidR="00000000" w:rsidRDefault="001D0688">
            <w:pPr>
              <w:rPr>
                <w:rFonts w:eastAsia="Times New Roman"/>
                <w:sz w:val="20"/>
                <w:szCs w:val="20"/>
              </w:rPr>
            </w:pPr>
          </w:p>
        </w:tc>
      </w:tr>
      <w:tr w:rsidR="00000000" w14:paraId="0C668281" w14:textId="77777777">
        <w:trPr>
          <w:divId w:val="1492871067"/>
        </w:trPr>
        <w:tc>
          <w:tcPr>
            <w:tcW w:w="0" w:type="auto"/>
            <w:gridSpan w:val="3"/>
            <w:tcMar>
              <w:top w:w="30" w:type="dxa"/>
              <w:left w:w="20" w:type="dxa"/>
              <w:bottom w:w="30" w:type="dxa"/>
              <w:right w:w="20" w:type="dxa"/>
            </w:tcMar>
            <w:vAlign w:val="bottom"/>
            <w:hideMark/>
          </w:tcPr>
          <w:p w14:paraId="5AC86FD5"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5677233B"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c>
          <w:tcPr>
            <w:tcW w:w="0" w:type="auto"/>
            <w:gridSpan w:val="3"/>
            <w:tcMar>
              <w:top w:w="0" w:type="dxa"/>
              <w:left w:w="20" w:type="dxa"/>
              <w:bottom w:w="0" w:type="dxa"/>
              <w:right w:w="20" w:type="dxa"/>
            </w:tcMar>
            <w:vAlign w:val="center"/>
            <w:hideMark/>
          </w:tcPr>
          <w:p w14:paraId="338F7B0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226EB6C6" w14:textId="77777777" w:rsidR="00000000" w:rsidRDefault="001D0688">
            <w:pPr>
              <w:jc w:val="center"/>
              <w:rPr>
                <w:rFonts w:eastAsia="Times New Roman"/>
              </w:rPr>
            </w:pPr>
            <w:r>
              <w:rPr>
                <w:rFonts w:ascii="Arial" w:eastAsia="Times New Roman" w:hAnsi="Arial" w:cs="Arial"/>
                <w:b/>
                <w:bCs/>
                <w:color w:val="000000"/>
                <w:sz w:val="20"/>
                <w:szCs w:val="20"/>
              </w:rPr>
              <w:t>October 31, 2019</w:t>
            </w:r>
          </w:p>
        </w:tc>
      </w:tr>
      <w:tr w:rsidR="00000000" w14:paraId="7C3033EC" w14:textId="77777777">
        <w:trPr>
          <w:divId w:val="1492871067"/>
        </w:trPr>
        <w:tc>
          <w:tcPr>
            <w:tcW w:w="0" w:type="auto"/>
            <w:gridSpan w:val="3"/>
            <w:shd w:val="clear" w:color="auto" w:fill="DCE2EF"/>
            <w:tcMar>
              <w:top w:w="30" w:type="dxa"/>
              <w:left w:w="20" w:type="dxa"/>
              <w:bottom w:w="30" w:type="dxa"/>
              <w:right w:w="20" w:type="dxa"/>
            </w:tcMar>
            <w:vAlign w:val="bottom"/>
            <w:hideMark/>
          </w:tcPr>
          <w:p w14:paraId="53A947A8" w14:textId="77777777" w:rsidR="00000000" w:rsidRDefault="001D0688">
            <w:pPr>
              <w:rPr>
                <w:rFonts w:eastAsia="Times New Roman"/>
              </w:rPr>
            </w:pPr>
            <w:r>
              <w:rPr>
                <w:rFonts w:ascii="Arial" w:eastAsia="Times New Roman" w:hAnsi="Arial" w:cs="Arial"/>
                <w:color w:val="000000"/>
                <w:sz w:val="20"/>
                <w:szCs w:val="20"/>
              </w:rPr>
              <w:t>Current portion of long-term debt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02EEC19"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243C6B"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02EBDB2" w14:textId="77777777" w:rsidR="00000000" w:rsidRDefault="001D0688">
            <w:pPr>
              <w:rPr>
                <w:rFonts w:eastAsia="Times New Roman"/>
                <w:sz w:val="20"/>
                <w:szCs w:val="20"/>
              </w:rPr>
            </w:pPr>
          </w:p>
        </w:tc>
      </w:tr>
      <w:tr w:rsidR="00000000" w14:paraId="4F235587" w14:textId="77777777">
        <w:trPr>
          <w:divId w:val="1492871067"/>
        </w:trPr>
        <w:tc>
          <w:tcPr>
            <w:tcW w:w="0" w:type="auto"/>
            <w:gridSpan w:val="3"/>
            <w:shd w:val="clear" w:color="auto" w:fill="FFFFFF"/>
            <w:tcMar>
              <w:top w:w="30" w:type="dxa"/>
              <w:left w:w="245" w:type="dxa"/>
              <w:bottom w:w="30" w:type="dxa"/>
              <w:right w:w="20" w:type="dxa"/>
            </w:tcMar>
            <w:vAlign w:val="bottom"/>
            <w:hideMark/>
          </w:tcPr>
          <w:p w14:paraId="6044D1E7" w14:textId="77777777" w:rsidR="00000000" w:rsidRDefault="001D0688">
            <w:pPr>
              <w:rPr>
                <w:rFonts w:eastAsia="Times New Roman"/>
              </w:rPr>
            </w:pPr>
            <w:r>
              <w:rPr>
                <w:rFonts w:ascii="Arial" w:eastAsia="Times New Roman" w:hAnsi="Arial" w:cs="Arial"/>
                <w:color w:val="000000"/>
                <w:sz w:val="20"/>
                <w:szCs w:val="20"/>
              </w:rPr>
              <w:t>Gross term loan</w:t>
            </w:r>
          </w:p>
        </w:tc>
        <w:tc>
          <w:tcPr>
            <w:tcW w:w="0" w:type="auto"/>
            <w:shd w:val="clear" w:color="auto" w:fill="FFFFFF"/>
            <w:tcMar>
              <w:top w:w="30" w:type="dxa"/>
              <w:left w:w="20" w:type="dxa"/>
              <w:bottom w:w="30" w:type="dxa"/>
              <w:right w:w="0" w:type="dxa"/>
            </w:tcMar>
            <w:vAlign w:val="bottom"/>
            <w:hideMark/>
          </w:tcPr>
          <w:p w14:paraId="4B357DC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E274CF4" w14:textId="77777777" w:rsidR="00000000" w:rsidRDefault="001D0688">
            <w:pPr>
              <w:jc w:val="right"/>
              <w:rPr>
                <w:rFonts w:eastAsia="Times New Roman"/>
              </w:rPr>
            </w:pPr>
            <w:r>
              <w:rPr>
                <w:rFonts w:ascii="Arial" w:eastAsia="Times New Roman" w:hAnsi="Arial" w:cs="Arial"/>
                <w:color w:val="000000"/>
                <w:sz w:val="20"/>
                <w:szCs w:val="20"/>
              </w:rPr>
              <w:t>120.0 </w:t>
            </w:r>
          </w:p>
        </w:tc>
        <w:tc>
          <w:tcPr>
            <w:tcW w:w="0" w:type="auto"/>
            <w:shd w:val="clear" w:color="auto" w:fill="FFFFFF"/>
            <w:tcMar>
              <w:top w:w="30" w:type="dxa"/>
              <w:left w:w="0" w:type="dxa"/>
              <w:bottom w:w="30" w:type="dxa"/>
              <w:right w:w="20" w:type="dxa"/>
            </w:tcMar>
            <w:vAlign w:val="bottom"/>
            <w:hideMark/>
          </w:tcPr>
          <w:p w14:paraId="24C00AA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6671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8E9C5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70FFF6E" w14:textId="77777777" w:rsidR="00000000" w:rsidRDefault="001D0688">
            <w:pPr>
              <w:jc w:val="right"/>
              <w:rPr>
                <w:rFonts w:eastAsia="Times New Roman"/>
              </w:rPr>
            </w:pPr>
            <w:r>
              <w:rPr>
                <w:rFonts w:ascii="Arial" w:eastAsia="Times New Roman" w:hAnsi="Arial" w:cs="Arial"/>
                <w:color w:val="000000"/>
                <w:sz w:val="20"/>
                <w:szCs w:val="20"/>
              </w:rPr>
              <w:t>60.0 </w:t>
            </w:r>
          </w:p>
        </w:tc>
        <w:tc>
          <w:tcPr>
            <w:tcW w:w="0" w:type="auto"/>
            <w:shd w:val="clear" w:color="auto" w:fill="FFFFFF"/>
            <w:tcMar>
              <w:top w:w="30" w:type="dxa"/>
              <w:left w:w="0" w:type="dxa"/>
              <w:bottom w:w="30" w:type="dxa"/>
              <w:right w:w="20" w:type="dxa"/>
            </w:tcMar>
            <w:vAlign w:val="bottom"/>
            <w:hideMark/>
          </w:tcPr>
          <w:p w14:paraId="6BC712A6" w14:textId="77777777" w:rsidR="00000000" w:rsidRDefault="001D0688">
            <w:pPr>
              <w:jc w:val="right"/>
              <w:rPr>
                <w:rFonts w:eastAsia="Times New Roman"/>
              </w:rPr>
            </w:pPr>
          </w:p>
        </w:tc>
      </w:tr>
      <w:tr w:rsidR="00000000" w14:paraId="7916ADA6" w14:textId="77777777">
        <w:trPr>
          <w:divId w:val="1492871067"/>
        </w:trPr>
        <w:tc>
          <w:tcPr>
            <w:tcW w:w="0" w:type="auto"/>
            <w:gridSpan w:val="3"/>
            <w:shd w:val="clear" w:color="auto" w:fill="DCE2EF"/>
            <w:tcMar>
              <w:top w:w="30" w:type="dxa"/>
              <w:left w:w="245" w:type="dxa"/>
              <w:bottom w:w="30" w:type="dxa"/>
              <w:right w:w="20" w:type="dxa"/>
            </w:tcMar>
            <w:vAlign w:val="bottom"/>
            <w:hideMark/>
          </w:tcPr>
          <w:p w14:paraId="1994F330" w14:textId="77777777" w:rsidR="00000000" w:rsidRDefault="001D0688">
            <w:pPr>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DCE2EF"/>
            <w:tcMar>
              <w:top w:w="30" w:type="dxa"/>
              <w:left w:w="20" w:type="dxa"/>
              <w:bottom w:w="30" w:type="dxa"/>
              <w:right w:w="0" w:type="dxa"/>
            </w:tcMar>
            <w:vAlign w:val="bottom"/>
            <w:hideMark/>
          </w:tcPr>
          <w:p w14:paraId="0242356F" w14:textId="77777777" w:rsidR="00000000" w:rsidRDefault="001D0688">
            <w:pPr>
              <w:jc w:val="right"/>
              <w:rPr>
                <w:rFonts w:eastAsia="Times New Roman"/>
              </w:rPr>
            </w:pPr>
            <w:r>
              <w:rPr>
                <w:rFonts w:ascii="Arial" w:eastAsia="Times New Roman" w:hAnsi="Arial" w:cs="Arial"/>
                <w:color w:val="000000"/>
                <w:sz w:val="20"/>
                <w:szCs w:val="20"/>
              </w:rPr>
              <w:t>(3.3)</w:t>
            </w:r>
          </w:p>
        </w:tc>
        <w:tc>
          <w:tcPr>
            <w:tcW w:w="0" w:type="auto"/>
            <w:shd w:val="clear" w:color="auto" w:fill="DCE2EF"/>
            <w:tcMar>
              <w:top w:w="30" w:type="dxa"/>
              <w:left w:w="0" w:type="dxa"/>
              <w:bottom w:w="30" w:type="dxa"/>
              <w:right w:w="20" w:type="dxa"/>
            </w:tcMar>
            <w:vAlign w:val="bottom"/>
            <w:hideMark/>
          </w:tcPr>
          <w:p w14:paraId="4108914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B951B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80C7EC" w14:textId="77777777" w:rsidR="00000000" w:rsidRDefault="001D0688">
            <w:pPr>
              <w:jc w:val="right"/>
              <w:rPr>
                <w:rFonts w:eastAsia="Times New Roman"/>
              </w:rPr>
            </w:pPr>
            <w:r>
              <w:rPr>
                <w:rFonts w:ascii="Arial" w:eastAsia="Times New Roman" w:hAnsi="Arial" w:cs="Arial"/>
                <w:color w:val="000000"/>
                <w:sz w:val="20"/>
                <w:szCs w:val="20"/>
              </w:rPr>
              <w:t>(2.8)</w:t>
            </w:r>
          </w:p>
        </w:tc>
        <w:tc>
          <w:tcPr>
            <w:tcW w:w="0" w:type="auto"/>
            <w:shd w:val="clear" w:color="auto" w:fill="DCE2EF"/>
            <w:tcMar>
              <w:top w:w="30" w:type="dxa"/>
              <w:left w:w="0" w:type="dxa"/>
              <w:bottom w:w="30" w:type="dxa"/>
              <w:right w:w="20" w:type="dxa"/>
            </w:tcMar>
            <w:vAlign w:val="bottom"/>
            <w:hideMark/>
          </w:tcPr>
          <w:p w14:paraId="47829EE6" w14:textId="77777777" w:rsidR="00000000" w:rsidRDefault="001D0688">
            <w:pPr>
              <w:jc w:val="right"/>
              <w:rPr>
                <w:rFonts w:eastAsia="Times New Roman"/>
              </w:rPr>
            </w:pPr>
          </w:p>
        </w:tc>
      </w:tr>
      <w:tr w:rsidR="00000000" w14:paraId="430E0640" w14:textId="77777777">
        <w:trPr>
          <w:divId w:val="1492871067"/>
        </w:trPr>
        <w:tc>
          <w:tcPr>
            <w:tcW w:w="0" w:type="auto"/>
            <w:gridSpan w:val="3"/>
            <w:shd w:val="clear" w:color="auto" w:fill="FFFFFF"/>
            <w:tcMar>
              <w:top w:w="30" w:type="dxa"/>
              <w:left w:w="515" w:type="dxa"/>
              <w:bottom w:w="30" w:type="dxa"/>
              <w:right w:w="20" w:type="dxa"/>
            </w:tcMar>
            <w:vAlign w:val="bottom"/>
            <w:hideMark/>
          </w:tcPr>
          <w:p w14:paraId="7610C02C" w14:textId="77777777" w:rsidR="00000000" w:rsidRDefault="001D0688">
            <w:pPr>
              <w:rPr>
                <w:rFonts w:eastAsia="Times New Roman"/>
              </w:rPr>
            </w:pPr>
            <w:r>
              <w:rPr>
                <w:rFonts w:ascii="Arial" w:eastAsia="Times New Roman" w:hAnsi="Arial" w:cs="Arial"/>
                <w:color w:val="000000"/>
                <w:sz w:val="20"/>
                <w:szCs w:val="20"/>
              </w:rPr>
              <w:t>Current portion of term loan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A9566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63FE4A" w14:textId="77777777" w:rsidR="00000000" w:rsidRDefault="001D0688">
            <w:pPr>
              <w:jc w:val="right"/>
              <w:rPr>
                <w:rFonts w:eastAsia="Times New Roman"/>
              </w:rPr>
            </w:pPr>
            <w:r>
              <w:rPr>
                <w:rFonts w:ascii="Arial" w:eastAsia="Times New Roman" w:hAnsi="Arial" w:cs="Arial"/>
                <w:color w:val="000000"/>
                <w:sz w:val="20"/>
                <w:szCs w:val="20"/>
              </w:rPr>
              <w:t>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1F2D2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3396F"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8F272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DCBB43" w14:textId="77777777" w:rsidR="00000000" w:rsidRDefault="001D0688">
            <w:pPr>
              <w:jc w:val="right"/>
              <w:rPr>
                <w:rFonts w:eastAsia="Times New Roman"/>
              </w:rPr>
            </w:pPr>
            <w:r>
              <w:rPr>
                <w:rFonts w:ascii="Arial" w:eastAsia="Times New Roman" w:hAnsi="Arial" w:cs="Arial"/>
                <w:color w:val="000000"/>
                <w:sz w:val="20"/>
                <w:szCs w:val="20"/>
              </w:rPr>
              <w:t>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08BB81" w14:textId="77777777" w:rsidR="00000000" w:rsidRDefault="001D0688">
            <w:pPr>
              <w:jc w:val="right"/>
              <w:rPr>
                <w:rFonts w:eastAsia="Times New Roman"/>
              </w:rPr>
            </w:pPr>
          </w:p>
        </w:tc>
      </w:tr>
      <w:tr w:rsidR="00000000" w14:paraId="2E8DD6EE" w14:textId="77777777">
        <w:trPr>
          <w:divId w:val="1492871067"/>
          <w:trHeight w:val="300"/>
        </w:trPr>
        <w:tc>
          <w:tcPr>
            <w:tcW w:w="0" w:type="auto"/>
            <w:gridSpan w:val="3"/>
            <w:shd w:val="clear" w:color="auto" w:fill="DCE2EF"/>
            <w:tcMar>
              <w:top w:w="0" w:type="dxa"/>
              <w:left w:w="20" w:type="dxa"/>
              <w:bottom w:w="0" w:type="dxa"/>
              <w:right w:w="20" w:type="dxa"/>
            </w:tcMar>
            <w:vAlign w:val="center"/>
            <w:hideMark/>
          </w:tcPr>
          <w:p w14:paraId="0C129C8C"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10C4B6D"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FB660A7"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2A6A827" w14:textId="77777777" w:rsidR="00000000" w:rsidRDefault="001D0688">
            <w:pPr>
              <w:rPr>
                <w:rFonts w:eastAsia="Times New Roman"/>
                <w:sz w:val="20"/>
                <w:szCs w:val="20"/>
              </w:rPr>
            </w:pPr>
          </w:p>
        </w:tc>
      </w:tr>
      <w:tr w:rsidR="00000000" w14:paraId="24B782BF" w14:textId="77777777">
        <w:trPr>
          <w:divId w:val="1492871067"/>
        </w:trPr>
        <w:tc>
          <w:tcPr>
            <w:tcW w:w="0" w:type="auto"/>
            <w:gridSpan w:val="3"/>
            <w:shd w:val="clear" w:color="auto" w:fill="FFFFFF"/>
            <w:tcMar>
              <w:top w:w="30" w:type="dxa"/>
              <w:left w:w="20" w:type="dxa"/>
              <w:bottom w:w="30" w:type="dxa"/>
              <w:right w:w="20" w:type="dxa"/>
            </w:tcMar>
            <w:vAlign w:val="bottom"/>
            <w:hideMark/>
          </w:tcPr>
          <w:p w14:paraId="127B3E7B" w14:textId="77777777" w:rsidR="00000000" w:rsidRDefault="001D0688">
            <w:pPr>
              <w:rPr>
                <w:rFonts w:eastAsia="Times New Roman"/>
              </w:rPr>
            </w:pPr>
            <w:r>
              <w:rPr>
                <w:rFonts w:ascii="Arial" w:eastAsia="Times New Roman" w:hAnsi="Arial" w:cs="Arial"/>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1D18BC3E"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A5BE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A4B4C4" w14:textId="77777777" w:rsidR="00000000" w:rsidRDefault="001D0688">
            <w:pPr>
              <w:rPr>
                <w:rFonts w:eastAsia="Times New Roman"/>
                <w:sz w:val="20"/>
                <w:szCs w:val="20"/>
              </w:rPr>
            </w:pPr>
          </w:p>
        </w:tc>
      </w:tr>
      <w:tr w:rsidR="00000000" w14:paraId="4DED03F5" w14:textId="77777777">
        <w:trPr>
          <w:divId w:val="1492871067"/>
        </w:trPr>
        <w:tc>
          <w:tcPr>
            <w:tcW w:w="0" w:type="auto"/>
            <w:gridSpan w:val="3"/>
            <w:shd w:val="clear" w:color="auto" w:fill="DCE2EF"/>
            <w:tcMar>
              <w:top w:w="30" w:type="dxa"/>
              <w:left w:w="245" w:type="dxa"/>
              <w:bottom w:w="30" w:type="dxa"/>
              <w:right w:w="20" w:type="dxa"/>
            </w:tcMar>
            <w:vAlign w:val="bottom"/>
            <w:hideMark/>
          </w:tcPr>
          <w:p w14:paraId="2F1F8E10" w14:textId="77777777" w:rsidR="00000000" w:rsidRDefault="001D0688">
            <w:pPr>
              <w:rPr>
                <w:rFonts w:eastAsia="Times New Roman"/>
              </w:rPr>
            </w:pPr>
            <w:r>
              <w:rPr>
                <w:rFonts w:ascii="Arial" w:eastAsia="Times New Roman" w:hAnsi="Arial" w:cs="Arial"/>
                <w:color w:val="000000"/>
                <w:sz w:val="20"/>
                <w:szCs w:val="20"/>
              </w:rPr>
              <w:t>Gross term loan</w:t>
            </w:r>
          </w:p>
        </w:tc>
        <w:tc>
          <w:tcPr>
            <w:tcW w:w="0" w:type="auto"/>
            <w:shd w:val="clear" w:color="auto" w:fill="DCE2EF"/>
            <w:tcMar>
              <w:top w:w="30" w:type="dxa"/>
              <w:left w:w="20" w:type="dxa"/>
              <w:bottom w:w="30" w:type="dxa"/>
              <w:right w:w="0" w:type="dxa"/>
            </w:tcMar>
            <w:vAlign w:val="bottom"/>
            <w:hideMark/>
          </w:tcPr>
          <w:p w14:paraId="6899C9E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EE2EDA4" w14:textId="77777777" w:rsidR="00000000" w:rsidRDefault="001D0688">
            <w:pPr>
              <w:jc w:val="right"/>
              <w:rPr>
                <w:rFonts w:eastAsia="Times New Roman"/>
              </w:rPr>
            </w:pPr>
            <w:r>
              <w:rPr>
                <w:rFonts w:ascii="Arial" w:eastAsia="Times New Roman" w:hAnsi="Arial" w:cs="Arial"/>
                <w:color w:val="000000"/>
                <w:sz w:val="20"/>
                <w:szCs w:val="20"/>
              </w:rPr>
              <w:t>560.0 </w:t>
            </w:r>
          </w:p>
        </w:tc>
        <w:tc>
          <w:tcPr>
            <w:tcW w:w="0" w:type="auto"/>
            <w:shd w:val="clear" w:color="auto" w:fill="DCE2EF"/>
            <w:tcMar>
              <w:top w:w="30" w:type="dxa"/>
              <w:left w:w="0" w:type="dxa"/>
              <w:bottom w:w="30" w:type="dxa"/>
              <w:right w:w="20" w:type="dxa"/>
            </w:tcMar>
            <w:vAlign w:val="bottom"/>
            <w:hideMark/>
          </w:tcPr>
          <w:p w14:paraId="12C3A72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F0B006"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A9DD81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4785C72" w14:textId="77777777" w:rsidR="00000000" w:rsidRDefault="001D0688">
            <w:pPr>
              <w:jc w:val="right"/>
              <w:rPr>
                <w:rFonts w:eastAsia="Times New Roman"/>
              </w:rPr>
            </w:pPr>
            <w:r>
              <w:rPr>
                <w:rFonts w:ascii="Arial" w:eastAsia="Times New Roman" w:hAnsi="Arial" w:cs="Arial"/>
                <w:color w:val="000000"/>
                <w:sz w:val="20"/>
                <w:szCs w:val="20"/>
              </w:rPr>
              <w:t>680.0 </w:t>
            </w:r>
          </w:p>
        </w:tc>
        <w:tc>
          <w:tcPr>
            <w:tcW w:w="0" w:type="auto"/>
            <w:shd w:val="clear" w:color="auto" w:fill="DCE2EF"/>
            <w:tcMar>
              <w:top w:w="30" w:type="dxa"/>
              <w:left w:w="0" w:type="dxa"/>
              <w:bottom w:w="30" w:type="dxa"/>
              <w:right w:w="20" w:type="dxa"/>
            </w:tcMar>
            <w:vAlign w:val="bottom"/>
            <w:hideMark/>
          </w:tcPr>
          <w:p w14:paraId="787F7D0B" w14:textId="77777777" w:rsidR="00000000" w:rsidRDefault="001D0688">
            <w:pPr>
              <w:jc w:val="right"/>
              <w:rPr>
                <w:rFonts w:eastAsia="Times New Roman"/>
              </w:rPr>
            </w:pPr>
          </w:p>
        </w:tc>
      </w:tr>
      <w:tr w:rsidR="00000000" w14:paraId="07056B37" w14:textId="77777777">
        <w:trPr>
          <w:divId w:val="1492871067"/>
        </w:trPr>
        <w:tc>
          <w:tcPr>
            <w:tcW w:w="0" w:type="auto"/>
            <w:gridSpan w:val="3"/>
            <w:shd w:val="clear" w:color="auto" w:fill="FFFFFF"/>
            <w:tcMar>
              <w:top w:w="30" w:type="dxa"/>
              <w:left w:w="245" w:type="dxa"/>
              <w:bottom w:w="30" w:type="dxa"/>
              <w:right w:w="20" w:type="dxa"/>
            </w:tcMar>
            <w:vAlign w:val="bottom"/>
            <w:hideMark/>
          </w:tcPr>
          <w:p w14:paraId="18BDBCAD" w14:textId="77777777" w:rsidR="00000000" w:rsidRDefault="001D0688">
            <w:pPr>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FFFFFF"/>
            <w:tcMar>
              <w:top w:w="30" w:type="dxa"/>
              <w:left w:w="20" w:type="dxa"/>
              <w:bottom w:w="30" w:type="dxa"/>
              <w:right w:w="0" w:type="dxa"/>
            </w:tcMar>
            <w:vAlign w:val="bottom"/>
            <w:hideMark/>
          </w:tcPr>
          <w:p w14:paraId="41FBF730" w14:textId="77777777" w:rsidR="00000000" w:rsidRDefault="001D0688">
            <w:pPr>
              <w:jc w:val="right"/>
              <w:rPr>
                <w:rFonts w:eastAsia="Times New Roman"/>
              </w:rPr>
            </w:pPr>
            <w:r>
              <w:rPr>
                <w:rFonts w:ascii="Arial" w:eastAsia="Times New Roman" w:hAnsi="Arial" w:cs="Arial"/>
                <w:color w:val="000000"/>
                <w:sz w:val="20"/>
                <w:szCs w:val="20"/>
              </w:rPr>
              <w:t>(2.3)</w:t>
            </w:r>
          </w:p>
        </w:tc>
        <w:tc>
          <w:tcPr>
            <w:tcW w:w="0" w:type="auto"/>
            <w:shd w:val="clear" w:color="auto" w:fill="FFFFFF"/>
            <w:tcMar>
              <w:top w:w="30" w:type="dxa"/>
              <w:left w:w="0" w:type="dxa"/>
              <w:bottom w:w="30" w:type="dxa"/>
              <w:right w:w="20" w:type="dxa"/>
            </w:tcMar>
            <w:vAlign w:val="bottom"/>
            <w:hideMark/>
          </w:tcPr>
          <w:p w14:paraId="7A46CB1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95B3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C1EC5" w14:textId="77777777" w:rsidR="00000000" w:rsidRDefault="001D0688">
            <w:pPr>
              <w:jc w:val="right"/>
              <w:rPr>
                <w:rFonts w:eastAsia="Times New Roman"/>
              </w:rPr>
            </w:pPr>
            <w:r>
              <w:rPr>
                <w:rFonts w:ascii="Arial" w:eastAsia="Times New Roman" w:hAnsi="Arial" w:cs="Arial"/>
                <w:color w:val="000000"/>
                <w:sz w:val="20"/>
                <w:szCs w:val="20"/>
              </w:rPr>
              <w:t>(4.1)</w:t>
            </w:r>
          </w:p>
        </w:tc>
        <w:tc>
          <w:tcPr>
            <w:tcW w:w="0" w:type="auto"/>
            <w:shd w:val="clear" w:color="auto" w:fill="FFFFFF"/>
            <w:tcMar>
              <w:top w:w="30" w:type="dxa"/>
              <w:left w:w="0" w:type="dxa"/>
              <w:bottom w:w="30" w:type="dxa"/>
              <w:right w:w="20" w:type="dxa"/>
            </w:tcMar>
            <w:vAlign w:val="bottom"/>
            <w:hideMark/>
          </w:tcPr>
          <w:p w14:paraId="18155FB5" w14:textId="77777777" w:rsidR="00000000" w:rsidRDefault="001D0688">
            <w:pPr>
              <w:jc w:val="right"/>
              <w:rPr>
                <w:rFonts w:eastAsia="Times New Roman"/>
              </w:rPr>
            </w:pPr>
          </w:p>
        </w:tc>
      </w:tr>
      <w:tr w:rsidR="00000000" w14:paraId="43426F3C" w14:textId="77777777">
        <w:trPr>
          <w:divId w:val="1492871067"/>
        </w:trPr>
        <w:tc>
          <w:tcPr>
            <w:tcW w:w="0" w:type="auto"/>
            <w:gridSpan w:val="3"/>
            <w:shd w:val="clear" w:color="auto" w:fill="DCE2EF"/>
            <w:tcMar>
              <w:top w:w="30" w:type="dxa"/>
              <w:left w:w="515" w:type="dxa"/>
              <w:bottom w:w="30" w:type="dxa"/>
              <w:right w:w="20" w:type="dxa"/>
            </w:tcMar>
            <w:vAlign w:val="bottom"/>
            <w:hideMark/>
          </w:tcPr>
          <w:p w14:paraId="75EEC2E4" w14:textId="77777777" w:rsidR="00000000" w:rsidRDefault="001D0688">
            <w:pPr>
              <w:rPr>
                <w:rFonts w:eastAsia="Times New Roman"/>
              </w:rPr>
            </w:pPr>
            <w:r>
              <w:rPr>
                <w:rFonts w:ascii="Arial" w:eastAsia="Times New Roman" w:hAnsi="Arial" w:cs="Arial"/>
                <w:color w:val="000000"/>
                <w:sz w:val="20"/>
                <w:szCs w:val="20"/>
              </w:rPr>
              <w:t>Total noncurrent portion of term loan</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3B7A195" w14:textId="77777777" w:rsidR="00000000" w:rsidRDefault="001D0688">
            <w:pPr>
              <w:jc w:val="right"/>
              <w:rPr>
                <w:rFonts w:eastAsia="Times New Roman"/>
              </w:rPr>
            </w:pPr>
            <w:r>
              <w:rPr>
                <w:rFonts w:ascii="Arial" w:eastAsia="Times New Roman" w:hAnsi="Arial" w:cs="Arial"/>
                <w:color w:val="000000"/>
                <w:sz w:val="20"/>
                <w:szCs w:val="20"/>
              </w:rPr>
              <w:t>557.7 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6BEBB9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2FE10F"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DD9B551" w14:textId="77777777" w:rsidR="00000000" w:rsidRDefault="001D0688">
            <w:pPr>
              <w:jc w:val="right"/>
              <w:rPr>
                <w:rFonts w:eastAsia="Times New Roman"/>
              </w:rPr>
            </w:pPr>
            <w:r>
              <w:rPr>
                <w:rFonts w:ascii="Arial" w:eastAsia="Times New Roman" w:hAnsi="Arial" w:cs="Arial"/>
                <w:color w:val="000000"/>
                <w:sz w:val="20"/>
                <w:szCs w:val="20"/>
              </w:rPr>
              <w:t>675.9 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40DDF76" w14:textId="77777777" w:rsidR="00000000" w:rsidRDefault="001D0688">
            <w:pPr>
              <w:jc w:val="right"/>
              <w:rPr>
                <w:rFonts w:eastAsia="Times New Roman"/>
              </w:rPr>
            </w:pPr>
          </w:p>
        </w:tc>
      </w:tr>
      <w:tr w:rsidR="00000000" w14:paraId="53BDCF8C" w14:textId="77777777">
        <w:trPr>
          <w:divId w:val="1492871067"/>
        </w:trPr>
        <w:tc>
          <w:tcPr>
            <w:tcW w:w="0" w:type="auto"/>
            <w:gridSpan w:val="3"/>
            <w:shd w:val="clear" w:color="auto" w:fill="FFFFFF"/>
            <w:tcMar>
              <w:top w:w="30" w:type="dxa"/>
              <w:left w:w="20" w:type="dxa"/>
              <w:bottom w:w="30" w:type="dxa"/>
              <w:right w:w="20" w:type="dxa"/>
            </w:tcMar>
            <w:vAlign w:val="bottom"/>
            <w:hideMark/>
          </w:tcPr>
          <w:p w14:paraId="66B22191" w14:textId="77777777" w:rsidR="00000000" w:rsidRDefault="001D0688">
            <w:pPr>
              <w:divId w:val="1502309536"/>
              <w:rPr>
                <w:rFonts w:eastAsia="Times New Roman"/>
              </w:rPr>
            </w:pPr>
            <w:r>
              <w:rPr>
                <w:rFonts w:ascii="Arial" w:eastAsia="Times New Roman" w:hAnsi="Arial" w:cs="Arial"/>
                <w:color w:val="000000"/>
                <w:sz w:val="20"/>
                <w:szCs w:val="20"/>
              </w:rPr>
              <w:t>Revolving line of credi</w:t>
            </w:r>
            <w:r>
              <w:rPr>
                <w:rFonts w:ascii="Arial" w:eastAsia="Times New Roman" w:hAnsi="Arial" w:cs="Arial"/>
                <w:color w:val="000000"/>
                <w:sz w:val="20"/>
                <w:szCs w:val="20"/>
              </w:rPr>
              <w:t>t</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ABEB089" w14:textId="77777777" w:rsidR="00000000" w:rsidRDefault="001D0688">
            <w:pPr>
              <w:jc w:val="right"/>
              <w:rPr>
                <w:rFonts w:eastAsia="Times New Roman"/>
              </w:rPr>
            </w:pPr>
            <w:r>
              <w:rPr>
                <w:rFonts w:ascii="Arial" w:eastAsia="Times New Roman" w:hAnsi="Arial" w:cs="Arial"/>
                <w:color w:val="000000"/>
                <w:sz w:val="20"/>
                <w:szCs w:val="20"/>
              </w:rPr>
              <w:t>45.3 </w:t>
            </w:r>
          </w:p>
        </w:tc>
        <w:tc>
          <w:tcPr>
            <w:tcW w:w="0" w:type="auto"/>
            <w:shd w:val="clear" w:color="auto" w:fill="FFFFFF"/>
            <w:tcMar>
              <w:top w:w="30" w:type="dxa"/>
              <w:left w:w="0" w:type="dxa"/>
              <w:bottom w:w="30" w:type="dxa"/>
              <w:right w:w="20" w:type="dxa"/>
            </w:tcMar>
            <w:vAlign w:val="bottom"/>
            <w:hideMark/>
          </w:tcPr>
          <w:p w14:paraId="6087511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E804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AE71F" w14:textId="77777777" w:rsidR="00000000" w:rsidRDefault="001D0688">
            <w:pPr>
              <w:jc w:val="right"/>
              <w:rPr>
                <w:rFonts w:eastAsia="Times New Roman"/>
              </w:rPr>
            </w:pPr>
            <w:r>
              <w:rPr>
                <w:rFonts w:ascii="Arial" w:eastAsia="Times New Roman" w:hAnsi="Arial" w:cs="Arial"/>
                <w:color w:val="000000"/>
                <w:sz w:val="20"/>
                <w:szCs w:val="20"/>
              </w:rPr>
              <w:t>68.4 </w:t>
            </w:r>
          </w:p>
        </w:tc>
        <w:tc>
          <w:tcPr>
            <w:tcW w:w="0" w:type="auto"/>
            <w:shd w:val="clear" w:color="auto" w:fill="FFFFFF"/>
            <w:tcMar>
              <w:top w:w="30" w:type="dxa"/>
              <w:left w:w="0" w:type="dxa"/>
              <w:bottom w:w="30" w:type="dxa"/>
              <w:right w:w="20" w:type="dxa"/>
            </w:tcMar>
            <w:vAlign w:val="bottom"/>
            <w:hideMark/>
          </w:tcPr>
          <w:p w14:paraId="6D11823A" w14:textId="77777777" w:rsidR="00000000" w:rsidRDefault="001D0688">
            <w:pPr>
              <w:jc w:val="right"/>
              <w:rPr>
                <w:rFonts w:eastAsia="Times New Roman"/>
              </w:rPr>
            </w:pPr>
          </w:p>
        </w:tc>
      </w:tr>
      <w:tr w:rsidR="00000000" w14:paraId="324FDDD9" w14:textId="77777777">
        <w:trPr>
          <w:divId w:val="1492871067"/>
        </w:trPr>
        <w:tc>
          <w:tcPr>
            <w:tcW w:w="0" w:type="auto"/>
            <w:gridSpan w:val="3"/>
            <w:shd w:val="clear" w:color="auto" w:fill="DCE2EF"/>
            <w:tcMar>
              <w:top w:w="30" w:type="dxa"/>
              <w:left w:w="245" w:type="dxa"/>
              <w:bottom w:w="30" w:type="dxa"/>
              <w:right w:w="20" w:type="dxa"/>
            </w:tcMar>
            <w:vAlign w:val="bottom"/>
            <w:hideMark/>
          </w:tcPr>
          <w:p w14:paraId="33D01E07" w14:textId="77777777" w:rsidR="00000000" w:rsidRDefault="001D0688">
            <w:pPr>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21CC92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55E02D6" w14:textId="77777777" w:rsidR="00000000" w:rsidRDefault="001D0688">
            <w:pPr>
              <w:jc w:val="right"/>
              <w:rPr>
                <w:rFonts w:eastAsia="Times New Roman"/>
              </w:rPr>
            </w:pPr>
            <w:r>
              <w:rPr>
                <w:rFonts w:ascii="Arial" w:eastAsia="Times New Roman" w:hAnsi="Arial" w:cs="Arial"/>
                <w:color w:val="000000"/>
                <w:sz w:val="20"/>
                <w:szCs w:val="20"/>
              </w:rPr>
              <w:t>603.0 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29F96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5E50C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04E6BE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B8EC6B4" w14:textId="77777777" w:rsidR="00000000" w:rsidRDefault="001D0688">
            <w:pPr>
              <w:jc w:val="right"/>
              <w:rPr>
                <w:rFonts w:eastAsia="Times New Roman"/>
              </w:rPr>
            </w:pPr>
            <w:r>
              <w:rPr>
                <w:rFonts w:ascii="Arial" w:eastAsia="Times New Roman" w:hAnsi="Arial" w:cs="Arial"/>
                <w:color w:val="000000"/>
                <w:sz w:val="20"/>
                <w:szCs w:val="20"/>
              </w:rPr>
              <w:t>744.2 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F69A0F0" w14:textId="77777777" w:rsidR="00000000" w:rsidRDefault="001D0688">
            <w:pPr>
              <w:jc w:val="right"/>
              <w:rPr>
                <w:rFonts w:eastAsia="Times New Roman"/>
              </w:rPr>
            </w:pPr>
          </w:p>
        </w:tc>
      </w:tr>
    </w:tbl>
    <w:p w14:paraId="3CFE8C53" w14:textId="77777777" w:rsidR="00000000" w:rsidRDefault="001D0688">
      <w:pPr>
        <w:ind w:hanging="180"/>
        <w:jc w:val="both"/>
        <w:divId w:val="146473013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Standby letters of credit amounted to $153.1 million at October 31, 2020. </w:t>
      </w:r>
    </w:p>
    <w:p w14:paraId="0C5A125D" w14:textId="77777777" w:rsidR="00000000" w:rsidRDefault="001D0688">
      <w:pPr>
        <w:ind w:hanging="180"/>
        <w:jc w:val="both"/>
        <w:divId w:val="1492133135"/>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October 31, 2020, we had borrowing capacity of $596.6 million, reflecting covenant restrictions.</w:t>
      </w:r>
    </w:p>
    <w:p w14:paraId="767F34D3" w14:textId="77777777" w:rsidR="00000000" w:rsidRDefault="001D0688">
      <w:pPr>
        <w:divId w:val="979463304"/>
        <w:rPr>
          <w:rFonts w:eastAsia="Times New Roman"/>
        </w:rPr>
      </w:pPr>
      <w:r>
        <w:rPr>
          <w:rFonts w:ascii="Arial" w:eastAsia="Times New Roman" w:hAnsi="Arial" w:cs="Arial"/>
          <w:b/>
          <w:bCs/>
          <w:color w:val="0046AD"/>
          <w:sz w:val="20"/>
          <w:szCs w:val="20"/>
        </w:rPr>
        <w:t>Term Loan Maturities</w:t>
      </w:r>
    </w:p>
    <w:p w14:paraId="091A87F4" w14:textId="77777777" w:rsidR="00000000" w:rsidRDefault="001D0688">
      <w:pPr>
        <w:ind w:firstLine="720"/>
        <w:jc w:val="both"/>
        <w:divId w:val="1323581351"/>
        <w:rPr>
          <w:rFonts w:eastAsia="Times New Roman"/>
        </w:rPr>
      </w:pPr>
      <w:r>
        <w:rPr>
          <w:rFonts w:ascii="Arial" w:eastAsia="Times New Roman" w:hAnsi="Arial" w:cs="Arial"/>
          <w:color w:val="000000"/>
          <w:sz w:val="20"/>
          <w:szCs w:val="20"/>
        </w:rPr>
        <w:t>During 2020, we made principal payments under the term loan of $60.0 million. As of October 31, 2020,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5638"/>
        <w:gridCol w:w="36"/>
        <w:gridCol w:w="36"/>
        <w:gridCol w:w="36"/>
        <w:gridCol w:w="36"/>
        <w:gridCol w:w="132"/>
        <w:gridCol w:w="1021"/>
        <w:gridCol w:w="36"/>
        <w:gridCol w:w="36"/>
        <w:gridCol w:w="36"/>
        <w:gridCol w:w="36"/>
        <w:gridCol w:w="132"/>
        <w:gridCol w:w="1021"/>
        <w:gridCol w:w="36"/>
      </w:tblGrid>
      <w:tr w:rsidR="00000000" w14:paraId="25204A1C" w14:textId="77777777">
        <w:trPr>
          <w:divId w:val="1425028573"/>
        </w:trPr>
        <w:tc>
          <w:tcPr>
            <w:tcW w:w="50" w:type="pct"/>
            <w:vAlign w:val="center"/>
            <w:hideMark/>
          </w:tcPr>
          <w:p w14:paraId="59DE5483" w14:textId="77777777" w:rsidR="00000000" w:rsidRDefault="001D0688">
            <w:pPr>
              <w:ind w:firstLine="720"/>
              <w:jc w:val="both"/>
              <w:rPr>
                <w:rFonts w:eastAsia="Times New Roman"/>
              </w:rPr>
            </w:pPr>
          </w:p>
        </w:tc>
        <w:tc>
          <w:tcPr>
            <w:tcW w:w="3424" w:type="pct"/>
            <w:vAlign w:val="center"/>
            <w:hideMark/>
          </w:tcPr>
          <w:p w14:paraId="415CFA42" w14:textId="77777777" w:rsidR="00000000" w:rsidRDefault="001D0688">
            <w:pPr>
              <w:rPr>
                <w:rFonts w:eastAsia="Times New Roman"/>
                <w:sz w:val="20"/>
                <w:szCs w:val="20"/>
              </w:rPr>
            </w:pPr>
          </w:p>
        </w:tc>
        <w:tc>
          <w:tcPr>
            <w:tcW w:w="5" w:type="pct"/>
            <w:vAlign w:val="center"/>
            <w:hideMark/>
          </w:tcPr>
          <w:p w14:paraId="26F9998F" w14:textId="77777777" w:rsidR="00000000" w:rsidRDefault="001D0688">
            <w:pPr>
              <w:rPr>
                <w:rFonts w:eastAsia="Times New Roman"/>
                <w:sz w:val="20"/>
                <w:szCs w:val="20"/>
              </w:rPr>
            </w:pPr>
          </w:p>
        </w:tc>
        <w:tc>
          <w:tcPr>
            <w:tcW w:w="5" w:type="pct"/>
            <w:vAlign w:val="center"/>
            <w:hideMark/>
          </w:tcPr>
          <w:p w14:paraId="5084C5C9" w14:textId="77777777" w:rsidR="00000000" w:rsidRDefault="001D0688">
            <w:pPr>
              <w:rPr>
                <w:rFonts w:eastAsia="Times New Roman"/>
                <w:sz w:val="20"/>
                <w:szCs w:val="20"/>
              </w:rPr>
            </w:pPr>
          </w:p>
        </w:tc>
        <w:tc>
          <w:tcPr>
            <w:tcW w:w="26" w:type="pct"/>
            <w:vAlign w:val="center"/>
            <w:hideMark/>
          </w:tcPr>
          <w:p w14:paraId="10A48AC3" w14:textId="77777777" w:rsidR="00000000" w:rsidRDefault="001D0688">
            <w:pPr>
              <w:rPr>
                <w:rFonts w:eastAsia="Times New Roman"/>
                <w:sz w:val="20"/>
                <w:szCs w:val="20"/>
              </w:rPr>
            </w:pPr>
          </w:p>
        </w:tc>
        <w:tc>
          <w:tcPr>
            <w:tcW w:w="5" w:type="pct"/>
            <w:vAlign w:val="center"/>
            <w:hideMark/>
          </w:tcPr>
          <w:p w14:paraId="136C0D0B" w14:textId="77777777" w:rsidR="00000000" w:rsidRDefault="001D0688">
            <w:pPr>
              <w:rPr>
                <w:rFonts w:eastAsia="Times New Roman"/>
                <w:sz w:val="20"/>
                <w:szCs w:val="20"/>
              </w:rPr>
            </w:pPr>
          </w:p>
        </w:tc>
        <w:tc>
          <w:tcPr>
            <w:tcW w:w="50" w:type="pct"/>
            <w:vAlign w:val="center"/>
            <w:hideMark/>
          </w:tcPr>
          <w:p w14:paraId="333D2D4C" w14:textId="77777777" w:rsidR="00000000" w:rsidRDefault="001D0688">
            <w:pPr>
              <w:rPr>
                <w:rFonts w:eastAsia="Times New Roman"/>
                <w:sz w:val="20"/>
                <w:szCs w:val="20"/>
              </w:rPr>
            </w:pPr>
          </w:p>
        </w:tc>
        <w:tc>
          <w:tcPr>
            <w:tcW w:w="668" w:type="pct"/>
            <w:vAlign w:val="center"/>
            <w:hideMark/>
          </w:tcPr>
          <w:p w14:paraId="4CFF8F54" w14:textId="77777777" w:rsidR="00000000" w:rsidRDefault="001D0688">
            <w:pPr>
              <w:rPr>
                <w:rFonts w:eastAsia="Times New Roman"/>
                <w:sz w:val="20"/>
                <w:szCs w:val="20"/>
              </w:rPr>
            </w:pPr>
          </w:p>
        </w:tc>
        <w:tc>
          <w:tcPr>
            <w:tcW w:w="5" w:type="pct"/>
            <w:vAlign w:val="center"/>
            <w:hideMark/>
          </w:tcPr>
          <w:p w14:paraId="032A77BD" w14:textId="77777777" w:rsidR="00000000" w:rsidRDefault="001D0688">
            <w:pPr>
              <w:rPr>
                <w:rFonts w:eastAsia="Times New Roman"/>
                <w:sz w:val="20"/>
                <w:szCs w:val="20"/>
              </w:rPr>
            </w:pPr>
          </w:p>
        </w:tc>
        <w:tc>
          <w:tcPr>
            <w:tcW w:w="5" w:type="pct"/>
            <w:vAlign w:val="center"/>
            <w:hideMark/>
          </w:tcPr>
          <w:p w14:paraId="0F40488F" w14:textId="77777777" w:rsidR="00000000" w:rsidRDefault="001D0688">
            <w:pPr>
              <w:rPr>
                <w:rFonts w:eastAsia="Times New Roman"/>
                <w:sz w:val="20"/>
                <w:szCs w:val="20"/>
              </w:rPr>
            </w:pPr>
          </w:p>
        </w:tc>
        <w:tc>
          <w:tcPr>
            <w:tcW w:w="26" w:type="pct"/>
            <w:vAlign w:val="center"/>
            <w:hideMark/>
          </w:tcPr>
          <w:p w14:paraId="302C4096" w14:textId="77777777" w:rsidR="00000000" w:rsidRDefault="001D0688">
            <w:pPr>
              <w:rPr>
                <w:rFonts w:eastAsia="Times New Roman"/>
                <w:sz w:val="20"/>
                <w:szCs w:val="20"/>
              </w:rPr>
            </w:pPr>
          </w:p>
        </w:tc>
        <w:tc>
          <w:tcPr>
            <w:tcW w:w="5" w:type="pct"/>
            <w:vAlign w:val="center"/>
            <w:hideMark/>
          </w:tcPr>
          <w:p w14:paraId="2CB69289" w14:textId="77777777" w:rsidR="00000000" w:rsidRDefault="001D0688">
            <w:pPr>
              <w:rPr>
                <w:rFonts w:eastAsia="Times New Roman"/>
                <w:sz w:val="20"/>
                <w:szCs w:val="20"/>
              </w:rPr>
            </w:pPr>
          </w:p>
        </w:tc>
        <w:tc>
          <w:tcPr>
            <w:tcW w:w="50" w:type="pct"/>
            <w:vAlign w:val="center"/>
            <w:hideMark/>
          </w:tcPr>
          <w:p w14:paraId="732055A7" w14:textId="77777777" w:rsidR="00000000" w:rsidRDefault="001D0688">
            <w:pPr>
              <w:rPr>
                <w:rFonts w:eastAsia="Times New Roman"/>
                <w:sz w:val="20"/>
                <w:szCs w:val="20"/>
              </w:rPr>
            </w:pPr>
          </w:p>
        </w:tc>
        <w:tc>
          <w:tcPr>
            <w:tcW w:w="668" w:type="pct"/>
            <w:vAlign w:val="center"/>
            <w:hideMark/>
          </w:tcPr>
          <w:p w14:paraId="3A82D73D" w14:textId="77777777" w:rsidR="00000000" w:rsidRDefault="001D0688">
            <w:pPr>
              <w:rPr>
                <w:rFonts w:eastAsia="Times New Roman"/>
                <w:sz w:val="20"/>
                <w:szCs w:val="20"/>
              </w:rPr>
            </w:pPr>
          </w:p>
        </w:tc>
        <w:tc>
          <w:tcPr>
            <w:tcW w:w="5" w:type="pct"/>
            <w:vAlign w:val="center"/>
            <w:hideMark/>
          </w:tcPr>
          <w:p w14:paraId="48880478" w14:textId="77777777" w:rsidR="00000000" w:rsidRDefault="001D0688">
            <w:pPr>
              <w:rPr>
                <w:rFonts w:eastAsia="Times New Roman"/>
                <w:sz w:val="20"/>
                <w:szCs w:val="20"/>
              </w:rPr>
            </w:pPr>
          </w:p>
        </w:tc>
      </w:tr>
      <w:tr w:rsidR="00000000" w14:paraId="760A258C" w14:textId="77777777">
        <w:trPr>
          <w:divId w:val="1425028573"/>
        </w:trPr>
        <w:tc>
          <w:tcPr>
            <w:tcW w:w="0" w:type="auto"/>
            <w:gridSpan w:val="3"/>
            <w:tcMar>
              <w:top w:w="30" w:type="dxa"/>
              <w:left w:w="20" w:type="dxa"/>
              <w:bottom w:w="30" w:type="dxa"/>
              <w:right w:w="20" w:type="dxa"/>
            </w:tcMar>
            <w:vAlign w:val="bottom"/>
            <w:hideMark/>
          </w:tcPr>
          <w:p w14:paraId="62C7D7D5"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7AFE10B"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21593498" w14:textId="77777777" w:rsidR="00000000" w:rsidRDefault="001D0688">
            <w:pPr>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14:paraId="76437DA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637CEED" w14:textId="77777777" w:rsidR="00000000" w:rsidRDefault="001D0688">
            <w:pPr>
              <w:jc w:val="center"/>
              <w:rPr>
                <w:rFonts w:eastAsia="Times New Roman"/>
              </w:rPr>
            </w:pPr>
            <w:r>
              <w:rPr>
                <w:rFonts w:ascii="Arial" w:eastAsia="Times New Roman" w:hAnsi="Arial" w:cs="Arial"/>
                <w:b/>
                <w:bCs/>
                <w:color w:val="000000"/>
                <w:sz w:val="20"/>
                <w:szCs w:val="20"/>
              </w:rPr>
              <w:t>2022</w:t>
            </w:r>
          </w:p>
        </w:tc>
      </w:tr>
      <w:tr w:rsidR="00000000" w14:paraId="7886F6FB" w14:textId="77777777">
        <w:trPr>
          <w:divId w:val="1425028573"/>
        </w:trPr>
        <w:tc>
          <w:tcPr>
            <w:tcW w:w="0" w:type="auto"/>
            <w:gridSpan w:val="3"/>
            <w:shd w:val="clear" w:color="auto" w:fill="DCE2EF"/>
            <w:tcMar>
              <w:top w:w="30" w:type="dxa"/>
              <w:left w:w="20" w:type="dxa"/>
              <w:bottom w:w="30" w:type="dxa"/>
              <w:right w:w="20" w:type="dxa"/>
            </w:tcMar>
            <w:vAlign w:val="bottom"/>
            <w:hideMark/>
          </w:tcPr>
          <w:p w14:paraId="7E4F68B0" w14:textId="77777777" w:rsidR="00000000" w:rsidRDefault="001D0688">
            <w:pPr>
              <w:rPr>
                <w:rFonts w:eastAsia="Times New Roman"/>
              </w:rPr>
            </w:pPr>
            <w:r>
              <w:rPr>
                <w:rFonts w:ascii="Arial" w:eastAsia="Times New Roman" w:hAnsi="Arial" w:cs="Arial"/>
                <w:color w:val="000000"/>
                <w:sz w:val="20"/>
                <w:szCs w:val="20"/>
              </w:rPr>
              <w:t>Debt maturities</w:t>
            </w:r>
          </w:p>
        </w:tc>
        <w:tc>
          <w:tcPr>
            <w:tcW w:w="0" w:type="auto"/>
            <w:gridSpan w:val="3"/>
            <w:shd w:val="clear" w:color="auto" w:fill="DCE2EF"/>
            <w:tcMar>
              <w:top w:w="0" w:type="dxa"/>
              <w:left w:w="20" w:type="dxa"/>
              <w:bottom w:w="0" w:type="dxa"/>
              <w:right w:w="20" w:type="dxa"/>
            </w:tcMar>
            <w:vAlign w:val="center"/>
            <w:hideMark/>
          </w:tcPr>
          <w:p w14:paraId="47701974" w14:textId="77777777" w:rsidR="00000000" w:rsidRDefault="001D0688">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28D582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37C7270" w14:textId="77777777" w:rsidR="00000000" w:rsidRDefault="001D0688">
            <w:pPr>
              <w:jc w:val="right"/>
              <w:rPr>
                <w:rFonts w:eastAsia="Times New Roman"/>
              </w:rPr>
            </w:pPr>
            <w:r>
              <w:rPr>
                <w:rFonts w:ascii="Arial" w:eastAsia="Times New Roman" w:hAnsi="Arial" w:cs="Arial"/>
                <w:color w:val="000000"/>
                <w:sz w:val="20"/>
                <w:szCs w:val="20"/>
              </w:rPr>
              <w:t>120.0 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3F267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B2FC0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27C0BE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E1C249" w14:textId="77777777" w:rsidR="00000000" w:rsidRDefault="001D0688">
            <w:pPr>
              <w:jc w:val="right"/>
              <w:rPr>
                <w:rFonts w:eastAsia="Times New Roman"/>
              </w:rPr>
            </w:pPr>
            <w:r>
              <w:rPr>
                <w:rFonts w:ascii="Arial" w:eastAsia="Times New Roman" w:hAnsi="Arial" w:cs="Arial"/>
                <w:color w:val="000000"/>
                <w:sz w:val="20"/>
                <w:szCs w:val="20"/>
              </w:rPr>
              <w:t>560.0 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EE73FCA" w14:textId="77777777" w:rsidR="00000000" w:rsidRDefault="001D0688">
            <w:pPr>
              <w:jc w:val="right"/>
              <w:rPr>
                <w:rFonts w:eastAsia="Times New Roman"/>
              </w:rPr>
            </w:pPr>
          </w:p>
        </w:tc>
      </w:tr>
    </w:tbl>
    <w:p w14:paraId="6CBDE9C6" w14:textId="77777777" w:rsidR="00000000" w:rsidRDefault="001D0688">
      <w:pPr>
        <w:divId w:val="89207892"/>
        <w:rPr>
          <w:rFonts w:eastAsia="Times New Roman"/>
        </w:rPr>
      </w:pPr>
      <w:r>
        <w:rPr>
          <w:rFonts w:ascii="Arial" w:eastAsia="Times New Roman" w:hAnsi="Arial" w:cs="Arial"/>
          <w:b/>
          <w:bCs/>
          <w:color w:val="0046AD"/>
          <w:sz w:val="20"/>
          <w:szCs w:val="20"/>
        </w:rPr>
        <w:t>Interest Rate Swaps</w:t>
      </w:r>
    </w:p>
    <w:p w14:paraId="4CBE5507" w14:textId="77777777" w:rsidR="00000000" w:rsidRDefault="001D0688">
      <w:pPr>
        <w:ind w:firstLine="720"/>
        <w:jc w:val="both"/>
        <w:divId w:val="559436612"/>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 a fixed interest rate in exchange for LIBOR-based variable interest throughout the life</w:t>
      </w:r>
      <w:r>
        <w:rPr>
          <w:rFonts w:ascii="Arial" w:eastAsia="Times New Roman" w:hAnsi="Arial" w:cs="Arial"/>
          <w:color w:val="000000"/>
          <w:sz w:val="20"/>
          <w:szCs w:val="20"/>
        </w:rPr>
        <w:t xml:space="preserve"> of the agreement. We initially report the mark-to-market gain or loss on a derivative as a component of AOCL and subsequently reclassify the gain or loss into earnings when the hedged transactions occur and affect earnings. Interest payables and receivabl</w:t>
      </w:r>
      <w:r>
        <w:rPr>
          <w:rFonts w:ascii="Arial" w:eastAsia="Times New Roman" w:hAnsi="Arial" w:cs="Arial"/>
          <w:color w:val="000000"/>
          <w:sz w:val="20"/>
          <w:szCs w:val="20"/>
        </w:rPr>
        <w:t>es under the swap agreements are accrued and recorded as adjustments to interest expense. All of our interest rate swaps have been designated and accounted for as cash flow hedges from inception. See Note 7, “Fair Value of Financial Instruments,” regarding</w:t>
      </w:r>
      <w:r>
        <w:rPr>
          <w:rFonts w:ascii="Arial" w:eastAsia="Times New Roman" w:hAnsi="Arial" w:cs="Arial"/>
          <w:color w:val="000000"/>
          <w:sz w:val="20"/>
          <w:szCs w:val="20"/>
        </w:rPr>
        <w:t xml:space="preserve"> the valuation of our interest rate swaps. </w:t>
      </w:r>
    </w:p>
    <w:p w14:paraId="3CD0D060" w14:textId="77777777" w:rsidR="00000000" w:rsidRDefault="001D0688">
      <w:pPr>
        <w:jc w:val="center"/>
        <w:divId w:val="1993440369"/>
        <w:rPr>
          <w:rFonts w:eastAsia="Times New Roman"/>
        </w:rPr>
      </w:pPr>
      <w:r>
        <w:rPr>
          <w:rFonts w:ascii="Arial" w:eastAsia="Times New Roman" w:hAnsi="Arial" w:cs="Arial"/>
          <w:color w:val="000000"/>
          <w:sz w:val="20"/>
          <w:szCs w:val="20"/>
        </w:rPr>
        <w:t>81</w:t>
      </w:r>
    </w:p>
    <w:p w14:paraId="31D6BCC1" w14:textId="77777777" w:rsidR="00000000" w:rsidRDefault="001D0688">
      <w:pPr>
        <w:rPr>
          <w:rFonts w:eastAsia="Times New Roman"/>
        </w:rPr>
      </w:pPr>
      <w:r>
        <w:rPr>
          <w:rFonts w:eastAsia="Times New Roman"/>
        </w:rPr>
        <w:pict w14:anchorId="01D31F11">
          <v:rect id="_x0000_i1118" style="width:0;height:1.5pt" o:hralign="center" o:hrstd="t" o:hr="t" fillcolor="#a0a0a0" stroked="f"/>
        </w:pict>
      </w:r>
    </w:p>
    <w:p w14:paraId="161415B4" w14:textId="77777777" w:rsidR="00000000" w:rsidRDefault="001D0688">
      <w:pPr>
        <w:divId w:val="21392720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1996"/>
        <w:gridCol w:w="36"/>
        <w:gridCol w:w="36"/>
        <w:gridCol w:w="36"/>
        <w:gridCol w:w="36"/>
        <w:gridCol w:w="38"/>
        <w:gridCol w:w="1888"/>
        <w:gridCol w:w="36"/>
        <w:gridCol w:w="36"/>
        <w:gridCol w:w="36"/>
        <w:gridCol w:w="36"/>
        <w:gridCol w:w="40"/>
        <w:gridCol w:w="1888"/>
        <w:gridCol w:w="37"/>
        <w:gridCol w:w="36"/>
        <w:gridCol w:w="36"/>
        <w:gridCol w:w="36"/>
        <w:gridCol w:w="43"/>
        <w:gridCol w:w="1886"/>
        <w:gridCol w:w="37"/>
      </w:tblGrid>
      <w:tr w:rsidR="00000000" w14:paraId="780D49DB" w14:textId="77777777">
        <w:trPr>
          <w:divId w:val="710425376"/>
        </w:trPr>
        <w:tc>
          <w:tcPr>
            <w:tcW w:w="50" w:type="pct"/>
            <w:vAlign w:val="center"/>
            <w:hideMark/>
          </w:tcPr>
          <w:p w14:paraId="1B9148D9" w14:textId="77777777" w:rsidR="00000000" w:rsidRDefault="001D0688">
            <w:pPr>
              <w:rPr>
                <w:rFonts w:eastAsia="Times New Roman"/>
              </w:rPr>
            </w:pPr>
          </w:p>
        </w:tc>
        <w:tc>
          <w:tcPr>
            <w:tcW w:w="1216" w:type="pct"/>
            <w:vAlign w:val="center"/>
            <w:hideMark/>
          </w:tcPr>
          <w:p w14:paraId="2FA477FD" w14:textId="77777777" w:rsidR="00000000" w:rsidRDefault="001D0688">
            <w:pPr>
              <w:rPr>
                <w:rFonts w:eastAsia="Times New Roman"/>
                <w:sz w:val="20"/>
                <w:szCs w:val="20"/>
              </w:rPr>
            </w:pPr>
          </w:p>
        </w:tc>
        <w:tc>
          <w:tcPr>
            <w:tcW w:w="5" w:type="pct"/>
            <w:vAlign w:val="center"/>
            <w:hideMark/>
          </w:tcPr>
          <w:p w14:paraId="539BDF81" w14:textId="77777777" w:rsidR="00000000" w:rsidRDefault="001D0688">
            <w:pPr>
              <w:rPr>
                <w:rFonts w:eastAsia="Times New Roman"/>
                <w:sz w:val="20"/>
                <w:szCs w:val="20"/>
              </w:rPr>
            </w:pPr>
          </w:p>
        </w:tc>
        <w:tc>
          <w:tcPr>
            <w:tcW w:w="5" w:type="pct"/>
            <w:vAlign w:val="center"/>
            <w:hideMark/>
          </w:tcPr>
          <w:p w14:paraId="1DDA335A" w14:textId="77777777" w:rsidR="00000000" w:rsidRDefault="001D0688">
            <w:pPr>
              <w:rPr>
                <w:rFonts w:eastAsia="Times New Roman"/>
                <w:sz w:val="20"/>
                <w:szCs w:val="20"/>
              </w:rPr>
            </w:pPr>
          </w:p>
        </w:tc>
        <w:tc>
          <w:tcPr>
            <w:tcW w:w="26" w:type="pct"/>
            <w:vAlign w:val="center"/>
            <w:hideMark/>
          </w:tcPr>
          <w:p w14:paraId="56F0D537" w14:textId="77777777" w:rsidR="00000000" w:rsidRDefault="001D0688">
            <w:pPr>
              <w:rPr>
                <w:rFonts w:eastAsia="Times New Roman"/>
                <w:sz w:val="20"/>
                <w:szCs w:val="20"/>
              </w:rPr>
            </w:pPr>
          </w:p>
        </w:tc>
        <w:tc>
          <w:tcPr>
            <w:tcW w:w="5" w:type="pct"/>
            <w:vAlign w:val="center"/>
            <w:hideMark/>
          </w:tcPr>
          <w:p w14:paraId="703090CB" w14:textId="77777777" w:rsidR="00000000" w:rsidRDefault="001D0688">
            <w:pPr>
              <w:rPr>
                <w:rFonts w:eastAsia="Times New Roman"/>
                <w:sz w:val="20"/>
                <w:szCs w:val="20"/>
              </w:rPr>
            </w:pPr>
          </w:p>
        </w:tc>
        <w:tc>
          <w:tcPr>
            <w:tcW w:w="50" w:type="pct"/>
            <w:vAlign w:val="center"/>
            <w:hideMark/>
          </w:tcPr>
          <w:p w14:paraId="122FB894" w14:textId="77777777" w:rsidR="00000000" w:rsidRDefault="001D0688">
            <w:pPr>
              <w:rPr>
                <w:rFonts w:eastAsia="Times New Roman"/>
                <w:sz w:val="20"/>
                <w:szCs w:val="20"/>
              </w:rPr>
            </w:pPr>
          </w:p>
        </w:tc>
        <w:tc>
          <w:tcPr>
            <w:tcW w:w="1151" w:type="pct"/>
            <w:vAlign w:val="center"/>
            <w:hideMark/>
          </w:tcPr>
          <w:p w14:paraId="4BC8D0EB" w14:textId="77777777" w:rsidR="00000000" w:rsidRDefault="001D0688">
            <w:pPr>
              <w:rPr>
                <w:rFonts w:eastAsia="Times New Roman"/>
                <w:sz w:val="20"/>
                <w:szCs w:val="20"/>
              </w:rPr>
            </w:pPr>
          </w:p>
        </w:tc>
        <w:tc>
          <w:tcPr>
            <w:tcW w:w="5" w:type="pct"/>
            <w:vAlign w:val="center"/>
            <w:hideMark/>
          </w:tcPr>
          <w:p w14:paraId="7203A853" w14:textId="77777777" w:rsidR="00000000" w:rsidRDefault="001D0688">
            <w:pPr>
              <w:rPr>
                <w:rFonts w:eastAsia="Times New Roman"/>
                <w:sz w:val="20"/>
                <w:szCs w:val="20"/>
              </w:rPr>
            </w:pPr>
          </w:p>
        </w:tc>
        <w:tc>
          <w:tcPr>
            <w:tcW w:w="5" w:type="pct"/>
            <w:vAlign w:val="center"/>
            <w:hideMark/>
          </w:tcPr>
          <w:p w14:paraId="115D7A02" w14:textId="77777777" w:rsidR="00000000" w:rsidRDefault="001D0688">
            <w:pPr>
              <w:rPr>
                <w:rFonts w:eastAsia="Times New Roman"/>
                <w:sz w:val="20"/>
                <w:szCs w:val="20"/>
              </w:rPr>
            </w:pPr>
          </w:p>
        </w:tc>
        <w:tc>
          <w:tcPr>
            <w:tcW w:w="26" w:type="pct"/>
            <w:vAlign w:val="center"/>
            <w:hideMark/>
          </w:tcPr>
          <w:p w14:paraId="4A1E49F6" w14:textId="77777777" w:rsidR="00000000" w:rsidRDefault="001D0688">
            <w:pPr>
              <w:rPr>
                <w:rFonts w:eastAsia="Times New Roman"/>
                <w:sz w:val="20"/>
                <w:szCs w:val="20"/>
              </w:rPr>
            </w:pPr>
          </w:p>
        </w:tc>
        <w:tc>
          <w:tcPr>
            <w:tcW w:w="5" w:type="pct"/>
            <w:vAlign w:val="center"/>
            <w:hideMark/>
          </w:tcPr>
          <w:p w14:paraId="070834CB" w14:textId="77777777" w:rsidR="00000000" w:rsidRDefault="001D0688">
            <w:pPr>
              <w:rPr>
                <w:rFonts w:eastAsia="Times New Roman"/>
                <w:sz w:val="20"/>
                <w:szCs w:val="20"/>
              </w:rPr>
            </w:pPr>
          </w:p>
        </w:tc>
        <w:tc>
          <w:tcPr>
            <w:tcW w:w="50" w:type="pct"/>
            <w:vAlign w:val="center"/>
            <w:hideMark/>
          </w:tcPr>
          <w:p w14:paraId="60DDFBBA" w14:textId="77777777" w:rsidR="00000000" w:rsidRDefault="001D0688">
            <w:pPr>
              <w:rPr>
                <w:rFonts w:eastAsia="Times New Roman"/>
                <w:sz w:val="20"/>
                <w:szCs w:val="20"/>
              </w:rPr>
            </w:pPr>
          </w:p>
        </w:tc>
        <w:tc>
          <w:tcPr>
            <w:tcW w:w="1151" w:type="pct"/>
            <w:vAlign w:val="center"/>
            <w:hideMark/>
          </w:tcPr>
          <w:p w14:paraId="3F0F0050" w14:textId="77777777" w:rsidR="00000000" w:rsidRDefault="001D0688">
            <w:pPr>
              <w:rPr>
                <w:rFonts w:eastAsia="Times New Roman"/>
                <w:sz w:val="20"/>
                <w:szCs w:val="20"/>
              </w:rPr>
            </w:pPr>
          </w:p>
        </w:tc>
        <w:tc>
          <w:tcPr>
            <w:tcW w:w="5" w:type="pct"/>
            <w:vAlign w:val="center"/>
            <w:hideMark/>
          </w:tcPr>
          <w:p w14:paraId="3D8BCC90" w14:textId="77777777" w:rsidR="00000000" w:rsidRDefault="001D0688">
            <w:pPr>
              <w:rPr>
                <w:rFonts w:eastAsia="Times New Roman"/>
                <w:sz w:val="20"/>
                <w:szCs w:val="20"/>
              </w:rPr>
            </w:pPr>
          </w:p>
        </w:tc>
        <w:tc>
          <w:tcPr>
            <w:tcW w:w="5" w:type="pct"/>
            <w:vAlign w:val="center"/>
            <w:hideMark/>
          </w:tcPr>
          <w:p w14:paraId="37337F70" w14:textId="77777777" w:rsidR="00000000" w:rsidRDefault="001D0688">
            <w:pPr>
              <w:rPr>
                <w:rFonts w:eastAsia="Times New Roman"/>
                <w:sz w:val="20"/>
                <w:szCs w:val="20"/>
              </w:rPr>
            </w:pPr>
          </w:p>
        </w:tc>
        <w:tc>
          <w:tcPr>
            <w:tcW w:w="26" w:type="pct"/>
            <w:vAlign w:val="center"/>
            <w:hideMark/>
          </w:tcPr>
          <w:p w14:paraId="4DACBE55" w14:textId="77777777" w:rsidR="00000000" w:rsidRDefault="001D0688">
            <w:pPr>
              <w:rPr>
                <w:rFonts w:eastAsia="Times New Roman"/>
                <w:sz w:val="20"/>
                <w:szCs w:val="20"/>
              </w:rPr>
            </w:pPr>
          </w:p>
        </w:tc>
        <w:tc>
          <w:tcPr>
            <w:tcW w:w="5" w:type="pct"/>
            <w:vAlign w:val="center"/>
            <w:hideMark/>
          </w:tcPr>
          <w:p w14:paraId="770EAA21" w14:textId="77777777" w:rsidR="00000000" w:rsidRDefault="001D0688">
            <w:pPr>
              <w:rPr>
                <w:rFonts w:eastAsia="Times New Roman"/>
                <w:sz w:val="20"/>
                <w:szCs w:val="20"/>
              </w:rPr>
            </w:pPr>
          </w:p>
        </w:tc>
        <w:tc>
          <w:tcPr>
            <w:tcW w:w="50" w:type="pct"/>
            <w:vAlign w:val="center"/>
            <w:hideMark/>
          </w:tcPr>
          <w:p w14:paraId="08A1995F" w14:textId="77777777" w:rsidR="00000000" w:rsidRDefault="001D0688">
            <w:pPr>
              <w:rPr>
                <w:rFonts w:eastAsia="Times New Roman"/>
                <w:sz w:val="20"/>
                <w:szCs w:val="20"/>
              </w:rPr>
            </w:pPr>
          </w:p>
        </w:tc>
        <w:tc>
          <w:tcPr>
            <w:tcW w:w="1151" w:type="pct"/>
            <w:vAlign w:val="center"/>
            <w:hideMark/>
          </w:tcPr>
          <w:p w14:paraId="3A857BD9" w14:textId="77777777" w:rsidR="00000000" w:rsidRDefault="001D0688">
            <w:pPr>
              <w:rPr>
                <w:rFonts w:eastAsia="Times New Roman"/>
                <w:sz w:val="20"/>
                <w:szCs w:val="20"/>
              </w:rPr>
            </w:pPr>
          </w:p>
        </w:tc>
        <w:tc>
          <w:tcPr>
            <w:tcW w:w="5" w:type="pct"/>
            <w:vAlign w:val="center"/>
            <w:hideMark/>
          </w:tcPr>
          <w:p w14:paraId="2DECFF5C" w14:textId="77777777" w:rsidR="00000000" w:rsidRDefault="001D0688">
            <w:pPr>
              <w:rPr>
                <w:rFonts w:eastAsia="Times New Roman"/>
                <w:sz w:val="20"/>
                <w:szCs w:val="20"/>
              </w:rPr>
            </w:pPr>
          </w:p>
        </w:tc>
      </w:tr>
      <w:tr w:rsidR="00000000" w14:paraId="338C132B" w14:textId="77777777">
        <w:trPr>
          <w:divId w:val="710425376"/>
        </w:trPr>
        <w:tc>
          <w:tcPr>
            <w:tcW w:w="0" w:type="auto"/>
            <w:gridSpan w:val="3"/>
            <w:tcMar>
              <w:top w:w="30" w:type="dxa"/>
              <w:left w:w="20" w:type="dxa"/>
              <w:bottom w:w="30" w:type="dxa"/>
              <w:right w:w="20" w:type="dxa"/>
            </w:tcMar>
            <w:vAlign w:val="bottom"/>
            <w:hideMark/>
          </w:tcPr>
          <w:p w14:paraId="30D743CE" w14:textId="77777777" w:rsidR="00000000" w:rsidRDefault="001D0688">
            <w:pPr>
              <w:jc w:val="center"/>
              <w:rPr>
                <w:rFonts w:eastAsia="Times New Roman"/>
              </w:rPr>
            </w:pPr>
            <w:r>
              <w:rPr>
                <w:rFonts w:ascii="Arial" w:eastAsia="Times New Roman" w:hAnsi="Arial" w:cs="Arial"/>
                <w:b/>
                <w:bCs/>
                <w:color w:val="000000"/>
                <w:sz w:val="20"/>
                <w:szCs w:val="20"/>
              </w:rPr>
              <w:t>Notional Amount</w:t>
            </w:r>
          </w:p>
        </w:tc>
        <w:tc>
          <w:tcPr>
            <w:tcW w:w="0" w:type="auto"/>
            <w:gridSpan w:val="3"/>
            <w:tcMar>
              <w:top w:w="0" w:type="dxa"/>
              <w:left w:w="20" w:type="dxa"/>
              <w:bottom w:w="0" w:type="dxa"/>
              <w:right w:w="20" w:type="dxa"/>
            </w:tcMar>
            <w:vAlign w:val="center"/>
            <w:hideMark/>
          </w:tcPr>
          <w:p w14:paraId="4D51096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8E1BC62" w14:textId="77777777" w:rsidR="00000000" w:rsidRDefault="001D0688">
            <w:pPr>
              <w:jc w:val="center"/>
              <w:rPr>
                <w:rFonts w:eastAsia="Times New Roman"/>
              </w:rPr>
            </w:pPr>
            <w:r>
              <w:rPr>
                <w:rFonts w:ascii="Arial" w:eastAsia="Times New Roman" w:hAnsi="Arial" w:cs="Arial"/>
                <w:b/>
                <w:bCs/>
                <w:color w:val="000000"/>
                <w:sz w:val="20"/>
                <w:szCs w:val="20"/>
              </w:rPr>
              <w:t>Fixed Interest Rate</w:t>
            </w:r>
          </w:p>
        </w:tc>
        <w:tc>
          <w:tcPr>
            <w:tcW w:w="0" w:type="auto"/>
            <w:gridSpan w:val="3"/>
            <w:tcMar>
              <w:top w:w="0" w:type="dxa"/>
              <w:left w:w="20" w:type="dxa"/>
              <w:bottom w:w="0" w:type="dxa"/>
              <w:right w:w="20" w:type="dxa"/>
            </w:tcMar>
            <w:vAlign w:val="center"/>
            <w:hideMark/>
          </w:tcPr>
          <w:p w14:paraId="4704D5E4"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F8E60F3" w14:textId="77777777" w:rsidR="00000000" w:rsidRDefault="001D0688">
            <w:pPr>
              <w:jc w:val="center"/>
              <w:rPr>
                <w:rFonts w:eastAsia="Times New Roman"/>
              </w:rPr>
            </w:pPr>
            <w:r>
              <w:rPr>
                <w:rFonts w:ascii="Arial" w:eastAsia="Times New Roman" w:hAnsi="Arial" w:cs="Arial"/>
                <w:b/>
                <w:bCs/>
                <w:color w:val="000000"/>
                <w:sz w:val="20"/>
                <w:szCs w:val="20"/>
              </w:rPr>
              <w:t>Effective Date</w:t>
            </w:r>
          </w:p>
        </w:tc>
        <w:tc>
          <w:tcPr>
            <w:tcW w:w="0" w:type="auto"/>
            <w:gridSpan w:val="3"/>
            <w:tcMar>
              <w:top w:w="0" w:type="dxa"/>
              <w:left w:w="20" w:type="dxa"/>
              <w:bottom w:w="0" w:type="dxa"/>
              <w:right w:w="20" w:type="dxa"/>
            </w:tcMar>
            <w:vAlign w:val="center"/>
            <w:hideMark/>
          </w:tcPr>
          <w:p w14:paraId="342A0AF1"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BF29006" w14:textId="77777777" w:rsidR="00000000" w:rsidRDefault="001D0688">
            <w:pPr>
              <w:jc w:val="center"/>
              <w:rPr>
                <w:rFonts w:eastAsia="Times New Roman"/>
              </w:rPr>
            </w:pPr>
            <w:r>
              <w:rPr>
                <w:rFonts w:ascii="Arial" w:eastAsia="Times New Roman" w:hAnsi="Arial" w:cs="Arial"/>
                <w:b/>
                <w:bCs/>
                <w:color w:val="000000"/>
                <w:sz w:val="20"/>
                <w:szCs w:val="20"/>
              </w:rPr>
              <w:t>Maturity Date</w:t>
            </w:r>
          </w:p>
        </w:tc>
      </w:tr>
      <w:tr w:rsidR="00000000" w14:paraId="32A2A2F3" w14:textId="77777777">
        <w:trPr>
          <w:divId w:val="710425376"/>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1FC81C0F" w14:textId="77777777" w:rsidR="00000000" w:rsidRDefault="001D0688">
            <w:pPr>
              <w:jc w:val="center"/>
              <w:rPr>
                <w:rFonts w:eastAsia="Times New Roman"/>
              </w:rPr>
            </w:pPr>
            <w:r>
              <w:rPr>
                <w:rFonts w:ascii="Arial" w:eastAsia="Times New Roman" w:hAnsi="Arial" w:cs="Arial"/>
                <w:color w:val="000000"/>
                <w:sz w:val="20"/>
                <w:szCs w:val="20"/>
              </w:rPr>
              <w:t>$ 90.0 million</w:t>
            </w:r>
          </w:p>
        </w:tc>
        <w:tc>
          <w:tcPr>
            <w:tcW w:w="0" w:type="auto"/>
            <w:gridSpan w:val="3"/>
            <w:shd w:val="clear" w:color="auto" w:fill="DCE2EF"/>
            <w:tcMar>
              <w:top w:w="0" w:type="dxa"/>
              <w:left w:w="20" w:type="dxa"/>
              <w:bottom w:w="0" w:type="dxa"/>
              <w:right w:w="20" w:type="dxa"/>
            </w:tcMar>
            <w:vAlign w:val="center"/>
            <w:hideMark/>
          </w:tcPr>
          <w:p w14:paraId="5AE93135"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3F119C37" w14:textId="77777777" w:rsidR="00000000" w:rsidRDefault="001D0688">
            <w:pPr>
              <w:jc w:val="center"/>
              <w:rPr>
                <w:rFonts w:eastAsia="Times New Roman"/>
              </w:rPr>
            </w:pPr>
            <w:r>
              <w:rPr>
                <w:rFonts w:ascii="Arial" w:eastAsia="Times New Roman" w:hAnsi="Arial" w:cs="Arial"/>
                <w:color w:val="000000"/>
                <w:sz w:val="20"/>
                <w:szCs w:val="20"/>
              </w:rPr>
              <w:t>2.83%</w:t>
            </w:r>
          </w:p>
        </w:tc>
        <w:tc>
          <w:tcPr>
            <w:tcW w:w="0" w:type="auto"/>
            <w:gridSpan w:val="3"/>
            <w:shd w:val="clear" w:color="auto" w:fill="DCE2EF"/>
            <w:tcMar>
              <w:top w:w="0" w:type="dxa"/>
              <w:left w:w="20" w:type="dxa"/>
              <w:bottom w:w="0" w:type="dxa"/>
              <w:right w:w="20" w:type="dxa"/>
            </w:tcMar>
            <w:vAlign w:val="center"/>
            <w:hideMark/>
          </w:tcPr>
          <w:p w14:paraId="21A2BB48"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7AF76FB3" w14:textId="77777777" w:rsidR="00000000" w:rsidRDefault="001D0688">
            <w:pPr>
              <w:jc w:val="center"/>
              <w:rPr>
                <w:rFonts w:eastAsia="Times New Roman"/>
              </w:rPr>
            </w:pPr>
            <w:r>
              <w:rPr>
                <w:rFonts w:ascii="Arial" w:eastAsia="Times New Roman" w:hAnsi="Arial" w:cs="Arial"/>
                <w:color w:val="000000"/>
                <w:sz w:val="20"/>
                <w:szCs w:val="20"/>
              </w:rPr>
              <w:t>November 1, 2018</w:t>
            </w:r>
          </w:p>
        </w:tc>
        <w:tc>
          <w:tcPr>
            <w:tcW w:w="0" w:type="auto"/>
            <w:gridSpan w:val="3"/>
            <w:shd w:val="clear" w:color="auto" w:fill="DCE2EF"/>
            <w:tcMar>
              <w:top w:w="0" w:type="dxa"/>
              <w:left w:w="20" w:type="dxa"/>
              <w:bottom w:w="0" w:type="dxa"/>
              <w:right w:w="20" w:type="dxa"/>
            </w:tcMar>
            <w:vAlign w:val="center"/>
            <w:hideMark/>
          </w:tcPr>
          <w:p w14:paraId="01852F3A"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D7167A9" w14:textId="77777777" w:rsidR="00000000" w:rsidRDefault="001D0688">
            <w:pPr>
              <w:jc w:val="center"/>
              <w:rPr>
                <w:rFonts w:eastAsia="Times New Roman"/>
              </w:rPr>
            </w:pPr>
            <w:r>
              <w:rPr>
                <w:rFonts w:ascii="Arial" w:eastAsia="Times New Roman" w:hAnsi="Arial" w:cs="Arial"/>
                <w:color w:val="000000"/>
                <w:sz w:val="20"/>
                <w:szCs w:val="20"/>
              </w:rPr>
              <w:t>April 30, 2021</w:t>
            </w:r>
          </w:p>
        </w:tc>
      </w:tr>
      <w:tr w:rsidR="00000000" w14:paraId="718E5CC6" w14:textId="77777777">
        <w:trPr>
          <w:divId w:val="710425376"/>
        </w:trPr>
        <w:tc>
          <w:tcPr>
            <w:tcW w:w="0" w:type="auto"/>
            <w:gridSpan w:val="3"/>
            <w:shd w:val="clear" w:color="auto" w:fill="FFFFFF"/>
            <w:tcMar>
              <w:top w:w="30" w:type="dxa"/>
              <w:left w:w="20" w:type="dxa"/>
              <w:bottom w:w="30" w:type="dxa"/>
              <w:right w:w="20" w:type="dxa"/>
            </w:tcMar>
            <w:vAlign w:val="bottom"/>
            <w:hideMark/>
          </w:tcPr>
          <w:p w14:paraId="24522084" w14:textId="77777777" w:rsidR="00000000" w:rsidRDefault="001D0688">
            <w:pPr>
              <w:jc w:val="center"/>
              <w:rPr>
                <w:rFonts w:eastAsia="Times New Roman"/>
              </w:rPr>
            </w:pPr>
            <w:r>
              <w:rPr>
                <w:rFonts w:ascii="Arial" w:eastAsia="Times New Roman" w:hAnsi="Arial" w:cs="Arial"/>
                <w:color w:val="000000"/>
                <w:sz w:val="20"/>
                <w:szCs w:val="20"/>
              </w:rPr>
              <w:t>$ 90.0 million</w:t>
            </w:r>
          </w:p>
        </w:tc>
        <w:tc>
          <w:tcPr>
            <w:tcW w:w="0" w:type="auto"/>
            <w:gridSpan w:val="3"/>
            <w:shd w:val="clear" w:color="auto" w:fill="FFFFFF"/>
            <w:tcMar>
              <w:top w:w="0" w:type="dxa"/>
              <w:left w:w="20" w:type="dxa"/>
              <w:bottom w:w="0" w:type="dxa"/>
              <w:right w:w="20" w:type="dxa"/>
            </w:tcMar>
            <w:vAlign w:val="center"/>
            <w:hideMark/>
          </w:tcPr>
          <w:p w14:paraId="7DB6326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B994EE" w14:textId="77777777" w:rsidR="00000000" w:rsidRDefault="001D0688">
            <w:pPr>
              <w:jc w:val="center"/>
              <w:rPr>
                <w:rFonts w:eastAsia="Times New Roman"/>
              </w:rPr>
            </w:pPr>
            <w:r>
              <w:rPr>
                <w:rFonts w:ascii="Arial" w:eastAsia="Times New Roman" w:hAnsi="Arial" w:cs="Arial"/>
                <w:color w:val="000000"/>
                <w:sz w:val="20"/>
                <w:szCs w:val="20"/>
              </w:rPr>
              <w:t>2.84%</w:t>
            </w:r>
          </w:p>
        </w:tc>
        <w:tc>
          <w:tcPr>
            <w:tcW w:w="0" w:type="auto"/>
            <w:gridSpan w:val="3"/>
            <w:shd w:val="clear" w:color="auto" w:fill="FFFFFF"/>
            <w:tcMar>
              <w:top w:w="0" w:type="dxa"/>
              <w:left w:w="20" w:type="dxa"/>
              <w:bottom w:w="0" w:type="dxa"/>
              <w:right w:w="20" w:type="dxa"/>
            </w:tcMar>
            <w:vAlign w:val="center"/>
            <w:hideMark/>
          </w:tcPr>
          <w:p w14:paraId="579348C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85AC2DE" w14:textId="77777777" w:rsidR="00000000" w:rsidRDefault="001D0688">
            <w:pPr>
              <w:jc w:val="center"/>
              <w:rPr>
                <w:rFonts w:eastAsia="Times New Roman"/>
              </w:rPr>
            </w:pPr>
            <w:r>
              <w:rPr>
                <w:rFonts w:ascii="Arial" w:eastAsia="Times New Roman" w:hAnsi="Arial" w:cs="Arial"/>
                <w:color w:val="000000"/>
                <w:sz w:val="20"/>
                <w:szCs w:val="20"/>
              </w:rPr>
              <w:t>November 1, 2018</w:t>
            </w:r>
          </w:p>
        </w:tc>
        <w:tc>
          <w:tcPr>
            <w:tcW w:w="0" w:type="auto"/>
            <w:gridSpan w:val="3"/>
            <w:shd w:val="clear" w:color="auto" w:fill="FFFFFF"/>
            <w:tcMar>
              <w:top w:w="0" w:type="dxa"/>
              <w:left w:w="20" w:type="dxa"/>
              <w:bottom w:w="0" w:type="dxa"/>
              <w:right w:w="20" w:type="dxa"/>
            </w:tcMar>
            <w:vAlign w:val="center"/>
            <w:hideMark/>
          </w:tcPr>
          <w:p w14:paraId="5CF2A5A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CAAE52" w14:textId="77777777" w:rsidR="00000000" w:rsidRDefault="001D0688">
            <w:pPr>
              <w:jc w:val="center"/>
              <w:rPr>
                <w:rFonts w:eastAsia="Times New Roman"/>
              </w:rPr>
            </w:pPr>
            <w:r>
              <w:rPr>
                <w:rFonts w:ascii="Arial" w:eastAsia="Times New Roman" w:hAnsi="Arial" w:cs="Arial"/>
                <w:color w:val="000000"/>
                <w:sz w:val="20"/>
                <w:szCs w:val="20"/>
              </w:rPr>
              <w:t>October 31, 2021</w:t>
            </w:r>
          </w:p>
        </w:tc>
      </w:tr>
      <w:tr w:rsidR="00000000" w14:paraId="63CDF12B" w14:textId="77777777">
        <w:trPr>
          <w:divId w:val="710425376"/>
        </w:trPr>
        <w:tc>
          <w:tcPr>
            <w:tcW w:w="0" w:type="auto"/>
            <w:gridSpan w:val="3"/>
            <w:shd w:val="clear" w:color="auto" w:fill="DCE2EF"/>
            <w:tcMar>
              <w:top w:w="30" w:type="dxa"/>
              <w:left w:w="20" w:type="dxa"/>
              <w:bottom w:w="30" w:type="dxa"/>
              <w:right w:w="20" w:type="dxa"/>
            </w:tcMar>
            <w:vAlign w:val="bottom"/>
            <w:hideMark/>
          </w:tcPr>
          <w:p w14:paraId="7D8A01BA" w14:textId="77777777" w:rsidR="00000000" w:rsidRDefault="001D0688">
            <w:pPr>
              <w:jc w:val="center"/>
              <w:rPr>
                <w:rFonts w:eastAsia="Times New Roman"/>
              </w:rPr>
            </w:pPr>
            <w:r>
              <w:rPr>
                <w:rFonts w:ascii="Arial" w:eastAsia="Times New Roman" w:hAnsi="Arial" w:cs="Arial"/>
                <w:color w:val="000000"/>
                <w:sz w:val="20"/>
                <w:szCs w:val="20"/>
              </w:rPr>
              <w:t>$ 130.0 million</w:t>
            </w:r>
          </w:p>
        </w:tc>
        <w:tc>
          <w:tcPr>
            <w:tcW w:w="0" w:type="auto"/>
            <w:gridSpan w:val="3"/>
            <w:shd w:val="clear" w:color="auto" w:fill="DCE2EF"/>
            <w:tcMar>
              <w:top w:w="0" w:type="dxa"/>
              <w:left w:w="20" w:type="dxa"/>
              <w:bottom w:w="0" w:type="dxa"/>
              <w:right w:w="20" w:type="dxa"/>
            </w:tcMar>
            <w:vAlign w:val="center"/>
            <w:hideMark/>
          </w:tcPr>
          <w:p w14:paraId="327128B1"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A32EC56" w14:textId="77777777" w:rsidR="00000000" w:rsidRDefault="001D0688">
            <w:pPr>
              <w:jc w:val="center"/>
              <w:rPr>
                <w:rFonts w:eastAsia="Times New Roman"/>
              </w:rPr>
            </w:pPr>
            <w:r>
              <w:rPr>
                <w:rFonts w:ascii="Arial" w:eastAsia="Times New Roman" w:hAnsi="Arial" w:cs="Arial"/>
                <w:color w:val="000000"/>
                <w:sz w:val="20"/>
                <w:szCs w:val="20"/>
              </w:rPr>
              <w:t>2.86%</w:t>
            </w:r>
          </w:p>
        </w:tc>
        <w:tc>
          <w:tcPr>
            <w:tcW w:w="0" w:type="auto"/>
            <w:gridSpan w:val="3"/>
            <w:shd w:val="clear" w:color="auto" w:fill="DCE2EF"/>
            <w:tcMar>
              <w:top w:w="0" w:type="dxa"/>
              <w:left w:w="20" w:type="dxa"/>
              <w:bottom w:w="0" w:type="dxa"/>
              <w:right w:w="20" w:type="dxa"/>
            </w:tcMar>
            <w:vAlign w:val="center"/>
            <w:hideMark/>
          </w:tcPr>
          <w:p w14:paraId="4EA17782"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3728F05" w14:textId="77777777" w:rsidR="00000000" w:rsidRDefault="001D0688">
            <w:pPr>
              <w:jc w:val="center"/>
              <w:rPr>
                <w:rFonts w:eastAsia="Times New Roman"/>
              </w:rPr>
            </w:pPr>
            <w:r>
              <w:rPr>
                <w:rFonts w:ascii="Arial" w:eastAsia="Times New Roman" w:hAnsi="Arial" w:cs="Arial"/>
                <w:color w:val="000000"/>
                <w:sz w:val="20"/>
                <w:szCs w:val="20"/>
              </w:rPr>
              <w:t>November 1, 2018</w:t>
            </w:r>
          </w:p>
        </w:tc>
        <w:tc>
          <w:tcPr>
            <w:tcW w:w="0" w:type="auto"/>
            <w:gridSpan w:val="3"/>
            <w:shd w:val="clear" w:color="auto" w:fill="DCE2EF"/>
            <w:tcMar>
              <w:top w:w="0" w:type="dxa"/>
              <w:left w:w="20" w:type="dxa"/>
              <w:bottom w:w="0" w:type="dxa"/>
              <w:right w:w="20" w:type="dxa"/>
            </w:tcMar>
            <w:vAlign w:val="center"/>
            <w:hideMark/>
          </w:tcPr>
          <w:p w14:paraId="7CE56FA8"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8F96CC2" w14:textId="77777777" w:rsidR="00000000" w:rsidRDefault="001D0688">
            <w:pPr>
              <w:jc w:val="center"/>
              <w:rPr>
                <w:rFonts w:eastAsia="Times New Roman"/>
              </w:rPr>
            </w:pPr>
            <w:r>
              <w:rPr>
                <w:rFonts w:ascii="Arial" w:eastAsia="Times New Roman" w:hAnsi="Arial" w:cs="Arial"/>
                <w:color w:val="000000"/>
                <w:sz w:val="20"/>
                <w:szCs w:val="20"/>
              </w:rPr>
              <w:t>April 30, 2022</w:t>
            </w:r>
          </w:p>
        </w:tc>
      </w:tr>
      <w:tr w:rsidR="00000000" w14:paraId="35310F12" w14:textId="77777777">
        <w:trPr>
          <w:divId w:val="710425376"/>
        </w:trPr>
        <w:tc>
          <w:tcPr>
            <w:tcW w:w="0" w:type="auto"/>
            <w:gridSpan w:val="3"/>
            <w:shd w:val="clear" w:color="auto" w:fill="FFFFFF"/>
            <w:tcMar>
              <w:top w:w="30" w:type="dxa"/>
              <w:left w:w="20" w:type="dxa"/>
              <w:bottom w:w="30" w:type="dxa"/>
              <w:right w:w="20" w:type="dxa"/>
            </w:tcMar>
            <w:vAlign w:val="bottom"/>
            <w:hideMark/>
          </w:tcPr>
          <w:p w14:paraId="6EA9DC47" w14:textId="77777777" w:rsidR="00000000" w:rsidRDefault="001D0688">
            <w:pPr>
              <w:jc w:val="center"/>
              <w:rPr>
                <w:rFonts w:eastAsia="Times New Roman"/>
              </w:rPr>
            </w:pPr>
            <w:r>
              <w:rPr>
                <w:rFonts w:ascii="Arial" w:eastAsia="Times New Roman" w:hAnsi="Arial" w:cs="Arial"/>
                <w:color w:val="000000"/>
                <w:sz w:val="20"/>
                <w:szCs w:val="20"/>
              </w:rPr>
              <w:t>$ 130.0 million</w:t>
            </w:r>
          </w:p>
        </w:tc>
        <w:tc>
          <w:tcPr>
            <w:tcW w:w="0" w:type="auto"/>
            <w:gridSpan w:val="3"/>
            <w:shd w:val="clear" w:color="auto" w:fill="FFFFFF"/>
            <w:tcMar>
              <w:top w:w="0" w:type="dxa"/>
              <w:left w:w="20" w:type="dxa"/>
              <w:bottom w:w="0" w:type="dxa"/>
              <w:right w:w="20" w:type="dxa"/>
            </w:tcMar>
            <w:vAlign w:val="center"/>
            <w:hideMark/>
          </w:tcPr>
          <w:p w14:paraId="057491F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0FB805" w14:textId="77777777" w:rsidR="00000000" w:rsidRDefault="001D0688">
            <w:pPr>
              <w:jc w:val="center"/>
              <w:rPr>
                <w:rFonts w:eastAsia="Times New Roman"/>
              </w:rPr>
            </w:pPr>
            <w:r>
              <w:rPr>
                <w:rFonts w:ascii="Arial" w:eastAsia="Times New Roman" w:hAnsi="Arial" w:cs="Arial"/>
                <w:color w:val="000000"/>
                <w:sz w:val="20"/>
                <w:szCs w:val="20"/>
              </w:rPr>
              <w:t>2.84%</w:t>
            </w:r>
          </w:p>
        </w:tc>
        <w:tc>
          <w:tcPr>
            <w:tcW w:w="0" w:type="auto"/>
            <w:gridSpan w:val="3"/>
            <w:shd w:val="clear" w:color="auto" w:fill="FFFFFF"/>
            <w:tcMar>
              <w:top w:w="0" w:type="dxa"/>
              <w:left w:w="20" w:type="dxa"/>
              <w:bottom w:w="0" w:type="dxa"/>
              <w:right w:w="20" w:type="dxa"/>
            </w:tcMar>
            <w:vAlign w:val="center"/>
            <w:hideMark/>
          </w:tcPr>
          <w:p w14:paraId="4A13801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26D2BE" w14:textId="77777777" w:rsidR="00000000" w:rsidRDefault="001D0688">
            <w:pPr>
              <w:jc w:val="center"/>
              <w:rPr>
                <w:rFonts w:eastAsia="Times New Roman"/>
              </w:rPr>
            </w:pPr>
            <w:r>
              <w:rPr>
                <w:rFonts w:ascii="Arial" w:eastAsia="Times New Roman" w:hAnsi="Arial" w:cs="Arial"/>
                <w:color w:val="000000"/>
                <w:sz w:val="20"/>
                <w:szCs w:val="20"/>
              </w:rPr>
              <w:t>November 1, 2018</w:t>
            </w:r>
          </w:p>
        </w:tc>
        <w:tc>
          <w:tcPr>
            <w:tcW w:w="0" w:type="auto"/>
            <w:gridSpan w:val="3"/>
            <w:shd w:val="clear" w:color="auto" w:fill="FFFFFF"/>
            <w:tcMar>
              <w:top w:w="0" w:type="dxa"/>
              <w:left w:w="20" w:type="dxa"/>
              <w:bottom w:w="0" w:type="dxa"/>
              <w:right w:w="20" w:type="dxa"/>
            </w:tcMar>
            <w:vAlign w:val="center"/>
            <w:hideMark/>
          </w:tcPr>
          <w:p w14:paraId="116FA6A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5A2B05" w14:textId="77777777" w:rsidR="00000000" w:rsidRDefault="001D0688">
            <w:pPr>
              <w:jc w:val="center"/>
              <w:rPr>
                <w:rFonts w:eastAsia="Times New Roman"/>
              </w:rPr>
            </w:pPr>
            <w:r>
              <w:rPr>
                <w:rFonts w:ascii="Arial" w:eastAsia="Times New Roman" w:hAnsi="Arial" w:cs="Arial"/>
                <w:color w:val="000000"/>
                <w:sz w:val="20"/>
                <w:szCs w:val="20"/>
              </w:rPr>
              <w:t>September 1, 2022</w:t>
            </w:r>
          </w:p>
        </w:tc>
      </w:tr>
    </w:tbl>
    <w:p w14:paraId="361BFE7B" w14:textId="77777777" w:rsidR="00000000" w:rsidRDefault="001D0688">
      <w:pPr>
        <w:ind w:firstLine="720"/>
        <w:jc w:val="both"/>
        <w:divId w:val="1146242988"/>
        <w:rPr>
          <w:rFonts w:eastAsia="Times New Roman"/>
        </w:rPr>
      </w:pPr>
      <w:r>
        <w:rPr>
          <w:rFonts w:ascii="Arial" w:eastAsia="Times New Roman" w:hAnsi="Arial" w:cs="Arial"/>
          <w:color w:val="000000"/>
          <w:sz w:val="20"/>
          <w:szCs w:val="20"/>
        </w:rPr>
        <w:t>At October 31, 2020 and 2019, amounts recorded in AOCL for interest rate swaps were a loss of $3.3 million, net of taxes of $0.9 million, and a gain of $2.2 million, net of taxes of $1.2 million, respectively. These amounts included the gain associated wit</w:t>
      </w:r>
      <w:r>
        <w:rPr>
          <w:rFonts w:ascii="Arial" w:eastAsia="Times New Roman" w:hAnsi="Arial" w:cs="Arial"/>
          <w:color w:val="000000"/>
          <w:sz w:val="20"/>
          <w:szCs w:val="20"/>
        </w:rPr>
        <w:t>h the interest rate swaps we terminated in 2018, which is being amortized to interest expense as interest payments are made over the term of our Credit Facility. During 2020, we amortized $4.9 million, net of taxes of $1.8 million, of that gain and we amor</w:t>
      </w:r>
      <w:r>
        <w:rPr>
          <w:rFonts w:ascii="Arial" w:eastAsia="Times New Roman" w:hAnsi="Arial" w:cs="Arial"/>
          <w:color w:val="000000"/>
          <w:sz w:val="20"/>
          <w:szCs w:val="20"/>
        </w:rPr>
        <w:t>tized $4.1 million, net of taxes of $1.5 million, during 2019. At October 31, 2020, the total amount expected to be reclassified from AOCL to earnings during the next twelve months was $4.0 million, net of a tax benefit of $1.4 million.</w:t>
      </w:r>
    </w:p>
    <w:p w14:paraId="6AFE7F76" w14:textId="77777777" w:rsidR="00000000" w:rsidRDefault="001D0688">
      <w:pPr>
        <w:divId w:val="1054742714"/>
        <w:rPr>
          <w:rFonts w:eastAsia="Times New Roman"/>
        </w:rPr>
      </w:pPr>
    </w:p>
    <w:p w14:paraId="406CB659" w14:textId="77777777" w:rsidR="00000000" w:rsidRDefault="001D0688">
      <w:pPr>
        <w:divId w:val="428501567"/>
        <w:rPr>
          <w:rFonts w:eastAsia="Times New Roman"/>
        </w:rPr>
      </w:pPr>
      <w:r>
        <w:rPr>
          <w:rFonts w:ascii="Arial" w:eastAsia="Times New Roman" w:hAnsi="Arial" w:cs="Arial"/>
          <w:b/>
          <w:bCs/>
          <w:color w:val="0046AD"/>
          <w:sz w:val="20"/>
          <w:szCs w:val="20"/>
        </w:rPr>
        <w:t>12. EMPLOYEE BENE</w:t>
      </w:r>
      <w:r>
        <w:rPr>
          <w:rFonts w:ascii="Arial" w:eastAsia="Times New Roman" w:hAnsi="Arial" w:cs="Arial"/>
          <w:b/>
          <w:bCs/>
          <w:color w:val="0046AD"/>
          <w:sz w:val="20"/>
          <w:szCs w:val="20"/>
        </w:rPr>
        <w:t>FIT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246FD96F" w14:textId="77777777">
        <w:trPr>
          <w:divId w:val="1463578039"/>
        </w:trPr>
        <w:tc>
          <w:tcPr>
            <w:tcW w:w="5" w:type="pct"/>
            <w:vAlign w:val="center"/>
            <w:hideMark/>
          </w:tcPr>
          <w:p w14:paraId="259C3E23" w14:textId="77777777" w:rsidR="00000000" w:rsidRDefault="001D0688">
            <w:pPr>
              <w:rPr>
                <w:rFonts w:eastAsia="Times New Roman"/>
              </w:rPr>
            </w:pPr>
          </w:p>
        </w:tc>
        <w:tc>
          <w:tcPr>
            <w:tcW w:w="129" w:type="pct"/>
            <w:vAlign w:val="center"/>
            <w:hideMark/>
          </w:tcPr>
          <w:p w14:paraId="76089B54" w14:textId="77777777" w:rsidR="00000000" w:rsidRDefault="001D0688">
            <w:pPr>
              <w:rPr>
                <w:rFonts w:eastAsia="Times New Roman"/>
                <w:sz w:val="20"/>
                <w:szCs w:val="20"/>
              </w:rPr>
            </w:pPr>
          </w:p>
        </w:tc>
        <w:tc>
          <w:tcPr>
            <w:tcW w:w="5" w:type="pct"/>
            <w:vAlign w:val="center"/>
            <w:hideMark/>
          </w:tcPr>
          <w:p w14:paraId="433BE4D2" w14:textId="77777777" w:rsidR="00000000" w:rsidRDefault="001D0688">
            <w:pPr>
              <w:rPr>
                <w:rFonts w:eastAsia="Times New Roman"/>
                <w:sz w:val="20"/>
                <w:szCs w:val="20"/>
              </w:rPr>
            </w:pPr>
          </w:p>
        </w:tc>
        <w:tc>
          <w:tcPr>
            <w:tcW w:w="50" w:type="pct"/>
            <w:vAlign w:val="center"/>
            <w:hideMark/>
          </w:tcPr>
          <w:p w14:paraId="6BC61724" w14:textId="77777777" w:rsidR="00000000" w:rsidRDefault="001D0688">
            <w:pPr>
              <w:rPr>
                <w:rFonts w:eastAsia="Times New Roman"/>
                <w:sz w:val="20"/>
                <w:szCs w:val="20"/>
              </w:rPr>
            </w:pPr>
          </w:p>
        </w:tc>
        <w:tc>
          <w:tcPr>
            <w:tcW w:w="4805" w:type="pct"/>
            <w:vAlign w:val="center"/>
            <w:hideMark/>
          </w:tcPr>
          <w:p w14:paraId="2972AB87" w14:textId="77777777" w:rsidR="00000000" w:rsidRDefault="001D0688">
            <w:pPr>
              <w:rPr>
                <w:rFonts w:eastAsia="Times New Roman"/>
                <w:sz w:val="20"/>
                <w:szCs w:val="20"/>
              </w:rPr>
            </w:pPr>
          </w:p>
        </w:tc>
        <w:tc>
          <w:tcPr>
            <w:tcW w:w="5" w:type="pct"/>
            <w:vAlign w:val="center"/>
            <w:hideMark/>
          </w:tcPr>
          <w:p w14:paraId="2F2B1FCD" w14:textId="77777777" w:rsidR="00000000" w:rsidRDefault="001D0688">
            <w:pPr>
              <w:rPr>
                <w:rFonts w:eastAsia="Times New Roman"/>
                <w:sz w:val="20"/>
                <w:szCs w:val="20"/>
              </w:rPr>
            </w:pPr>
          </w:p>
        </w:tc>
      </w:tr>
      <w:tr w:rsidR="00000000" w14:paraId="31582151" w14:textId="77777777">
        <w:trPr>
          <w:divId w:val="1463578039"/>
          <w:trHeight w:val="60"/>
        </w:trPr>
        <w:tc>
          <w:tcPr>
            <w:tcW w:w="0" w:type="auto"/>
            <w:gridSpan w:val="3"/>
            <w:tcBorders>
              <w:top w:val="single" w:sz="8" w:space="0" w:color="E98300"/>
            </w:tcBorders>
            <w:tcMar>
              <w:top w:w="0" w:type="dxa"/>
              <w:left w:w="20" w:type="dxa"/>
              <w:bottom w:w="0" w:type="dxa"/>
              <w:right w:w="20" w:type="dxa"/>
            </w:tcMar>
            <w:vAlign w:val="center"/>
            <w:hideMark/>
          </w:tcPr>
          <w:p w14:paraId="71F5489E"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9EFD8AC" w14:textId="77777777" w:rsidR="00000000" w:rsidRDefault="001D0688">
            <w:pPr>
              <w:rPr>
                <w:rFonts w:eastAsia="Times New Roman"/>
                <w:sz w:val="20"/>
                <w:szCs w:val="20"/>
              </w:rPr>
            </w:pPr>
          </w:p>
        </w:tc>
      </w:tr>
    </w:tbl>
    <w:p w14:paraId="1D02EA4F" w14:textId="77777777" w:rsidR="00000000" w:rsidRDefault="001D0688">
      <w:pPr>
        <w:jc w:val="both"/>
        <w:divId w:val="838888859"/>
        <w:rPr>
          <w:rFonts w:eastAsia="Times New Roman"/>
        </w:rPr>
      </w:pPr>
      <w:r>
        <w:rPr>
          <w:rFonts w:ascii="Arial" w:eastAsia="Times New Roman" w:hAnsi="Arial" w:cs="Arial"/>
          <w:b/>
          <w:bCs/>
          <w:color w:val="0046AD"/>
          <w:sz w:val="20"/>
          <w:szCs w:val="20"/>
        </w:rPr>
        <w:t>Defined Benefit Plans</w:t>
      </w:r>
    </w:p>
    <w:p w14:paraId="13E38FED" w14:textId="77777777" w:rsidR="00000000" w:rsidRDefault="001D0688">
      <w:pPr>
        <w:ind w:firstLine="720"/>
        <w:jc w:val="both"/>
        <w:divId w:val="2100829828"/>
        <w:rPr>
          <w:rFonts w:eastAsia="Times New Roman"/>
        </w:rPr>
      </w:pPr>
      <w:r>
        <w:rPr>
          <w:rFonts w:ascii="Arial" w:eastAsia="Times New Roman" w:hAnsi="Arial" w:cs="Arial"/>
          <w:color w:val="000000"/>
          <w:sz w:val="20"/>
          <w:szCs w:val="20"/>
        </w:rPr>
        <w:t xml:space="preserve">We provide benefits to certain employees under various defined benefit and postretirement benefit plans (collectively, the “Plans”). The Plans were previously amended to preclude new participants. </w:t>
      </w:r>
      <w:r>
        <w:rPr>
          <w:rFonts w:ascii="Arial" w:eastAsia="Times New Roman" w:hAnsi="Arial" w:cs="Arial"/>
          <w:color w:val="000000"/>
          <w:sz w:val="20"/>
          <w:szCs w:val="20"/>
          <w:shd w:val="clear" w:color="auto" w:fill="FFFFFF"/>
        </w:rPr>
        <w:t>All but one of the Plans are unfunded.</w:t>
      </w:r>
    </w:p>
    <w:p w14:paraId="1C15258E" w14:textId="77777777" w:rsidR="00000000" w:rsidRDefault="001D0688">
      <w:pPr>
        <w:jc w:val="both"/>
        <w:divId w:val="1139029732"/>
        <w:rPr>
          <w:rFonts w:eastAsia="Times New Roman"/>
        </w:rPr>
      </w:pPr>
      <w:r>
        <w:rPr>
          <w:rFonts w:ascii="Arial" w:eastAsia="Times New Roman" w:hAnsi="Arial" w:cs="Arial"/>
          <w:b/>
          <w:bCs/>
          <w:i/>
          <w:iCs/>
          <w:color w:val="0046AD"/>
          <w:sz w:val="20"/>
          <w:szCs w:val="20"/>
        </w:rPr>
        <w:t xml:space="preserve">Information for the </w:t>
      </w:r>
      <w:r>
        <w:rPr>
          <w:rFonts w:ascii="Arial" w:eastAsia="Times New Roman" w:hAnsi="Arial" w:cs="Arial"/>
          <w:b/>
          <w:bCs/>
          <w:i/>
          <w:iCs/>
          <w:color w:val="0046AD"/>
          <w:sz w:val="20"/>
          <w:szCs w:val="20"/>
        </w:rPr>
        <w:t>Plans</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5068"/>
        <w:gridCol w:w="36"/>
        <w:gridCol w:w="132"/>
        <w:gridCol w:w="1355"/>
        <w:gridCol w:w="36"/>
        <w:gridCol w:w="36"/>
        <w:gridCol w:w="36"/>
        <w:gridCol w:w="36"/>
        <w:gridCol w:w="132"/>
        <w:gridCol w:w="1315"/>
        <w:gridCol w:w="36"/>
      </w:tblGrid>
      <w:tr w:rsidR="00000000" w14:paraId="3462E2BE" w14:textId="77777777">
        <w:trPr>
          <w:divId w:val="1807770622"/>
          <w:jc w:val="center"/>
        </w:trPr>
        <w:tc>
          <w:tcPr>
            <w:tcW w:w="50" w:type="pct"/>
            <w:vAlign w:val="center"/>
            <w:hideMark/>
          </w:tcPr>
          <w:p w14:paraId="724E83BC" w14:textId="77777777" w:rsidR="00000000" w:rsidRDefault="001D0688">
            <w:pPr>
              <w:jc w:val="both"/>
              <w:rPr>
                <w:rFonts w:eastAsia="Times New Roman"/>
              </w:rPr>
            </w:pPr>
          </w:p>
        </w:tc>
        <w:tc>
          <w:tcPr>
            <w:tcW w:w="3099" w:type="pct"/>
            <w:vAlign w:val="center"/>
            <w:hideMark/>
          </w:tcPr>
          <w:p w14:paraId="4920CA9E" w14:textId="77777777" w:rsidR="00000000" w:rsidRDefault="001D0688">
            <w:pPr>
              <w:rPr>
                <w:rFonts w:eastAsia="Times New Roman"/>
                <w:sz w:val="20"/>
                <w:szCs w:val="20"/>
              </w:rPr>
            </w:pPr>
          </w:p>
        </w:tc>
        <w:tc>
          <w:tcPr>
            <w:tcW w:w="5" w:type="pct"/>
            <w:vAlign w:val="center"/>
            <w:hideMark/>
          </w:tcPr>
          <w:p w14:paraId="0A09EB0A" w14:textId="77777777" w:rsidR="00000000" w:rsidRDefault="001D0688">
            <w:pPr>
              <w:rPr>
                <w:rFonts w:eastAsia="Times New Roman"/>
                <w:sz w:val="20"/>
                <w:szCs w:val="20"/>
              </w:rPr>
            </w:pPr>
          </w:p>
        </w:tc>
        <w:tc>
          <w:tcPr>
            <w:tcW w:w="50" w:type="pct"/>
            <w:vAlign w:val="center"/>
            <w:hideMark/>
          </w:tcPr>
          <w:p w14:paraId="398A97BB" w14:textId="77777777" w:rsidR="00000000" w:rsidRDefault="001D0688">
            <w:pPr>
              <w:rPr>
                <w:rFonts w:eastAsia="Times New Roman"/>
                <w:sz w:val="20"/>
                <w:szCs w:val="20"/>
              </w:rPr>
            </w:pPr>
          </w:p>
        </w:tc>
        <w:tc>
          <w:tcPr>
            <w:tcW w:w="849" w:type="pct"/>
            <w:vAlign w:val="center"/>
            <w:hideMark/>
          </w:tcPr>
          <w:p w14:paraId="14EBA426" w14:textId="77777777" w:rsidR="00000000" w:rsidRDefault="001D0688">
            <w:pPr>
              <w:rPr>
                <w:rFonts w:eastAsia="Times New Roman"/>
                <w:sz w:val="20"/>
                <w:szCs w:val="20"/>
              </w:rPr>
            </w:pPr>
          </w:p>
        </w:tc>
        <w:tc>
          <w:tcPr>
            <w:tcW w:w="5" w:type="pct"/>
            <w:vAlign w:val="center"/>
            <w:hideMark/>
          </w:tcPr>
          <w:p w14:paraId="2F04F6A9" w14:textId="77777777" w:rsidR="00000000" w:rsidRDefault="001D0688">
            <w:pPr>
              <w:rPr>
                <w:rFonts w:eastAsia="Times New Roman"/>
                <w:sz w:val="20"/>
                <w:szCs w:val="20"/>
              </w:rPr>
            </w:pPr>
          </w:p>
        </w:tc>
        <w:tc>
          <w:tcPr>
            <w:tcW w:w="5" w:type="pct"/>
            <w:vAlign w:val="center"/>
            <w:hideMark/>
          </w:tcPr>
          <w:p w14:paraId="6C77755A" w14:textId="77777777" w:rsidR="00000000" w:rsidRDefault="001D0688">
            <w:pPr>
              <w:rPr>
                <w:rFonts w:eastAsia="Times New Roman"/>
                <w:sz w:val="20"/>
                <w:szCs w:val="20"/>
              </w:rPr>
            </w:pPr>
          </w:p>
        </w:tc>
        <w:tc>
          <w:tcPr>
            <w:tcW w:w="26" w:type="pct"/>
            <w:vAlign w:val="center"/>
            <w:hideMark/>
          </w:tcPr>
          <w:p w14:paraId="3DDDF43B" w14:textId="77777777" w:rsidR="00000000" w:rsidRDefault="001D0688">
            <w:pPr>
              <w:rPr>
                <w:rFonts w:eastAsia="Times New Roman"/>
                <w:sz w:val="20"/>
                <w:szCs w:val="20"/>
              </w:rPr>
            </w:pPr>
          </w:p>
        </w:tc>
        <w:tc>
          <w:tcPr>
            <w:tcW w:w="5" w:type="pct"/>
            <w:vAlign w:val="center"/>
            <w:hideMark/>
          </w:tcPr>
          <w:p w14:paraId="06EF6310" w14:textId="77777777" w:rsidR="00000000" w:rsidRDefault="001D0688">
            <w:pPr>
              <w:rPr>
                <w:rFonts w:eastAsia="Times New Roman"/>
                <w:sz w:val="20"/>
                <w:szCs w:val="20"/>
              </w:rPr>
            </w:pPr>
          </w:p>
        </w:tc>
        <w:tc>
          <w:tcPr>
            <w:tcW w:w="50" w:type="pct"/>
            <w:vAlign w:val="center"/>
            <w:hideMark/>
          </w:tcPr>
          <w:p w14:paraId="28B8184F" w14:textId="77777777" w:rsidR="00000000" w:rsidRDefault="001D0688">
            <w:pPr>
              <w:rPr>
                <w:rFonts w:eastAsia="Times New Roman"/>
                <w:sz w:val="20"/>
                <w:szCs w:val="20"/>
              </w:rPr>
            </w:pPr>
          </w:p>
        </w:tc>
        <w:tc>
          <w:tcPr>
            <w:tcW w:w="849" w:type="pct"/>
            <w:vAlign w:val="center"/>
            <w:hideMark/>
          </w:tcPr>
          <w:p w14:paraId="39894AB8" w14:textId="77777777" w:rsidR="00000000" w:rsidRDefault="001D0688">
            <w:pPr>
              <w:rPr>
                <w:rFonts w:eastAsia="Times New Roman"/>
                <w:sz w:val="20"/>
                <w:szCs w:val="20"/>
              </w:rPr>
            </w:pPr>
          </w:p>
        </w:tc>
        <w:tc>
          <w:tcPr>
            <w:tcW w:w="5" w:type="pct"/>
            <w:vAlign w:val="center"/>
            <w:hideMark/>
          </w:tcPr>
          <w:p w14:paraId="63043B46" w14:textId="77777777" w:rsidR="00000000" w:rsidRDefault="001D0688">
            <w:pPr>
              <w:rPr>
                <w:rFonts w:eastAsia="Times New Roman"/>
                <w:sz w:val="20"/>
                <w:szCs w:val="20"/>
              </w:rPr>
            </w:pPr>
          </w:p>
        </w:tc>
      </w:tr>
      <w:tr w:rsidR="00000000" w14:paraId="13271001" w14:textId="77777777">
        <w:trPr>
          <w:divId w:val="1807770622"/>
          <w:jc w:val="center"/>
        </w:trPr>
        <w:tc>
          <w:tcPr>
            <w:tcW w:w="0" w:type="auto"/>
            <w:gridSpan w:val="3"/>
            <w:tcMar>
              <w:top w:w="0" w:type="dxa"/>
              <w:left w:w="20" w:type="dxa"/>
              <w:bottom w:w="0" w:type="dxa"/>
              <w:right w:w="20" w:type="dxa"/>
            </w:tcMar>
            <w:vAlign w:val="center"/>
            <w:hideMark/>
          </w:tcPr>
          <w:p w14:paraId="50A16598"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5AC35880" w14:textId="77777777" w:rsidR="00000000" w:rsidRDefault="001D0688">
            <w:pPr>
              <w:jc w:val="center"/>
              <w:rPr>
                <w:rFonts w:eastAsia="Times New Roman"/>
              </w:rPr>
            </w:pPr>
            <w:r>
              <w:rPr>
                <w:rFonts w:ascii="Arial" w:eastAsia="Times New Roman" w:hAnsi="Arial" w:cs="Arial"/>
                <w:b/>
                <w:bCs/>
                <w:color w:val="000000"/>
                <w:sz w:val="20"/>
                <w:szCs w:val="20"/>
              </w:rPr>
              <w:t>As of October 31,</w:t>
            </w:r>
          </w:p>
        </w:tc>
      </w:tr>
      <w:tr w:rsidR="00000000" w14:paraId="2A55C8FF" w14:textId="77777777">
        <w:trPr>
          <w:divId w:val="1807770622"/>
          <w:jc w:val="center"/>
        </w:trPr>
        <w:tc>
          <w:tcPr>
            <w:tcW w:w="0" w:type="auto"/>
            <w:gridSpan w:val="3"/>
            <w:tcMar>
              <w:top w:w="30" w:type="dxa"/>
              <w:left w:w="20" w:type="dxa"/>
              <w:bottom w:w="30" w:type="dxa"/>
              <w:right w:w="20" w:type="dxa"/>
            </w:tcMar>
            <w:vAlign w:val="bottom"/>
            <w:hideMark/>
          </w:tcPr>
          <w:p w14:paraId="5C9DA03F"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197F55"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B36AFAE"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FE6AD9"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0F2A79C0" w14:textId="77777777">
        <w:trPr>
          <w:divId w:val="1807770622"/>
          <w:jc w:val="center"/>
        </w:trPr>
        <w:tc>
          <w:tcPr>
            <w:tcW w:w="0" w:type="auto"/>
            <w:gridSpan w:val="3"/>
            <w:shd w:val="clear" w:color="auto" w:fill="DCE2EF"/>
            <w:tcMar>
              <w:top w:w="30" w:type="dxa"/>
              <w:left w:w="20" w:type="dxa"/>
              <w:bottom w:w="30" w:type="dxa"/>
              <w:right w:w="20" w:type="dxa"/>
            </w:tcMar>
            <w:hideMark/>
          </w:tcPr>
          <w:p w14:paraId="380CA106" w14:textId="77777777" w:rsidR="00000000" w:rsidRDefault="001D0688">
            <w:pPr>
              <w:rPr>
                <w:rFonts w:eastAsia="Times New Roman"/>
              </w:rPr>
            </w:pPr>
            <w:r>
              <w:rPr>
                <w:rFonts w:ascii="Arial" w:eastAsia="Times New Roman" w:hAnsi="Arial" w:cs="Arial"/>
                <w:color w:val="000000"/>
                <w:sz w:val="20"/>
                <w:szCs w:val="20"/>
              </w:rPr>
              <w:t>Net obligations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78A3A7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CF1FEE2" w14:textId="77777777" w:rsidR="00000000" w:rsidRDefault="001D0688">
            <w:pPr>
              <w:jc w:val="right"/>
              <w:rPr>
                <w:rFonts w:eastAsia="Times New Roman"/>
              </w:rPr>
            </w:pPr>
            <w:r>
              <w:rPr>
                <w:rFonts w:ascii="Arial" w:eastAsia="Times New Roman" w:hAnsi="Arial" w:cs="Arial"/>
                <w:color w:val="000000"/>
                <w:sz w:val="20"/>
                <w:szCs w:val="20"/>
              </w:rPr>
              <w:t>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ACC16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88ADE1"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083681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C3DA5B4" w14:textId="77777777" w:rsidR="00000000" w:rsidRDefault="001D0688">
            <w:pPr>
              <w:jc w:val="right"/>
              <w:rPr>
                <w:rFonts w:eastAsia="Times New Roman"/>
              </w:rPr>
            </w:pPr>
            <w:r>
              <w:rPr>
                <w:rFonts w:ascii="Arial" w:eastAsia="Times New Roman" w:hAnsi="Arial" w:cs="Arial"/>
                <w:color w:val="000000"/>
                <w:sz w:val="20"/>
                <w:szCs w:val="20"/>
              </w:rPr>
              <w:t>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40AD8C2" w14:textId="77777777" w:rsidR="00000000" w:rsidRDefault="001D0688">
            <w:pPr>
              <w:jc w:val="right"/>
              <w:rPr>
                <w:rFonts w:eastAsia="Times New Roman"/>
              </w:rPr>
            </w:pPr>
          </w:p>
        </w:tc>
      </w:tr>
      <w:tr w:rsidR="00000000" w14:paraId="31036E6E" w14:textId="77777777">
        <w:trPr>
          <w:divId w:val="1807770622"/>
          <w:jc w:val="center"/>
        </w:trPr>
        <w:tc>
          <w:tcPr>
            <w:tcW w:w="0" w:type="auto"/>
            <w:gridSpan w:val="3"/>
            <w:shd w:val="clear" w:color="auto" w:fill="FFFFFF"/>
            <w:tcMar>
              <w:top w:w="30" w:type="dxa"/>
              <w:left w:w="20" w:type="dxa"/>
              <w:bottom w:w="30" w:type="dxa"/>
              <w:right w:w="20" w:type="dxa"/>
            </w:tcMar>
            <w:hideMark/>
          </w:tcPr>
          <w:p w14:paraId="6B8D641C" w14:textId="77777777" w:rsidR="00000000" w:rsidRDefault="001D0688">
            <w:pPr>
              <w:rPr>
                <w:rFonts w:eastAsia="Times New Roman"/>
              </w:rPr>
            </w:pPr>
            <w:r>
              <w:rPr>
                <w:rFonts w:ascii="Arial" w:eastAsia="Times New Roman" w:hAnsi="Arial" w:cs="Arial"/>
                <w:color w:val="000000"/>
                <w:sz w:val="20"/>
                <w:szCs w:val="20"/>
              </w:rPr>
              <w:t>Projected benefit obligations</w:t>
            </w:r>
          </w:p>
        </w:tc>
        <w:tc>
          <w:tcPr>
            <w:tcW w:w="0" w:type="auto"/>
            <w:gridSpan w:val="2"/>
            <w:shd w:val="clear" w:color="auto" w:fill="FFFFFF"/>
            <w:tcMar>
              <w:top w:w="30" w:type="dxa"/>
              <w:left w:w="20" w:type="dxa"/>
              <w:bottom w:w="30" w:type="dxa"/>
              <w:right w:w="0" w:type="dxa"/>
            </w:tcMar>
            <w:vAlign w:val="bottom"/>
            <w:hideMark/>
          </w:tcPr>
          <w:p w14:paraId="2A466A34" w14:textId="77777777" w:rsidR="00000000" w:rsidRDefault="001D0688">
            <w:pPr>
              <w:jc w:val="right"/>
              <w:rPr>
                <w:rFonts w:eastAsia="Times New Roman"/>
              </w:rPr>
            </w:pPr>
            <w:r>
              <w:rPr>
                <w:rFonts w:ascii="Arial" w:eastAsia="Times New Roman" w:hAnsi="Arial" w:cs="Arial"/>
                <w:color w:val="000000"/>
                <w:sz w:val="20"/>
                <w:szCs w:val="20"/>
              </w:rPr>
              <w:t>17.0 </w:t>
            </w:r>
          </w:p>
        </w:tc>
        <w:tc>
          <w:tcPr>
            <w:tcW w:w="0" w:type="auto"/>
            <w:shd w:val="clear" w:color="auto" w:fill="FFFFFF"/>
            <w:tcMar>
              <w:top w:w="30" w:type="dxa"/>
              <w:left w:w="0" w:type="dxa"/>
              <w:bottom w:w="30" w:type="dxa"/>
              <w:right w:w="20" w:type="dxa"/>
            </w:tcMar>
            <w:vAlign w:val="bottom"/>
            <w:hideMark/>
          </w:tcPr>
          <w:p w14:paraId="6A65133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0473B" w14:textId="77777777" w:rsidR="00000000" w:rsidRDefault="001D0688">
            <w:pPr>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9D97921" w14:textId="77777777" w:rsidR="00000000" w:rsidRDefault="001D0688">
            <w:pPr>
              <w:jc w:val="right"/>
              <w:rPr>
                <w:rFonts w:eastAsia="Times New Roman"/>
              </w:rPr>
            </w:pPr>
            <w:r>
              <w:rPr>
                <w:rFonts w:ascii="Arial" w:eastAsia="Times New Roman" w:hAnsi="Arial" w:cs="Arial"/>
                <w:color w:val="000000"/>
                <w:sz w:val="20"/>
                <w:szCs w:val="20"/>
              </w:rPr>
              <w:t>16.1 </w:t>
            </w:r>
          </w:p>
        </w:tc>
        <w:tc>
          <w:tcPr>
            <w:tcW w:w="0" w:type="auto"/>
            <w:tcMar>
              <w:top w:w="30" w:type="dxa"/>
              <w:left w:w="0" w:type="dxa"/>
              <w:bottom w:w="30" w:type="dxa"/>
              <w:right w:w="20" w:type="dxa"/>
            </w:tcMar>
            <w:vAlign w:val="bottom"/>
            <w:hideMark/>
          </w:tcPr>
          <w:p w14:paraId="4708A088" w14:textId="77777777" w:rsidR="00000000" w:rsidRDefault="001D0688">
            <w:pPr>
              <w:jc w:val="right"/>
              <w:rPr>
                <w:rFonts w:eastAsia="Times New Roman"/>
              </w:rPr>
            </w:pPr>
          </w:p>
        </w:tc>
      </w:tr>
      <w:tr w:rsidR="00000000" w14:paraId="352CDE42" w14:textId="77777777">
        <w:trPr>
          <w:divId w:val="1807770622"/>
          <w:jc w:val="center"/>
        </w:trPr>
        <w:tc>
          <w:tcPr>
            <w:tcW w:w="0" w:type="auto"/>
            <w:gridSpan w:val="3"/>
            <w:shd w:val="clear" w:color="auto" w:fill="DCE2EF"/>
            <w:tcMar>
              <w:top w:w="30" w:type="dxa"/>
              <w:left w:w="20" w:type="dxa"/>
              <w:bottom w:w="30" w:type="dxa"/>
              <w:right w:w="20" w:type="dxa"/>
            </w:tcMar>
            <w:hideMark/>
          </w:tcPr>
          <w:p w14:paraId="6BB03073" w14:textId="77777777" w:rsidR="00000000" w:rsidRDefault="001D0688">
            <w:pPr>
              <w:rPr>
                <w:rFonts w:eastAsia="Times New Roman"/>
              </w:rPr>
            </w:pPr>
            <w:r>
              <w:rPr>
                <w:rFonts w:ascii="Arial" w:eastAsia="Times New Roman" w:hAnsi="Arial" w:cs="Arial"/>
                <w:color w:val="000000"/>
                <w:sz w:val="20"/>
                <w:szCs w:val="20"/>
              </w:rPr>
              <w:t>Fair value of assets</w:t>
            </w:r>
          </w:p>
        </w:tc>
        <w:tc>
          <w:tcPr>
            <w:tcW w:w="0" w:type="auto"/>
            <w:gridSpan w:val="2"/>
            <w:shd w:val="clear" w:color="auto" w:fill="DCE2EF"/>
            <w:tcMar>
              <w:top w:w="30" w:type="dxa"/>
              <w:left w:w="20" w:type="dxa"/>
              <w:bottom w:w="30" w:type="dxa"/>
              <w:right w:w="0" w:type="dxa"/>
            </w:tcMar>
            <w:vAlign w:val="bottom"/>
            <w:hideMark/>
          </w:tcPr>
          <w:p w14:paraId="613F9859" w14:textId="77777777" w:rsidR="00000000" w:rsidRDefault="001D0688">
            <w:pPr>
              <w:jc w:val="right"/>
              <w:rPr>
                <w:rFonts w:eastAsia="Times New Roman"/>
              </w:rPr>
            </w:pPr>
            <w:r>
              <w:rPr>
                <w:rFonts w:ascii="Arial" w:eastAsia="Times New Roman" w:hAnsi="Arial" w:cs="Arial"/>
                <w:color w:val="000000"/>
                <w:sz w:val="20"/>
                <w:szCs w:val="20"/>
              </w:rPr>
              <w:t>7.4 </w:t>
            </w:r>
          </w:p>
        </w:tc>
        <w:tc>
          <w:tcPr>
            <w:tcW w:w="0" w:type="auto"/>
            <w:shd w:val="clear" w:color="auto" w:fill="DCE2EF"/>
            <w:tcMar>
              <w:top w:w="30" w:type="dxa"/>
              <w:left w:w="0" w:type="dxa"/>
              <w:bottom w:w="30" w:type="dxa"/>
              <w:right w:w="20" w:type="dxa"/>
            </w:tcMar>
            <w:vAlign w:val="bottom"/>
            <w:hideMark/>
          </w:tcPr>
          <w:p w14:paraId="5FC46FD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E02647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CD50446" w14:textId="77777777" w:rsidR="00000000" w:rsidRDefault="001D0688">
            <w:pPr>
              <w:jc w:val="right"/>
              <w:rPr>
                <w:rFonts w:eastAsia="Times New Roman"/>
              </w:rPr>
            </w:pPr>
            <w:r>
              <w:rPr>
                <w:rFonts w:ascii="Arial" w:eastAsia="Times New Roman" w:hAnsi="Arial" w:cs="Arial"/>
                <w:color w:val="000000"/>
                <w:sz w:val="20"/>
                <w:szCs w:val="20"/>
              </w:rPr>
              <w:t>7.8 </w:t>
            </w:r>
          </w:p>
        </w:tc>
        <w:tc>
          <w:tcPr>
            <w:tcW w:w="0" w:type="auto"/>
            <w:shd w:val="clear" w:color="auto" w:fill="DCE2EF"/>
            <w:tcMar>
              <w:top w:w="30" w:type="dxa"/>
              <w:left w:w="0" w:type="dxa"/>
              <w:bottom w:w="30" w:type="dxa"/>
              <w:right w:w="20" w:type="dxa"/>
            </w:tcMar>
            <w:vAlign w:val="bottom"/>
            <w:hideMark/>
          </w:tcPr>
          <w:p w14:paraId="63119924" w14:textId="77777777" w:rsidR="00000000" w:rsidRDefault="001D0688">
            <w:pPr>
              <w:jc w:val="right"/>
              <w:rPr>
                <w:rFonts w:eastAsia="Times New Roman"/>
              </w:rPr>
            </w:pPr>
          </w:p>
        </w:tc>
      </w:tr>
    </w:tbl>
    <w:p w14:paraId="15575E33" w14:textId="77777777" w:rsidR="00000000" w:rsidRDefault="001D0688">
      <w:pPr>
        <w:ind w:firstLine="720"/>
        <w:jc w:val="both"/>
        <w:divId w:val="513156148"/>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2020, assets of the Plans were investe</w:t>
      </w:r>
      <w:r>
        <w:rPr>
          <w:rFonts w:ascii="Arial" w:eastAsia="Times New Roman" w:hAnsi="Arial" w:cs="Arial"/>
          <w:color w:val="000000"/>
          <w:sz w:val="20"/>
          <w:szCs w:val="20"/>
          <w:shd w:val="clear" w:color="auto" w:fill="FFFFFF"/>
        </w:rPr>
        <w:t>d 48% in equities, 51% in fixed income, and 1% in cash. The expected return on assets was $0.4 million during each of 2020, 2019, and 2018</w:t>
      </w:r>
      <w:r>
        <w:rPr>
          <w:rFonts w:ascii="Arial" w:eastAsia="Times New Roman" w:hAnsi="Arial" w:cs="Arial"/>
          <w:color w:val="000000"/>
          <w:sz w:val="20"/>
          <w:szCs w:val="20"/>
        </w:rPr>
        <w:t>. The aggregate net periodic benefit cost for all Plans was $0.2 million, $0</w:t>
      </w:r>
      <w:r>
        <w:rPr>
          <w:rFonts w:ascii="Arial" w:eastAsia="Times New Roman" w:hAnsi="Arial" w:cs="Arial"/>
          <w:color w:val="000000"/>
          <w:sz w:val="20"/>
          <w:szCs w:val="20"/>
        </w:rPr>
        <w:t>.6 million, and $0.2 million for 2020, 2019, and 2018, respectively. Future benefit payments in the aggregate are expected to be</w:t>
      </w:r>
      <w:r>
        <w:rPr>
          <w:rFonts w:ascii="Arial" w:eastAsia="Times New Roman" w:hAnsi="Arial" w:cs="Arial"/>
          <w:color w:val="000000"/>
          <w:sz w:val="20"/>
          <w:szCs w:val="20"/>
          <w:shd w:val="clear" w:color="auto" w:fill="FFFFFF"/>
        </w:rPr>
        <w:t xml:space="preserve"> $14.4 million</w:t>
      </w:r>
      <w:r>
        <w:rPr>
          <w:rFonts w:ascii="Arial" w:eastAsia="Times New Roman" w:hAnsi="Arial" w:cs="Arial"/>
          <w:color w:val="000000"/>
          <w:sz w:val="20"/>
          <w:szCs w:val="20"/>
        </w:rPr>
        <w:t xml:space="preserve">. </w:t>
      </w:r>
    </w:p>
    <w:p w14:paraId="53C5844C" w14:textId="77777777" w:rsidR="00000000" w:rsidRDefault="001D0688">
      <w:pPr>
        <w:jc w:val="both"/>
        <w:divId w:val="2085031392"/>
        <w:rPr>
          <w:rFonts w:eastAsia="Times New Roman"/>
        </w:rPr>
      </w:pPr>
      <w:r>
        <w:rPr>
          <w:rFonts w:ascii="Arial" w:eastAsia="Times New Roman" w:hAnsi="Arial" w:cs="Arial"/>
          <w:b/>
          <w:bCs/>
          <w:color w:val="0046AD"/>
          <w:sz w:val="20"/>
          <w:szCs w:val="20"/>
        </w:rPr>
        <w:t>Deferred Compensation Plans</w:t>
      </w:r>
    </w:p>
    <w:p w14:paraId="5B71332C" w14:textId="77777777" w:rsidR="00000000" w:rsidRDefault="001D0688">
      <w:pPr>
        <w:ind w:firstLine="720"/>
        <w:jc w:val="both"/>
        <w:divId w:val="1509784923"/>
        <w:rPr>
          <w:rFonts w:eastAsia="Times New Roman"/>
        </w:rPr>
      </w:pPr>
      <w:r>
        <w:rPr>
          <w:rFonts w:ascii="Arial" w:eastAsia="Times New Roman" w:hAnsi="Arial" w:cs="Arial"/>
          <w:color w:val="000000"/>
          <w:sz w:val="20"/>
          <w:szCs w:val="20"/>
        </w:rPr>
        <w:t>We maintain deferred compensation plans that permit eligible employees and director</w:t>
      </w:r>
      <w:r>
        <w:rPr>
          <w:rFonts w:ascii="Arial" w:eastAsia="Times New Roman" w:hAnsi="Arial" w:cs="Arial"/>
          <w:color w:val="000000"/>
          <w:sz w:val="20"/>
          <w:szCs w:val="20"/>
        </w:rPr>
        <w:t>s to defer a portion of their compensation. At October 31, 2020 and 2019, the total liability of all deferred compensation was</w:t>
      </w:r>
      <w:r>
        <w:rPr>
          <w:rFonts w:ascii="Arial" w:eastAsia="Times New Roman" w:hAnsi="Arial" w:cs="Arial"/>
          <w:color w:val="000000"/>
          <w:sz w:val="20"/>
          <w:szCs w:val="20"/>
          <w:shd w:val="clear" w:color="auto" w:fill="FFFFFF"/>
        </w:rPr>
        <w:t xml:space="preserve"> $13.6 million</w:t>
      </w:r>
      <w:r>
        <w:rPr>
          <w:rFonts w:ascii="Arial" w:eastAsia="Times New Roman" w:hAnsi="Arial" w:cs="Arial"/>
          <w:color w:val="000000"/>
          <w:sz w:val="20"/>
          <w:szCs w:val="20"/>
        </w:rPr>
        <w:t xml:space="preserve"> and $13.2 million, respectively, and these amounts are included in “Other accrued liabilities” and “Other noncurren</w:t>
      </w:r>
      <w:r>
        <w:rPr>
          <w:rFonts w:ascii="Arial" w:eastAsia="Times New Roman" w:hAnsi="Arial" w:cs="Arial"/>
          <w:color w:val="000000"/>
          <w:sz w:val="20"/>
          <w:szCs w:val="20"/>
        </w:rPr>
        <w:t>t liabilities” on the accompanying Consolidated Balance Sheets. Under one of our deferred compensation plans, a Rabbi trust was created to fund the obligations, and we are required to contribute a portion of the deferred compensation contributions for elig</w:t>
      </w:r>
      <w:r>
        <w:rPr>
          <w:rFonts w:ascii="Arial" w:eastAsia="Times New Roman" w:hAnsi="Arial" w:cs="Arial"/>
          <w:color w:val="000000"/>
          <w:sz w:val="20"/>
          <w:szCs w:val="20"/>
        </w:rPr>
        <w:t>ible participants. The assets held in the Rabbi trust are not available for general corporate purposes. At October 31, 2020 and 2019, the fair value of these assets was</w:t>
      </w:r>
      <w:r>
        <w:rPr>
          <w:rFonts w:ascii="Arial" w:eastAsia="Times New Roman" w:hAnsi="Arial" w:cs="Arial"/>
          <w:color w:val="000000"/>
          <w:sz w:val="20"/>
          <w:szCs w:val="20"/>
          <w:shd w:val="clear" w:color="auto" w:fill="FFFFFF"/>
        </w:rPr>
        <w:t xml:space="preserve"> $2.6 million </w:t>
      </w:r>
      <w:r>
        <w:rPr>
          <w:rFonts w:ascii="Arial" w:eastAsia="Times New Roman" w:hAnsi="Arial" w:cs="Arial"/>
          <w:color w:val="000000"/>
          <w:sz w:val="20"/>
          <w:szCs w:val="20"/>
        </w:rPr>
        <w:t>and $2.5 million, respectively, and these amounts are included in “Other n</w:t>
      </w:r>
      <w:r>
        <w:rPr>
          <w:rFonts w:ascii="Arial" w:eastAsia="Times New Roman" w:hAnsi="Arial" w:cs="Arial"/>
          <w:color w:val="000000"/>
          <w:sz w:val="20"/>
          <w:szCs w:val="20"/>
        </w:rPr>
        <w:t>oncurrent assets” on the accompanying Consolidated Balance Sheets. Aggregate expense recognized under these deferred compensation plans wa</w:t>
      </w:r>
      <w:r>
        <w:rPr>
          <w:rFonts w:ascii="Arial" w:eastAsia="Times New Roman" w:hAnsi="Arial" w:cs="Arial"/>
          <w:color w:val="000000"/>
          <w:sz w:val="20"/>
          <w:szCs w:val="20"/>
          <w:shd w:val="clear" w:color="auto" w:fill="FFFFFF"/>
        </w:rPr>
        <w:t>s $0.2 million,</w:t>
      </w:r>
      <w:r>
        <w:rPr>
          <w:rFonts w:ascii="Arial" w:eastAsia="Times New Roman" w:hAnsi="Arial" w:cs="Arial"/>
          <w:color w:val="000000"/>
          <w:sz w:val="20"/>
          <w:szCs w:val="20"/>
        </w:rPr>
        <w:t xml:space="preserve"> $0.3 million, and $0.4 million for 2020, 2019, and 2018, respectively.</w:t>
      </w:r>
    </w:p>
    <w:p w14:paraId="20C4F77A" w14:textId="77777777" w:rsidR="00000000" w:rsidRDefault="001D0688">
      <w:pPr>
        <w:jc w:val="both"/>
        <w:divId w:val="1128932557"/>
        <w:rPr>
          <w:rFonts w:eastAsia="Times New Roman"/>
        </w:rPr>
      </w:pPr>
      <w:r>
        <w:rPr>
          <w:rFonts w:ascii="Arial" w:eastAsia="Times New Roman" w:hAnsi="Arial" w:cs="Arial"/>
          <w:b/>
          <w:bCs/>
          <w:color w:val="0046AD"/>
          <w:sz w:val="20"/>
          <w:szCs w:val="20"/>
        </w:rPr>
        <w:t>Defined Contribution Plans</w:t>
      </w:r>
    </w:p>
    <w:p w14:paraId="3F56CAA7" w14:textId="77777777" w:rsidR="00000000" w:rsidRDefault="001D0688">
      <w:pPr>
        <w:ind w:firstLine="720"/>
        <w:jc w:val="both"/>
        <w:divId w:val="1594701538"/>
        <w:rPr>
          <w:rFonts w:eastAsia="Times New Roman"/>
        </w:rPr>
      </w:pPr>
      <w:r>
        <w:rPr>
          <w:rFonts w:ascii="Arial" w:eastAsia="Times New Roman" w:hAnsi="Arial" w:cs="Arial"/>
          <w:color w:val="000000"/>
          <w:sz w:val="20"/>
          <w:szCs w:val="20"/>
        </w:rPr>
        <w:t>We s</w:t>
      </w:r>
      <w:r>
        <w:rPr>
          <w:rFonts w:ascii="Arial" w:eastAsia="Times New Roman" w:hAnsi="Arial" w:cs="Arial"/>
          <w:color w:val="000000"/>
          <w:sz w:val="20"/>
          <w:szCs w:val="20"/>
        </w:rPr>
        <w:t xml:space="preserve">ponsor four defined contribution plans covering certain employees that are subject to the applicable provisions of the Employee Retirement Income Security Act of 1974 and the Internal Revenue Code (“IRC”). Certain plans permit a company match of a portion </w:t>
      </w:r>
      <w:r>
        <w:rPr>
          <w:rFonts w:ascii="Arial" w:eastAsia="Times New Roman" w:hAnsi="Arial" w:cs="Arial"/>
          <w:color w:val="000000"/>
          <w:sz w:val="20"/>
          <w:szCs w:val="20"/>
        </w:rPr>
        <w:t>of the participant’s contributions or a discretionary contribution after the participant has met the eligibility requirements set forth in the plan. During 2020, 2019, and 2018, we made matching contributions required by the plans</w:t>
      </w:r>
      <w:r>
        <w:rPr>
          <w:rFonts w:ascii="Arial" w:eastAsia="Times New Roman" w:hAnsi="Arial" w:cs="Arial"/>
          <w:color w:val="000000"/>
          <w:sz w:val="20"/>
          <w:szCs w:val="20"/>
          <w:shd w:val="clear" w:color="auto" w:fill="FFFFFF"/>
        </w:rPr>
        <w:t xml:space="preserve"> of $18.2 million,</w:t>
      </w:r>
      <w:r>
        <w:rPr>
          <w:rFonts w:ascii="Arial" w:eastAsia="Times New Roman" w:hAnsi="Arial" w:cs="Arial"/>
          <w:color w:val="000000"/>
          <w:sz w:val="20"/>
          <w:szCs w:val="20"/>
        </w:rPr>
        <w:t xml:space="preserve"> $24.3 m</w:t>
      </w:r>
      <w:r>
        <w:rPr>
          <w:rFonts w:ascii="Arial" w:eastAsia="Times New Roman" w:hAnsi="Arial" w:cs="Arial"/>
          <w:color w:val="000000"/>
          <w:sz w:val="20"/>
          <w:szCs w:val="20"/>
        </w:rPr>
        <w:t xml:space="preserve">illion, and $21.6 million, respectively. </w:t>
      </w:r>
    </w:p>
    <w:p w14:paraId="7FA93F82" w14:textId="77777777" w:rsidR="00000000" w:rsidRDefault="001D0688">
      <w:pPr>
        <w:jc w:val="both"/>
        <w:divId w:val="39061487"/>
        <w:rPr>
          <w:rFonts w:eastAsia="Times New Roman"/>
        </w:rPr>
      </w:pPr>
    </w:p>
    <w:p w14:paraId="1AF64C13" w14:textId="77777777" w:rsidR="00000000" w:rsidRDefault="001D0688">
      <w:pPr>
        <w:jc w:val="center"/>
        <w:divId w:val="1506943379"/>
        <w:rPr>
          <w:rFonts w:eastAsia="Times New Roman"/>
        </w:rPr>
      </w:pPr>
      <w:r>
        <w:rPr>
          <w:rFonts w:ascii="Arial" w:eastAsia="Times New Roman" w:hAnsi="Arial" w:cs="Arial"/>
          <w:color w:val="000000"/>
          <w:sz w:val="20"/>
          <w:szCs w:val="20"/>
        </w:rPr>
        <w:t>82</w:t>
      </w:r>
    </w:p>
    <w:p w14:paraId="75D13377" w14:textId="77777777" w:rsidR="00000000" w:rsidRDefault="001D0688">
      <w:pPr>
        <w:rPr>
          <w:rFonts w:eastAsia="Times New Roman"/>
        </w:rPr>
      </w:pPr>
      <w:r>
        <w:rPr>
          <w:rFonts w:eastAsia="Times New Roman"/>
        </w:rPr>
        <w:pict w14:anchorId="1B5B90D1">
          <v:rect id="_x0000_i1119" style="width:0;height:1.5pt" o:hralign="center" o:hrstd="t" o:hr="t" fillcolor="#a0a0a0" stroked="f"/>
        </w:pict>
      </w:r>
    </w:p>
    <w:p w14:paraId="75B04FC4" w14:textId="77777777" w:rsidR="00000000" w:rsidRDefault="001D0688">
      <w:pPr>
        <w:divId w:val="1505171719"/>
        <w:rPr>
          <w:rFonts w:eastAsia="Times New Roman"/>
        </w:rPr>
      </w:pPr>
    </w:p>
    <w:p w14:paraId="07F11601" w14:textId="77777777" w:rsidR="00000000" w:rsidRDefault="001D0688">
      <w:pPr>
        <w:jc w:val="both"/>
        <w:divId w:val="1656301004"/>
        <w:rPr>
          <w:rFonts w:eastAsia="Times New Roman"/>
        </w:rPr>
      </w:pPr>
      <w:r>
        <w:rPr>
          <w:rFonts w:ascii="Arial" w:eastAsia="Times New Roman" w:hAnsi="Arial" w:cs="Arial"/>
          <w:b/>
          <w:bCs/>
          <w:color w:val="0046AD"/>
          <w:sz w:val="20"/>
          <w:szCs w:val="20"/>
        </w:rPr>
        <w:t>Multiemployer Pension and Postretirement Plans</w:t>
      </w:r>
    </w:p>
    <w:p w14:paraId="46E5EB52" w14:textId="77777777" w:rsidR="00000000" w:rsidRDefault="001D0688">
      <w:pPr>
        <w:ind w:firstLine="720"/>
        <w:jc w:val="both"/>
        <w:divId w:val="153303771"/>
        <w:rPr>
          <w:rFonts w:eastAsia="Times New Roman"/>
        </w:rPr>
      </w:pPr>
      <w:r>
        <w:rPr>
          <w:rFonts w:ascii="Arial" w:eastAsia="Times New Roman" w:hAnsi="Arial" w:cs="Arial"/>
          <w:color w:val="000000"/>
          <w:sz w:val="20"/>
          <w:szCs w:val="20"/>
        </w:rPr>
        <w:t>We participate in various multiemployer pension plans under union and industry-wide agreements that provide defined pension benefits to employees covered by collective bar</w:t>
      </w:r>
      <w:r>
        <w:rPr>
          <w:rFonts w:ascii="Arial" w:eastAsia="Times New Roman" w:hAnsi="Arial" w:cs="Arial"/>
          <w:color w:val="000000"/>
          <w:sz w:val="20"/>
          <w:szCs w:val="20"/>
        </w:rPr>
        <w:t>gaining agreements. Because of the nature of multiemployer plans, there are risks associated with participation in these plans that differ from single-employer plans. Assets contributed by an employer to a multiemployer plan are not segregated into a separ</w:t>
      </w:r>
      <w:r>
        <w:rPr>
          <w:rFonts w:ascii="Arial" w:eastAsia="Times New Roman" w:hAnsi="Arial" w:cs="Arial"/>
          <w:color w:val="000000"/>
          <w:sz w:val="20"/>
          <w:szCs w:val="20"/>
        </w:rPr>
        <w:t>ate account and are not restricted to provide benefits only to employees of that contributing employer. In the event another participating employer in a multiemployer plan no longer contributes to the plan, the unfunded obligations of the plan may be borne</w:t>
      </w:r>
      <w:r>
        <w:rPr>
          <w:rFonts w:ascii="Arial" w:eastAsia="Times New Roman" w:hAnsi="Arial" w:cs="Arial"/>
          <w:color w:val="000000"/>
          <w:sz w:val="20"/>
          <w:szCs w:val="20"/>
        </w:rPr>
        <w:t xml:space="preserve"> by the remaining participating employers, including us. In the event of the termination of a multiemployer pension plan or a withdrawal from a multiemployer pension plan, we could incur material liabilities under applicable law.</w:t>
      </w:r>
    </w:p>
    <w:p w14:paraId="7D818326" w14:textId="77777777" w:rsidR="00000000" w:rsidRDefault="001D0688">
      <w:pPr>
        <w:jc w:val="both"/>
        <w:divId w:val="76949923"/>
        <w:rPr>
          <w:rFonts w:eastAsia="Times New Roman"/>
        </w:rPr>
      </w:pPr>
      <w:r>
        <w:rPr>
          <w:rFonts w:ascii="Arial" w:eastAsia="Times New Roman" w:hAnsi="Arial" w:cs="Arial"/>
          <w:b/>
          <w:bCs/>
          <w:i/>
          <w:iCs/>
          <w:color w:val="0046AD"/>
          <w:sz w:val="20"/>
          <w:szCs w:val="20"/>
        </w:rPr>
        <w:t>Key Information for Indivi</w:t>
      </w:r>
      <w:r>
        <w:rPr>
          <w:rFonts w:ascii="Arial" w:eastAsia="Times New Roman" w:hAnsi="Arial" w:cs="Arial"/>
          <w:b/>
          <w:bCs/>
          <w:i/>
          <w:iCs/>
          <w:color w:val="0046AD"/>
          <w:sz w:val="20"/>
          <w:szCs w:val="20"/>
        </w:rPr>
        <w:t>dually Significant Multiemployer Defined Benefit Pension Plan</w:t>
      </w:r>
      <w:r>
        <w:rPr>
          <w:rFonts w:ascii="Arial" w:eastAsia="Times New Roman" w:hAnsi="Arial" w:cs="Arial"/>
          <w:b/>
          <w:bCs/>
          <w:i/>
          <w:iCs/>
          <w:color w:val="0046AD"/>
          <w:sz w:val="20"/>
          <w:szCs w:val="20"/>
        </w:rPr>
        <w:t>s</w:t>
      </w:r>
      <w:r>
        <w:rPr>
          <w:rFonts w:ascii="Arial" w:eastAsia="Times New Roman" w:hAnsi="Arial" w:cs="Arial"/>
          <w:b/>
          <w:bCs/>
          <w:i/>
          <w:iCs/>
          <w:color w:val="0046AD"/>
          <w:sz w:val="13"/>
          <w:szCs w:val="13"/>
        </w:rPr>
        <w:t>(1</w:t>
      </w:r>
      <w:r>
        <w:rPr>
          <w:rFonts w:ascii="Arial" w:eastAsia="Times New Roman" w:hAnsi="Arial" w:cs="Arial"/>
          <w:b/>
          <w:bCs/>
          <w:i/>
          <w:iCs/>
          <w:color w:val="0046AD"/>
          <w:sz w:val="13"/>
          <w:szCs w:val="13"/>
        </w:rPr>
        <w:t>)</w:t>
      </w:r>
      <w:r>
        <w:rPr>
          <w:rFonts w:ascii="Arial" w:eastAsia="Times New Roman" w:hAnsi="Arial" w:cs="Arial"/>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8"/>
        <w:gridCol w:w="924"/>
        <w:gridCol w:w="39"/>
        <w:gridCol w:w="36"/>
        <w:gridCol w:w="36"/>
        <w:gridCol w:w="36"/>
        <w:gridCol w:w="70"/>
        <w:gridCol w:w="587"/>
        <w:gridCol w:w="36"/>
        <w:gridCol w:w="36"/>
        <w:gridCol w:w="36"/>
        <w:gridCol w:w="36"/>
        <w:gridCol w:w="85"/>
        <w:gridCol w:w="646"/>
        <w:gridCol w:w="40"/>
        <w:gridCol w:w="37"/>
        <w:gridCol w:w="36"/>
        <w:gridCol w:w="36"/>
        <w:gridCol w:w="85"/>
        <w:gridCol w:w="646"/>
        <w:gridCol w:w="39"/>
        <w:gridCol w:w="36"/>
        <w:gridCol w:w="36"/>
        <w:gridCol w:w="36"/>
        <w:gridCol w:w="94"/>
        <w:gridCol w:w="863"/>
        <w:gridCol w:w="36"/>
        <w:gridCol w:w="36"/>
        <w:gridCol w:w="36"/>
        <w:gridCol w:w="36"/>
        <w:gridCol w:w="98"/>
        <w:gridCol w:w="312"/>
        <w:gridCol w:w="36"/>
        <w:gridCol w:w="36"/>
        <w:gridCol w:w="36"/>
        <w:gridCol w:w="36"/>
        <w:gridCol w:w="98"/>
        <w:gridCol w:w="312"/>
        <w:gridCol w:w="36"/>
        <w:gridCol w:w="36"/>
        <w:gridCol w:w="36"/>
        <w:gridCol w:w="36"/>
        <w:gridCol w:w="98"/>
        <w:gridCol w:w="312"/>
        <w:gridCol w:w="36"/>
        <w:gridCol w:w="36"/>
        <w:gridCol w:w="36"/>
        <w:gridCol w:w="36"/>
        <w:gridCol w:w="90"/>
        <w:gridCol w:w="684"/>
        <w:gridCol w:w="36"/>
        <w:gridCol w:w="36"/>
        <w:gridCol w:w="36"/>
        <w:gridCol w:w="36"/>
        <w:gridCol w:w="96"/>
        <w:gridCol w:w="802"/>
        <w:gridCol w:w="36"/>
      </w:tblGrid>
      <w:tr w:rsidR="00000000" w14:paraId="6C791A6A" w14:textId="77777777">
        <w:trPr>
          <w:divId w:val="1518498822"/>
        </w:trPr>
        <w:tc>
          <w:tcPr>
            <w:tcW w:w="50" w:type="pct"/>
            <w:vAlign w:val="center"/>
            <w:hideMark/>
          </w:tcPr>
          <w:p w14:paraId="6C914B41" w14:textId="77777777" w:rsidR="00000000" w:rsidRDefault="001D0688">
            <w:pPr>
              <w:jc w:val="both"/>
              <w:rPr>
                <w:rFonts w:eastAsia="Times New Roman"/>
              </w:rPr>
            </w:pPr>
          </w:p>
        </w:tc>
        <w:tc>
          <w:tcPr>
            <w:tcW w:w="962" w:type="pct"/>
            <w:vAlign w:val="center"/>
            <w:hideMark/>
          </w:tcPr>
          <w:p w14:paraId="1D00DF99" w14:textId="77777777" w:rsidR="00000000" w:rsidRDefault="001D0688">
            <w:pPr>
              <w:rPr>
                <w:rFonts w:eastAsia="Times New Roman"/>
                <w:sz w:val="20"/>
                <w:szCs w:val="20"/>
              </w:rPr>
            </w:pPr>
          </w:p>
        </w:tc>
        <w:tc>
          <w:tcPr>
            <w:tcW w:w="5" w:type="pct"/>
            <w:vAlign w:val="center"/>
            <w:hideMark/>
          </w:tcPr>
          <w:p w14:paraId="458EA21C" w14:textId="77777777" w:rsidR="00000000" w:rsidRDefault="001D0688">
            <w:pPr>
              <w:rPr>
                <w:rFonts w:eastAsia="Times New Roman"/>
                <w:sz w:val="20"/>
                <w:szCs w:val="20"/>
              </w:rPr>
            </w:pPr>
          </w:p>
        </w:tc>
        <w:tc>
          <w:tcPr>
            <w:tcW w:w="5" w:type="pct"/>
            <w:vAlign w:val="center"/>
            <w:hideMark/>
          </w:tcPr>
          <w:p w14:paraId="0BEDE87D" w14:textId="77777777" w:rsidR="00000000" w:rsidRDefault="001D0688">
            <w:pPr>
              <w:rPr>
                <w:rFonts w:eastAsia="Times New Roman"/>
                <w:sz w:val="20"/>
                <w:szCs w:val="20"/>
              </w:rPr>
            </w:pPr>
          </w:p>
        </w:tc>
        <w:tc>
          <w:tcPr>
            <w:tcW w:w="26" w:type="pct"/>
            <w:vAlign w:val="center"/>
            <w:hideMark/>
          </w:tcPr>
          <w:p w14:paraId="40FCAE7F" w14:textId="77777777" w:rsidR="00000000" w:rsidRDefault="001D0688">
            <w:pPr>
              <w:rPr>
                <w:rFonts w:eastAsia="Times New Roman"/>
                <w:sz w:val="20"/>
                <w:szCs w:val="20"/>
              </w:rPr>
            </w:pPr>
          </w:p>
        </w:tc>
        <w:tc>
          <w:tcPr>
            <w:tcW w:w="5" w:type="pct"/>
            <w:vAlign w:val="center"/>
            <w:hideMark/>
          </w:tcPr>
          <w:p w14:paraId="38BF029F" w14:textId="77777777" w:rsidR="00000000" w:rsidRDefault="001D0688">
            <w:pPr>
              <w:rPr>
                <w:rFonts w:eastAsia="Times New Roman"/>
                <w:sz w:val="20"/>
                <w:szCs w:val="20"/>
              </w:rPr>
            </w:pPr>
          </w:p>
        </w:tc>
        <w:tc>
          <w:tcPr>
            <w:tcW w:w="50" w:type="pct"/>
            <w:vAlign w:val="center"/>
            <w:hideMark/>
          </w:tcPr>
          <w:p w14:paraId="12D4685A" w14:textId="77777777" w:rsidR="00000000" w:rsidRDefault="001D0688">
            <w:pPr>
              <w:rPr>
                <w:rFonts w:eastAsia="Times New Roman"/>
                <w:sz w:val="20"/>
                <w:szCs w:val="20"/>
              </w:rPr>
            </w:pPr>
          </w:p>
        </w:tc>
        <w:tc>
          <w:tcPr>
            <w:tcW w:w="420" w:type="pct"/>
            <w:vAlign w:val="center"/>
            <w:hideMark/>
          </w:tcPr>
          <w:p w14:paraId="79B40F52" w14:textId="77777777" w:rsidR="00000000" w:rsidRDefault="001D0688">
            <w:pPr>
              <w:rPr>
                <w:rFonts w:eastAsia="Times New Roman"/>
                <w:sz w:val="20"/>
                <w:szCs w:val="20"/>
              </w:rPr>
            </w:pPr>
          </w:p>
        </w:tc>
        <w:tc>
          <w:tcPr>
            <w:tcW w:w="5" w:type="pct"/>
            <w:vAlign w:val="center"/>
            <w:hideMark/>
          </w:tcPr>
          <w:p w14:paraId="0BBCB9B3" w14:textId="77777777" w:rsidR="00000000" w:rsidRDefault="001D0688">
            <w:pPr>
              <w:rPr>
                <w:rFonts w:eastAsia="Times New Roman"/>
                <w:sz w:val="20"/>
                <w:szCs w:val="20"/>
              </w:rPr>
            </w:pPr>
          </w:p>
        </w:tc>
        <w:tc>
          <w:tcPr>
            <w:tcW w:w="5" w:type="pct"/>
            <w:vAlign w:val="center"/>
            <w:hideMark/>
          </w:tcPr>
          <w:p w14:paraId="622CB3B5" w14:textId="77777777" w:rsidR="00000000" w:rsidRDefault="001D0688">
            <w:pPr>
              <w:rPr>
                <w:rFonts w:eastAsia="Times New Roman"/>
                <w:sz w:val="20"/>
                <w:szCs w:val="20"/>
              </w:rPr>
            </w:pPr>
          </w:p>
        </w:tc>
        <w:tc>
          <w:tcPr>
            <w:tcW w:w="26" w:type="pct"/>
            <w:vAlign w:val="center"/>
            <w:hideMark/>
          </w:tcPr>
          <w:p w14:paraId="67F722FC" w14:textId="77777777" w:rsidR="00000000" w:rsidRDefault="001D0688">
            <w:pPr>
              <w:rPr>
                <w:rFonts w:eastAsia="Times New Roman"/>
                <w:sz w:val="20"/>
                <w:szCs w:val="20"/>
              </w:rPr>
            </w:pPr>
          </w:p>
        </w:tc>
        <w:tc>
          <w:tcPr>
            <w:tcW w:w="5" w:type="pct"/>
            <w:vAlign w:val="center"/>
            <w:hideMark/>
          </w:tcPr>
          <w:p w14:paraId="0F05FD89" w14:textId="77777777" w:rsidR="00000000" w:rsidRDefault="001D0688">
            <w:pPr>
              <w:rPr>
                <w:rFonts w:eastAsia="Times New Roman"/>
                <w:sz w:val="20"/>
                <w:szCs w:val="20"/>
              </w:rPr>
            </w:pPr>
          </w:p>
        </w:tc>
        <w:tc>
          <w:tcPr>
            <w:tcW w:w="50" w:type="pct"/>
            <w:vAlign w:val="center"/>
            <w:hideMark/>
          </w:tcPr>
          <w:p w14:paraId="73DC1807" w14:textId="77777777" w:rsidR="00000000" w:rsidRDefault="001D0688">
            <w:pPr>
              <w:rPr>
                <w:rFonts w:eastAsia="Times New Roman"/>
                <w:sz w:val="20"/>
                <w:szCs w:val="20"/>
              </w:rPr>
            </w:pPr>
          </w:p>
        </w:tc>
        <w:tc>
          <w:tcPr>
            <w:tcW w:w="376" w:type="pct"/>
            <w:vAlign w:val="center"/>
            <w:hideMark/>
          </w:tcPr>
          <w:p w14:paraId="5D92CBA3" w14:textId="77777777" w:rsidR="00000000" w:rsidRDefault="001D0688">
            <w:pPr>
              <w:rPr>
                <w:rFonts w:eastAsia="Times New Roman"/>
                <w:sz w:val="20"/>
                <w:szCs w:val="20"/>
              </w:rPr>
            </w:pPr>
          </w:p>
        </w:tc>
        <w:tc>
          <w:tcPr>
            <w:tcW w:w="5" w:type="pct"/>
            <w:vAlign w:val="center"/>
            <w:hideMark/>
          </w:tcPr>
          <w:p w14:paraId="639B193C" w14:textId="77777777" w:rsidR="00000000" w:rsidRDefault="001D0688">
            <w:pPr>
              <w:rPr>
                <w:rFonts w:eastAsia="Times New Roman"/>
                <w:sz w:val="20"/>
                <w:szCs w:val="20"/>
              </w:rPr>
            </w:pPr>
          </w:p>
        </w:tc>
        <w:tc>
          <w:tcPr>
            <w:tcW w:w="5" w:type="pct"/>
            <w:vAlign w:val="center"/>
            <w:hideMark/>
          </w:tcPr>
          <w:p w14:paraId="5023F7A6" w14:textId="77777777" w:rsidR="00000000" w:rsidRDefault="001D0688">
            <w:pPr>
              <w:rPr>
                <w:rFonts w:eastAsia="Times New Roman"/>
                <w:sz w:val="20"/>
                <w:szCs w:val="20"/>
              </w:rPr>
            </w:pPr>
          </w:p>
        </w:tc>
        <w:tc>
          <w:tcPr>
            <w:tcW w:w="26" w:type="pct"/>
            <w:vAlign w:val="center"/>
            <w:hideMark/>
          </w:tcPr>
          <w:p w14:paraId="0EE087E1" w14:textId="77777777" w:rsidR="00000000" w:rsidRDefault="001D0688">
            <w:pPr>
              <w:rPr>
                <w:rFonts w:eastAsia="Times New Roman"/>
                <w:sz w:val="20"/>
                <w:szCs w:val="20"/>
              </w:rPr>
            </w:pPr>
          </w:p>
        </w:tc>
        <w:tc>
          <w:tcPr>
            <w:tcW w:w="5" w:type="pct"/>
            <w:vAlign w:val="center"/>
            <w:hideMark/>
          </w:tcPr>
          <w:p w14:paraId="56C97DC8" w14:textId="77777777" w:rsidR="00000000" w:rsidRDefault="001D0688">
            <w:pPr>
              <w:rPr>
                <w:rFonts w:eastAsia="Times New Roman"/>
                <w:sz w:val="20"/>
                <w:szCs w:val="20"/>
              </w:rPr>
            </w:pPr>
          </w:p>
        </w:tc>
        <w:tc>
          <w:tcPr>
            <w:tcW w:w="50" w:type="pct"/>
            <w:vAlign w:val="center"/>
            <w:hideMark/>
          </w:tcPr>
          <w:p w14:paraId="0AEB4098" w14:textId="77777777" w:rsidR="00000000" w:rsidRDefault="001D0688">
            <w:pPr>
              <w:rPr>
                <w:rFonts w:eastAsia="Times New Roman"/>
                <w:sz w:val="20"/>
                <w:szCs w:val="20"/>
              </w:rPr>
            </w:pPr>
          </w:p>
        </w:tc>
        <w:tc>
          <w:tcPr>
            <w:tcW w:w="376" w:type="pct"/>
            <w:vAlign w:val="center"/>
            <w:hideMark/>
          </w:tcPr>
          <w:p w14:paraId="7E19C003" w14:textId="77777777" w:rsidR="00000000" w:rsidRDefault="001D0688">
            <w:pPr>
              <w:rPr>
                <w:rFonts w:eastAsia="Times New Roman"/>
                <w:sz w:val="20"/>
                <w:szCs w:val="20"/>
              </w:rPr>
            </w:pPr>
          </w:p>
        </w:tc>
        <w:tc>
          <w:tcPr>
            <w:tcW w:w="5" w:type="pct"/>
            <w:vAlign w:val="center"/>
            <w:hideMark/>
          </w:tcPr>
          <w:p w14:paraId="3CE82727" w14:textId="77777777" w:rsidR="00000000" w:rsidRDefault="001D0688">
            <w:pPr>
              <w:rPr>
                <w:rFonts w:eastAsia="Times New Roman"/>
                <w:sz w:val="20"/>
                <w:szCs w:val="20"/>
              </w:rPr>
            </w:pPr>
          </w:p>
        </w:tc>
        <w:tc>
          <w:tcPr>
            <w:tcW w:w="5" w:type="pct"/>
            <w:vAlign w:val="center"/>
            <w:hideMark/>
          </w:tcPr>
          <w:p w14:paraId="3132EAF2" w14:textId="77777777" w:rsidR="00000000" w:rsidRDefault="001D0688">
            <w:pPr>
              <w:rPr>
                <w:rFonts w:eastAsia="Times New Roman"/>
                <w:sz w:val="20"/>
                <w:szCs w:val="20"/>
              </w:rPr>
            </w:pPr>
          </w:p>
        </w:tc>
        <w:tc>
          <w:tcPr>
            <w:tcW w:w="26" w:type="pct"/>
            <w:vAlign w:val="center"/>
            <w:hideMark/>
          </w:tcPr>
          <w:p w14:paraId="096C0F59" w14:textId="77777777" w:rsidR="00000000" w:rsidRDefault="001D0688">
            <w:pPr>
              <w:rPr>
                <w:rFonts w:eastAsia="Times New Roman"/>
                <w:sz w:val="20"/>
                <w:szCs w:val="20"/>
              </w:rPr>
            </w:pPr>
          </w:p>
        </w:tc>
        <w:tc>
          <w:tcPr>
            <w:tcW w:w="5" w:type="pct"/>
            <w:vAlign w:val="center"/>
            <w:hideMark/>
          </w:tcPr>
          <w:p w14:paraId="11957D1C" w14:textId="77777777" w:rsidR="00000000" w:rsidRDefault="001D0688">
            <w:pPr>
              <w:rPr>
                <w:rFonts w:eastAsia="Times New Roman"/>
                <w:sz w:val="20"/>
                <w:szCs w:val="20"/>
              </w:rPr>
            </w:pPr>
          </w:p>
        </w:tc>
        <w:tc>
          <w:tcPr>
            <w:tcW w:w="50" w:type="pct"/>
            <w:vAlign w:val="center"/>
            <w:hideMark/>
          </w:tcPr>
          <w:p w14:paraId="2EED625B" w14:textId="77777777" w:rsidR="00000000" w:rsidRDefault="001D0688">
            <w:pPr>
              <w:rPr>
                <w:rFonts w:eastAsia="Times New Roman"/>
                <w:sz w:val="20"/>
                <w:szCs w:val="20"/>
              </w:rPr>
            </w:pPr>
          </w:p>
        </w:tc>
        <w:tc>
          <w:tcPr>
            <w:tcW w:w="464" w:type="pct"/>
            <w:vAlign w:val="center"/>
            <w:hideMark/>
          </w:tcPr>
          <w:p w14:paraId="63E305F6" w14:textId="77777777" w:rsidR="00000000" w:rsidRDefault="001D0688">
            <w:pPr>
              <w:rPr>
                <w:rFonts w:eastAsia="Times New Roman"/>
                <w:sz w:val="20"/>
                <w:szCs w:val="20"/>
              </w:rPr>
            </w:pPr>
          </w:p>
        </w:tc>
        <w:tc>
          <w:tcPr>
            <w:tcW w:w="5" w:type="pct"/>
            <w:vAlign w:val="center"/>
            <w:hideMark/>
          </w:tcPr>
          <w:p w14:paraId="1768A475" w14:textId="77777777" w:rsidR="00000000" w:rsidRDefault="001D0688">
            <w:pPr>
              <w:rPr>
                <w:rFonts w:eastAsia="Times New Roman"/>
                <w:sz w:val="20"/>
                <w:szCs w:val="20"/>
              </w:rPr>
            </w:pPr>
          </w:p>
        </w:tc>
        <w:tc>
          <w:tcPr>
            <w:tcW w:w="5" w:type="pct"/>
            <w:vAlign w:val="center"/>
            <w:hideMark/>
          </w:tcPr>
          <w:p w14:paraId="2479DA2C" w14:textId="77777777" w:rsidR="00000000" w:rsidRDefault="001D0688">
            <w:pPr>
              <w:rPr>
                <w:rFonts w:eastAsia="Times New Roman"/>
                <w:sz w:val="20"/>
                <w:szCs w:val="20"/>
              </w:rPr>
            </w:pPr>
          </w:p>
        </w:tc>
        <w:tc>
          <w:tcPr>
            <w:tcW w:w="26" w:type="pct"/>
            <w:vAlign w:val="center"/>
            <w:hideMark/>
          </w:tcPr>
          <w:p w14:paraId="71B39044" w14:textId="77777777" w:rsidR="00000000" w:rsidRDefault="001D0688">
            <w:pPr>
              <w:rPr>
                <w:rFonts w:eastAsia="Times New Roman"/>
                <w:sz w:val="20"/>
                <w:szCs w:val="20"/>
              </w:rPr>
            </w:pPr>
          </w:p>
        </w:tc>
        <w:tc>
          <w:tcPr>
            <w:tcW w:w="5" w:type="pct"/>
            <w:vAlign w:val="center"/>
            <w:hideMark/>
          </w:tcPr>
          <w:p w14:paraId="10B26915" w14:textId="77777777" w:rsidR="00000000" w:rsidRDefault="001D0688">
            <w:pPr>
              <w:rPr>
                <w:rFonts w:eastAsia="Times New Roman"/>
                <w:sz w:val="20"/>
                <w:szCs w:val="20"/>
              </w:rPr>
            </w:pPr>
          </w:p>
        </w:tc>
        <w:tc>
          <w:tcPr>
            <w:tcW w:w="50" w:type="pct"/>
            <w:vAlign w:val="center"/>
            <w:hideMark/>
          </w:tcPr>
          <w:p w14:paraId="2775FF28" w14:textId="77777777" w:rsidR="00000000" w:rsidRDefault="001D0688">
            <w:pPr>
              <w:rPr>
                <w:rFonts w:eastAsia="Times New Roman"/>
                <w:sz w:val="20"/>
                <w:szCs w:val="20"/>
              </w:rPr>
            </w:pPr>
          </w:p>
        </w:tc>
        <w:tc>
          <w:tcPr>
            <w:tcW w:w="237" w:type="pct"/>
            <w:vAlign w:val="center"/>
            <w:hideMark/>
          </w:tcPr>
          <w:p w14:paraId="74CA61AB" w14:textId="77777777" w:rsidR="00000000" w:rsidRDefault="001D0688">
            <w:pPr>
              <w:rPr>
                <w:rFonts w:eastAsia="Times New Roman"/>
                <w:sz w:val="20"/>
                <w:szCs w:val="20"/>
              </w:rPr>
            </w:pPr>
          </w:p>
        </w:tc>
        <w:tc>
          <w:tcPr>
            <w:tcW w:w="5" w:type="pct"/>
            <w:vAlign w:val="center"/>
            <w:hideMark/>
          </w:tcPr>
          <w:p w14:paraId="1311C98C" w14:textId="77777777" w:rsidR="00000000" w:rsidRDefault="001D0688">
            <w:pPr>
              <w:rPr>
                <w:rFonts w:eastAsia="Times New Roman"/>
                <w:sz w:val="20"/>
                <w:szCs w:val="20"/>
              </w:rPr>
            </w:pPr>
          </w:p>
        </w:tc>
        <w:tc>
          <w:tcPr>
            <w:tcW w:w="5" w:type="pct"/>
            <w:vAlign w:val="center"/>
            <w:hideMark/>
          </w:tcPr>
          <w:p w14:paraId="2C6DAD0B" w14:textId="77777777" w:rsidR="00000000" w:rsidRDefault="001D0688">
            <w:pPr>
              <w:rPr>
                <w:rFonts w:eastAsia="Times New Roman"/>
                <w:sz w:val="20"/>
                <w:szCs w:val="20"/>
              </w:rPr>
            </w:pPr>
          </w:p>
        </w:tc>
        <w:tc>
          <w:tcPr>
            <w:tcW w:w="26" w:type="pct"/>
            <w:vAlign w:val="center"/>
            <w:hideMark/>
          </w:tcPr>
          <w:p w14:paraId="069446C8" w14:textId="77777777" w:rsidR="00000000" w:rsidRDefault="001D0688">
            <w:pPr>
              <w:rPr>
                <w:rFonts w:eastAsia="Times New Roman"/>
                <w:sz w:val="20"/>
                <w:szCs w:val="20"/>
              </w:rPr>
            </w:pPr>
          </w:p>
        </w:tc>
        <w:tc>
          <w:tcPr>
            <w:tcW w:w="5" w:type="pct"/>
            <w:vAlign w:val="center"/>
            <w:hideMark/>
          </w:tcPr>
          <w:p w14:paraId="016C1A96" w14:textId="77777777" w:rsidR="00000000" w:rsidRDefault="001D0688">
            <w:pPr>
              <w:rPr>
                <w:rFonts w:eastAsia="Times New Roman"/>
                <w:sz w:val="20"/>
                <w:szCs w:val="20"/>
              </w:rPr>
            </w:pPr>
          </w:p>
        </w:tc>
        <w:tc>
          <w:tcPr>
            <w:tcW w:w="50" w:type="pct"/>
            <w:vAlign w:val="center"/>
            <w:hideMark/>
          </w:tcPr>
          <w:p w14:paraId="2B449B40" w14:textId="77777777" w:rsidR="00000000" w:rsidRDefault="001D0688">
            <w:pPr>
              <w:rPr>
                <w:rFonts w:eastAsia="Times New Roman"/>
                <w:sz w:val="20"/>
                <w:szCs w:val="20"/>
              </w:rPr>
            </w:pPr>
          </w:p>
        </w:tc>
        <w:tc>
          <w:tcPr>
            <w:tcW w:w="237" w:type="pct"/>
            <w:vAlign w:val="center"/>
            <w:hideMark/>
          </w:tcPr>
          <w:p w14:paraId="0204A6EB" w14:textId="77777777" w:rsidR="00000000" w:rsidRDefault="001D0688">
            <w:pPr>
              <w:rPr>
                <w:rFonts w:eastAsia="Times New Roman"/>
                <w:sz w:val="20"/>
                <w:szCs w:val="20"/>
              </w:rPr>
            </w:pPr>
          </w:p>
        </w:tc>
        <w:tc>
          <w:tcPr>
            <w:tcW w:w="5" w:type="pct"/>
            <w:vAlign w:val="center"/>
            <w:hideMark/>
          </w:tcPr>
          <w:p w14:paraId="07843AFC" w14:textId="77777777" w:rsidR="00000000" w:rsidRDefault="001D0688">
            <w:pPr>
              <w:rPr>
                <w:rFonts w:eastAsia="Times New Roman"/>
                <w:sz w:val="20"/>
                <w:szCs w:val="20"/>
              </w:rPr>
            </w:pPr>
          </w:p>
        </w:tc>
        <w:tc>
          <w:tcPr>
            <w:tcW w:w="5" w:type="pct"/>
            <w:vAlign w:val="center"/>
            <w:hideMark/>
          </w:tcPr>
          <w:p w14:paraId="76D79AD1" w14:textId="77777777" w:rsidR="00000000" w:rsidRDefault="001D0688">
            <w:pPr>
              <w:rPr>
                <w:rFonts w:eastAsia="Times New Roman"/>
                <w:sz w:val="20"/>
                <w:szCs w:val="20"/>
              </w:rPr>
            </w:pPr>
          </w:p>
        </w:tc>
        <w:tc>
          <w:tcPr>
            <w:tcW w:w="26" w:type="pct"/>
            <w:vAlign w:val="center"/>
            <w:hideMark/>
          </w:tcPr>
          <w:p w14:paraId="485B4521" w14:textId="77777777" w:rsidR="00000000" w:rsidRDefault="001D0688">
            <w:pPr>
              <w:rPr>
                <w:rFonts w:eastAsia="Times New Roman"/>
                <w:sz w:val="20"/>
                <w:szCs w:val="20"/>
              </w:rPr>
            </w:pPr>
          </w:p>
        </w:tc>
        <w:tc>
          <w:tcPr>
            <w:tcW w:w="5" w:type="pct"/>
            <w:vAlign w:val="center"/>
            <w:hideMark/>
          </w:tcPr>
          <w:p w14:paraId="7077EA03" w14:textId="77777777" w:rsidR="00000000" w:rsidRDefault="001D0688">
            <w:pPr>
              <w:rPr>
                <w:rFonts w:eastAsia="Times New Roman"/>
                <w:sz w:val="20"/>
                <w:szCs w:val="20"/>
              </w:rPr>
            </w:pPr>
          </w:p>
        </w:tc>
        <w:tc>
          <w:tcPr>
            <w:tcW w:w="50" w:type="pct"/>
            <w:vAlign w:val="center"/>
            <w:hideMark/>
          </w:tcPr>
          <w:p w14:paraId="43596BED" w14:textId="77777777" w:rsidR="00000000" w:rsidRDefault="001D0688">
            <w:pPr>
              <w:rPr>
                <w:rFonts w:eastAsia="Times New Roman"/>
                <w:sz w:val="20"/>
                <w:szCs w:val="20"/>
              </w:rPr>
            </w:pPr>
          </w:p>
        </w:tc>
        <w:tc>
          <w:tcPr>
            <w:tcW w:w="237" w:type="pct"/>
            <w:vAlign w:val="center"/>
            <w:hideMark/>
          </w:tcPr>
          <w:p w14:paraId="588E403B" w14:textId="77777777" w:rsidR="00000000" w:rsidRDefault="001D0688">
            <w:pPr>
              <w:rPr>
                <w:rFonts w:eastAsia="Times New Roman"/>
                <w:sz w:val="20"/>
                <w:szCs w:val="20"/>
              </w:rPr>
            </w:pPr>
          </w:p>
        </w:tc>
        <w:tc>
          <w:tcPr>
            <w:tcW w:w="5" w:type="pct"/>
            <w:vAlign w:val="center"/>
            <w:hideMark/>
          </w:tcPr>
          <w:p w14:paraId="64430F2B" w14:textId="77777777" w:rsidR="00000000" w:rsidRDefault="001D0688">
            <w:pPr>
              <w:rPr>
                <w:rFonts w:eastAsia="Times New Roman"/>
                <w:sz w:val="20"/>
                <w:szCs w:val="20"/>
              </w:rPr>
            </w:pPr>
          </w:p>
        </w:tc>
        <w:tc>
          <w:tcPr>
            <w:tcW w:w="5" w:type="pct"/>
            <w:vAlign w:val="center"/>
            <w:hideMark/>
          </w:tcPr>
          <w:p w14:paraId="7BA9C87F" w14:textId="77777777" w:rsidR="00000000" w:rsidRDefault="001D0688">
            <w:pPr>
              <w:rPr>
                <w:rFonts w:eastAsia="Times New Roman"/>
                <w:sz w:val="20"/>
                <w:szCs w:val="20"/>
              </w:rPr>
            </w:pPr>
          </w:p>
        </w:tc>
        <w:tc>
          <w:tcPr>
            <w:tcW w:w="26" w:type="pct"/>
            <w:vAlign w:val="center"/>
            <w:hideMark/>
          </w:tcPr>
          <w:p w14:paraId="3B7DB536" w14:textId="77777777" w:rsidR="00000000" w:rsidRDefault="001D0688">
            <w:pPr>
              <w:rPr>
                <w:rFonts w:eastAsia="Times New Roman"/>
                <w:sz w:val="20"/>
                <w:szCs w:val="20"/>
              </w:rPr>
            </w:pPr>
          </w:p>
        </w:tc>
        <w:tc>
          <w:tcPr>
            <w:tcW w:w="5" w:type="pct"/>
            <w:vAlign w:val="center"/>
            <w:hideMark/>
          </w:tcPr>
          <w:p w14:paraId="609DA2DF" w14:textId="77777777" w:rsidR="00000000" w:rsidRDefault="001D0688">
            <w:pPr>
              <w:rPr>
                <w:rFonts w:eastAsia="Times New Roman"/>
                <w:sz w:val="20"/>
                <w:szCs w:val="20"/>
              </w:rPr>
            </w:pPr>
          </w:p>
        </w:tc>
        <w:tc>
          <w:tcPr>
            <w:tcW w:w="50" w:type="pct"/>
            <w:vAlign w:val="center"/>
            <w:hideMark/>
          </w:tcPr>
          <w:p w14:paraId="1A7E1F14" w14:textId="77777777" w:rsidR="00000000" w:rsidRDefault="001D0688">
            <w:pPr>
              <w:rPr>
                <w:rFonts w:eastAsia="Times New Roman"/>
                <w:sz w:val="20"/>
                <w:szCs w:val="20"/>
              </w:rPr>
            </w:pPr>
          </w:p>
        </w:tc>
        <w:tc>
          <w:tcPr>
            <w:tcW w:w="384" w:type="pct"/>
            <w:vAlign w:val="center"/>
            <w:hideMark/>
          </w:tcPr>
          <w:p w14:paraId="737B027A" w14:textId="77777777" w:rsidR="00000000" w:rsidRDefault="001D0688">
            <w:pPr>
              <w:rPr>
                <w:rFonts w:eastAsia="Times New Roman"/>
                <w:sz w:val="20"/>
                <w:szCs w:val="20"/>
              </w:rPr>
            </w:pPr>
          </w:p>
        </w:tc>
        <w:tc>
          <w:tcPr>
            <w:tcW w:w="5" w:type="pct"/>
            <w:vAlign w:val="center"/>
            <w:hideMark/>
          </w:tcPr>
          <w:p w14:paraId="511AF5B6" w14:textId="77777777" w:rsidR="00000000" w:rsidRDefault="001D0688">
            <w:pPr>
              <w:rPr>
                <w:rFonts w:eastAsia="Times New Roman"/>
                <w:sz w:val="20"/>
                <w:szCs w:val="20"/>
              </w:rPr>
            </w:pPr>
          </w:p>
        </w:tc>
        <w:tc>
          <w:tcPr>
            <w:tcW w:w="5" w:type="pct"/>
            <w:vAlign w:val="center"/>
            <w:hideMark/>
          </w:tcPr>
          <w:p w14:paraId="12511678" w14:textId="77777777" w:rsidR="00000000" w:rsidRDefault="001D0688">
            <w:pPr>
              <w:rPr>
                <w:rFonts w:eastAsia="Times New Roman"/>
                <w:sz w:val="20"/>
                <w:szCs w:val="20"/>
              </w:rPr>
            </w:pPr>
          </w:p>
        </w:tc>
        <w:tc>
          <w:tcPr>
            <w:tcW w:w="26" w:type="pct"/>
            <w:vAlign w:val="center"/>
            <w:hideMark/>
          </w:tcPr>
          <w:p w14:paraId="4BD7BAC8" w14:textId="77777777" w:rsidR="00000000" w:rsidRDefault="001D0688">
            <w:pPr>
              <w:rPr>
                <w:rFonts w:eastAsia="Times New Roman"/>
                <w:sz w:val="20"/>
                <w:szCs w:val="20"/>
              </w:rPr>
            </w:pPr>
          </w:p>
        </w:tc>
        <w:tc>
          <w:tcPr>
            <w:tcW w:w="5" w:type="pct"/>
            <w:vAlign w:val="center"/>
            <w:hideMark/>
          </w:tcPr>
          <w:p w14:paraId="2E25658C" w14:textId="77777777" w:rsidR="00000000" w:rsidRDefault="001D0688">
            <w:pPr>
              <w:rPr>
                <w:rFonts w:eastAsia="Times New Roman"/>
                <w:sz w:val="20"/>
                <w:szCs w:val="20"/>
              </w:rPr>
            </w:pPr>
          </w:p>
        </w:tc>
        <w:tc>
          <w:tcPr>
            <w:tcW w:w="50" w:type="pct"/>
            <w:vAlign w:val="center"/>
            <w:hideMark/>
          </w:tcPr>
          <w:p w14:paraId="6BB56BFF" w14:textId="77777777" w:rsidR="00000000" w:rsidRDefault="001D0688">
            <w:pPr>
              <w:rPr>
                <w:rFonts w:eastAsia="Times New Roman"/>
                <w:sz w:val="20"/>
                <w:szCs w:val="20"/>
              </w:rPr>
            </w:pPr>
          </w:p>
        </w:tc>
        <w:tc>
          <w:tcPr>
            <w:tcW w:w="421" w:type="pct"/>
            <w:vAlign w:val="center"/>
            <w:hideMark/>
          </w:tcPr>
          <w:p w14:paraId="29FD020F" w14:textId="77777777" w:rsidR="00000000" w:rsidRDefault="001D0688">
            <w:pPr>
              <w:rPr>
                <w:rFonts w:eastAsia="Times New Roman"/>
                <w:sz w:val="20"/>
                <w:szCs w:val="20"/>
              </w:rPr>
            </w:pPr>
          </w:p>
        </w:tc>
        <w:tc>
          <w:tcPr>
            <w:tcW w:w="5" w:type="pct"/>
            <w:vAlign w:val="center"/>
            <w:hideMark/>
          </w:tcPr>
          <w:p w14:paraId="6A44CCFE" w14:textId="77777777" w:rsidR="00000000" w:rsidRDefault="001D0688">
            <w:pPr>
              <w:rPr>
                <w:rFonts w:eastAsia="Times New Roman"/>
                <w:sz w:val="20"/>
                <w:szCs w:val="20"/>
              </w:rPr>
            </w:pPr>
          </w:p>
        </w:tc>
      </w:tr>
      <w:tr w:rsidR="00000000" w14:paraId="43EC476F" w14:textId="77777777">
        <w:trPr>
          <w:divId w:val="1518498822"/>
          <w:trHeight w:val="480"/>
        </w:trPr>
        <w:tc>
          <w:tcPr>
            <w:tcW w:w="0" w:type="auto"/>
            <w:gridSpan w:val="3"/>
            <w:tcMar>
              <w:top w:w="30" w:type="dxa"/>
              <w:left w:w="20" w:type="dxa"/>
              <w:bottom w:w="30" w:type="dxa"/>
              <w:right w:w="20" w:type="dxa"/>
            </w:tcMar>
            <w:vAlign w:val="bottom"/>
            <w:hideMark/>
          </w:tcPr>
          <w:p w14:paraId="7CF75528" w14:textId="77777777" w:rsidR="00000000" w:rsidRDefault="001D0688">
            <w:pPr>
              <w:rPr>
                <w:rFonts w:eastAsia="Times New Roman"/>
              </w:rPr>
            </w:pPr>
            <w:r>
              <w:rPr>
                <w:rFonts w:eastAsia="Times New Roman"/>
                <w:i/>
                <w:iCs/>
                <w:color w:val="000000"/>
                <w:sz w:val="13"/>
                <w:szCs w:val="13"/>
                <w:u w:val="single"/>
              </w:rPr>
              <w:t>($ in millions)</w:t>
            </w:r>
          </w:p>
        </w:tc>
        <w:tc>
          <w:tcPr>
            <w:tcW w:w="0" w:type="auto"/>
            <w:gridSpan w:val="3"/>
            <w:tcMar>
              <w:top w:w="0" w:type="dxa"/>
              <w:left w:w="20" w:type="dxa"/>
              <w:bottom w:w="0" w:type="dxa"/>
              <w:right w:w="20" w:type="dxa"/>
            </w:tcMar>
            <w:vAlign w:val="center"/>
            <w:hideMark/>
          </w:tcPr>
          <w:p w14:paraId="378ADB17"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6503C90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D453E22"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446D7797" w14:textId="77777777" w:rsidR="00000000" w:rsidRDefault="001D0688">
            <w:pPr>
              <w:jc w:val="center"/>
              <w:divId w:val="1605382315"/>
              <w:rPr>
                <w:rFonts w:eastAsia="Times New Roman"/>
              </w:rPr>
            </w:pPr>
            <w:r>
              <w:rPr>
                <w:rFonts w:ascii="Arial" w:eastAsia="Times New Roman" w:hAnsi="Arial" w:cs="Arial"/>
                <w:b/>
                <w:bCs/>
                <w:color w:val="000000"/>
                <w:sz w:val="15"/>
                <w:szCs w:val="15"/>
              </w:rPr>
              <w:t xml:space="preserve">Pension Protection Act </w:t>
            </w:r>
          </w:p>
          <w:p w14:paraId="3691C282" w14:textId="77777777" w:rsidR="00000000" w:rsidRDefault="001D0688">
            <w:pPr>
              <w:jc w:val="center"/>
              <w:divId w:val="655106107"/>
              <w:rPr>
                <w:rFonts w:eastAsia="Times New Roman"/>
              </w:rPr>
            </w:pPr>
            <w:r>
              <w:rPr>
                <w:rFonts w:ascii="Arial" w:eastAsia="Times New Roman" w:hAnsi="Arial" w:cs="Arial"/>
                <w:b/>
                <w:bCs/>
                <w:color w:val="000000"/>
                <w:sz w:val="15"/>
                <w:szCs w:val="15"/>
              </w:rPr>
              <w:t>Zone 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(3</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14:paraId="10DFC939"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74375AEF" w14:textId="77777777" w:rsidR="00000000" w:rsidRDefault="001D0688">
            <w:pPr>
              <w:jc w:val="center"/>
              <w:divId w:val="2066369927"/>
              <w:rPr>
                <w:rFonts w:eastAsia="Times New Roman"/>
              </w:rPr>
            </w:pPr>
            <w:r>
              <w:rPr>
                <w:rFonts w:ascii="Arial" w:eastAsia="Times New Roman" w:hAnsi="Arial" w:cs="Arial"/>
                <w:b/>
                <w:bCs/>
                <w:color w:val="000000"/>
                <w:sz w:val="15"/>
                <w:szCs w:val="15"/>
              </w:rPr>
              <w:t xml:space="preserve">FIP/RP </w:t>
            </w:r>
          </w:p>
          <w:p w14:paraId="0AA86AC1" w14:textId="77777777" w:rsidR="00000000" w:rsidRDefault="001D0688">
            <w:pPr>
              <w:jc w:val="center"/>
              <w:divId w:val="1182545193"/>
              <w:rPr>
                <w:rFonts w:eastAsia="Times New Roman"/>
              </w:rPr>
            </w:pPr>
            <w:r>
              <w:rPr>
                <w:rFonts w:ascii="Arial" w:eastAsia="Times New Roman" w:hAnsi="Arial" w:cs="Arial"/>
                <w:b/>
                <w:bCs/>
                <w:color w:val="000000"/>
                <w:sz w:val="15"/>
                <w:szCs w:val="15"/>
              </w:rPr>
              <w:t>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(4</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14:paraId="7A141F30" w14:textId="77777777" w:rsidR="00000000" w:rsidRDefault="001D0688">
            <w:pPr>
              <w:jc w:val="center"/>
              <w:rPr>
                <w:rFonts w:eastAsia="Times New Roman"/>
              </w:rPr>
            </w:pPr>
          </w:p>
        </w:tc>
        <w:tc>
          <w:tcPr>
            <w:tcW w:w="0" w:type="auto"/>
            <w:gridSpan w:val="15"/>
            <w:tcMar>
              <w:top w:w="30" w:type="dxa"/>
              <w:left w:w="20" w:type="dxa"/>
              <w:bottom w:w="30" w:type="dxa"/>
              <w:right w:w="20" w:type="dxa"/>
            </w:tcMar>
            <w:vAlign w:val="bottom"/>
            <w:hideMark/>
          </w:tcPr>
          <w:p w14:paraId="70FD73AA" w14:textId="77777777" w:rsidR="00000000" w:rsidRDefault="001D0688">
            <w:pPr>
              <w:jc w:val="center"/>
              <w:rPr>
                <w:rFonts w:eastAsia="Times New Roman"/>
              </w:rPr>
            </w:pPr>
            <w:r>
              <w:rPr>
                <w:rFonts w:ascii="Arial" w:eastAsia="Times New Roman" w:hAnsi="Arial" w:cs="Arial"/>
                <w:b/>
                <w:bCs/>
                <w:color w:val="000000"/>
                <w:sz w:val="15"/>
                <w:szCs w:val="15"/>
              </w:rPr>
              <w:t>Contributions by ABM</w:t>
            </w:r>
          </w:p>
        </w:tc>
        <w:tc>
          <w:tcPr>
            <w:tcW w:w="0" w:type="auto"/>
            <w:gridSpan w:val="3"/>
            <w:vMerge w:val="restart"/>
            <w:tcMar>
              <w:top w:w="0" w:type="dxa"/>
              <w:left w:w="20" w:type="dxa"/>
              <w:bottom w:w="0" w:type="dxa"/>
              <w:right w:w="20" w:type="dxa"/>
            </w:tcMar>
            <w:vAlign w:val="center"/>
            <w:hideMark/>
          </w:tcPr>
          <w:p w14:paraId="464B2B15" w14:textId="77777777" w:rsidR="00000000" w:rsidRDefault="001D068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CC094E0" w14:textId="77777777" w:rsidR="00000000" w:rsidRDefault="001D0688">
            <w:pPr>
              <w:jc w:val="center"/>
              <w:divId w:val="1950237793"/>
              <w:rPr>
                <w:rFonts w:eastAsia="Times New Roman"/>
              </w:rPr>
            </w:pPr>
            <w:r>
              <w:rPr>
                <w:rFonts w:ascii="Arial" w:eastAsia="Times New Roman" w:hAnsi="Arial" w:cs="Arial"/>
                <w:b/>
                <w:bCs/>
                <w:color w:val="000000"/>
                <w:sz w:val="15"/>
                <w:szCs w:val="15"/>
              </w:rPr>
              <w:t xml:space="preserve">Surcharge </w:t>
            </w:r>
          </w:p>
          <w:p w14:paraId="131C43D3" w14:textId="77777777" w:rsidR="00000000" w:rsidRDefault="001D0688">
            <w:pPr>
              <w:jc w:val="center"/>
              <w:divId w:val="1258489044"/>
              <w:rPr>
                <w:rFonts w:eastAsia="Times New Roman"/>
              </w:rPr>
            </w:pPr>
            <w:r>
              <w:rPr>
                <w:rFonts w:ascii="Arial" w:eastAsia="Times New Roman" w:hAnsi="Arial" w:cs="Arial"/>
                <w:b/>
                <w:bCs/>
                <w:color w:val="000000"/>
                <w:sz w:val="15"/>
                <w:szCs w:val="15"/>
              </w:rPr>
              <w:t>Impose</w:t>
            </w:r>
            <w:r>
              <w:rPr>
                <w:rFonts w:ascii="Arial" w:eastAsia="Times New Roman" w:hAnsi="Arial" w:cs="Arial"/>
                <w:b/>
                <w:bCs/>
                <w:color w:val="000000"/>
                <w:sz w:val="15"/>
                <w:szCs w:val="15"/>
              </w:rPr>
              <w:t>d</w:t>
            </w:r>
            <w:r>
              <w:rPr>
                <w:rFonts w:ascii="Arial" w:eastAsia="Times New Roman" w:hAnsi="Arial" w:cs="Arial"/>
                <w:b/>
                <w:bCs/>
                <w:color w:val="000000"/>
                <w:sz w:val="10"/>
                <w:szCs w:val="10"/>
              </w:rPr>
              <w:t>(5</w:t>
            </w:r>
            <w:r>
              <w:rPr>
                <w:rFonts w:ascii="Arial" w:eastAsia="Times New Roman" w:hAnsi="Arial" w:cs="Arial"/>
                <w:b/>
                <w:bCs/>
                <w:color w:val="000000"/>
                <w:sz w:val="10"/>
                <w:szCs w:val="10"/>
              </w:rPr>
              <w:t>)</w:t>
            </w:r>
          </w:p>
        </w:tc>
        <w:tc>
          <w:tcPr>
            <w:tcW w:w="0" w:type="auto"/>
            <w:gridSpan w:val="3"/>
            <w:vMerge w:val="restart"/>
            <w:tcMar>
              <w:top w:w="0" w:type="dxa"/>
              <w:left w:w="20" w:type="dxa"/>
              <w:bottom w:w="0" w:type="dxa"/>
              <w:right w:w="20" w:type="dxa"/>
            </w:tcMar>
            <w:vAlign w:val="center"/>
            <w:hideMark/>
          </w:tcPr>
          <w:p w14:paraId="3E629F17" w14:textId="77777777" w:rsidR="00000000" w:rsidRDefault="001D0688">
            <w:pPr>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87DF9FD" w14:textId="77777777" w:rsidR="00000000" w:rsidRDefault="001D0688">
            <w:pPr>
              <w:jc w:val="center"/>
              <w:rPr>
                <w:rFonts w:eastAsia="Times New Roman"/>
              </w:rPr>
            </w:pPr>
            <w:r>
              <w:rPr>
                <w:rFonts w:ascii="Arial" w:eastAsia="Times New Roman" w:hAnsi="Arial" w:cs="Arial"/>
                <w:b/>
                <w:bCs/>
                <w:color w:val="000000"/>
                <w:sz w:val="15"/>
                <w:szCs w:val="15"/>
              </w:rPr>
              <w:t>Expiration Dates of Collective Bargaining Agreements</w:t>
            </w:r>
          </w:p>
        </w:tc>
      </w:tr>
      <w:tr w:rsidR="00000000" w14:paraId="374B6DF1" w14:textId="77777777">
        <w:trPr>
          <w:divId w:val="1518498822"/>
          <w:trHeight w:val="360"/>
        </w:trPr>
        <w:tc>
          <w:tcPr>
            <w:tcW w:w="0" w:type="auto"/>
            <w:gridSpan w:val="3"/>
            <w:tcMar>
              <w:top w:w="30" w:type="dxa"/>
              <w:left w:w="20" w:type="dxa"/>
              <w:bottom w:w="30" w:type="dxa"/>
              <w:right w:w="20" w:type="dxa"/>
            </w:tcMar>
            <w:vAlign w:val="bottom"/>
            <w:hideMark/>
          </w:tcPr>
          <w:p w14:paraId="5A7D5613" w14:textId="77777777" w:rsidR="00000000" w:rsidRDefault="001D0688">
            <w:pPr>
              <w:jc w:val="center"/>
              <w:rPr>
                <w:rFonts w:eastAsia="Times New Roman"/>
              </w:rPr>
            </w:pPr>
            <w:r>
              <w:rPr>
                <w:rFonts w:ascii="Arial" w:eastAsia="Times New Roman" w:hAnsi="Arial" w:cs="Arial"/>
                <w:b/>
                <w:bCs/>
                <w:color w:val="000000"/>
                <w:sz w:val="15"/>
                <w:szCs w:val="15"/>
              </w:rPr>
              <w:t>Pension Fund</w:t>
            </w:r>
          </w:p>
        </w:tc>
        <w:tc>
          <w:tcPr>
            <w:tcW w:w="0" w:type="auto"/>
            <w:gridSpan w:val="3"/>
            <w:tcMar>
              <w:top w:w="0" w:type="dxa"/>
              <w:left w:w="20" w:type="dxa"/>
              <w:bottom w:w="0" w:type="dxa"/>
              <w:right w:w="20" w:type="dxa"/>
            </w:tcMar>
            <w:vAlign w:val="center"/>
            <w:hideMark/>
          </w:tcPr>
          <w:p w14:paraId="155BEE32"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2CDBF19" w14:textId="77777777" w:rsidR="00000000" w:rsidRDefault="001D0688">
            <w:pPr>
              <w:jc w:val="center"/>
              <w:rPr>
                <w:rFonts w:eastAsia="Times New Roman"/>
              </w:rPr>
            </w:pPr>
            <w:r>
              <w:rPr>
                <w:rFonts w:ascii="Arial" w:eastAsia="Times New Roman" w:hAnsi="Arial" w:cs="Arial"/>
                <w:b/>
                <w:bCs/>
                <w:color w:val="000000"/>
                <w:sz w:val="15"/>
                <w:szCs w:val="15"/>
              </w:rPr>
              <w:t>EIN/P</w:t>
            </w:r>
            <w:r>
              <w:rPr>
                <w:rFonts w:ascii="Arial" w:eastAsia="Times New Roman" w:hAnsi="Arial" w:cs="Arial"/>
                <w:b/>
                <w:bCs/>
                <w:color w:val="000000"/>
                <w:sz w:val="15"/>
                <w:szCs w:val="15"/>
              </w:rPr>
              <w:t>N</w:t>
            </w:r>
            <w:r>
              <w:rPr>
                <w:rFonts w:ascii="Arial" w:eastAsia="Times New Roman" w:hAnsi="Arial" w:cs="Arial"/>
                <w:b/>
                <w:bCs/>
                <w:color w:val="000000"/>
                <w:sz w:val="10"/>
                <w:szCs w:val="10"/>
              </w:rPr>
              <w:t>(2)</w:t>
            </w:r>
            <w:r>
              <w:rPr>
                <w:rFonts w:ascii="Arial" w:eastAsia="Times New Roman" w:hAnsi="Arial" w:cs="Arial"/>
                <w:b/>
                <w:bCs/>
                <w:color w:val="000000"/>
                <w:sz w:val="10"/>
                <w:szCs w:val="10"/>
              </w:rPr>
              <w:t xml:space="preserve"> </w:t>
            </w:r>
          </w:p>
        </w:tc>
        <w:tc>
          <w:tcPr>
            <w:tcW w:w="0" w:type="auto"/>
            <w:gridSpan w:val="3"/>
            <w:tcMar>
              <w:top w:w="0" w:type="dxa"/>
              <w:left w:w="20" w:type="dxa"/>
              <w:bottom w:w="0" w:type="dxa"/>
              <w:right w:w="20" w:type="dxa"/>
            </w:tcMar>
            <w:vAlign w:val="center"/>
            <w:hideMark/>
          </w:tcPr>
          <w:p w14:paraId="2A28C7C6"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84B86B" w14:textId="77777777" w:rsidR="00000000" w:rsidRDefault="001D0688">
            <w:pPr>
              <w:jc w:val="center"/>
              <w:rPr>
                <w:rFonts w:eastAsia="Times New Roman"/>
              </w:rPr>
            </w:pPr>
            <w:r>
              <w:rPr>
                <w:rFonts w:ascii="Arial" w:eastAsia="Times New Roman" w:hAnsi="Arial" w:cs="Arial"/>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73A3C84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46F261" w14:textId="77777777" w:rsidR="00000000" w:rsidRDefault="001D0688">
            <w:pPr>
              <w:jc w:val="center"/>
              <w:rPr>
                <w:rFonts w:eastAsia="Times New Roman"/>
              </w:rPr>
            </w:pPr>
            <w:r>
              <w:rPr>
                <w:rFonts w:ascii="Arial" w:eastAsia="Times New Roman" w:hAnsi="Arial" w:cs="Arial"/>
                <w:b/>
                <w:bCs/>
                <w:color w:val="000000"/>
                <w:sz w:val="15"/>
                <w:szCs w:val="15"/>
              </w:rPr>
              <w:t>2019</w:t>
            </w:r>
          </w:p>
        </w:tc>
        <w:tc>
          <w:tcPr>
            <w:tcW w:w="0" w:type="auto"/>
            <w:gridSpan w:val="3"/>
            <w:tcMar>
              <w:top w:w="0" w:type="dxa"/>
              <w:left w:w="20" w:type="dxa"/>
              <w:bottom w:w="0" w:type="dxa"/>
              <w:right w:w="20" w:type="dxa"/>
            </w:tcMar>
            <w:vAlign w:val="center"/>
            <w:hideMark/>
          </w:tcPr>
          <w:p w14:paraId="55CD620E"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37A5CD" w14:textId="77777777" w:rsidR="00000000" w:rsidRDefault="001D0688">
            <w:pPr>
              <w:jc w:val="center"/>
              <w:rPr>
                <w:rFonts w:eastAsia="Times New Roman"/>
              </w:rPr>
            </w:pPr>
            <w:r>
              <w:rPr>
                <w:rFonts w:ascii="Arial" w:eastAsia="Times New Roman" w:hAnsi="Arial" w:cs="Arial"/>
                <w:b/>
                <w:bCs/>
                <w:color w:val="000000"/>
                <w:sz w:val="15"/>
                <w:szCs w:val="15"/>
              </w:rPr>
              <w:t>Pending/</w:t>
            </w:r>
            <w:r>
              <w:rPr>
                <w:rFonts w:ascii="Arial" w:eastAsia="Times New Roman" w:hAnsi="Arial" w:cs="Arial"/>
                <w:b/>
                <w:bCs/>
                <w:color w:val="000000"/>
                <w:sz w:val="15"/>
                <w:szCs w:val="15"/>
              </w:rPr>
              <w:br/>
              <w:t>Implemented</w:t>
            </w:r>
          </w:p>
        </w:tc>
        <w:tc>
          <w:tcPr>
            <w:tcW w:w="0" w:type="auto"/>
            <w:gridSpan w:val="3"/>
            <w:tcMar>
              <w:top w:w="0" w:type="dxa"/>
              <w:left w:w="20" w:type="dxa"/>
              <w:bottom w:w="0" w:type="dxa"/>
              <w:right w:w="20" w:type="dxa"/>
            </w:tcMar>
            <w:vAlign w:val="center"/>
            <w:hideMark/>
          </w:tcPr>
          <w:p w14:paraId="48E086D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A17FA7" w14:textId="77777777" w:rsidR="00000000" w:rsidRDefault="001D0688">
            <w:pPr>
              <w:jc w:val="center"/>
              <w:rPr>
                <w:rFonts w:eastAsia="Times New Roman"/>
              </w:rPr>
            </w:pPr>
            <w:r>
              <w:rPr>
                <w:rFonts w:ascii="Arial" w:eastAsia="Times New Roman" w:hAnsi="Arial" w:cs="Arial"/>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16AB278D"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1905B1" w14:textId="77777777" w:rsidR="00000000" w:rsidRDefault="001D0688">
            <w:pPr>
              <w:jc w:val="center"/>
              <w:rPr>
                <w:rFonts w:eastAsia="Times New Roman"/>
              </w:rPr>
            </w:pPr>
            <w:r>
              <w:rPr>
                <w:rFonts w:ascii="Arial" w:eastAsia="Times New Roman" w:hAnsi="Arial" w:cs="Arial"/>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3DFC3D5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CA8EAC" w14:textId="77777777" w:rsidR="00000000" w:rsidRDefault="001D0688">
            <w:pPr>
              <w:jc w:val="center"/>
              <w:rPr>
                <w:rFonts w:eastAsia="Times New Roman"/>
              </w:rPr>
            </w:pPr>
            <w:r>
              <w:rPr>
                <w:rFonts w:ascii="Arial" w:eastAsia="Times New Roman" w:hAnsi="Arial" w:cs="Arial"/>
                <w:b/>
                <w:bCs/>
                <w:color w:val="000000"/>
                <w:sz w:val="15"/>
                <w:szCs w:val="15"/>
              </w:rPr>
              <w:t>2018</w:t>
            </w:r>
          </w:p>
        </w:tc>
        <w:tc>
          <w:tcPr>
            <w:tcW w:w="0" w:type="auto"/>
            <w:gridSpan w:val="3"/>
            <w:vMerge/>
            <w:vAlign w:val="center"/>
            <w:hideMark/>
          </w:tcPr>
          <w:p w14:paraId="45D02251" w14:textId="77777777" w:rsidR="00000000" w:rsidRDefault="001D0688">
            <w:pPr>
              <w:rPr>
                <w:rFonts w:eastAsia="Times New Roman"/>
              </w:rPr>
            </w:pPr>
          </w:p>
        </w:tc>
        <w:tc>
          <w:tcPr>
            <w:tcW w:w="0" w:type="auto"/>
            <w:gridSpan w:val="3"/>
            <w:vMerge/>
            <w:vAlign w:val="center"/>
            <w:hideMark/>
          </w:tcPr>
          <w:p w14:paraId="5CC1625A" w14:textId="77777777" w:rsidR="00000000" w:rsidRDefault="001D0688">
            <w:pPr>
              <w:rPr>
                <w:rFonts w:eastAsia="Times New Roman"/>
              </w:rPr>
            </w:pPr>
          </w:p>
        </w:tc>
        <w:tc>
          <w:tcPr>
            <w:tcW w:w="0" w:type="auto"/>
            <w:gridSpan w:val="3"/>
            <w:vMerge/>
            <w:vAlign w:val="center"/>
            <w:hideMark/>
          </w:tcPr>
          <w:p w14:paraId="01E70A3D" w14:textId="77777777" w:rsidR="00000000" w:rsidRDefault="001D0688">
            <w:pPr>
              <w:rPr>
                <w:rFonts w:eastAsia="Times New Roman"/>
              </w:rPr>
            </w:pPr>
          </w:p>
        </w:tc>
        <w:tc>
          <w:tcPr>
            <w:tcW w:w="0" w:type="auto"/>
            <w:gridSpan w:val="3"/>
            <w:vMerge/>
            <w:vAlign w:val="center"/>
            <w:hideMark/>
          </w:tcPr>
          <w:p w14:paraId="17807D16" w14:textId="77777777" w:rsidR="00000000" w:rsidRDefault="001D0688">
            <w:pPr>
              <w:rPr>
                <w:rFonts w:eastAsia="Times New Roman"/>
              </w:rPr>
            </w:pPr>
          </w:p>
        </w:tc>
      </w:tr>
      <w:tr w:rsidR="00000000" w14:paraId="41AD161D" w14:textId="77777777">
        <w:trPr>
          <w:divId w:val="1518498822"/>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63C582D3" w14:textId="77777777" w:rsidR="00000000" w:rsidRDefault="001D0688">
            <w:pPr>
              <w:rPr>
                <w:rFonts w:eastAsia="Times New Roman"/>
              </w:rPr>
            </w:pPr>
            <w:r>
              <w:rPr>
                <w:rFonts w:ascii="Arial" w:eastAsia="Times New Roman" w:hAnsi="Arial" w:cs="Arial"/>
                <w:color w:val="000000"/>
                <w:sz w:val="14"/>
                <w:szCs w:val="14"/>
              </w:rPr>
              <w:t>Building Service 32BJ Pension Fund</w:t>
            </w:r>
          </w:p>
        </w:tc>
        <w:tc>
          <w:tcPr>
            <w:tcW w:w="0" w:type="auto"/>
            <w:gridSpan w:val="3"/>
            <w:shd w:val="clear" w:color="auto" w:fill="DCE2EF"/>
            <w:tcMar>
              <w:top w:w="0" w:type="dxa"/>
              <w:left w:w="20" w:type="dxa"/>
              <w:bottom w:w="0" w:type="dxa"/>
              <w:right w:w="20" w:type="dxa"/>
            </w:tcMar>
            <w:vAlign w:val="center"/>
            <w:hideMark/>
          </w:tcPr>
          <w:p w14:paraId="2B38D569" w14:textId="77777777" w:rsidR="00000000" w:rsidRDefault="001D0688">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3E5FE12E" w14:textId="77777777" w:rsidR="00000000" w:rsidRDefault="001D0688">
            <w:pPr>
              <w:jc w:val="center"/>
              <w:rPr>
                <w:rFonts w:eastAsia="Times New Roman"/>
              </w:rPr>
            </w:pPr>
            <w:r>
              <w:rPr>
                <w:rFonts w:ascii="Arial" w:eastAsia="Times New Roman" w:hAnsi="Arial" w:cs="Arial"/>
                <w:color w:val="000000"/>
                <w:sz w:val="14"/>
                <w:szCs w:val="14"/>
              </w:rPr>
              <w:t>13-1879376 / 001</w:t>
            </w:r>
          </w:p>
        </w:tc>
        <w:tc>
          <w:tcPr>
            <w:tcW w:w="0" w:type="auto"/>
            <w:gridSpan w:val="3"/>
            <w:shd w:val="clear" w:color="auto" w:fill="DCE2EF"/>
            <w:tcMar>
              <w:top w:w="0" w:type="dxa"/>
              <w:left w:w="20" w:type="dxa"/>
              <w:bottom w:w="0" w:type="dxa"/>
              <w:right w:w="20" w:type="dxa"/>
            </w:tcMar>
            <w:vAlign w:val="center"/>
            <w:hideMark/>
          </w:tcPr>
          <w:p w14:paraId="7F4E78D9"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007F268E" w14:textId="77777777" w:rsidR="00000000" w:rsidRDefault="001D0688">
            <w:pPr>
              <w:jc w:val="center"/>
              <w:rPr>
                <w:rFonts w:eastAsia="Times New Roman"/>
              </w:rPr>
            </w:pPr>
            <w:r>
              <w:rPr>
                <w:rFonts w:ascii="Arial" w:eastAsia="Times New Roman" w:hAnsi="Arial" w:cs="Arial"/>
                <w:color w:val="000000"/>
                <w:sz w:val="14"/>
                <w:szCs w:val="14"/>
              </w:rPr>
              <w:t>Red</w:t>
            </w:r>
          </w:p>
          <w:p w14:paraId="28F6C3AB" w14:textId="77777777" w:rsidR="00000000" w:rsidRDefault="001D0688">
            <w:pPr>
              <w:jc w:val="center"/>
              <w:rPr>
                <w:rFonts w:eastAsia="Times New Roman"/>
              </w:rPr>
            </w:pPr>
            <w:r>
              <w:rPr>
                <w:rFonts w:ascii="Arial" w:eastAsia="Times New Roman" w:hAnsi="Arial" w:cs="Arial"/>
                <w:color w:val="000000"/>
                <w:sz w:val="14"/>
                <w:szCs w:val="14"/>
              </w:rPr>
              <w:t>6/30/2019</w:t>
            </w:r>
          </w:p>
        </w:tc>
        <w:tc>
          <w:tcPr>
            <w:tcW w:w="0" w:type="auto"/>
            <w:gridSpan w:val="3"/>
            <w:shd w:val="clear" w:color="auto" w:fill="DCE2EF"/>
            <w:tcMar>
              <w:top w:w="0" w:type="dxa"/>
              <w:left w:w="20" w:type="dxa"/>
              <w:bottom w:w="0" w:type="dxa"/>
              <w:right w:w="20" w:type="dxa"/>
            </w:tcMar>
            <w:vAlign w:val="center"/>
            <w:hideMark/>
          </w:tcPr>
          <w:p w14:paraId="1DBD45CD"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012B7DD0" w14:textId="77777777" w:rsidR="00000000" w:rsidRDefault="001D0688">
            <w:pPr>
              <w:jc w:val="center"/>
              <w:rPr>
                <w:rFonts w:eastAsia="Times New Roman"/>
              </w:rPr>
            </w:pPr>
            <w:r>
              <w:rPr>
                <w:rFonts w:ascii="Arial" w:eastAsia="Times New Roman" w:hAnsi="Arial" w:cs="Arial"/>
                <w:color w:val="000000"/>
                <w:sz w:val="14"/>
                <w:szCs w:val="14"/>
              </w:rPr>
              <w:t>Red</w:t>
            </w:r>
            <w:r>
              <w:rPr>
                <w:rFonts w:ascii="Arial" w:eastAsia="Times New Roman" w:hAnsi="Arial" w:cs="Arial"/>
                <w:color w:val="000000"/>
                <w:sz w:val="14"/>
                <w:szCs w:val="14"/>
              </w:rPr>
              <w:br/>
              <w:t>6/30/2018</w:t>
            </w:r>
          </w:p>
        </w:tc>
        <w:tc>
          <w:tcPr>
            <w:tcW w:w="0" w:type="auto"/>
            <w:gridSpan w:val="3"/>
            <w:shd w:val="clear" w:color="auto" w:fill="DCE2EF"/>
            <w:tcMar>
              <w:top w:w="0" w:type="dxa"/>
              <w:left w:w="20" w:type="dxa"/>
              <w:bottom w:w="0" w:type="dxa"/>
              <w:right w:w="20" w:type="dxa"/>
            </w:tcMar>
            <w:vAlign w:val="center"/>
            <w:hideMark/>
          </w:tcPr>
          <w:p w14:paraId="7C865675"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48AFD069" w14:textId="77777777" w:rsidR="00000000" w:rsidRDefault="001D0688">
            <w:pPr>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DCE2EF"/>
            <w:tcMar>
              <w:top w:w="0" w:type="dxa"/>
              <w:left w:w="20" w:type="dxa"/>
              <w:bottom w:w="0" w:type="dxa"/>
              <w:right w:w="20" w:type="dxa"/>
            </w:tcMar>
            <w:vAlign w:val="center"/>
            <w:hideMark/>
          </w:tcPr>
          <w:p w14:paraId="1BDB2A2F" w14:textId="77777777" w:rsidR="00000000" w:rsidRDefault="001D0688">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14:paraId="41EDFEFA" w14:textId="77777777" w:rsidR="00000000" w:rsidRDefault="001D0688">
            <w:pPr>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14:paraId="625B959C" w14:textId="77777777" w:rsidR="00000000" w:rsidRDefault="001D0688">
            <w:pPr>
              <w:jc w:val="right"/>
              <w:rPr>
                <w:rFonts w:eastAsia="Times New Roman"/>
              </w:rPr>
            </w:pPr>
            <w:r>
              <w:rPr>
                <w:rFonts w:ascii="Arial" w:eastAsia="Times New Roman" w:hAnsi="Arial" w:cs="Arial"/>
                <w:color w:val="000000"/>
                <w:sz w:val="14"/>
                <w:szCs w:val="14"/>
              </w:rPr>
              <w:t>16.8 </w:t>
            </w:r>
          </w:p>
        </w:tc>
        <w:tc>
          <w:tcPr>
            <w:tcW w:w="0" w:type="auto"/>
            <w:tcBorders>
              <w:top w:val="single" w:sz="8" w:space="0" w:color="000000"/>
            </w:tcBorders>
            <w:shd w:val="clear" w:color="auto" w:fill="DCE2EF"/>
            <w:tcMar>
              <w:top w:w="30" w:type="dxa"/>
              <w:left w:w="0" w:type="dxa"/>
              <w:bottom w:w="30" w:type="dxa"/>
              <w:right w:w="20" w:type="dxa"/>
            </w:tcMar>
            <w:vAlign w:val="center"/>
            <w:hideMark/>
          </w:tcPr>
          <w:p w14:paraId="6E8764E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35D21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14:paraId="3AC9D223" w14:textId="77777777" w:rsidR="00000000" w:rsidRDefault="001D0688">
            <w:pPr>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14:paraId="6B8F665F" w14:textId="77777777" w:rsidR="00000000" w:rsidRDefault="001D0688">
            <w:pPr>
              <w:jc w:val="right"/>
              <w:rPr>
                <w:rFonts w:eastAsia="Times New Roman"/>
              </w:rPr>
            </w:pPr>
            <w:r>
              <w:rPr>
                <w:rFonts w:ascii="Arial" w:eastAsia="Times New Roman" w:hAnsi="Arial" w:cs="Arial"/>
                <w:color w:val="000000"/>
                <w:sz w:val="14"/>
                <w:szCs w:val="14"/>
              </w:rPr>
              <w:t>19.3 </w:t>
            </w:r>
          </w:p>
        </w:tc>
        <w:tc>
          <w:tcPr>
            <w:tcW w:w="0" w:type="auto"/>
            <w:tcBorders>
              <w:top w:val="single" w:sz="8" w:space="0" w:color="000000"/>
            </w:tcBorders>
            <w:shd w:val="clear" w:color="auto" w:fill="DCE2EF"/>
            <w:tcMar>
              <w:top w:w="30" w:type="dxa"/>
              <w:left w:w="0" w:type="dxa"/>
              <w:bottom w:w="30" w:type="dxa"/>
              <w:right w:w="20" w:type="dxa"/>
            </w:tcMar>
            <w:vAlign w:val="center"/>
            <w:hideMark/>
          </w:tcPr>
          <w:p w14:paraId="77574CA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24DCD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14:paraId="0039F2AA" w14:textId="77777777" w:rsidR="00000000" w:rsidRDefault="001D0688">
            <w:pPr>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14:paraId="4A1F1848" w14:textId="77777777" w:rsidR="00000000" w:rsidRDefault="001D0688">
            <w:pPr>
              <w:jc w:val="right"/>
              <w:rPr>
                <w:rFonts w:eastAsia="Times New Roman"/>
              </w:rPr>
            </w:pPr>
            <w:r>
              <w:rPr>
                <w:rFonts w:ascii="Arial" w:eastAsia="Times New Roman" w:hAnsi="Arial" w:cs="Arial"/>
                <w:color w:val="000000"/>
                <w:sz w:val="14"/>
                <w:szCs w:val="14"/>
              </w:rPr>
              <w:t>19.9 </w:t>
            </w:r>
          </w:p>
        </w:tc>
        <w:tc>
          <w:tcPr>
            <w:tcW w:w="0" w:type="auto"/>
            <w:tcBorders>
              <w:top w:val="single" w:sz="8" w:space="0" w:color="000000"/>
            </w:tcBorders>
            <w:shd w:val="clear" w:color="auto" w:fill="DCE2EF"/>
            <w:tcMar>
              <w:top w:w="30" w:type="dxa"/>
              <w:left w:w="0" w:type="dxa"/>
              <w:bottom w:w="30" w:type="dxa"/>
              <w:right w:w="20" w:type="dxa"/>
            </w:tcMar>
            <w:vAlign w:val="center"/>
            <w:hideMark/>
          </w:tcPr>
          <w:p w14:paraId="25F368A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02EFD8"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39B7D9C8" w14:textId="77777777" w:rsidR="00000000" w:rsidRDefault="001D0688">
            <w:pPr>
              <w:jc w:val="center"/>
              <w:rPr>
                <w:rFonts w:eastAsia="Times New Roman"/>
              </w:rPr>
            </w:pPr>
            <w:r>
              <w:rPr>
                <w:rFonts w:ascii="Arial" w:eastAsia="Times New Roman" w:hAnsi="Arial" w:cs="Arial"/>
                <w:color w:val="000000"/>
                <w:sz w:val="14"/>
                <w:szCs w:val="14"/>
              </w:rPr>
              <w:t>No</w:t>
            </w:r>
          </w:p>
        </w:tc>
        <w:tc>
          <w:tcPr>
            <w:tcW w:w="0" w:type="auto"/>
            <w:gridSpan w:val="3"/>
            <w:shd w:val="clear" w:color="auto" w:fill="DCE2EF"/>
            <w:tcMar>
              <w:top w:w="0" w:type="dxa"/>
              <w:left w:w="20" w:type="dxa"/>
              <w:bottom w:w="0" w:type="dxa"/>
              <w:right w:w="20" w:type="dxa"/>
            </w:tcMar>
            <w:vAlign w:val="center"/>
            <w:hideMark/>
          </w:tcPr>
          <w:p w14:paraId="5D2A9CDB"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14:paraId="46D0572C" w14:textId="77777777" w:rsidR="00000000" w:rsidRDefault="001D0688">
            <w:pPr>
              <w:jc w:val="center"/>
              <w:rPr>
                <w:rFonts w:eastAsia="Times New Roman"/>
              </w:rPr>
            </w:pPr>
            <w:r>
              <w:rPr>
                <w:rFonts w:ascii="Arial" w:eastAsia="Times New Roman" w:hAnsi="Arial" w:cs="Arial"/>
                <w:color w:val="000000"/>
                <w:sz w:val="14"/>
                <w:szCs w:val="14"/>
              </w:rPr>
              <w:t>10/15/2023 – 12/31/2023</w:t>
            </w:r>
          </w:p>
        </w:tc>
      </w:tr>
      <w:tr w:rsidR="00000000" w14:paraId="1AB7CF77" w14:textId="77777777">
        <w:trPr>
          <w:divId w:val="1518498822"/>
        </w:trPr>
        <w:tc>
          <w:tcPr>
            <w:tcW w:w="0" w:type="auto"/>
            <w:gridSpan w:val="3"/>
            <w:shd w:val="clear" w:color="auto" w:fill="FFFFFF"/>
            <w:tcMar>
              <w:top w:w="30" w:type="dxa"/>
              <w:left w:w="20" w:type="dxa"/>
              <w:bottom w:w="30" w:type="dxa"/>
              <w:right w:w="20" w:type="dxa"/>
            </w:tcMar>
            <w:vAlign w:val="center"/>
            <w:hideMark/>
          </w:tcPr>
          <w:p w14:paraId="28363C4A" w14:textId="77777777" w:rsidR="00000000" w:rsidRDefault="001D0688">
            <w:pPr>
              <w:rPr>
                <w:rFonts w:eastAsia="Times New Roman"/>
              </w:rPr>
            </w:pPr>
            <w:r>
              <w:rPr>
                <w:rFonts w:ascii="Arial" w:eastAsia="Times New Roman" w:hAnsi="Arial" w:cs="Arial"/>
                <w:color w:val="000000"/>
                <w:sz w:val="14"/>
                <w:szCs w:val="14"/>
              </w:rPr>
              <w:t>S.E.I.U. National Industry Pension Fund</w:t>
            </w:r>
          </w:p>
        </w:tc>
        <w:tc>
          <w:tcPr>
            <w:tcW w:w="0" w:type="auto"/>
            <w:gridSpan w:val="3"/>
            <w:shd w:val="clear" w:color="auto" w:fill="FFFFFF"/>
            <w:tcMar>
              <w:top w:w="0" w:type="dxa"/>
              <w:left w:w="20" w:type="dxa"/>
              <w:bottom w:w="0" w:type="dxa"/>
              <w:right w:w="20" w:type="dxa"/>
            </w:tcMar>
            <w:vAlign w:val="center"/>
            <w:hideMark/>
          </w:tcPr>
          <w:p w14:paraId="43B3AFF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F732CDD" w14:textId="77777777" w:rsidR="00000000" w:rsidRDefault="001D0688">
            <w:pPr>
              <w:jc w:val="center"/>
              <w:rPr>
                <w:rFonts w:eastAsia="Times New Roman"/>
              </w:rPr>
            </w:pPr>
            <w:r>
              <w:rPr>
                <w:rFonts w:ascii="Arial" w:eastAsia="Times New Roman" w:hAnsi="Arial" w:cs="Arial"/>
                <w:color w:val="000000"/>
                <w:sz w:val="14"/>
                <w:szCs w:val="14"/>
              </w:rPr>
              <w:t xml:space="preserve">52-6148540 / </w:t>
            </w:r>
          </w:p>
          <w:p w14:paraId="608CFDB7" w14:textId="77777777" w:rsidR="00000000" w:rsidRDefault="001D0688">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14:paraId="1BEE30B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BD0CC02" w14:textId="77777777" w:rsidR="00000000" w:rsidRDefault="001D0688">
            <w:pPr>
              <w:jc w:val="center"/>
              <w:rPr>
                <w:rFonts w:eastAsia="Times New Roman"/>
              </w:rPr>
            </w:pPr>
            <w:r>
              <w:rPr>
                <w:rFonts w:ascii="Arial" w:eastAsia="Times New Roman" w:hAnsi="Arial" w:cs="Arial"/>
                <w:color w:val="000000"/>
                <w:sz w:val="14"/>
                <w:szCs w:val="14"/>
              </w:rPr>
              <w:t>Red</w:t>
            </w:r>
          </w:p>
          <w:p w14:paraId="342F1A2E" w14:textId="77777777" w:rsidR="00000000" w:rsidRDefault="001D0688">
            <w:pPr>
              <w:jc w:val="center"/>
              <w:rPr>
                <w:rFonts w:eastAsia="Times New Roman"/>
              </w:rPr>
            </w:pPr>
            <w:r>
              <w:rPr>
                <w:rFonts w:ascii="Arial" w:eastAsia="Times New Roman" w:hAnsi="Arial" w:cs="Arial"/>
                <w:color w:val="000000"/>
                <w:sz w:val="14"/>
                <w:szCs w:val="14"/>
              </w:rPr>
              <w:t>12/31/2019</w:t>
            </w:r>
          </w:p>
        </w:tc>
        <w:tc>
          <w:tcPr>
            <w:tcW w:w="0" w:type="auto"/>
            <w:gridSpan w:val="3"/>
            <w:shd w:val="clear" w:color="auto" w:fill="FFFFFF"/>
            <w:tcMar>
              <w:top w:w="0" w:type="dxa"/>
              <w:left w:w="20" w:type="dxa"/>
              <w:bottom w:w="0" w:type="dxa"/>
              <w:right w:w="20" w:type="dxa"/>
            </w:tcMar>
            <w:vAlign w:val="center"/>
            <w:hideMark/>
          </w:tcPr>
          <w:p w14:paraId="0E0C2C0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402EAA8" w14:textId="77777777" w:rsidR="00000000" w:rsidRDefault="001D0688">
            <w:pPr>
              <w:jc w:val="center"/>
              <w:rPr>
                <w:rFonts w:eastAsia="Times New Roman"/>
              </w:rPr>
            </w:pPr>
            <w:r>
              <w:rPr>
                <w:rFonts w:ascii="Arial" w:eastAsia="Times New Roman" w:hAnsi="Arial" w:cs="Arial"/>
                <w:color w:val="000000"/>
                <w:sz w:val="14"/>
                <w:szCs w:val="14"/>
              </w:rPr>
              <w:t>Red</w:t>
            </w:r>
            <w:r>
              <w:rPr>
                <w:rFonts w:ascii="Arial" w:eastAsia="Times New Roman" w:hAnsi="Arial" w:cs="Arial"/>
                <w:color w:val="000000"/>
                <w:sz w:val="14"/>
                <w:szCs w:val="14"/>
              </w:rPr>
              <w:br/>
              <w:t>12/31/2018</w:t>
            </w:r>
          </w:p>
        </w:tc>
        <w:tc>
          <w:tcPr>
            <w:tcW w:w="0" w:type="auto"/>
            <w:gridSpan w:val="3"/>
            <w:shd w:val="clear" w:color="auto" w:fill="FFFFFF"/>
            <w:tcMar>
              <w:top w:w="0" w:type="dxa"/>
              <w:left w:w="20" w:type="dxa"/>
              <w:bottom w:w="0" w:type="dxa"/>
              <w:right w:w="20" w:type="dxa"/>
            </w:tcMar>
            <w:vAlign w:val="center"/>
            <w:hideMark/>
          </w:tcPr>
          <w:p w14:paraId="7EF0F32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CAC8A2F" w14:textId="77777777" w:rsidR="00000000" w:rsidRDefault="001D0688">
            <w:pPr>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FFFFFF"/>
            <w:tcMar>
              <w:top w:w="0" w:type="dxa"/>
              <w:left w:w="20" w:type="dxa"/>
              <w:bottom w:w="0" w:type="dxa"/>
              <w:right w:w="20" w:type="dxa"/>
            </w:tcMar>
            <w:vAlign w:val="center"/>
            <w:hideMark/>
          </w:tcPr>
          <w:p w14:paraId="023E32AD" w14:textId="77777777" w:rsidR="00000000" w:rsidRDefault="001D0688">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2AC53B" w14:textId="77777777" w:rsidR="00000000" w:rsidRDefault="001D0688">
            <w:pPr>
              <w:jc w:val="right"/>
              <w:rPr>
                <w:rFonts w:eastAsia="Times New Roman"/>
              </w:rPr>
            </w:pPr>
            <w:r>
              <w:rPr>
                <w:rFonts w:ascii="Arial" w:eastAsia="Times New Roman" w:hAnsi="Arial" w:cs="Arial"/>
                <w:color w:val="000000"/>
                <w:sz w:val="14"/>
                <w:szCs w:val="14"/>
              </w:rPr>
              <w:t>11.1 </w:t>
            </w:r>
          </w:p>
        </w:tc>
        <w:tc>
          <w:tcPr>
            <w:tcW w:w="0" w:type="auto"/>
            <w:shd w:val="clear" w:color="auto" w:fill="FFFFFF"/>
            <w:tcMar>
              <w:top w:w="30" w:type="dxa"/>
              <w:left w:w="0" w:type="dxa"/>
              <w:bottom w:w="30" w:type="dxa"/>
              <w:right w:w="20" w:type="dxa"/>
            </w:tcMar>
            <w:vAlign w:val="center"/>
            <w:hideMark/>
          </w:tcPr>
          <w:p w14:paraId="2EDD2C9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5A57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AA31BB" w14:textId="77777777" w:rsidR="00000000" w:rsidRDefault="001D0688">
            <w:pPr>
              <w:jc w:val="right"/>
              <w:rPr>
                <w:rFonts w:eastAsia="Times New Roman"/>
              </w:rPr>
            </w:pPr>
            <w:r>
              <w:rPr>
                <w:rFonts w:ascii="Arial" w:eastAsia="Times New Roman" w:hAnsi="Arial" w:cs="Arial"/>
                <w:color w:val="000000"/>
                <w:sz w:val="14"/>
                <w:szCs w:val="14"/>
              </w:rPr>
              <w:t>10.6 </w:t>
            </w:r>
          </w:p>
        </w:tc>
        <w:tc>
          <w:tcPr>
            <w:tcW w:w="0" w:type="auto"/>
            <w:shd w:val="clear" w:color="auto" w:fill="FFFFFF"/>
            <w:tcMar>
              <w:top w:w="30" w:type="dxa"/>
              <w:left w:w="0" w:type="dxa"/>
              <w:bottom w:w="30" w:type="dxa"/>
              <w:right w:w="20" w:type="dxa"/>
            </w:tcMar>
            <w:vAlign w:val="center"/>
            <w:hideMark/>
          </w:tcPr>
          <w:p w14:paraId="0942A8E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5805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28E005" w14:textId="77777777" w:rsidR="00000000" w:rsidRDefault="001D0688">
            <w:pPr>
              <w:jc w:val="right"/>
              <w:rPr>
                <w:rFonts w:eastAsia="Times New Roman"/>
              </w:rPr>
            </w:pPr>
            <w:r>
              <w:rPr>
                <w:rFonts w:ascii="Arial" w:eastAsia="Times New Roman" w:hAnsi="Arial" w:cs="Arial"/>
                <w:color w:val="000000"/>
                <w:sz w:val="14"/>
                <w:szCs w:val="14"/>
              </w:rPr>
              <w:t>8.7 </w:t>
            </w:r>
          </w:p>
        </w:tc>
        <w:tc>
          <w:tcPr>
            <w:tcW w:w="0" w:type="auto"/>
            <w:shd w:val="clear" w:color="auto" w:fill="FFFFFF"/>
            <w:tcMar>
              <w:top w:w="30" w:type="dxa"/>
              <w:left w:w="0" w:type="dxa"/>
              <w:bottom w:w="30" w:type="dxa"/>
              <w:right w:w="20" w:type="dxa"/>
            </w:tcMar>
            <w:vAlign w:val="center"/>
            <w:hideMark/>
          </w:tcPr>
          <w:p w14:paraId="1F2700E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B4729"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66C5B92C" w14:textId="77777777" w:rsidR="00000000" w:rsidRDefault="001D0688">
            <w:pPr>
              <w:jc w:val="center"/>
              <w:rPr>
                <w:rFonts w:eastAsia="Times New Roman"/>
              </w:rPr>
            </w:pPr>
            <w:r>
              <w:rPr>
                <w:rFonts w:ascii="Arial" w:eastAsia="Times New Roman" w:hAnsi="Arial" w:cs="Arial"/>
                <w:color w:val="000000"/>
                <w:sz w:val="14"/>
                <w:szCs w:val="14"/>
              </w:rPr>
              <w:t>Yes</w:t>
            </w:r>
          </w:p>
        </w:tc>
        <w:tc>
          <w:tcPr>
            <w:tcW w:w="0" w:type="auto"/>
            <w:gridSpan w:val="3"/>
            <w:shd w:val="clear" w:color="auto" w:fill="FFFFFF"/>
            <w:tcMar>
              <w:top w:w="0" w:type="dxa"/>
              <w:left w:w="20" w:type="dxa"/>
              <w:bottom w:w="0" w:type="dxa"/>
              <w:right w:w="20" w:type="dxa"/>
            </w:tcMar>
            <w:vAlign w:val="center"/>
            <w:hideMark/>
          </w:tcPr>
          <w:p w14:paraId="4A5DBF8D"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98A53A6" w14:textId="77777777" w:rsidR="00000000" w:rsidRDefault="001D0688">
            <w:pPr>
              <w:jc w:val="center"/>
              <w:rPr>
                <w:rFonts w:eastAsia="Times New Roman"/>
              </w:rPr>
            </w:pPr>
            <w:r>
              <w:rPr>
                <w:rFonts w:ascii="Arial" w:eastAsia="Times New Roman" w:hAnsi="Arial" w:cs="Arial"/>
                <w:color w:val="000000"/>
                <w:sz w:val="14"/>
                <w:szCs w:val="14"/>
              </w:rPr>
              <w:t>6/30/2021 –</w:t>
            </w:r>
            <w:r>
              <w:rPr>
                <w:rFonts w:ascii="Arial" w:eastAsia="Times New Roman" w:hAnsi="Arial" w:cs="Arial"/>
                <w:color w:val="000000"/>
                <w:sz w:val="14"/>
                <w:szCs w:val="14"/>
              </w:rPr>
              <w:br/>
              <w:t>10/31/2023</w:t>
            </w:r>
          </w:p>
        </w:tc>
      </w:tr>
      <w:tr w:rsidR="00000000" w14:paraId="161FEF17" w14:textId="77777777">
        <w:trPr>
          <w:divId w:val="1518498822"/>
        </w:trPr>
        <w:tc>
          <w:tcPr>
            <w:tcW w:w="0" w:type="auto"/>
            <w:gridSpan w:val="3"/>
            <w:shd w:val="clear" w:color="auto" w:fill="DCE2EF"/>
            <w:tcMar>
              <w:top w:w="30" w:type="dxa"/>
              <w:left w:w="20" w:type="dxa"/>
              <w:bottom w:w="30" w:type="dxa"/>
              <w:right w:w="20" w:type="dxa"/>
            </w:tcMar>
            <w:vAlign w:val="center"/>
            <w:hideMark/>
          </w:tcPr>
          <w:p w14:paraId="189EB8A3" w14:textId="77777777" w:rsidR="00000000" w:rsidRDefault="001D0688">
            <w:pPr>
              <w:rPr>
                <w:rFonts w:eastAsia="Times New Roman"/>
              </w:rPr>
            </w:pPr>
            <w:r>
              <w:rPr>
                <w:rFonts w:ascii="Arial" w:eastAsia="Times New Roman" w:hAnsi="Arial" w:cs="Arial"/>
                <w:color w:val="000000"/>
                <w:sz w:val="14"/>
                <w:szCs w:val="14"/>
              </w:rPr>
              <w:t xml:space="preserve">Central Pension Fund of the IUOE &amp; </w:t>
            </w:r>
            <w:r>
              <w:rPr>
                <w:rFonts w:ascii="Arial" w:eastAsia="Times New Roman" w:hAnsi="Arial" w:cs="Arial"/>
                <w:color w:val="000000"/>
                <w:sz w:val="14"/>
                <w:szCs w:val="14"/>
              </w:rPr>
              <w:t>Participating Employers</w:t>
            </w:r>
          </w:p>
        </w:tc>
        <w:tc>
          <w:tcPr>
            <w:tcW w:w="0" w:type="auto"/>
            <w:gridSpan w:val="3"/>
            <w:shd w:val="clear" w:color="auto" w:fill="DCE2EF"/>
            <w:tcMar>
              <w:top w:w="0" w:type="dxa"/>
              <w:left w:w="20" w:type="dxa"/>
              <w:bottom w:w="0" w:type="dxa"/>
              <w:right w:w="20" w:type="dxa"/>
            </w:tcMar>
            <w:vAlign w:val="center"/>
            <w:hideMark/>
          </w:tcPr>
          <w:p w14:paraId="1C1E05BB"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46CE9978" w14:textId="77777777" w:rsidR="00000000" w:rsidRDefault="001D0688">
            <w:pPr>
              <w:jc w:val="center"/>
              <w:rPr>
                <w:rFonts w:eastAsia="Times New Roman"/>
              </w:rPr>
            </w:pPr>
            <w:r>
              <w:rPr>
                <w:rFonts w:ascii="Arial" w:eastAsia="Times New Roman" w:hAnsi="Arial" w:cs="Arial"/>
                <w:color w:val="000000"/>
                <w:sz w:val="14"/>
                <w:szCs w:val="14"/>
              </w:rPr>
              <w:t xml:space="preserve">36-6052390 / </w:t>
            </w:r>
          </w:p>
          <w:p w14:paraId="7EE275D1" w14:textId="77777777" w:rsidR="00000000" w:rsidRDefault="001D0688">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DCE2EF"/>
            <w:tcMar>
              <w:top w:w="0" w:type="dxa"/>
              <w:left w:w="20" w:type="dxa"/>
              <w:bottom w:w="0" w:type="dxa"/>
              <w:right w:w="20" w:type="dxa"/>
            </w:tcMar>
            <w:vAlign w:val="center"/>
            <w:hideMark/>
          </w:tcPr>
          <w:p w14:paraId="50CEE25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BCDF08F" w14:textId="77777777" w:rsidR="00000000" w:rsidRDefault="001D0688">
            <w:pPr>
              <w:jc w:val="center"/>
              <w:rPr>
                <w:rFonts w:eastAsia="Times New Roman"/>
              </w:rPr>
            </w:pPr>
            <w:r>
              <w:rPr>
                <w:rFonts w:ascii="Arial" w:eastAsia="Times New Roman" w:hAnsi="Arial" w:cs="Arial"/>
                <w:color w:val="000000"/>
                <w:sz w:val="14"/>
                <w:szCs w:val="14"/>
              </w:rPr>
              <w:t>Green</w:t>
            </w:r>
          </w:p>
          <w:p w14:paraId="16926655" w14:textId="77777777" w:rsidR="00000000" w:rsidRDefault="001D0688">
            <w:pPr>
              <w:jc w:val="center"/>
              <w:rPr>
                <w:rFonts w:eastAsia="Times New Roman"/>
              </w:rPr>
            </w:pPr>
            <w:r>
              <w:rPr>
                <w:rFonts w:ascii="Arial" w:eastAsia="Times New Roman" w:hAnsi="Arial" w:cs="Arial"/>
                <w:color w:val="000000"/>
                <w:sz w:val="14"/>
                <w:szCs w:val="14"/>
              </w:rPr>
              <w:t>1/31/2020</w:t>
            </w:r>
          </w:p>
        </w:tc>
        <w:tc>
          <w:tcPr>
            <w:tcW w:w="0" w:type="auto"/>
            <w:gridSpan w:val="3"/>
            <w:shd w:val="clear" w:color="auto" w:fill="DCE2EF"/>
            <w:tcMar>
              <w:top w:w="0" w:type="dxa"/>
              <w:left w:w="20" w:type="dxa"/>
              <w:bottom w:w="0" w:type="dxa"/>
              <w:right w:w="20" w:type="dxa"/>
            </w:tcMar>
            <w:vAlign w:val="center"/>
            <w:hideMark/>
          </w:tcPr>
          <w:p w14:paraId="096C9031"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24E45BF4" w14:textId="77777777" w:rsidR="00000000" w:rsidRDefault="001D0688">
            <w:pPr>
              <w:jc w:val="center"/>
              <w:rPr>
                <w:rFonts w:eastAsia="Times New Roman"/>
              </w:rPr>
            </w:pPr>
            <w:r>
              <w:rPr>
                <w:rFonts w:ascii="Arial" w:eastAsia="Times New Roman" w:hAnsi="Arial" w:cs="Arial"/>
                <w:color w:val="000000"/>
                <w:sz w:val="14"/>
                <w:szCs w:val="14"/>
              </w:rPr>
              <w:t>Green</w:t>
            </w:r>
            <w:r>
              <w:rPr>
                <w:rFonts w:ascii="Arial" w:eastAsia="Times New Roman" w:hAnsi="Arial" w:cs="Arial"/>
                <w:color w:val="000000"/>
                <w:sz w:val="14"/>
                <w:szCs w:val="14"/>
              </w:rPr>
              <w:br/>
              <w:t>1/31/2019</w:t>
            </w:r>
          </w:p>
        </w:tc>
        <w:tc>
          <w:tcPr>
            <w:tcW w:w="0" w:type="auto"/>
            <w:gridSpan w:val="3"/>
            <w:shd w:val="clear" w:color="auto" w:fill="DCE2EF"/>
            <w:tcMar>
              <w:top w:w="0" w:type="dxa"/>
              <w:left w:w="20" w:type="dxa"/>
              <w:bottom w:w="0" w:type="dxa"/>
              <w:right w:w="20" w:type="dxa"/>
            </w:tcMar>
            <w:vAlign w:val="center"/>
            <w:hideMark/>
          </w:tcPr>
          <w:p w14:paraId="67A8634C"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41F65BA3"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23264DD0" w14:textId="77777777" w:rsidR="00000000" w:rsidRDefault="001D0688">
            <w:pPr>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14:paraId="0F83F6FD" w14:textId="77777777" w:rsidR="00000000" w:rsidRDefault="001D0688">
            <w:pPr>
              <w:jc w:val="right"/>
              <w:rPr>
                <w:rFonts w:eastAsia="Times New Roman"/>
              </w:rPr>
            </w:pPr>
            <w:r>
              <w:rPr>
                <w:rFonts w:ascii="Arial" w:eastAsia="Times New Roman" w:hAnsi="Arial" w:cs="Arial"/>
                <w:color w:val="000000"/>
                <w:sz w:val="14"/>
                <w:szCs w:val="14"/>
              </w:rPr>
              <w:t>7.1 </w:t>
            </w:r>
          </w:p>
        </w:tc>
        <w:tc>
          <w:tcPr>
            <w:tcW w:w="0" w:type="auto"/>
            <w:shd w:val="clear" w:color="auto" w:fill="DCE2EF"/>
            <w:tcMar>
              <w:top w:w="30" w:type="dxa"/>
              <w:left w:w="0" w:type="dxa"/>
              <w:bottom w:w="30" w:type="dxa"/>
              <w:right w:w="20" w:type="dxa"/>
            </w:tcMar>
            <w:vAlign w:val="center"/>
            <w:hideMark/>
          </w:tcPr>
          <w:p w14:paraId="54A6F3E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E7639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7EE3A789" w14:textId="77777777" w:rsidR="00000000" w:rsidRDefault="001D0688">
            <w:pPr>
              <w:jc w:val="right"/>
              <w:rPr>
                <w:rFonts w:eastAsia="Times New Roman"/>
              </w:rPr>
            </w:pPr>
            <w:r>
              <w:rPr>
                <w:rFonts w:ascii="Arial" w:eastAsia="Times New Roman" w:hAnsi="Arial" w:cs="Arial"/>
                <w:color w:val="000000"/>
                <w:sz w:val="14"/>
                <w:szCs w:val="14"/>
              </w:rPr>
              <w:t>11.7 </w:t>
            </w:r>
          </w:p>
        </w:tc>
        <w:tc>
          <w:tcPr>
            <w:tcW w:w="0" w:type="auto"/>
            <w:shd w:val="clear" w:color="auto" w:fill="DCE2EF"/>
            <w:tcMar>
              <w:top w:w="30" w:type="dxa"/>
              <w:left w:w="0" w:type="dxa"/>
              <w:bottom w:w="30" w:type="dxa"/>
              <w:right w:w="20" w:type="dxa"/>
            </w:tcMar>
            <w:vAlign w:val="center"/>
            <w:hideMark/>
          </w:tcPr>
          <w:p w14:paraId="7E9F284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D83EA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14E74117" w14:textId="77777777" w:rsidR="00000000" w:rsidRDefault="001D0688">
            <w:pPr>
              <w:jc w:val="right"/>
              <w:rPr>
                <w:rFonts w:eastAsia="Times New Roman"/>
              </w:rPr>
            </w:pPr>
            <w:r>
              <w:rPr>
                <w:rFonts w:ascii="Arial" w:eastAsia="Times New Roman" w:hAnsi="Arial" w:cs="Arial"/>
                <w:color w:val="000000"/>
                <w:sz w:val="14"/>
                <w:szCs w:val="14"/>
              </w:rPr>
              <w:t>11.0 </w:t>
            </w:r>
          </w:p>
        </w:tc>
        <w:tc>
          <w:tcPr>
            <w:tcW w:w="0" w:type="auto"/>
            <w:shd w:val="clear" w:color="auto" w:fill="DCE2EF"/>
            <w:tcMar>
              <w:top w:w="30" w:type="dxa"/>
              <w:left w:w="0" w:type="dxa"/>
              <w:bottom w:w="30" w:type="dxa"/>
              <w:right w:w="20" w:type="dxa"/>
            </w:tcMar>
            <w:vAlign w:val="center"/>
            <w:hideMark/>
          </w:tcPr>
          <w:p w14:paraId="06B8D55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DD371B"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14:paraId="7097F21A"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102FD3D9"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15DEDDD0" w14:textId="77777777" w:rsidR="00000000" w:rsidRDefault="001D0688">
            <w:pPr>
              <w:jc w:val="center"/>
              <w:rPr>
                <w:rFonts w:eastAsia="Times New Roman"/>
              </w:rPr>
            </w:pPr>
            <w:r>
              <w:rPr>
                <w:rFonts w:ascii="Arial" w:eastAsia="Times New Roman" w:hAnsi="Arial" w:cs="Arial"/>
                <w:color w:val="000000"/>
                <w:sz w:val="14"/>
                <w:szCs w:val="14"/>
              </w:rPr>
              <w:t>4/30/2021 –</w:t>
            </w:r>
          </w:p>
          <w:p w14:paraId="21F02DF6" w14:textId="77777777" w:rsidR="00000000" w:rsidRDefault="001D0688">
            <w:pPr>
              <w:jc w:val="center"/>
              <w:rPr>
                <w:rFonts w:eastAsia="Times New Roman"/>
              </w:rPr>
            </w:pPr>
            <w:r>
              <w:rPr>
                <w:rFonts w:ascii="Arial" w:eastAsia="Times New Roman" w:hAnsi="Arial" w:cs="Arial"/>
                <w:color w:val="000000"/>
                <w:sz w:val="14"/>
                <w:szCs w:val="14"/>
              </w:rPr>
              <w:t>12/31/2022</w:t>
            </w:r>
          </w:p>
        </w:tc>
      </w:tr>
      <w:tr w:rsidR="00000000" w14:paraId="3330DD3A" w14:textId="77777777">
        <w:trPr>
          <w:divId w:val="1518498822"/>
        </w:trPr>
        <w:tc>
          <w:tcPr>
            <w:tcW w:w="0" w:type="auto"/>
            <w:gridSpan w:val="3"/>
            <w:shd w:val="clear" w:color="auto" w:fill="FFFFFF"/>
            <w:tcMar>
              <w:top w:w="30" w:type="dxa"/>
              <w:left w:w="20" w:type="dxa"/>
              <w:bottom w:w="30" w:type="dxa"/>
              <w:right w:w="20" w:type="dxa"/>
            </w:tcMar>
            <w:vAlign w:val="center"/>
            <w:hideMark/>
          </w:tcPr>
          <w:p w14:paraId="62240C16" w14:textId="77777777" w:rsidR="00000000" w:rsidRDefault="001D0688">
            <w:pPr>
              <w:rPr>
                <w:rFonts w:eastAsia="Times New Roman"/>
              </w:rPr>
            </w:pPr>
            <w:r>
              <w:rPr>
                <w:rFonts w:ascii="Arial" w:eastAsia="Times New Roman" w:hAnsi="Arial" w:cs="Arial"/>
                <w:color w:val="000000"/>
                <w:sz w:val="14"/>
                <w:szCs w:val="14"/>
              </w:rPr>
              <w:t xml:space="preserve">SEIU Local 1 &amp; </w:t>
            </w:r>
            <w:r>
              <w:rPr>
                <w:rFonts w:ascii="Arial" w:eastAsia="Times New Roman" w:hAnsi="Arial" w:cs="Arial"/>
                <w:color w:val="000000"/>
                <w:sz w:val="14"/>
                <w:szCs w:val="14"/>
              </w:rPr>
              <w:t>Participating Employers Pension Trust</w:t>
            </w:r>
          </w:p>
        </w:tc>
        <w:tc>
          <w:tcPr>
            <w:tcW w:w="0" w:type="auto"/>
            <w:gridSpan w:val="3"/>
            <w:shd w:val="clear" w:color="auto" w:fill="FFFFFF"/>
            <w:tcMar>
              <w:top w:w="0" w:type="dxa"/>
              <w:left w:w="20" w:type="dxa"/>
              <w:bottom w:w="0" w:type="dxa"/>
              <w:right w:w="20" w:type="dxa"/>
            </w:tcMar>
            <w:vAlign w:val="center"/>
            <w:hideMark/>
          </w:tcPr>
          <w:p w14:paraId="1BF093D1"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7637B02" w14:textId="77777777" w:rsidR="00000000" w:rsidRDefault="001D0688">
            <w:pPr>
              <w:jc w:val="center"/>
              <w:rPr>
                <w:rFonts w:eastAsia="Times New Roman"/>
              </w:rPr>
            </w:pPr>
            <w:r>
              <w:rPr>
                <w:rFonts w:ascii="Arial" w:eastAsia="Times New Roman" w:hAnsi="Arial" w:cs="Arial"/>
                <w:color w:val="000000"/>
                <w:sz w:val="14"/>
                <w:szCs w:val="14"/>
              </w:rPr>
              <w:t xml:space="preserve">36-6486542 / </w:t>
            </w:r>
          </w:p>
          <w:p w14:paraId="3E7303DF" w14:textId="77777777" w:rsidR="00000000" w:rsidRDefault="001D0688">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14:paraId="5D685D7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7D7C907" w14:textId="77777777" w:rsidR="00000000" w:rsidRDefault="001D0688">
            <w:pPr>
              <w:jc w:val="center"/>
              <w:rPr>
                <w:rFonts w:eastAsia="Times New Roman"/>
              </w:rPr>
            </w:pPr>
            <w:r>
              <w:rPr>
                <w:rFonts w:ascii="Arial" w:eastAsia="Times New Roman" w:hAnsi="Arial" w:cs="Arial"/>
                <w:color w:val="000000"/>
                <w:sz w:val="14"/>
                <w:szCs w:val="14"/>
              </w:rPr>
              <w:t>Green</w:t>
            </w:r>
          </w:p>
          <w:p w14:paraId="7C47B6A1" w14:textId="77777777" w:rsidR="00000000" w:rsidRDefault="001D0688">
            <w:pPr>
              <w:jc w:val="center"/>
              <w:rPr>
                <w:rFonts w:eastAsia="Times New Roman"/>
              </w:rPr>
            </w:pPr>
            <w:r>
              <w:rPr>
                <w:rFonts w:ascii="Arial" w:eastAsia="Times New Roman" w:hAnsi="Arial" w:cs="Arial"/>
                <w:color w:val="000000"/>
                <w:sz w:val="14"/>
                <w:szCs w:val="14"/>
              </w:rPr>
              <w:t>9/30/2019</w:t>
            </w:r>
          </w:p>
        </w:tc>
        <w:tc>
          <w:tcPr>
            <w:tcW w:w="0" w:type="auto"/>
            <w:gridSpan w:val="3"/>
            <w:shd w:val="clear" w:color="auto" w:fill="FFFFFF"/>
            <w:tcMar>
              <w:top w:w="0" w:type="dxa"/>
              <w:left w:w="20" w:type="dxa"/>
              <w:bottom w:w="0" w:type="dxa"/>
              <w:right w:w="20" w:type="dxa"/>
            </w:tcMar>
            <w:vAlign w:val="center"/>
            <w:hideMark/>
          </w:tcPr>
          <w:p w14:paraId="66363B5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98E83F1" w14:textId="77777777" w:rsidR="00000000" w:rsidRDefault="001D0688">
            <w:pPr>
              <w:jc w:val="center"/>
              <w:rPr>
                <w:rFonts w:eastAsia="Times New Roman"/>
              </w:rPr>
            </w:pPr>
            <w:r>
              <w:rPr>
                <w:rFonts w:ascii="Arial" w:eastAsia="Times New Roman" w:hAnsi="Arial" w:cs="Arial"/>
                <w:color w:val="000000"/>
                <w:sz w:val="14"/>
                <w:szCs w:val="14"/>
              </w:rPr>
              <w:t>Green</w:t>
            </w:r>
            <w:r>
              <w:rPr>
                <w:rFonts w:ascii="Arial" w:eastAsia="Times New Roman" w:hAnsi="Arial" w:cs="Arial"/>
                <w:color w:val="000000"/>
                <w:sz w:val="14"/>
                <w:szCs w:val="14"/>
              </w:rPr>
              <w:br/>
              <w:t>9/30/2018</w:t>
            </w:r>
          </w:p>
        </w:tc>
        <w:tc>
          <w:tcPr>
            <w:tcW w:w="0" w:type="auto"/>
            <w:gridSpan w:val="3"/>
            <w:shd w:val="clear" w:color="auto" w:fill="FFFFFF"/>
            <w:tcMar>
              <w:top w:w="0" w:type="dxa"/>
              <w:left w:w="20" w:type="dxa"/>
              <w:bottom w:w="0" w:type="dxa"/>
              <w:right w:w="20" w:type="dxa"/>
            </w:tcMar>
            <w:vAlign w:val="center"/>
            <w:hideMark/>
          </w:tcPr>
          <w:p w14:paraId="7B68958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763C77B6"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08C97915" w14:textId="77777777" w:rsidR="00000000" w:rsidRDefault="001D0688">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36C6C3" w14:textId="77777777" w:rsidR="00000000" w:rsidRDefault="001D0688">
            <w:pPr>
              <w:jc w:val="right"/>
              <w:rPr>
                <w:rFonts w:eastAsia="Times New Roman"/>
              </w:rPr>
            </w:pPr>
            <w:r>
              <w:rPr>
                <w:rFonts w:ascii="Arial" w:eastAsia="Times New Roman" w:hAnsi="Arial" w:cs="Arial"/>
                <w:color w:val="000000"/>
                <w:sz w:val="14"/>
                <w:szCs w:val="14"/>
              </w:rPr>
              <w:t>4.3 </w:t>
            </w:r>
          </w:p>
        </w:tc>
        <w:tc>
          <w:tcPr>
            <w:tcW w:w="0" w:type="auto"/>
            <w:shd w:val="clear" w:color="auto" w:fill="FFFFFF"/>
            <w:tcMar>
              <w:top w:w="30" w:type="dxa"/>
              <w:left w:w="0" w:type="dxa"/>
              <w:bottom w:w="30" w:type="dxa"/>
              <w:right w:w="20" w:type="dxa"/>
            </w:tcMar>
            <w:vAlign w:val="center"/>
            <w:hideMark/>
          </w:tcPr>
          <w:p w14:paraId="3474002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6C5C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4EA643" w14:textId="77777777" w:rsidR="00000000" w:rsidRDefault="001D0688">
            <w:pPr>
              <w:jc w:val="right"/>
              <w:rPr>
                <w:rFonts w:eastAsia="Times New Roman"/>
              </w:rPr>
            </w:pPr>
            <w:r>
              <w:rPr>
                <w:rFonts w:ascii="Arial" w:eastAsia="Times New Roman" w:hAnsi="Arial" w:cs="Arial"/>
                <w:color w:val="000000"/>
                <w:sz w:val="14"/>
                <w:szCs w:val="14"/>
              </w:rPr>
              <w:t>5.1 </w:t>
            </w:r>
          </w:p>
        </w:tc>
        <w:tc>
          <w:tcPr>
            <w:tcW w:w="0" w:type="auto"/>
            <w:shd w:val="clear" w:color="auto" w:fill="FFFFFF"/>
            <w:tcMar>
              <w:top w:w="30" w:type="dxa"/>
              <w:left w:w="0" w:type="dxa"/>
              <w:bottom w:w="30" w:type="dxa"/>
              <w:right w:w="20" w:type="dxa"/>
            </w:tcMar>
            <w:vAlign w:val="center"/>
            <w:hideMark/>
          </w:tcPr>
          <w:p w14:paraId="1D4CFD9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8FB2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B889BF" w14:textId="77777777" w:rsidR="00000000" w:rsidRDefault="001D0688">
            <w:pPr>
              <w:jc w:val="right"/>
              <w:rPr>
                <w:rFonts w:eastAsia="Times New Roman"/>
              </w:rPr>
            </w:pPr>
            <w:r>
              <w:rPr>
                <w:rFonts w:ascii="Arial" w:eastAsia="Times New Roman" w:hAnsi="Arial" w:cs="Arial"/>
                <w:color w:val="000000"/>
                <w:sz w:val="14"/>
                <w:szCs w:val="14"/>
              </w:rPr>
              <w:t>5.8 </w:t>
            </w:r>
          </w:p>
        </w:tc>
        <w:tc>
          <w:tcPr>
            <w:tcW w:w="0" w:type="auto"/>
            <w:shd w:val="clear" w:color="auto" w:fill="FFFFFF"/>
            <w:tcMar>
              <w:top w:w="30" w:type="dxa"/>
              <w:left w:w="0" w:type="dxa"/>
              <w:bottom w:w="30" w:type="dxa"/>
              <w:right w:w="20" w:type="dxa"/>
            </w:tcMar>
            <w:vAlign w:val="center"/>
            <w:hideMark/>
          </w:tcPr>
          <w:p w14:paraId="3089382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C3338"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6F85B944"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7821624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3C54D3D" w14:textId="77777777" w:rsidR="00000000" w:rsidRDefault="001D0688">
            <w:pPr>
              <w:jc w:val="center"/>
              <w:rPr>
                <w:rFonts w:eastAsia="Times New Roman"/>
              </w:rPr>
            </w:pPr>
            <w:r>
              <w:rPr>
                <w:rFonts w:ascii="Arial" w:eastAsia="Times New Roman" w:hAnsi="Arial" w:cs="Arial"/>
                <w:color w:val="000000"/>
                <w:sz w:val="14"/>
                <w:szCs w:val="14"/>
              </w:rPr>
              <w:t>4/4/2021</w:t>
            </w:r>
          </w:p>
        </w:tc>
      </w:tr>
      <w:tr w:rsidR="00000000" w14:paraId="24AFC71B" w14:textId="77777777">
        <w:trPr>
          <w:divId w:val="1518498822"/>
        </w:trPr>
        <w:tc>
          <w:tcPr>
            <w:tcW w:w="0" w:type="auto"/>
            <w:gridSpan w:val="3"/>
            <w:shd w:val="clear" w:color="auto" w:fill="DCE2EF"/>
            <w:tcMar>
              <w:top w:w="30" w:type="dxa"/>
              <w:left w:w="20" w:type="dxa"/>
              <w:bottom w:w="30" w:type="dxa"/>
              <w:right w:w="20" w:type="dxa"/>
            </w:tcMar>
            <w:vAlign w:val="center"/>
            <w:hideMark/>
          </w:tcPr>
          <w:p w14:paraId="74A3B928" w14:textId="77777777" w:rsidR="00000000" w:rsidRDefault="001D0688">
            <w:pPr>
              <w:rPr>
                <w:rFonts w:eastAsia="Times New Roman"/>
              </w:rPr>
            </w:pPr>
            <w:r>
              <w:rPr>
                <w:rFonts w:ascii="Arial" w:eastAsia="Times New Roman" w:hAnsi="Arial" w:cs="Arial"/>
                <w:color w:val="000000"/>
                <w:sz w:val="14"/>
                <w:szCs w:val="14"/>
              </w:rPr>
              <w:t>IUOE Stationary Engineers Local 39 Pension Plan</w:t>
            </w:r>
          </w:p>
        </w:tc>
        <w:tc>
          <w:tcPr>
            <w:tcW w:w="0" w:type="auto"/>
            <w:gridSpan w:val="3"/>
            <w:shd w:val="clear" w:color="auto" w:fill="DCE2EF"/>
            <w:tcMar>
              <w:top w:w="0" w:type="dxa"/>
              <w:left w:w="20" w:type="dxa"/>
              <w:bottom w:w="0" w:type="dxa"/>
              <w:right w:w="20" w:type="dxa"/>
            </w:tcMar>
            <w:vAlign w:val="center"/>
            <w:hideMark/>
          </w:tcPr>
          <w:p w14:paraId="4803317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3D8E48ED" w14:textId="77777777" w:rsidR="00000000" w:rsidRDefault="001D0688">
            <w:pPr>
              <w:jc w:val="center"/>
              <w:rPr>
                <w:rFonts w:eastAsia="Times New Roman"/>
              </w:rPr>
            </w:pPr>
            <w:r>
              <w:rPr>
                <w:rFonts w:ascii="Arial" w:eastAsia="Times New Roman" w:hAnsi="Arial" w:cs="Arial"/>
                <w:color w:val="000000"/>
                <w:sz w:val="14"/>
                <w:szCs w:val="14"/>
              </w:rPr>
              <w:t xml:space="preserve">94-6118939 / </w:t>
            </w:r>
          </w:p>
          <w:p w14:paraId="16906EA3" w14:textId="77777777" w:rsidR="00000000" w:rsidRDefault="001D0688">
            <w:pPr>
              <w:jc w:val="center"/>
              <w:rPr>
                <w:rFonts w:eastAsia="Times New Roman"/>
              </w:rPr>
            </w:pPr>
            <w:r>
              <w:rPr>
                <w:rFonts w:ascii="Arial" w:eastAsia="Times New Roman" w:hAnsi="Arial" w:cs="Arial"/>
                <w:color w:val="000000"/>
                <w:sz w:val="14"/>
                <w:szCs w:val="14"/>
              </w:rPr>
              <w:t>001</w:t>
            </w:r>
          </w:p>
        </w:tc>
        <w:tc>
          <w:tcPr>
            <w:tcW w:w="0" w:type="auto"/>
            <w:gridSpan w:val="3"/>
            <w:shd w:val="clear" w:color="auto" w:fill="DCE2EF"/>
            <w:tcMar>
              <w:top w:w="0" w:type="dxa"/>
              <w:left w:w="20" w:type="dxa"/>
              <w:bottom w:w="0" w:type="dxa"/>
              <w:right w:w="20" w:type="dxa"/>
            </w:tcMar>
            <w:vAlign w:val="center"/>
            <w:hideMark/>
          </w:tcPr>
          <w:p w14:paraId="3DF12215"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66B54250" w14:textId="77777777" w:rsidR="00000000" w:rsidRDefault="001D0688">
            <w:pPr>
              <w:jc w:val="center"/>
              <w:rPr>
                <w:rFonts w:eastAsia="Times New Roman"/>
              </w:rPr>
            </w:pPr>
            <w:r>
              <w:rPr>
                <w:rFonts w:ascii="Arial" w:eastAsia="Times New Roman" w:hAnsi="Arial" w:cs="Arial"/>
                <w:color w:val="000000"/>
                <w:sz w:val="14"/>
                <w:szCs w:val="14"/>
              </w:rPr>
              <w:t>Green</w:t>
            </w:r>
          </w:p>
          <w:p w14:paraId="52BDEA3A" w14:textId="77777777" w:rsidR="00000000" w:rsidRDefault="001D0688">
            <w:pPr>
              <w:jc w:val="center"/>
              <w:rPr>
                <w:rFonts w:eastAsia="Times New Roman"/>
              </w:rPr>
            </w:pPr>
            <w:r>
              <w:rPr>
                <w:rFonts w:ascii="Arial" w:eastAsia="Times New Roman" w:hAnsi="Arial" w:cs="Arial"/>
                <w:color w:val="000000"/>
                <w:sz w:val="14"/>
                <w:szCs w:val="14"/>
              </w:rPr>
              <w:t>12/31/2019</w:t>
            </w:r>
          </w:p>
        </w:tc>
        <w:tc>
          <w:tcPr>
            <w:tcW w:w="0" w:type="auto"/>
            <w:gridSpan w:val="3"/>
            <w:shd w:val="clear" w:color="auto" w:fill="DCE2EF"/>
            <w:tcMar>
              <w:top w:w="0" w:type="dxa"/>
              <w:left w:w="20" w:type="dxa"/>
              <w:bottom w:w="0" w:type="dxa"/>
              <w:right w:w="20" w:type="dxa"/>
            </w:tcMar>
            <w:vAlign w:val="center"/>
            <w:hideMark/>
          </w:tcPr>
          <w:p w14:paraId="5ACF93E0"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6868EC49" w14:textId="77777777" w:rsidR="00000000" w:rsidRDefault="001D0688">
            <w:pPr>
              <w:jc w:val="center"/>
              <w:rPr>
                <w:rFonts w:eastAsia="Times New Roman"/>
              </w:rPr>
            </w:pPr>
            <w:r>
              <w:rPr>
                <w:rFonts w:ascii="Arial" w:eastAsia="Times New Roman" w:hAnsi="Arial" w:cs="Arial"/>
                <w:color w:val="000000"/>
                <w:sz w:val="14"/>
                <w:szCs w:val="14"/>
              </w:rPr>
              <w:t>Green</w:t>
            </w:r>
            <w:r>
              <w:rPr>
                <w:rFonts w:ascii="Arial" w:eastAsia="Times New Roman" w:hAnsi="Arial" w:cs="Arial"/>
                <w:color w:val="000000"/>
                <w:sz w:val="14"/>
                <w:szCs w:val="14"/>
              </w:rPr>
              <w:br/>
              <w:t>12/31/2018</w:t>
            </w:r>
          </w:p>
        </w:tc>
        <w:tc>
          <w:tcPr>
            <w:tcW w:w="0" w:type="auto"/>
            <w:gridSpan w:val="3"/>
            <w:shd w:val="clear" w:color="auto" w:fill="DCE2EF"/>
            <w:tcMar>
              <w:top w:w="0" w:type="dxa"/>
              <w:left w:w="20" w:type="dxa"/>
              <w:bottom w:w="0" w:type="dxa"/>
              <w:right w:w="20" w:type="dxa"/>
            </w:tcMar>
            <w:vAlign w:val="center"/>
            <w:hideMark/>
          </w:tcPr>
          <w:p w14:paraId="1C3DACA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05152703"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1786553D" w14:textId="77777777" w:rsidR="00000000" w:rsidRDefault="001D0688">
            <w:pPr>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14:paraId="1780D303" w14:textId="77777777" w:rsidR="00000000" w:rsidRDefault="001D0688">
            <w:pPr>
              <w:jc w:val="right"/>
              <w:rPr>
                <w:rFonts w:eastAsia="Times New Roman"/>
              </w:rPr>
            </w:pPr>
            <w:r>
              <w:rPr>
                <w:rFonts w:ascii="Arial" w:eastAsia="Times New Roman" w:hAnsi="Arial" w:cs="Arial"/>
                <w:color w:val="000000"/>
                <w:sz w:val="14"/>
                <w:szCs w:val="14"/>
              </w:rPr>
              <w:t>4.3 </w:t>
            </w:r>
          </w:p>
        </w:tc>
        <w:tc>
          <w:tcPr>
            <w:tcW w:w="0" w:type="auto"/>
            <w:shd w:val="clear" w:color="auto" w:fill="DCE2EF"/>
            <w:tcMar>
              <w:top w:w="30" w:type="dxa"/>
              <w:left w:w="0" w:type="dxa"/>
              <w:bottom w:w="30" w:type="dxa"/>
              <w:right w:w="20" w:type="dxa"/>
            </w:tcMar>
            <w:vAlign w:val="center"/>
            <w:hideMark/>
          </w:tcPr>
          <w:p w14:paraId="442BE95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A4755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37377629" w14:textId="77777777" w:rsidR="00000000" w:rsidRDefault="001D0688">
            <w:pPr>
              <w:jc w:val="right"/>
              <w:rPr>
                <w:rFonts w:eastAsia="Times New Roman"/>
              </w:rPr>
            </w:pPr>
            <w:r>
              <w:rPr>
                <w:rFonts w:ascii="Arial" w:eastAsia="Times New Roman" w:hAnsi="Arial" w:cs="Arial"/>
                <w:color w:val="000000"/>
                <w:sz w:val="14"/>
                <w:szCs w:val="14"/>
              </w:rPr>
              <w:t>4.6 </w:t>
            </w:r>
          </w:p>
        </w:tc>
        <w:tc>
          <w:tcPr>
            <w:tcW w:w="0" w:type="auto"/>
            <w:shd w:val="clear" w:color="auto" w:fill="DCE2EF"/>
            <w:tcMar>
              <w:top w:w="30" w:type="dxa"/>
              <w:left w:w="0" w:type="dxa"/>
              <w:bottom w:w="30" w:type="dxa"/>
              <w:right w:w="20" w:type="dxa"/>
            </w:tcMar>
            <w:vAlign w:val="center"/>
            <w:hideMark/>
          </w:tcPr>
          <w:p w14:paraId="65BCC2A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8496F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14:paraId="1AA0B689" w14:textId="77777777" w:rsidR="00000000" w:rsidRDefault="001D0688">
            <w:pPr>
              <w:jc w:val="right"/>
              <w:rPr>
                <w:rFonts w:eastAsia="Times New Roman"/>
              </w:rPr>
            </w:pPr>
            <w:r>
              <w:rPr>
                <w:rFonts w:ascii="Arial" w:eastAsia="Times New Roman" w:hAnsi="Arial" w:cs="Arial"/>
                <w:color w:val="000000"/>
                <w:sz w:val="14"/>
                <w:szCs w:val="14"/>
              </w:rPr>
              <w:t>5.2 </w:t>
            </w:r>
          </w:p>
        </w:tc>
        <w:tc>
          <w:tcPr>
            <w:tcW w:w="0" w:type="auto"/>
            <w:shd w:val="clear" w:color="auto" w:fill="DCE2EF"/>
            <w:tcMar>
              <w:top w:w="30" w:type="dxa"/>
              <w:left w:w="0" w:type="dxa"/>
              <w:bottom w:w="30" w:type="dxa"/>
              <w:right w:w="20" w:type="dxa"/>
            </w:tcMar>
            <w:vAlign w:val="center"/>
            <w:hideMark/>
          </w:tcPr>
          <w:p w14:paraId="228764B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2F63C6" w14:textId="77777777" w:rsidR="00000000" w:rsidRDefault="001D0688">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14:paraId="18136B9D"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14:paraId="3C1420D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14:paraId="6B3D3B96" w14:textId="77777777" w:rsidR="00000000" w:rsidRDefault="001D0688">
            <w:pPr>
              <w:jc w:val="center"/>
              <w:rPr>
                <w:rFonts w:eastAsia="Times New Roman"/>
              </w:rPr>
            </w:pPr>
            <w:r>
              <w:rPr>
                <w:rFonts w:ascii="Arial" w:eastAsia="Times New Roman" w:hAnsi="Arial" w:cs="Arial"/>
                <w:color w:val="000000"/>
                <w:sz w:val="14"/>
                <w:szCs w:val="14"/>
              </w:rPr>
              <w:t>11/15/2020 –</w:t>
            </w:r>
          </w:p>
          <w:p w14:paraId="2723D504" w14:textId="77777777" w:rsidR="00000000" w:rsidRDefault="001D0688">
            <w:pPr>
              <w:jc w:val="center"/>
              <w:rPr>
                <w:rFonts w:eastAsia="Times New Roman"/>
              </w:rPr>
            </w:pPr>
            <w:r>
              <w:rPr>
                <w:rFonts w:ascii="Arial" w:eastAsia="Times New Roman" w:hAnsi="Arial" w:cs="Arial"/>
                <w:color w:val="000000"/>
                <w:sz w:val="14"/>
                <w:szCs w:val="14"/>
              </w:rPr>
              <w:t>10/31/2024</w:t>
            </w:r>
          </w:p>
        </w:tc>
      </w:tr>
      <w:tr w:rsidR="00000000" w14:paraId="4DA1CC5F" w14:textId="77777777">
        <w:trPr>
          <w:divId w:val="1518498822"/>
        </w:trPr>
        <w:tc>
          <w:tcPr>
            <w:tcW w:w="0" w:type="auto"/>
            <w:gridSpan w:val="3"/>
            <w:shd w:val="clear" w:color="auto" w:fill="FFFFFF"/>
            <w:tcMar>
              <w:top w:w="30" w:type="dxa"/>
              <w:left w:w="20" w:type="dxa"/>
              <w:bottom w:w="30" w:type="dxa"/>
              <w:right w:w="20" w:type="dxa"/>
            </w:tcMar>
            <w:vAlign w:val="center"/>
            <w:hideMark/>
          </w:tcPr>
          <w:p w14:paraId="067629AF" w14:textId="77777777" w:rsidR="00000000" w:rsidRDefault="001D0688">
            <w:pPr>
              <w:rPr>
                <w:rFonts w:eastAsia="Times New Roman"/>
              </w:rPr>
            </w:pPr>
            <w:r>
              <w:rPr>
                <w:rFonts w:ascii="Arial" w:eastAsia="Times New Roman" w:hAnsi="Arial" w:cs="Arial"/>
                <w:color w:val="000000"/>
                <w:sz w:val="14"/>
                <w:szCs w:val="14"/>
              </w:rPr>
              <w:t>Western Conference of Teamsters Pension Plan</w:t>
            </w:r>
          </w:p>
        </w:tc>
        <w:tc>
          <w:tcPr>
            <w:tcW w:w="0" w:type="auto"/>
            <w:gridSpan w:val="3"/>
            <w:shd w:val="clear" w:color="auto" w:fill="FFFFFF"/>
            <w:tcMar>
              <w:top w:w="0" w:type="dxa"/>
              <w:left w:w="20" w:type="dxa"/>
              <w:bottom w:w="0" w:type="dxa"/>
              <w:right w:w="20" w:type="dxa"/>
            </w:tcMar>
            <w:vAlign w:val="center"/>
            <w:hideMark/>
          </w:tcPr>
          <w:p w14:paraId="7E29CE0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4D0D561" w14:textId="77777777" w:rsidR="00000000" w:rsidRDefault="001D0688">
            <w:pPr>
              <w:jc w:val="center"/>
              <w:rPr>
                <w:rFonts w:eastAsia="Times New Roman"/>
              </w:rPr>
            </w:pPr>
            <w:r>
              <w:rPr>
                <w:rFonts w:ascii="Arial" w:eastAsia="Times New Roman" w:hAnsi="Arial" w:cs="Arial"/>
                <w:color w:val="000000"/>
                <w:sz w:val="14"/>
                <w:szCs w:val="14"/>
              </w:rPr>
              <w:t xml:space="preserve">91-6145047 / </w:t>
            </w:r>
          </w:p>
          <w:p w14:paraId="7A96BBFB" w14:textId="77777777" w:rsidR="00000000" w:rsidRDefault="001D0688">
            <w:pPr>
              <w:jc w:val="center"/>
              <w:rPr>
                <w:rFonts w:eastAsia="Times New Roman"/>
              </w:rPr>
            </w:pPr>
            <w:r>
              <w:rPr>
                <w:rFonts w:ascii="Arial" w:eastAsia="Times New Roman" w:hAnsi="Arial" w:cs="Arial"/>
                <w:color w:val="000000"/>
                <w:sz w:val="14"/>
                <w:szCs w:val="14"/>
              </w:rPr>
              <w:t xml:space="preserve">001 </w:t>
            </w:r>
          </w:p>
        </w:tc>
        <w:tc>
          <w:tcPr>
            <w:tcW w:w="0" w:type="auto"/>
            <w:gridSpan w:val="3"/>
            <w:shd w:val="clear" w:color="auto" w:fill="FFFFFF"/>
            <w:tcMar>
              <w:top w:w="0" w:type="dxa"/>
              <w:left w:w="20" w:type="dxa"/>
              <w:bottom w:w="0" w:type="dxa"/>
              <w:right w:w="20" w:type="dxa"/>
            </w:tcMar>
            <w:vAlign w:val="center"/>
            <w:hideMark/>
          </w:tcPr>
          <w:p w14:paraId="03B692E9"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E2E988A" w14:textId="77777777" w:rsidR="00000000" w:rsidRDefault="001D0688">
            <w:pPr>
              <w:jc w:val="center"/>
              <w:rPr>
                <w:rFonts w:eastAsia="Times New Roman"/>
              </w:rPr>
            </w:pPr>
            <w:r>
              <w:rPr>
                <w:rFonts w:ascii="Arial" w:eastAsia="Times New Roman" w:hAnsi="Arial" w:cs="Arial"/>
                <w:color w:val="000000"/>
                <w:sz w:val="14"/>
                <w:szCs w:val="14"/>
              </w:rPr>
              <w:t>Green</w:t>
            </w:r>
          </w:p>
          <w:p w14:paraId="2C9E99D6" w14:textId="77777777" w:rsidR="00000000" w:rsidRDefault="001D0688">
            <w:pPr>
              <w:jc w:val="center"/>
              <w:rPr>
                <w:rFonts w:eastAsia="Times New Roman"/>
              </w:rPr>
            </w:pPr>
            <w:r>
              <w:rPr>
                <w:rFonts w:ascii="Arial" w:eastAsia="Times New Roman" w:hAnsi="Arial" w:cs="Arial"/>
                <w:color w:val="000000"/>
                <w:sz w:val="14"/>
                <w:szCs w:val="14"/>
              </w:rPr>
              <w:t>12/31/2019</w:t>
            </w:r>
          </w:p>
        </w:tc>
        <w:tc>
          <w:tcPr>
            <w:tcW w:w="0" w:type="auto"/>
            <w:gridSpan w:val="3"/>
            <w:shd w:val="clear" w:color="auto" w:fill="FFFFFF"/>
            <w:tcMar>
              <w:top w:w="0" w:type="dxa"/>
              <w:left w:w="20" w:type="dxa"/>
              <w:bottom w:w="0" w:type="dxa"/>
              <w:right w:w="20" w:type="dxa"/>
            </w:tcMar>
            <w:vAlign w:val="center"/>
            <w:hideMark/>
          </w:tcPr>
          <w:p w14:paraId="5B8066F4"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7FA9207" w14:textId="77777777" w:rsidR="00000000" w:rsidRDefault="001D0688">
            <w:pPr>
              <w:jc w:val="center"/>
              <w:rPr>
                <w:rFonts w:eastAsia="Times New Roman"/>
              </w:rPr>
            </w:pPr>
            <w:r>
              <w:rPr>
                <w:rFonts w:ascii="Arial" w:eastAsia="Times New Roman" w:hAnsi="Arial" w:cs="Arial"/>
                <w:color w:val="000000"/>
                <w:sz w:val="14"/>
                <w:szCs w:val="14"/>
              </w:rPr>
              <w:t>Green</w:t>
            </w:r>
            <w:r>
              <w:rPr>
                <w:rFonts w:ascii="Arial" w:eastAsia="Times New Roman" w:hAnsi="Arial" w:cs="Arial"/>
                <w:color w:val="000000"/>
                <w:sz w:val="14"/>
                <w:szCs w:val="14"/>
              </w:rPr>
              <w:br/>
              <w:t>12/31/2018</w:t>
            </w:r>
          </w:p>
        </w:tc>
        <w:tc>
          <w:tcPr>
            <w:tcW w:w="0" w:type="auto"/>
            <w:gridSpan w:val="3"/>
            <w:shd w:val="clear" w:color="auto" w:fill="FFFFFF"/>
            <w:tcMar>
              <w:top w:w="0" w:type="dxa"/>
              <w:left w:w="20" w:type="dxa"/>
              <w:bottom w:w="0" w:type="dxa"/>
              <w:right w:w="20" w:type="dxa"/>
            </w:tcMar>
            <w:vAlign w:val="center"/>
            <w:hideMark/>
          </w:tcPr>
          <w:p w14:paraId="12C10C4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300012B"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02398326" w14:textId="77777777" w:rsidR="00000000" w:rsidRDefault="001D0688">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36908F1" w14:textId="77777777" w:rsidR="00000000" w:rsidRDefault="001D0688">
            <w:pPr>
              <w:jc w:val="right"/>
              <w:rPr>
                <w:rFonts w:eastAsia="Times New Roman"/>
              </w:rPr>
            </w:pPr>
            <w:r>
              <w:rPr>
                <w:rFonts w:ascii="Arial" w:eastAsia="Times New Roman" w:hAnsi="Arial" w:cs="Arial"/>
                <w:color w:val="000000"/>
                <w:sz w:val="14"/>
                <w:szCs w:val="14"/>
              </w:rPr>
              <w:t>2.5 </w:t>
            </w:r>
          </w:p>
        </w:tc>
        <w:tc>
          <w:tcPr>
            <w:tcW w:w="0" w:type="auto"/>
            <w:shd w:val="clear" w:color="auto" w:fill="FFFFFF"/>
            <w:tcMar>
              <w:top w:w="30" w:type="dxa"/>
              <w:left w:w="0" w:type="dxa"/>
              <w:bottom w:w="30" w:type="dxa"/>
              <w:right w:w="20" w:type="dxa"/>
            </w:tcMar>
            <w:vAlign w:val="center"/>
            <w:hideMark/>
          </w:tcPr>
          <w:p w14:paraId="1F88F1F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7C7E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7DD393" w14:textId="77777777" w:rsidR="00000000" w:rsidRDefault="001D0688">
            <w:pPr>
              <w:jc w:val="right"/>
              <w:rPr>
                <w:rFonts w:eastAsia="Times New Roman"/>
              </w:rPr>
            </w:pPr>
            <w:r>
              <w:rPr>
                <w:rFonts w:ascii="Arial" w:eastAsia="Times New Roman" w:hAnsi="Arial" w:cs="Arial"/>
                <w:color w:val="000000"/>
                <w:sz w:val="14"/>
                <w:szCs w:val="14"/>
              </w:rPr>
              <w:t>3.1 </w:t>
            </w:r>
          </w:p>
        </w:tc>
        <w:tc>
          <w:tcPr>
            <w:tcW w:w="0" w:type="auto"/>
            <w:shd w:val="clear" w:color="auto" w:fill="FFFFFF"/>
            <w:tcMar>
              <w:top w:w="30" w:type="dxa"/>
              <w:left w:w="0" w:type="dxa"/>
              <w:bottom w:w="30" w:type="dxa"/>
              <w:right w:w="20" w:type="dxa"/>
            </w:tcMar>
            <w:vAlign w:val="center"/>
            <w:hideMark/>
          </w:tcPr>
          <w:p w14:paraId="222A674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8BD1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0B4BA9" w14:textId="77777777" w:rsidR="00000000" w:rsidRDefault="001D0688">
            <w:pPr>
              <w:jc w:val="right"/>
              <w:rPr>
                <w:rFonts w:eastAsia="Times New Roman"/>
              </w:rPr>
            </w:pPr>
            <w:r>
              <w:rPr>
                <w:rFonts w:ascii="Arial" w:eastAsia="Times New Roman" w:hAnsi="Arial" w:cs="Arial"/>
                <w:color w:val="000000"/>
                <w:sz w:val="14"/>
                <w:szCs w:val="14"/>
              </w:rPr>
              <w:t>3.1 </w:t>
            </w:r>
          </w:p>
        </w:tc>
        <w:tc>
          <w:tcPr>
            <w:tcW w:w="0" w:type="auto"/>
            <w:shd w:val="clear" w:color="auto" w:fill="FFFFFF"/>
            <w:tcMar>
              <w:top w:w="30" w:type="dxa"/>
              <w:left w:w="0" w:type="dxa"/>
              <w:bottom w:w="30" w:type="dxa"/>
              <w:right w:w="20" w:type="dxa"/>
            </w:tcMar>
            <w:vAlign w:val="center"/>
            <w:hideMark/>
          </w:tcPr>
          <w:p w14:paraId="43627B9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C50F5" w14:textId="77777777" w:rsidR="00000000" w:rsidRDefault="001D0688">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232A9F92" w14:textId="77777777" w:rsidR="00000000" w:rsidRDefault="001D0688">
            <w:pPr>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14:paraId="35387257"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1874653" w14:textId="77777777" w:rsidR="00000000" w:rsidRDefault="001D0688">
            <w:pPr>
              <w:jc w:val="center"/>
              <w:rPr>
                <w:rFonts w:eastAsia="Times New Roman"/>
              </w:rPr>
            </w:pPr>
            <w:r>
              <w:rPr>
                <w:rFonts w:ascii="Arial" w:eastAsia="Times New Roman" w:hAnsi="Arial" w:cs="Arial"/>
                <w:color w:val="000000"/>
                <w:sz w:val="14"/>
                <w:szCs w:val="14"/>
              </w:rPr>
              <w:t>6/30/2021 –</w:t>
            </w:r>
            <w:r>
              <w:rPr>
                <w:rFonts w:ascii="Arial" w:eastAsia="Times New Roman" w:hAnsi="Arial" w:cs="Arial"/>
                <w:color w:val="000000"/>
                <w:sz w:val="14"/>
                <w:szCs w:val="14"/>
              </w:rPr>
              <w:br/>
              <w:t>11/30/2022</w:t>
            </w:r>
          </w:p>
        </w:tc>
      </w:tr>
      <w:tr w:rsidR="00000000" w14:paraId="6808D4B5" w14:textId="77777777">
        <w:trPr>
          <w:divId w:val="1518498822"/>
        </w:trPr>
        <w:tc>
          <w:tcPr>
            <w:tcW w:w="0" w:type="auto"/>
            <w:gridSpan w:val="3"/>
            <w:shd w:val="clear" w:color="auto" w:fill="DCE2EF"/>
            <w:tcMar>
              <w:top w:w="30" w:type="dxa"/>
              <w:left w:w="20" w:type="dxa"/>
              <w:bottom w:w="30" w:type="dxa"/>
              <w:right w:w="20" w:type="dxa"/>
            </w:tcMar>
            <w:vAlign w:val="bottom"/>
            <w:hideMark/>
          </w:tcPr>
          <w:p w14:paraId="532A39C5" w14:textId="77777777" w:rsidR="00000000" w:rsidRDefault="001D0688">
            <w:pPr>
              <w:rPr>
                <w:rFonts w:eastAsia="Times New Roman"/>
              </w:rPr>
            </w:pPr>
            <w:r>
              <w:rPr>
                <w:rFonts w:ascii="Arial" w:eastAsia="Times New Roman" w:hAnsi="Arial" w:cs="Arial"/>
                <w:i/>
                <w:iCs/>
                <w:color w:val="000000"/>
                <w:sz w:val="14"/>
                <w:szCs w:val="14"/>
              </w:rPr>
              <w:t>All Other Plans:</w:t>
            </w:r>
          </w:p>
        </w:tc>
        <w:tc>
          <w:tcPr>
            <w:tcW w:w="0" w:type="auto"/>
            <w:gridSpan w:val="3"/>
            <w:shd w:val="clear" w:color="auto" w:fill="DCE2EF"/>
            <w:tcMar>
              <w:top w:w="0" w:type="dxa"/>
              <w:left w:w="20" w:type="dxa"/>
              <w:bottom w:w="0" w:type="dxa"/>
              <w:right w:w="20" w:type="dxa"/>
            </w:tcMar>
            <w:vAlign w:val="center"/>
            <w:hideMark/>
          </w:tcPr>
          <w:p w14:paraId="15F70B91"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837AB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078B6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7CE9B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B1E8A3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DA9222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8FA7E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E29272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BD0D685" w14:textId="77777777" w:rsidR="00000000" w:rsidRDefault="001D0688">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C278BF" w14:textId="77777777" w:rsidR="00000000" w:rsidRDefault="001D0688">
            <w:pPr>
              <w:jc w:val="right"/>
              <w:rPr>
                <w:rFonts w:eastAsia="Times New Roman"/>
              </w:rPr>
            </w:pPr>
            <w:r>
              <w:rPr>
                <w:rFonts w:ascii="Arial" w:eastAsia="Times New Roman" w:hAnsi="Arial" w:cs="Arial"/>
                <w:color w:val="000000"/>
                <w:sz w:val="14"/>
                <w:szCs w:val="14"/>
              </w:rPr>
              <w:t>9.5 </w:t>
            </w:r>
          </w:p>
        </w:tc>
        <w:tc>
          <w:tcPr>
            <w:tcW w:w="0" w:type="auto"/>
            <w:shd w:val="clear" w:color="auto" w:fill="DCE2EF"/>
            <w:tcMar>
              <w:top w:w="30" w:type="dxa"/>
              <w:left w:w="0" w:type="dxa"/>
              <w:bottom w:w="30" w:type="dxa"/>
              <w:right w:w="20" w:type="dxa"/>
            </w:tcMar>
            <w:vAlign w:val="bottom"/>
            <w:hideMark/>
          </w:tcPr>
          <w:p w14:paraId="109EF55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375FD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650617" w14:textId="77777777" w:rsidR="00000000" w:rsidRDefault="001D0688">
            <w:pPr>
              <w:jc w:val="right"/>
              <w:rPr>
                <w:rFonts w:eastAsia="Times New Roman"/>
              </w:rPr>
            </w:pPr>
            <w:r>
              <w:rPr>
                <w:rFonts w:ascii="Arial" w:eastAsia="Times New Roman" w:hAnsi="Arial" w:cs="Arial"/>
                <w:color w:val="000000"/>
                <w:sz w:val="14"/>
                <w:szCs w:val="14"/>
              </w:rPr>
              <w:t>12.2 </w:t>
            </w:r>
          </w:p>
        </w:tc>
        <w:tc>
          <w:tcPr>
            <w:tcW w:w="0" w:type="auto"/>
            <w:shd w:val="clear" w:color="auto" w:fill="DCE2EF"/>
            <w:tcMar>
              <w:top w:w="30" w:type="dxa"/>
              <w:left w:w="0" w:type="dxa"/>
              <w:bottom w:w="30" w:type="dxa"/>
              <w:right w:w="20" w:type="dxa"/>
            </w:tcMar>
            <w:vAlign w:val="bottom"/>
            <w:hideMark/>
          </w:tcPr>
          <w:p w14:paraId="0EA7564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A6BFC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C184681" w14:textId="77777777" w:rsidR="00000000" w:rsidRDefault="001D0688">
            <w:pPr>
              <w:jc w:val="right"/>
              <w:rPr>
                <w:rFonts w:eastAsia="Times New Roman"/>
              </w:rPr>
            </w:pPr>
            <w:r>
              <w:rPr>
                <w:rFonts w:ascii="Arial" w:eastAsia="Times New Roman" w:hAnsi="Arial" w:cs="Arial"/>
                <w:color w:val="000000"/>
                <w:sz w:val="14"/>
                <w:szCs w:val="14"/>
              </w:rPr>
              <w:t>11.5 </w:t>
            </w:r>
          </w:p>
        </w:tc>
        <w:tc>
          <w:tcPr>
            <w:tcW w:w="0" w:type="auto"/>
            <w:shd w:val="clear" w:color="auto" w:fill="DCE2EF"/>
            <w:tcMar>
              <w:top w:w="30" w:type="dxa"/>
              <w:left w:w="0" w:type="dxa"/>
              <w:bottom w:w="30" w:type="dxa"/>
              <w:right w:w="20" w:type="dxa"/>
            </w:tcMar>
            <w:vAlign w:val="bottom"/>
            <w:hideMark/>
          </w:tcPr>
          <w:p w14:paraId="5A559D7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8635C5" w14:textId="77777777" w:rsidR="00000000" w:rsidRDefault="001D0688">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4C99D1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59D0D2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50E1357" w14:textId="77777777" w:rsidR="00000000" w:rsidRDefault="001D0688">
            <w:pPr>
              <w:rPr>
                <w:rFonts w:eastAsia="Times New Roman"/>
                <w:sz w:val="20"/>
                <w:szCs w:val="20"/>
              </w:rPr>
            </w:pPr>
          </w:p>
        </w:tc>
      </w:tr>
      <w:tr w:rsidR="00000000" w14:paraId="412F2531" w14:textId="77777777">
        <w:trPr>
          <w:divId w:val="1518498822"/>
        </w:trPr>
        <w:tc>
          <w:tcPr>
            <w:tcW w:w="0" w:type="auto"/>
            <w:gridSpan w:val="3"/>
            <w:shd w:val="clear" w:color="auto" w:fill="FFFFFF"/>
            <w:tcMar>
              <w:top w:w="30" w:type="dxa"/>
              <w:left w:w="20" w:type="dxa"/>
              <w:bottom w:w="30" w:type="dxa"/>
              <w:right w:w="20" w:type="dxa"/>
            </w:tcMar>
            <w:vAlign w:val="bottom"/>
            <w:hideMark/>
          </w:tcPr>
          <w:p w14:paraId="35D5175F" w14:textId="77777777" w:rsidR="00000000" w:rsidRDefault="001D0688">
            <w:pPr>
              <w:rPr>
                <w:rFonts w:eastAsia="Times New Roman"/>
              </w:rPr>
            </w:pPr>
            <w:r>
              <w:rPr>
                <w:rFonts w:ascii="Arial" w:eastAsia="Times New Roman" w:hAnsi="Arial" w:cs="Arial"/>
                <w:b/>
                <w:bCs/>
                <w:color w:val="000000"/>
                <w:sz w:val="14"/>
                <w:szCs w:val="14"/>
              </w:rPr>
              <w:t>Total Contributions</w:t>
            </w:r>
          </w:p>
        </w:tc>
        <w:tc>
          <w:tcPr>
            <w:tcW w:w="0" w:type="auto"/>
            <w:gridSpan w:val="3"/>
            <w:shd w:val="clear" w:color="auto" w:fill="FFFFFF"/>
            <w:tcMar>
              <w:top w:w="0" w:type="dxa"/>
              <w:left w:w="20" w:type="dxa"/>
              <w:bottom w:w="0" w:type="dxa"/>
              <w:right w:w="20" w:type="dxa"/>
            </w:tcMar>
            <w:vAlign w:val="center"/>
            <w:hideMark/>
          </w:tcPr>
          <w:p w14:paraId="4AEE5567"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F2B9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8B55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60E6B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80428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5815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C1002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301F4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2BCBEB" w14:textId="77777777" w:rsidR="00000000" w:rsidRDefault="001D0688">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3ABEE8" w14:textId="77777777" w:rsidR="00000000" w:rsidRDefault="001D0688">
            <w:pPr>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BA7729" w14:textId="77777777" w:rsidR="00000000" w:rsidRDefault="001D0688">
            <w:pPr>
              <w:jc w:val="right"/>
              <w:rPr>
                <w:rFonts w:eastAsia="Times New Roman"/>
              </w:rPr>
            </w:pPr>
            <w:r>
              <w:rPr>
                <w:rFonts w:ascii="Arial" w:eastAsia="Times New Roman" w:hAnsi="Arial" w:cs="Arial"/>
                <w:color w:val="000000"/>
                <w:sz w:val="14"/>
                <w:szCs w:val="14"/>
              </w:rPr>
              <w:t>55.5 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7A588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31DF7"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C16E5C" w14:textId="77777777" w:rsidR="00000000" w:rsidRDefault="001D0688">
            <w:pPr>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B3B343" w14:textId="77777777" w:rsidR="00000000" w:rsidRDefault="001D0688">
            <w:pPr>
              <w:jc w:val="right"/>
              <w:rPr>
                <w:rFonts w:eastAsia="Times New Roman"/>
              </w:rPr>
            </w:pPr>
            <w:r>
              <w:rPr>
                <w:rFonts w:ascii="Arial" w:eastAsia="Times New Roman" w:hAnsi="Arial" w:cs="Arial"/>
                <w:color w:val="000000"/>
                <w:sz w:val="14"/>
                <w:szCs w:val="14"/>
              </w:rPr>
              <w:t>66.6 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F0E42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CE18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154846" w14:textId="77777777" w:rsidR="00000000" w:rsidRDefault="001D0688">
            <w:pPr>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825071" w14:textId="77777777" w:rsidR="00000000" w:rsidRDefault="001D0688">
            <w:pPr>
              <w:jc w:val="right"/>
              <w:rPr>
                <w:rFonts w:eastAsia="Times New Roman"/>
              </w:rPr>
            </w:pPr>
            <w:r>
              <w:rPr>
                <w:rFonts w:ascii="Arial" w:eastAsia="Times New Roman" w:hAnsi="Arial" w:cs="Arial"/>
                <w:color w:val="000000"/>
                <w:sz w:val="14"/>
                <w:szCs w:val="14"/>
              </w:rPr>
              <w:t>65.3 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54BC9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D2E562" w14:textId="77777777" w:rsidR="00000000" w:rsidRDefault="001D068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B6D13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52B6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F1B83" w14:textId="77777777" w:rsidR="00000000" w:rsidRDefault="001D0688">
            <w:pPr>
              <w:rPr>
                <w:rFonts w:eastAsia="Times New Roman"/>
                <w:sz w:val="20"/>
                <w:szCs w:val="20"/>
              </w:rPr>
            </w:pPr>
          </w:p>
        </w:tc>
      </w:tr>
    </w:tbl>
    <w:p w14:paraId="48B28FE8" w14:textId="77777777" w:rsidR="00000000" w:rsidRDefault="001D0688">
      <w:pPr>
        <w:jc w:val="both"/>
        <w:rPr>
          <w:rFonts w:eastAsia="Times New Roman"/>
        </w:rPr>
      </w:pPr>
      <w:r>
        <w:rPr>
          <w:rFonts w:ascii="Arial" w:eastAsia="Times New Roman" w:hAnsi="Arial" w:cs="Arial"/>
          <w:color w:val="000000"/>
          <w:sz w:val="14"/>
          <w:szCs w:val="14"/>
        </w:rPr>
        <w:t>*Not applicable</w:t>
      </w:r>
    </w:p>
    <w:p w14:paraId="05479F96" w14:textId="77777777" w:rsidR="00000000" w:rsidRDefault="001D0688">
      <w:pPr>
        <w:ind w:hanging="180"/>
        <w:jc w:val="both"/>
        <w:divId w:val="81456374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To dete</w:t>
      </w:r>
      <w:r>
        <w:rPr>
          <w:rFonts w:ascii="Arial" w:eastAsia="Times New Roman" w:hAnsi="Arial" w:cs="Arial"/>
          <w:color w:val="000000"/>
          <w:sz w:val="18"/>
          <w:szCs w:val="18"/>
        </w:rPr>
        <w:t>rmine individually significant plans, we evaluated several factors, including our total contributions to the plan, our significance to the plan in terms of participating employees and contributions, and the funded status of the plan.</w:t>
      </w:r>
    </w:p>
    <w:p w14:paraId="27C1EAFA" w14:textId="77777777" w:rsidR="00000000" w:rsidRDefault="001D0688">
      <w:pPr>
        <w:ind w:hanging="180"/>
        <w:jc w:val="both"/>
        <w:divId w:val="108692685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 “EIN/PN” </w:t>
      </w:r>
      <w:r>
        <w:rPr>
          <w:rFonts w:ascii="Arial" w:eastAsia="Times New Roman" w:hAnsi="Arial" w:cs="Arial"/>
          <w:color w:val="000000"/>
          <w:sz w:val="18"/>
          <w:szCs w:val="18"/>
        </w:rPr>
        <w:t>column provides the Employer Identification Number and the three-digit plan number assigned to the plan by the IRS.</w:t>
      </w:r>
    </w:p>
    <w:p w14:paraId="5560361C" w14:textId="77777777" w:rsidR="00000000" w:rsidRDefault="001D0688">
      <w:pPr>
        <w:ind w:hanging="180"/>
        <w:jc w:val="both"/>
        <w:divId w:val="402527958"/>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Pension Protection Act Zone Status columns provide the two most recently available Pension Protection Act zone statuses from each pl</w:t>
      </w:r>
      <w:r>
        <w:rPr>
          <w:rFonts w:ascii="Arial" w:eastAsia="Times New Roman" w:hAnsi="Arial" w:cs="Arial"/>
          <w:color w:val="000000"/>
          <w:sz w:val="18"/>
          <w:szCs w:val="18"/>
        </w:rPr>
        <w:t xml:space="preserve">an. The zone status is based on information provided to us and other participating employers and is certified by each plan’s actuary. Among other factors, plans in the red zone are generally less than 65% funded, plans in the yellow zone are less than 80% </w:t>
      </w:r>
      <w:r>
        <w:rPr>
          <w:rFonts w:ascii="Arial" w:eastAsia="Times New Roman" w:hAnsi="Arial" w:cs="Arial"/>
          <w:color w:val="000000"/>
          <w:sz w:val="18"/>
          <w:szCs w:val="18"/>
        </w:rPr>
        <w:t>funded, and plans in the green zone are at least 80% funded.</w:t>
      </w:r>
    </w:p>
    <w:p w14:paraId="6708C056" w14:textId="77777777" w:rsidR="00000000" w:rsidRDefault="001D0688">
      <w:pPr>
        <w:ind w:hanging="180"/>
        <w:jc w:val="both"/>
        <w:divId w:val="787430040"/>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a Financial Improvement Plan (“FIP”) for yellow zone plans or a Rehabilitation Plan (“RP”) for red zone plans is pending or implemented.</w:t>
      </w:r>
    </w:p>
    <w:p w14:paraId="55C7A039" w14:textId="77777777" w:rsidR="00000000" w:rsidRDefault="001D0688">
      <w:pPr>
        <w:ind w:hanging="180"/>
        <w:jc w:val="both"/>
        <w:divId w:val="1674408215"/>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our contributi</w:t>
      </w:r>
      <w:r>
        <w:rPr>
          <w:rFonts w:ascii="Arial" w:eastAsia="Times New Roman" w:hAnsi="Arial" w:cs="Arial"/>
          <w:color w:val="000000"/>
          <w:sz w:val="18"/>
          <w:szCs w:val="18"/>
        </w:rPr>
        <w:t xml:space="preserve">on in 2020 included an amount as imposed by a plan in the red zone in addition to the contribution rate specified in the applicable collective bargaining agreement. </w:t>
      </w:r>
    </w:p>
    <w:p w14:paraId="665A83A5" w14:textId="77777777" w:rsidR="00000000" w:rsidRDefault="001D0688">
      <w:pPr>
        <w:jc w:val="both"/>
        <w:divId w:val="474563118"/>
        <w:rPr>
          <w:rFonts w:eastAsia="Times New Roman"/>
        </w:rPr>
      </w:pPr>
    </w:p>
    <w:p w14:paraId="39794215" w14:textId="77777777" w:rsidR="00000000" w:rsidRDefault="001D0688">
      <w:pPr>
        <w:jc w:val="center"/>
        <w:divId w:val="2079670957"/>
        <w:rPr>
          <w:rFonts w:eastAsia="Times New Roman"/>
        </w:rPr>
      </w:pPr>
      <w:r>
        <w:rPr>
          <w:rFonts w:ascii="Arial" w:eastAsia="Times New Roman" w:hAnsi="Arial" w:cs="Arial"/>
          <w:color w:val="000000"/>
          <w:sz w:val="20"/>
          <w:szCs w:val="20"/>
        </w:rPr>
        <w:t>83</w:t>
      </w:r>
    </w:p>
    <w:p w14:paraId="7BE9041B" w14:textId="77777777" w:rsidR="00000000" w:rsidRDefault="001D0688">
      <w:pPr>
        <w:rPr>
          <w:rFonts w:eastAsia="Times New Roman"/>
        </w:rPr>
      </w:pPr>
      <w:r>
        <w:rPr>
          <w:rFonts w:eastAsia="Times New Roman"/>
        </w:rPr>
        <w:pict w14:anchorId="22CF59E7">
          <v:rect id="_x0000_i1120" style="width:0;height:1.5pt" o:hralign="center" o:hrstd="t" o:hr="t" fillcolor="#a0a0a0" stroked="f"/>
        </w:pict>
      </w:r>
    </w:p>
    <w:p w14:paraId="354F6FE7" w14:textId="77777777" w:rsidR="00000000" w:rsidRDefault="001D0688">
      <w:pPr>
        <w:divId w:val="1144010527"/>
        <w:rPr>
          <w:rFonts w:eastAsia="Times New Roman"/>
        </w:rPr>
      </w:pPr>
    </w:p>
    <w:p w14:paraId="4384C091" w14:textId="77777777" w:rsidR="00000000" w:rsidRDefault="001D0688">
      <w:pPr>
        <w:jc w:val="both"/>
        <w:divId w:val="1883906794"/>
        <w:rPr>
          <w:rFonts w:eastAsia="Times New Roman"/>
        </w:rPr>
      </w:pPr>
      <w:r>
        <w:rPr>
          <w:rFonts w:ascii="Arial" w:eastAsia="Times New Roman" w:hAnsi="Arial" w:cs="Arial"/>
          <w:i/>
          <w:iCs/>
          <w:color w:val="0046AD"/>
          <w:sz w:val="20"/>
          <w:szCs w:val="20"/>
        </w:rPr>
        <w:t>Multiemployer Pension Plans for which ABM is a</w:t>
      </w:r>
      <w:r>
        <w:rPr>
          <w:rFonts w:ascii="Arial" w:eastAsia="Times New Roman" w:hAnsi="Arial" w:cs="Arial"/>
          <w:i/>
          <w:iCs/>
          <w:color w:val="0046AD"/>
          <w:sz w:val="20"/>
          <w:szCs w:val="20"/>
        </w:rPr>
        <w:t xml:space="preserve"> Significant Contributor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233"/>
        <w:gridCol w:w="38"/>
        <w:gridCol w:w="36"/>
        <w:gridCol w:w="36"/>
        <w:gridCol w:w="36"/>
        <w:gridCol w:w="46"/>
        <w:gridCol w:w="3785"/>
        <w:gridCol w:w="36"/>
      </w:tblGrid>
      <w:tr w:rsidR="00000000" w14:paraId="5BC5A1D9" w14:textId="77777777">
        <w:trPr>
          <w:divId w:val="1749500387"/>
          <w:jc w:val="center"/>
        </w:trPr>
        <w:tc>
          <w:tcPr>
            <w:tcW w:w="50" w:type="pct"/>
            <w:vAlign w:val="center"/>
            <w:hideMark/>
          </w:tcPr>
          <w:p w14:paraId="56DC57BC" w14:textId="77777777" w:rsidR="00000000" w:rsidRDefault="001D0688">
            <w:pPr>
              <w:jc w:val="both"/>
              <w:rPr>
                <w:rFonts w:eastAsia="Times New Roman"/>
              </w:rPr>
            </w:pPr>
          </w:p>
        </w:tc>
        <w:tc>
          <w:tcPr>
            <w:tcW w:w="2561" w:type="pct"/>
            <w:vAlign w:val="center"/>
            <w:hideMark/>
          </w:tcPr>
          <w:p w14:paraId="5E1EB810" w14:textId="77777777" w:rsidR="00000000" w:rsidRDefault="001D0688">
            <w:pPr>
              <w:rPr>
                <w:rFonts w:eastAsia="Times New Roman"/>
                <w:sz w:val="20"/>
                <w:szCs w:val="20"/>
              </w:rPr>
            </w:pPr>
          </w:p>
        </w:tc>
        <w:tc>
          <w:tcPr>
            <w:tcW w:w="5" w:type="pct"/>
            <w:vAlign w:val="center"/>
            <w:hideMark/>
          </w:tcPr>
          <w:p w14:paraId="5B8825D0" w14:textId="77777777" w:rsidR="00000000" w:rsidRDefault="001D0688">
            <w:pPr>
              <w:rPr>
                <w:rFonts w:eastAsia="Times New Roman"/>
                <w:sz w:val="20"/>
                <w:szCs w:val="20"/>
              </w:rPr>
            </w:pPr>
          </w:p>
        </w:tc>
        <w:tc>
          <w:tcPr>
            <w:tcW w:w="5" w:type="pct"/>
            <w:vAlign w:val="center"/>
            <w:hideMark/>
          </w:tcPr>
          <w:p w14:paraId="111F7AE7" w14:textId="77777777" w:rsidR="00000000" w:rsidRDefault="001D0688">
            <w:pPr>
              <w:rPr>
                <w:rFonts w:eastAsia="Times New Roman"/>
                <w:sz w:val="20"/>
                <w:szCs w:val="20"/>
              </w:rPr>
            </w:pPr>
          </w:p>
        </w:tc>
        <w:tc>
          <w:tcPr>
            <w:tcW w:w="26" w:type="pct"/>
            <w:vAlign w:val="center"/>
            <w:hideMark/>
          </w:tcPr>
          <w:p w14:paraId="7FBA9754" w14:textId="77777777" w:rsidR="00000000" w:rsidRDefault="001D0688">
            <w:pPr>
              <w:rPr>
                <w:rFonts w:eastAsia="Times New Roman"/>
                <w:sz w:val="20"/>
                <w:szCs w:val="20"/>
              </w:rPr>
            </w:pPr>
          </w:p>
        </w:tc>
        <w:tc>
          <w:tcPr>
            <w:tcW w:w="5" w:type="pct"/>
            <w:vAlign w:val="center"/>
            <w:hideMark/>
          </w:tcPr>
          <w:p w14:paraId="344C6030" w14:textId="77777777" w:rsidR="00000000" w:rsidRDefault="001D0688">
            <w:pPr>
              <w:rPr>
                <w:rFonts w:eastAsia="Times New Roman"/>
                <w:sz w:val="20"/>
                <w:szCs w:val="20"/>
              </w:rPr>
            </w:pPr>
          </w:p>
        </w:tc>
        <w:tc>
          <w:tcPr>
            <w:tcW w:w="50" w:type="pct"/>
            <w:vAlign w:val="center"/>
            <w:hideMark/>
          </w:tcPr>
          <w:p w14:paraId="7112CFDA" w14:textId="77777777" w:rsidR="00000000" w:rsidRDefault="001D0688">
            <w:pPr>
              <w:rPr>
                <w:rFonts w:eastAsia="Times New Roman"/>
                <w:sz w:val="20"/>
                <w:szCs w:val="20"/>
              </w:rPr>
            </w:pPr>
          </w:p>
        </w:tc>
        <w:tc>
          <w:tcPr>
            <w:tcW w:w="2291" w:type="pct"/>
            <w:vAlign w:val="center"/>
            <w:hideMark/>
          </w:tcPr>
          <w:p w14:paraId="79BCC3CB" w14:textId="77777777" w:rsidR="00000000" w:rsidRDefault="001D0688">
            <w:pPr>
              <w:rPr>
                <w:rFonts w:eastAsia="Times New Roman"/>
                <w:sz w:val="20"/>
                <w:szCs w:val="20"/>
              </w:rPr>
            </w:pPr>
          </w:p>
        </w:tc>
        <w:tc>
          <w:tcPr>
            <w:tcW w:w="5" w:type="pct"/>
            <w:vAlign w:val="center"/>
            <w:hideMark/>
          </w:tcPr>
          <w:p w14:paraId="59B04EA3" w14:textId="77777777" w:rsidR="00000000" w:rsidRDefault="001D0688">
            <w:pPr>
              <w:rPr>
                <w:rFonts w:eastAsia="Times New Roman"/>
                <w:sz w:val="20"/>
                <w:szCs w:val="20"/>
              </w:rPr>
            </w:pPr>
          </w:p>
        </w:tc>
      </w:tr>
      <w:tr w:rsidR="00000000" w14:paraId="2FD000BF" w14:textId="77777777">
        <w:trPr>
          <w:divId w:val="1749500387"/>
          <w:jc w:val="center"/>
        </w:trPr>
        <w:tc>
          <w:tcPr>
            <w:tcW w:w="0" w:type="auto"/>
            <w:gridSpan w:val="3"/>
            <w:tcMar>
              <w:top w:w="30" w:type="dxa"/>
              <w:left w:w="20" w:type="dxa"/>
              <w:bottom w:w="30" w:type="dxa"/>
              <w:right w:w="20" w:type="dxa"/>
            </w:tcMar>
            <w:vAlign w:val="bottom"/>
            <w:hideMark/>
          </w:tcPr>
          <w:p w14:paraId="47DEEB7B" w14:textId="77777777" w:rsidR="00000000" w:rsidRDefault="001D0688">
            <w:pPr>
              <w:jc w:val="center"/>
              <w:rPr>
                <w:rFonts w:eastAsia="Times New Roman"/>
              </w:rPr>
            </w:pPr>
            <w:r>
              <w:rPr>
                <w:rFonts w:ascii="Arial" w:eastAsia="Times New Roman" w:hAnsi="Arial" w:cs="Arial"/>
                <w:b/>
                <w:bCs/>
                <w:color w:val="000000"/>
                <w:sz w:val="16"/>
                <w:szCs w:val="16"/>
              </w:rPr>
              <w:t>Pension Fund</w:t>
            </w:r>
          </w:p>
        </w:tc>
        <w:tc>
          <w:tcPr>
            <w:tcW w:w="0" w:type="auto"/>
            <w:gridSpan w:val="3"/>
            <w:tcMar>
              <w:top w:w="0" w:type="dxa"/>
              <w:left w:w="20" w:type="dxa"/>
              <w:bottom w:w="0" w:type="dxa"/>
              <w:right w:w="20" w:type="dxa"/>
            </w:tcMar>
            <w:vAlign w:val="center"/>
            <w:hideMark/>
          </w:tcPr>
          <w:p w14:paraId="4DFCABDE"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715A49D9" w14:textId="77777777" w:rsidR="00000000" w:rsidRDefault="001D0688">
            <w:pPr>
              <w:jc w:val="center"/>
              <w:rPr>
                <w:rFonts w:eastAsia="Times New Roman"/>
              </w:rPr>
            </w:pPr>
            <w:r>
              <w:rPr>
                <w:rFonts w:ascii="Arial" w:eastAsia="Times New Roman" w:hAnsi="Arial" w:cs="Arial"/>
                <w:b/>
                <w:bCs/>
                <w:color w:val="000000"/>
                <w:sz w:val="16"/>
                <w:szCs w:val="16"/>
              </w:rPr>
              <w:t>Contributions to the plan exceeded more than 5% of total contributions per most currently available Forms 5500</w:t>
            </w:r>
            <w:r>
              <w:rPr>
                <w:rFonts w:ascii="Arial" w:eastAsia="Times New Roman" w:hAnsi="Arial" w:cs="Arial"/>
                <w:b/>
                <w:bCs/>
                <w:color w:val="000000"/>
                <w:sz w:val="16"/>
                <w:szCs w:val="16"/>
              </w:rPr>
              <w:br/>
              <w:t>(as of the plan’s year end)</w:t>
            </w:r>
          </w:p>
        </w:tc>
      </w:tr>
      <w:tr w:rsidR="00000000" w14:paraId="483A1D7E" w14:textId="77777777">
        <w:trPr>
          <w:divId w:val="1749500387"/>
          <w:jc w:val="center"/>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9B95D0D" w14:textId="77777777" w:rsidR="00000000" w:rsidRDefault="001D0688">
            <w:pPr>
              <w:rPr>
                <w:rFonts w:eastAsia="Times New Roman"/>
              </w:rPr>
            </w:pPr>
            <w:r>
              <w:rPr>
                <w:rFonts w:ascii="Arial" w:eastAsia="Times New Roman" w:hAnsi="Arial" w:cs="Arial"/>
                <w:color w:val="000000"/>
                <w:sz w:val="16"/>
                <w:szCs w:val="16"/>
              </w:rPr>
              <w:t>Arizona Sheet Metal Pension Trust Fund*</w:t>
            </w:r>
          </w:p>
        </w:tc>
        <w:tc>
          <w:tcPr>
            <w:tcW w:w="0" w:type="auto"/>
            <w:gridSpan w:val="3"/>
            <w:shd w:val="clear" w:color="auto" w:fill="DCE2EF"/>
            <w:tcMar>
              <w:top w:w="0" w:type="dxa"/>
              <w:left w:w="20" w:type="dxa"/>
              <w:bottom w:w="0" w:type="dxa"/>
              <w:right w:w="20" w:type="dxa"/>
            </w:tcMar>
            <w:vAlign w:val="center"/>
            <w:hideMark/>
          </w:tcPr>
          <w:p w14:paraId="3733A85F" w14:textId="77777777" w:rsidR="00000000" w:rsidRDefault="001D0688">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3CF0686" w14:textId="77777777" w:rsidR="00000000" w:rsidRDefault="001D0688">
            <w:pPr>
              <w:jc w:val="center"/>
              <w:rPr>
                <w:rFonts w:eastAsia="Times New Roman"/>
              </w:rPr>
            </w:pPr>
            <w:r>
              <w:rPr>
                <w:rFonts w:ascii="Arial" w:eastAsia="Times New Roman" w:hAnsi="Arial" w:cs="Arial"/>
                <w:color w:val="000000"/>
                <w:sz w:val="16"/>
                <w:szCs w:val="16"/>
              </w:rPr>
              <w:t>6/30/2019 and 6/30/2018</w:t>
            </w:r>
          </w:p>
        </w:tc>
      </w:tr>
      <w:tr w:rsidR="00000000" w14:paraId="1A8FC9E5" w14:textId="77777777">
        <w:trPr>
          <w:divId w:val="1749500387"/>
          <w:jc w:val="center"/>
        </w:trPr>
        <w:tc>
          <w:tcPr>
            <w:tcW w:w="0" w:type="auto"/>
            <w:gridSpan w:val="3"/>
            <w:shd w:val="clear" w:color="auto" w:fill="FFFFFF"/>
            <w:tcMar>
              <w:top w:w="30" w:type="dxa"/>
              <w:left w:w="20" w:type="dxa"/>
              <w:bottom w:w="30" w:type="dxa"/>
              <w:right w:w="20" w:type="dxa"/>
            </w:tcMar>
            <w:vAlign w:val="bottom"/>
            <w:hideMark/>
          </w:tcPr>
          <w:p w14:paraId="788A4A4E" w14:textId="77777777" w:rsidR="00000000" w:rsidRDefault="001D0688">
            <w:pPr>
              <w:rPr>
                <w:rFonts w:eastAsia="Times New Roman"/>
              </w:rPr>
            </w:pPr>
            <w:r>
              <w:rPr>
                <w:rFonts w:ascii="Arial" w:eastAsia="Times New Roman" w:hAnsi="Arial" w:cs="Arial"/>
                <w:color w:val="000000"/>
                <w:sz w:val="16"/>
                <w:szCs w:val="16"/>
              </w:rPr>
              <w:t>Building Service 32BJ Pension Fund</w:t>
            </w:r>
          </w:p>
        </w:tc>
        <w:tc>
          <w:tcPr>
            <w:tcW w:w="0" w:type="auto"/>
            <w:gridSpan w:val="3"/>
            <w:shd w:val="clear" w:color="auto" w:fill="FFFFFF"/>
            <w:tcMar>
              <w:top w:w="0" w:type="dxa"/>
              <w:left w:w="20" w:type="dxa"/>
              <w:bottom w:w="0" w:type="dxa"/>
              <w:right w:w="20" w:type="dxa"/>
            </w:tcMar>
            <w:vAlign w:val="center"/>
            <w:hideMark/>
          </w:tcPr>
          <w:p w14:paraId="6C5182E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16C4FD" w14:textId="77777777" w:rsidR="00000000" w:rsidRDefault="001D0688">
            <w:pPr>
              <w:jc w:val="center"/>
              <w:rPr>
                <w:rFonts w:eastAsia="Times New Roman"/>
              </w:rPr>
            </w:pPr>
            <w:r>
              <w:rPr>
                <w:rFonts w:ascii="Arial" w:eastAsia="Times New Roman" w:hAnsi="Arial" w:cs="Arial"/>
                <w:color w:val="000000"/>
                <w:sz w:val="16"/>
                <w:szCs w:val="16"/>
              </w:rPr>
              <w:t>6/30/2019, 6/30/2018, and 6/30/2017</w:t>
            </w:r>
          </w:p>
        </w:tc>
      </w:tr>
      <w:tr w:rsidR="00000000" w14:paraId="3C08F49F" w14:textId="77777777">
        <w:trPr>
          <w:divId w:val="1749500387"/>
          <w:jc w:val="center"/>
        </w:trPr>
        <w:tc>
          <w:tcPr>
            <w:tcW w:w="0" w:type="auto"/>
            <w:gridSpan w:val="3"/>
            <w:shd w:val="clear" w:color="auto" w:fill="DCE2EF"/>
            <w:tcMar>
              <w:top w:w="30" w:type="dxa"/>
              <w:left w:w="20" w:type="dxa"/>
              <w:bottom w:w="30" w:type="dxa"/>
              <w:right w:w="20" w:type="dxa"/>
            </w:tcMar>
            <w:vAlign w:val="bottom"/>
            <w:hideMark/>
          </w:tcPr>
          <w:p w14:paraId="19412192" w14:textId="77777777" w:rsidR="00000000" w:rsidRDefault="001D0688">
            <w:pPr>
              <w:rPr>
                <w:rFonts w:eastAsia="Times New Roman"/>
              </w:rPr>
            </w:pPr>
            <w:r>
              <w:rPr>
                <w:rFonts w:ascii="Arial" w:eastAsia="Times New Roman" w:hAnsi="Arial" w:cs="Arial"/>
                <w:color w:val="000000"/>
                <w:sz w:val="16"/>
                <w:szCs w:val="16"/>
              </w:rPr>
              <w:t>Building Service Pension Plan*</w:t>
            </w:r>
          </w:p>
        </w:tc>
        <w:tc>
          <w:tcPr>
            <w:tcW w:w="0" w:type="auto"/>
            <w:gridSpan w:val="3"/>
            <w:shd w:val="clear" w:color="auto" w:fill="DCE2EF"/>
            <w:tcMar>
              <w:top w:w="0" w:type="dxa"/>
              <w:left w:w="20" w:type="dxa"/>
              <w:bottom w:w="0" w:type="dxa"/>
              <w:right w:w="20" w:type="dxa"/>
            </w:tcMar>
            <w:vAlign w:val="center"/>
            <w:hideMark/>
          </w:tcPr>
          <w:p w14:paraId="72B1AD8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55B5642" w14:textId="77777777" w:rsidR="00000000" w:rsidRDefault="001D0688">
            <w:pPr>
              <w:jc w:val="center"/>
              <w:rPr>
                <w:rFonts w:eastAsia="Times New Roman"/>
              </w:rPr>
            </w:pPr>
            <w:r>
              <w:rPr>
                <w:rFonts w:ascii="Arial" w:eastAsia="Times New Roman" w:hAnsi="Arial" w:cs="Arial"/>
                <w:color w:val="000000"/>
                <w:sz w:val="16"/>
                <w:szCs w:val="16"/>
              </w:rPr>
              <w:t>4/30/2019, 4/30/2018, and 4/30/2017</w:t>
            </w:r>
          </w:p>
        </w:tc>
      </w:tr>
      <w:tr w:rsidR="00000000" w14:paraId="3F4A37E7" w14:textId="77777777">
        <w:trPr>
          <w:divId w:val="1749500387"/>
          <w:jc w:val="center"/>
        </w:trPr>
        <w:tc>
          <w:tcPr>
            <w:tcW w:w="0" w:type="auto"/>
            <w:gridSpan w:val="3"/>
            <w:shd w:val="clear" w:color="auto" w:fill="FFFFFF"/>
            <w:tcMar>
              <w:top w:w="30" w:type="dxa"/>
              <w:left w:w="20" w:type="dxa"/>
              <w:bottom w:w="30" w:type="dxa"/>
              <w:right w:w="20" w:type="dxa"/>
            </w:tcMar>
            <w:vAlign w:val="bottom"/>
            <w:hideMark/>
          </w:tcPr>
          <w:p w14:paraId="3E9D5F03" w14:textId="77777777" w:rsidR="00000000" w:rsidRDefault="001D0688">
            <w:pPr>
              <w:rPr>
                <w:rFonts w:eastAsia="Times New Roman"/>
              </w:rPr>
            </w:pPr>
            <w:r>
              <w:rPr>
                <w:rFonts w:ascii="Arial" w:eastAsia="Times New Roman" w:hAnsi="Arial" w:cs="Arial"/>
                <w:color w:val="000000"/>
                <w:sz w:val="16"/>
                <w:szCs w:val="16"/>
              </w:rPr>
              <w:t>Contract Cleaners Service Employees’ Pension Plan*</w:t>
            </w:r>
          </w:p>
        </w:tc>
        <w:tc>
          <w:tcPr>
            <w:tcW w:w="0" w:type="auto"/>
            <w:gridSpan w:val="3"/>
            <w:shd w:val="clear" w:color="auto" w:fill="FFFFFF"/>
            <w:tcMar>
              <w:top w:w="0" w:type="dxa"/>
              <w:left w:w="20" w:type="dxa"/>
              <w:bottom w:w="0" w:type="dxa"/>
              <w:right w:w="20" w:type="dxa"/>
            </w:tcMar>
            <w:vAlign w:val="center"/>
            <w:hideMark/>
          </w:tcPr>
          <w:p w14:paraId="3652DB78"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BA5B38" w14:textId="77777777" w:rsidR="00000000" w:rsidRDefault="001D0688">
            <w:pPr>
              <w:jc w:val="center"/>
              <w:rPr>
                <w:rFonts w:eastAsia="Times New Roman"/>
              </w:rPr>
            </w:pPr>
            <w:r>
              <w:rPr>
                <w:rFonts w:ascii="Arial" w:eastAsia="Times New Roman" w:hAnsi="Arial" w:cs="Arial"/>
                <w:color w:val="000000"/>
                <w:sz w:val="16"/>
                <w:szCs w:val="16"/>
              </w:rPr>
              <w:t>12/31/19, 12/31/2018, and 12/31/2017</w:t>
            </w:r>
          </w:p>
        </w:tc>
      </w:tr>
      <w:tr w:rsidR="00000000" w14:paraId="7BFC4E45" w14:textId="77777777">
        <w:trPr>
          <w:divId w:val="1749500387"/>
          <w:jc w:val="center"/>
        </w:trPr>
        <w:tc>
          <w:tcPr>
            <w:tcW w:w="0" w:type="auto"/>
            <w:gridSpan w:val="3"/>
            <w:shd w:val="clear" w:color="auto" w:fill="DCE2EF"/>
            <w:tcMar>
              <w:top w:w="30" w:type="dxa"/>
              <w:left w:w="20" w:type="dxa"/>
              <w:bottom w:w="30" w:type="dxa"/>
              <w:right w:w="20" w:type="dxa"/>
            </w:tcMar>
            <w:vAlign w:val="bottom"/>
            <w:hideMark/>
          </w:tcPr>
          <w:p w14:paraId="1D4F7A7A" w14:textId="77777777" w:rsidR="00000000" w:rsidRDefault="001D0688">
            <w:pPr>
              <w:rPr>
                <w:rFonts w:eastAsia="Times New Roman"/>
              </w:rPr>
            </w:pPr>
            <w:r>
              <w:rPr>
                <w:rFonts w:ascii="Arial" w:eastAsia="Times New Roman" w:hAnsi="Arial" w:cs="Arial"/>
                <w:color w:val="000000"/>
                <w:sz w:val="16"/>
                <w:szCs w:val="16"/>
              </w:rPr>
              <w:t>Firemen &amp; Oilers Pension Plan of SEIU Local 1*</w:t>
            </w:r>
          </w:p>
        </w:tc>
        <w:tc>
          <w:tcPr>
            <w:tcW w:w="0" w:type="auto"/>
            <w:gridSpan w:val="3"/>
            <w:shd w:val="clear" w:color="auto" w:fill="DCE2EF"/>
            <w:tcMar>
              <w:top w:w="0" w:type="dxa"/>
              <w:left w:w="20" w:type="dxa"/>
              <w:bottom w:w="0" w:type="dxa"/>
              <w:right w:w="20" w:type="dxa"/>
            </w:tcMar>
            <w:vAlign w:val="center"/>
            <w:hideMark/>
          </w:tcPr>
          <w:p w14:paraId="0D1A60D5"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8017BEF" w14:textId="77777777" w:rsidR="00000000" w:rsidRDefault="001D0688">
            <w:pPr>
              <w:jc w:val="center"/>
              <w:rPr>
                <w:rFonts w:eastAsia="Times New Roman"/>
              </w:rPr>
            </w:pPr>
            <w:r>
              <w:rPr>
                <w:rFonts w:ascii="Arial" w:eastAsia="Times New Roman" w:hAnsi="Arial" w:cs="Arial"/>
                <w:color w:val="000000"/>
                <w:sz w:val="16"/>
                <w:szCs w:val="16"/>
              </w:rPr>
              <w:t>7/31/2019, 7/31/2018, and 7/31/2017</w:t>
            </w:r>
          </w:p>
        </w:tc>
      </w:tr>
      <w:tr w:rsidR="00000000" w14:paraId="48B9DC2E" w14:textId="77777777">
        <w:trPr>
          <w:divId w:val="1749500387"/>
          <w:jc w:val="center"/>
        </w:trPr>
        <w:tc>
          <w:tcPr>
            <w:tcW w:w="0" w:type="auto"/>
            <w:gridSpan w:val="3"/>
            <w:vAlign w:val="center"/>
            <w:hideMark/>
          </w:tcPr>
          <w:p w14:paraId="1953B417" w14:textId="77777777" w:rsidR="00000000" w:rsidRDefault="001D0688">
            <w:pPr>
              <w:jc w:val="center"/>
              <w:rPr>
                <w:rFonts w:eastAsia="Times New Roman"/>
              </w:rPr>
            </w:pPr>
          </w:p>
        </w:tc>
        <w:tc>
          <w:tcPr>
            <w:tcW w:w="0" w:type="auto"/>
            <w:gridSpan w:val="3"/>
            <w:vAlign w:val="center"/>
            <w:hideMark/>
          </w:tcPr>
          <w:p w14:paraId="3B30961F" w14:textId="77777777" w:rsidR="00000000" w:rsidRDefault="001D0688">
            <w:pPr>
              <w:rPr>
                <w:rFonts w:eastAsia="Times New Roman"/>
                <w:sz w:val="20"/>
                <w:szCs w:val="20"/>
              </w:rPr>
            </w:pPr>
          </w:p>
        </w:tc>
        <w:tc>
          <w:tcPr>
            <w:tcW w:w="0" w:type="auto"/>
            <w:gridSpan w:val="3"/>
            <w:vAlign w:val="center"/>
            <w:hideMark/>
          </w:tcPr>
          <w:p w14:paraId="51FBECD7" w14:textId="77777777" w:rsidR="00000000" w:rsidRDefault="001D0688">
            <w:pPr>
              <w:rPr>
                <w:rFonts w:eastAsia="Times New Roman"/>
                <w:sz w:val="20"/>
                <w:szCs w:val="20"/>
              </w:rPr>
            </w:pPr>
          </w:p>
        </w:tc>
      </w:tr>
      <w:tr w:rsidR="00000000" w14:paraId="1481A761" w14:textId="77777777">
        <w:trPr>
          <w:divId w:val="1749500387"/>
          <w:jc w:val="center"/>
        </w:trPr>
        <w:tc>
          <w:tcPr>
            <w:tcW w:w="0" w:type="auto"/>
            <w:gridSpan w:val="3"/>
            <w:shd w:val="clear" w:color="auto" w:fill="FFFFFF"/>
            <w:tcMar>
              <w:top w:w="30" w:type="dxa"/>
              <w:left w:w="20" w:type="dxa"/>
              <w:bottom w:w="30" w:type="dxa"/>
              <w:right w:w="20" w:type="dxa"/>
            </w:tcMar>
            <w:vAlign w:val="bottom"/>
            <w:hideMark/>
          </w:tcPr>
          <w:p w14:paraId="1D40B604" w14:textId="77777777" w:rsidR="00000000" w:rsidRDefault="001D0688">
            <w:pPr>
              <w:rPr>
                <w:rFonts w:eastAsia="Times New Roman"/>
              </w:rPr>
            </w:pPr>
            <w:r>
              <w:rPr>
                <w:rFonts w:ascii="Arial" w:eastAsia="Times New Roman" w:hAnsi="Arial" w:cs="Arial"/>
                <w:color w:val="000000"/>
                <w:sz w:val="16"/>
                <w:szCs w:val="16"/>
              </w:rPr>
              <w:t>Massachusetts Service Employees Pension Plan*</w:t>
            </w:r>
          </w:p>
        </w:tc>
        <w:tc>
          <w:tcPr>
            <w:tcW w:w="0" w:type="auto"/>
            <w:gridSpan w:val="3"/>
            <w:shd w:val="clear" w:color="auto" w:fill="FFFFFF"/>
            <w:tcMar>
              <w:top w:w="0" w:type="dxa"/>
              <w:left w:w="20" w:type="dxa"/>
              <w:bottom w:w="0" w:type="dxa"/>
              <w:right w:w="20" w:type="dxa"/>
            </w:tcMar>
            <w:vAlign w:val="center"/>
            <w:hideMark/>
          </w:tcPr>
          <w:p w14:paraId="5693811B"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CCD7D9" w14:textId="77777777" w:rsidR="00000000" w:rsidRDefault="001D0688">
            <w:pPr>
              <w:jc w:val="center"/>
              <w:rPr>
                <w:rFonts w:eastAsia="Times New Roman"/>
              </w:rPr>
            </w:pPr>
            <w:r>
              <w:rPr>
                <w:rFonts w:ascii="Arial" w:eastAsia="Times New Roman" w:hAnsi="Arial" w:cs="Arial"/>
                <w:color w:val="000000"/>
                <w:sz w:val="16"/>
                <w:szCs w:val="16"/>
              </w:rPr>
              <w:t>12/31/2019, 12/31/2018, and 12/31/2017</w:t>
            </w:r>
          </w:p>
        </w:tc>
      </w:tr>
      <w:tr w:rsidR="00000000" w14:paraId="700A577B" w14:textId="77777777">
        <w:trPr>
          <w:divId w:val="1749500387"/>
          <w:jc w:val="center"/>
        </w:trPr>
        <w:tc>
          <w:tcPr>
            <w:tcW w:w="0" w:type="auto"/>
            <w:gridSpan w:val="3"/>
            <w:shd w:val="clear" w:color="auto" w:fill="DCE2EF"/>
            <w:tcMar>
              <w:top w:w="30" w:type="dxa"/>
              <w:left w:w="20" w:type="dxa"/>
              <w:bottom w:w="30" w:type="dxa"/>
              <w:right w:w="20" w:type="dxa"/>
            </w:tcMar>
            <w:vAlign w:val="bottom"/>
            <w:hideMark/>
          </w:tcPr>
          <w:p w14:paraId="4CFEFE58" w14:textId="77777777" w:rsidR="00000000" w:rsidRDefault="001D0688">
            <w:pPr>
              <w:rPr>
                <w:rFonts w:eastAsia="Times New Roman"/>
              </w:rPr>
            </w:pPr>
            <w:r>
              <w:rPr>
                <w:rFonts w:ascii="Arial" w:eastAsia="Times New Roman" w:hAnsi="Arial" w:cs="Arial"/>
                <w:color w:val="000000"/>
                <w:sz w:val="16"/>
                <w:szCs w:val="16"/>
              </w:rPr>
              <w:t>SEIU Local 1 &amp; Participating Employers Pension Trust</w:t>
            </w:r>
          </w:p>
        </w:tc>
        <w:tc>
          <w:tcPr>
            <w:tcW w:w="0" w:type="auto"/>
            <w:gridSpan w:val="3"/>
            <w:shd w:val="clear" w:color="auto" w:fill="DCE2EF"/>
            <w:tcMar>
              <w:top w:w="0" w:type="dxa"/>
              <w:left w:w="20" w:type="dxa"/>
              <w:bottom w:w="0" w:type="dxa"/>
              <w:right w:w="20" w:type="dxa"/>
            </w:tcMar>
            <w:vAlign w:val="center"/>
            <w:hideMark/>
          </w:tcPr>
          <w:p w14:paraId="6D704218"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6A4818B" w14:textId="77777777" w:rsidR="00000000" w:rsidRDefault="001D0688">
            <w:pPr>
              <w:jc w:val="center"/>
              <w:rPr>
                <w:rFonts w:eastAsia="Times New Roman"/>
              </w:rPr>
            </w:pPr>
            <w:r>
              <w:rPr>
                <w:rFonts w:ascii="Arial" w:eastAsia="Times New Roman" w:hAnsi="Arial" w:cs="Arial"/>
                <w:color w:val="000000"/>
                <w:sz w:val="16"/>
                <w:szCs w:val="16"/>
              </w:rPr>
              <w:t>9/30/2019, 9/30/2018, and 9/30/2017</w:t>
            </w:r>
          </w:p>
        </w:tc>
      </w:tr>
      <w:tr w:rsidR="00000000" w14:paraId="6E865258" w14:textId="77777777">
        <w:trPr>
          <w:divId w:val="1749500387"/>
          <w:jc w:val="center"/>
        </w:trPr>
        <w:tc>
          <w:tcPr>
            <w:tcW w:w="0" w:type="auto"/>
            <w:gridSpan w:val="3"/>
            <w:shd w:val="clear" w:color="auto" w:fill="FFFFFF"/>
            <w:tcMar>
              <w:top w:w="30" w:type="dxa"/>
              <w:left w:w="20" w:type="dxa"/>
              <w:bottom w:w="30" w:type="dxa"/>
              <w:right w:w="20" w:type="dxa"/>
            </w:tcMar>
            <w:vAlign w:val="bottom"/>
            <w:hideMark/>
          </w:tcPr>
          <w:p w14:paraId="57CB0D68" w14:textId="77777777" w:rsidR="00000000" w:rsidRDefault="001D0688">
            <w:pPr>
              <w:rPr>
                <w:rFonts w:eastAsia="Times New Roman"/>
              </w:rPr>
            </w:pPr>
            <w:r>
              <w:rPr>
                <w:rFonts w:ascii="Arial" w:eastAsia="Times New Roman" w:hAnsi="Arial" w:cs="Arial"/>
                <w:color w:val="000000"/>
                <w:sz w:val="16"/>
                <w:szCs w:val="16"/>
              </w:rPr>
              <w:t>S.E.I.U. National Industry Pension Fund</w:t>
            </w:r>
          </w:p>
        </w:tc>
        <w:tc>
          <w:tcPr>
            <w:tcW w:w="0" w:type="auto"/>
            <w:gridSpan w:val="3"/>
            <w:shd w:val="clear" w:color="auto" w:fill="FFFFFF"/>
            <w:tcMar>
              <w:top w:w="0" w:type="dxa"/>
              <w:left w:w="20" w:type="dxa"/>
              <w:bottom w:w="0" w:type="dxa"/>
              <w:right w:w="20" w:type="dxa"/>
            </w:tcMar>
            <w:vAlign w:val="center"/>
            <w:hideMark/>
          </w:tcPr>
          <w:p w14:paraId="23CE3536"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DC17B5" w14:textId="77777777" w:rsidR="00000000" w:rsidRDefault="001D0688">
            <w:pPr>
              <w:jc w:val="center"/>
              <w:rPr>
                <w:rFonts w:eastAsia="Times New Roman"/>
              </w:rPr>
            </w:pPr>
            <w:r>
              <w:rPr>
                <w:rFonts w:ascii="Arial" w:eastAsia="Times New Roman" w:hAnsi="Arial" w:cs="Arial"/>
                <w:color w:val="000000"/>
                <w:sz w:val="16"/>
                <w:szCs w:val="16"/>
              </w:rPr>
              <w:t>12/31/2019, 12/31/2018, and 12/31/2017</w:t>
            </w:r>
          </w:p>
        </w:tc>
      </w:tr>
      <w:tr w:rsidR="00000000" w14:paraId="402F49DF" w14:textId="77777777">
        <w:trPr>
          <w:divId w:val="1749500387"/>
          <w:jc w:val="center"/>
        </w:trPr>
        <w:tc>
          <w:tcPr>
            <w:tcW w:w="0" w:type="auto"/>
            <w:gridSpan w:val="3"/>
            <w:shd w:val="clear" w:color="auto" w:fill="DCE2EF"/>
            <w:tcMar>
              <w:top w:w="30" w:type="dxa"/>
              <w:left w:w="20" w:type="dxa"/>
              <w:bottom w:w="30" w:type="dxa"/>
              <w:right w:w="20" w:type="dxa"/>
            </w:tcMar>
            <w:vAlign w:val="bottom"/>
            <w:hideMark/>
          </w:tcPr>
          <w:p w14:paraId="3211E0C6" w14:textId="77777777" w:rsidR="00000000" w:rsidRDefault="001D0688">
            <w:pPr>
              <w:rPr>
                <w:rFonts w:eastAsia="Times New Roman"/>
              </w:rPr>
            </w:pPr>
            <w:r>
              <w:rPr>
                <w:rFonts w:ascii="Arial" w:eastAsia="Times New Roman" w:hAnsi="Arial" w:cs="Arial"/>
                <w:color w:val="000000"/>
                <w:sz w:val="16"/>
                <w:szCs w:val="16"/>
              </w:rPr>
              <w:t>Service Employees International Union Local 1 Cleveland Pension Plan*</w:t>
            </w:r>
          </w:p>
        </w:tc>
        <w:tc>
          <w:tcPr>
            <w:tcW w:w="0" w:type="auto"/>
            <w:gridSpan w:val="3"/>
            <w:shd w:val="clear" w:color="auto" w:fill="DCE2EF"/>
            <w:tcMar>
              <w:top w:w="0" w:type="dxa"/>
              <w:left w:w="20" w:type="dxa"/>
              <w:bottom w:w="0" w:type="dxa"/>
              <w:right w:w="20" w:type="dxa"/>
            </w:tcMar>
            <w:vAlign w:val="center"/>
            <w:hideMark/>
          </w:tcPr>
          <w:p w14:paraId="72E8C77F"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73A3C7C" w14:textId="77777777" w:rsidR="00000000" w:rsidRDefault="001D0688">
            <w:pPr>
              <w:jc w:val="center"/>
              <w:rPr>
                <w:rFonts w:eastAsia="Times New Roman"/>
              </w:rPr>
            </w:pPr>
            <w:r>
              <w:rPr>
                <w:rFonts w:ascii="Arial" w:eastAsia="Times New Roman" w:hAnsi="Arial" w:cs="Arial"/>
                <w:color w:val="000000"/>
                <w:sz w:val="16"/>
                <w:szCs w:val="16"/>
              </w:rPr>
              <w:t>12/31/2019, 12/31/2018, and 12/31/2017</w:t>
            </w:r>
          </w:p>
        </w:tc>
      </w:tr>
      <w:tr w:rsidR="00000000" w14:paraId="4B1FD8B1" w14:textId="77777777">
        <w:trPr>
          <w:divId w:val="1749500387"/>
          <w:jc w:val="center"/>
        </w:trPr>
        <w:tc>
          <w:tcPr>
            <w:tcW w:w="0" w:type="auto"/>
            <w:gridSpan w:val="3"/>
            <w:shd w:val="clear" w:color="auto" w:fill="FFFFFF"/>
            <w:tcMar>
              <w:top w:w="30" w:type="dxa"/>
              <w:left w:w="20" w:type="dxa"/>
              <w:bottom w:w="30" w:type="dxa"/>
              <w:right w:w="20" w:type="dxa"/>
            </w:tcMar>
            <w:vAlign w:val="bottom"/>
            <w:hideMark/>
          </w:tcPr>
          <w:p w14:paraId="7131CE45" w14:textId="77777777" w:rsidR="00000000" w:rsidRDefault="001D0688">
            <w:pPr>
              <w:rPr>
                <w:rFonts w:eastAsia="Times New Roman"/>
              </w:rPr>
            </w:pPr>
            <w:r>
              <w:rPr>
                <w:rFonts w:ascii="Arial" w:eastAsia="Times New Roman" w:hAnsi="Arial" w:cs="Arial"/>
                <w:color w:val="000000"/>
                <w:sz w:val="16"/>
                <w:szCs w:val="16"/>
              </w:rPr>
              <w:t>Service Employees International Union Local 32BJ, District 36 Building Operators Pension Trust Fu</w:t>
            </w:r>
            <w:r>
              <w:rPr>
                <w:rFonts w:ascii="Arial" w:eastAsia="Times New Roman" w:hAnsi="Arial" w:cs="Arial"/>
                <w:color w:val="000000"/>
                <w:sz w:val="16"/>
                <w:szCs w:val="16"/>
              </w:rPr>
              <w:t>nd*</w:t>
            </w:r>
          </w:p>
        </w:tc>
        <w:tc>
          <w:tcPr>
            <w:tcW w:w="0" w:type="auto"/>
            <w:gridSpan w:val="3"/>
            <w:shd w:val="clear" w:color="auto" w:fill="FFFFFF"/>
            <w:tcMar>
              <w:top w:w="0" w:type="dxa"/>
              <w:left w:w="20" w:type="dxa"/>
              <w:bottom w:w="0" w:type="dxa"/>
              <w:right w:w="20" w:type="dxa"/>
            </w:tcMar>
            <w:vAlign w:val="center"/>
            <w:hideMark/>
          </w:tcPr>
          <w:p w14:paraId="1EC31A3D"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DD262AA" w14:textId="77777777" w:rsidR="00000000" w:rsidRDefault="001D0688">
            <w:pPr>
              <w:jc w:val="center"/>
              <w:rPr>
                <w:rFonts w:eastAsia="Times New Roman"/>
              </w:rPr>
            </w:pPr>
            <w:r>
              <w:rPr>
                <w:rFonts w:ascii="Arial" w:eastAsia="Times New Roman" w:hAnsi="Arial" w:cs="Arial"/>
                <w:color w:val="000000"/>
                <w:sz w:val="16"/>
                <w:szCs w:val="16"/>
              </w:rPr>
              <w:t>12/31/2019, 12/31/2018, and 12/31/2017</w:t>
            </w:r>
          </w:p>
        </w:tc>
      </w:tr>
      <w:tr w:rsidR="00000000" w14:paraId="6C531FBB" w14:textId="77777777">
        <w:trPr>
          <w:divId w:val="1749500387"/>
          <w:jc w:val="center"/>
        </w:trPr>
        <w:tc>
          <w:tcPr>
            <w:tcW w:w="0" w:type="auto"/>
            <w:gridSpan w:val="3"/>
            <w:shd w:val="clear" w:color="auto" w:fill="DCE2EF"/>
            <w:tcMar>
              <w:top w:w="30" w:type="dxa"/>
              <w:left w:w="20" w:type="dxa"/>
              <w:bottom w:w="30" w:type="dxa"/>
              <w:right w:w="20" w:type="dxa"/>
            </w:tcMar>
            <w:vAlign w:val="bottom"/>
            <w:hideMark/>
          </w:tcPr>
          <w:p w14:paraId="1FC8DC57" w14:textId="77777777" w:rsidR="00000000" w:rsidRDefault="001D0688">
            <w:pPr>
              <w:rPr>
                <w:rFonts w:eastAsia="Times New Roman"/>
              </w:rPr>
            </w:pPr>
            <w:r>
              <w:rPr>
                <w:rFonts w:ascii="Arial" w:eastAsia="Times New Roman" w:hAnsi="Arial" w:cs="Arial"/>
                <w:color w:val="000000"/>
                <w:sz w:val="16"/>
                <w:szCs w:val="16"/>
              </w:rPr>
              <w:t>Teamsters Local 617 Pension Fund*</w:t>
            </w:r>
          </w:p>
        </w:tc>
        <w:tc>
          <w:tcPr>
            <w:tcW w:w="0" w:type="auto"/>
            <w:gridSpan w:val="3"/>
            <w:shd w:val="clear" w:color="auto" w:fill="DCE2EF"/>
            <w:tcMar>
              <w:top w:w="0" w:type="dxa"/>
              <w:left w:w="20" w:type="dxa"/>
              <w:bottom w:w="0" w:type="dxa"/>
              <w:right w:w="20" w:type="dxa"/>
            </w:tcMar>
            <w:vAlign w:val="center"/>
            <w:hideMark/>
          </w:tcPr>
          <w:p w14:paraId="77B9A781"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85BFF05" w14:textId="77777777" w:rsidR="00000000" w:rsidRDefault="001D0688">
            <w:pPr>
              <w:jc w:val="center"/>
              <w:rPr>
                <w:rFonts w:eastAsia="Times New Roman"/>
              </w:rPr>
            </w:pPr>
            <w:r>
              <w:rPr>
                <w:rFonts w:ascii="Arial" w:eastAsia="Times New Roman" w:hAnsi="Arial" w:cs="Arial"/>
                <w:color w:val="000000"/>
                <w:sz w:val="16"/>
                <w:szCs w:val="16"/>
              </w:rPr>
              <w:t>2/29/2020, 2/28/2019, and 2/28/2018</w:t>
            </w:r>
          </w:p>
        </w:tc>
      </w:tr>
      <w:tr w:rsidR="00000000" w14:paraId="382BAF6C" w14:textId="77777777">
        <w:trPr>
          <w:divId w:val="1749500387"/>
          <w:jc w:val="center"/>
        </w:trPr>
        <w:tc>
          <w:tcPr>
            <w:tcW w:w="0" w:type="auto"/>
            <w:gridSpan w:val="3"/>
            <w:shd w:val="clear" w:color="auto" w:fill="FFFFFF"/>
            <w:tcMar>
              <w:top w:w="30" w:type="dxa"/>
              <w:left w:w="20" w:type="dxa"/>
              <w:bottom w:w="30" w:type="dxa"/>
              <w:right w:w="20" w:type="dxa"/>
            </w:tcMar>
            <w:vAlign w:val="bottom"/>
            <w:hideMark/>
          </w:tcPr>
          <w:p w14:paraId="4BF53C9F" w14:textId="77777777" w:rsidR="00000000" w:rsidRDefault="001D0688">
            <w:pPr>
              <w:rPr>
                <w:rFonts w:eastAsia="Times New Roman"/>
              </w:rPr>
            </w:pPr>
            <w:r>
              <w:rPr>
                <w:rFonts w:ascii="Arial" w:eastAsia="Times New Roman" w:hAnsi="Arial" w:cs="Arial"/>
                <w:color w:val="000000"/>
                <w:sz w:val="16"/>
                <w:szCs w:val="16"/>
              </w:rPr>
              <w:t>Teamsters Local Union No. 727 Pension Plan*</w:t>
            </w:r>
          </w:p>
        </w:tc>
        <w:tc>
          <w:tcPr>
            <w:tcW w:w="0" w:type="auto"/>
            <w:gridSpan w:val="3"/>
            <w:shd w:val="clear" w:color="auto" w:fill="FFFFFF"/>
            <w:tcMar>
              <w:top w:w="0" w:type="dxa"/>
              <w:left w:w="20" w:type="dxa"/>
              <w:bottom w:w="0" w:type="dxa"/>
              <w:right w:w="20" w:type="dxa"/>
            </w:tcMar>
            <w:vAlign w:val="center"/>
            <w:hideMark/>
          </w:tcPr>
          <w:p w14:paraId="1A238AFD"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6097BC9D" w14:textId="77777777" w:rsidR="00000000" w:rsidRDefault="001D0688">
            <w:pPr>
              <w:jc w:val="center"/>
              <w:rPr>
                <w:rFonts w:eastAsia="Times New Roman"/>
              </w:rPr>
            </w:pPr>
            <w:r>
              <w:rPr>
                <w:rFonts w:ascii="Arial" w:eastAsia="Times New Roman" w:hAnsi="Arial" w:cs="Arial"/>
                <w:color w:val="000000"/>
                <w:sz w:val="16"/>
                <w:szCs w:val="16"/>
              </w:rPr>
              <w:t>2/29/2020, 2/28/2019, and 2/28/2018</w:t>
            </w:r>
          </w:p>
        </w:tc>
      </w:tr>
    </w:tbl>
    <w:p w14:paraId="7EF59AA5" w14:textId="77777777" w:rsidR="00000000" w:rsidRDefault="001D0688">
      <w:pPr>
        <w:divId w:val="752162443"/>
        <w:rPr>
          <w:rFonts w:eastAsia="Times New Roman"/>
        </w:rPr>
      </w:pPr>
      <w:r>
        <w:rPr>
          <w:rFonts w:ascii="Arial" w:eastAsia="Times New Roman" w:hAnsi="Arial" w:cs="Arial"/>
          <w:color w:val="000000"/>
          <w:sz w:val="14"/>
          <w:szCs w:val="14"/>
        </w:rPr>
        <w:t>* These plans are not separately listed in our multiemployer table as they represent an insignificant portion of our total multiemployer pension plan contributions.</w:t>
      </w:r>
    </w:p>
    <w:p w14:paraId="2F3AB908" w14:textId="77777777" w:rsidR="00000000" w:rsidRDefault="001D0688">
      <w:pPr>
        <w:ind w:firstLine="720"/>
        <w:jc w:val="both"/>
        <w:divId w:val="1406145488"/>
        <w:rPr>
          <w:rFonts w:eastAsia="Times New Roman"/>
        </w:rPr>
      </w:pPr>
      <w:r>
        <w:rPr>
          <w:rFonts w:ascii="Arial" w:eastAsia="Times New Roman" w:hAnsi="Arial" w:cs="Arial"/>
          <w:color w:val="000000"/>
          <w:sz w:val="20"/>
          <w:szCs w:val="20"/>
        </w:rPr>
        <w:t>There have been no significant changes that affect the comparability of total contributions</w:t>
      </w:r>
      <w:r>
        <w:rPr>
          <w:rFonts w:ascii="Arial" w:eastAsia="Times New Roman" w:hAnsi="Arial" w:cs="Arial"/>
          <w:color w:val="000000"/>
          <w:sz w:val="20"/>
          <w:szCs w:val="20"/>
        </w:rPr>
        <w:t xml:space="preserve"> for any of the periods presented.</w:t>
      </w:r>
    </w:p>
    <w:p w14:paraId="7AD942F1" w14:textId="77777777" w:rsidR="00000000" w:rsidRDefault="001D0688">
      <w:pPr>
        <w:jc w:val="both"/>
        <w:divId w:val="283539100"/>
        <w:rPr>
          <w:rFonts w:eastAsia="Times New Roman"/>
        </w:rPr>
      </w:pPr>
      <w:r>
        <w:rPr>
          <w:rFonts w:ascii="Arial" w:eastAsia="Times New Roman" w:hAnsi="Arial" w:cs="Arial"/>
          <w:b/>
          <w:bCs/>
          <w:i/>
          <w:iCs/>
          <w:color w:val="0046AD"/>
          <w:sz w:val="20"/>
          <w:szCs w:val="20"/>
        </w:rPr>
        <w:t>Multiemployer Defined Contribution Plans</w:t>
      </w:r>
    </w:p>
    <w:p w14:paraId="7BEA0BFC" w14:textId="77777777" w:rsidR="00000000" w:rsidRDefault="001D0688">
      <w:pPr>
        <w:ind w:firstLine="720"/>
        <w:jc w:val="both"/>
        <w:divId w:val="1990744680"/>
        <w:rPr>
          <w:rFonts w:eastAsia="Times New Roman"/>
        </w:rPr>
      </w:pPr>
      <w:r>
        <w:rPr>
          <w:rFonts w:ascii="Arial" w:eastAsia="Times New Roman" w:hAnsi="Arial" w:cs="Arial"/>
          <w:color w:val="000000"/>
          <w:sz w:val="20"/>
          <w:szCs w:val="20"/>
        </w:rPr>
        <w:t>In addition to contributions noted above, we also make contributions to multiemployer defined contribution plans. During 2020, 2019, and 2018, our contributions to the defined contribution plans were $15.5 million, $9.0 million, and $10.6 million, respecti</w:t>
      </w:r>
      <w:r>
        <w:rPr>
          <w:rFonts w:ascii="Arial" w:eastAsia="Times New Roman" w:hAnsi="Arial" w:cs="Arial"/>
          <w:color w:val="000000"/>
          <w:sz w:val="20"/>
          <w:szCs w:val="20"/>
        </w:rPr>
        <w:t xml:space="preserve">vely. </w:t>
      </w:r>
    </w:p>
    <w:p w14:paraId="5CDACD3D" w14:textId="77777777" w:rsidR="00000000" w:rsidRDefault="001D0688">
      <w:pPr>
        <w:jc w:val="both"/>
        <w:divId w:val="1536960194"/>
        <w:rPr>
          <w:rFonts w:eastAsia="Times New Roman"/>
        </w:rPr>
      </w:pPr>
      <w:r>
        <w:rPr>
          <w:rFonts w:ascii="Arial" w:eastAsia="Times New Roman" w:hAnsi="Arial" w:cs="Arial"/>
          <w:b/>
          <w:bCs/>
          <w:i/>
          <w:iCs/>
          <w:color w:val="0046AD"/>
          <w:sz w:val="20"/>
          <w:szCs w:val="20"/>
        </w:rPr>
        <w:t>Other Multiemployer Benefit Plans</w:t>
      </w:r>
    </w:p>
    <w:p w14:paraId="51007F64" w14:textId="77777777" w:rsidR="00000000" w:rsidRDefault="001D0688">
      <w:pPr>
        <w:ind w:firstLine="720"/>
        <w:jc w:val="both"/>
        <w:divId w:val="1890219282"/>
        <w:rPr>
          <w:rFonts w:eastAsia="Times New Roman"/>
        </w:rPr>
      </w:pPr>
      <w:r>
        <w:rPr>
          <w:rFonts w:ascii="Arial" w:eastAsia="Times New Roman" w:hAnsi="Arial" w:cs="Arial"/>
          <w:color w:val="000000"/>
          <w:sz w:val="20"/>
          <w:szCs w:val="20"/>
        </w:rPr>
        <w:t>We also contribute to several multiemployer postretirement health and welfare plans based on obligations arising under collective bargaining agreements covering union-represented employees. These plans may provide m</w:t>
      </w:r>
      <w:r>
        <w:rPr>
          <w:rFonts w:ascii="Arial" w:eastAsia="Times New Roman" w:hAnsi="Arial" w:cs="Arial"/>
          <w:color w:val="000000"/>
          <w:sz w:val="20"/>
          <w:szCs w:val="20"/>
        </w:rPr>
        <w:t>edical, pharmacy, dental, vision, mental health, and other benefits to employees as determined by the trustees of each plan. The majority of our contributions benefit active employees and, as such, may not constitute contributions to a postretirement benef</w:t>
      </w:r>
      <w:r>
        <w:rPr>
          <w:rFonts w:ascii="Arial" w:eastAsia="Times New Roman" w:hAnsi="Arial" w:cs="Arial"/>
          <w:color w:val="000000"/>
          <w:sz w:val="20"/>
          <w:szCs w:val="20"/>
        </w:rPr>
        <w:t>it plan. However, since we are unable to separate contribution amounts to postretirement benefit plans from contribution amounts paid to benefit active employees, we categorize all such amounts as contributions to postretirement benefit plans. During 2020,</w:t>
      </w:r>
      <w:r>
        <w:rPr>
          <w:rFonts w:ascii="Arial" w:eastAsia="Times New Roman" w:hAnsi="Arial" w:cs="Arial"/>
          <w:color w:val="000000"/>
          <w:sz w:val="20"/>
          <w:szCs w:val="20"/>
        </w:rPr>
        <w:t xml:space="preserve"> 2019, and 2018, our contributions to such plans wer</w:t>
      </w:r>
      <w:r>
        <w:rPr>
          <w:rFonts w:ascii="Arial" w:eastAsia="Times New Roman" w:hAnsi="Arial" w:cs="Arial"/>
          <w:color w:val="000000"/>
          <w:sz w:val="20"/>
          <w:szCs w:val="20"/>
          <w:shd w:val="clear" w:color="auto" w:fill="FFFFFF"/>
        </w:rPr>
        <w:t>e $264.8 million</w:t>
      </w:r>
      <w:r>
        <w:rPr>
          <w:rFonts w:ascii="Arial" w:eastAsia="Times New Roman" w:hAnsi="Arial" w:cs="Arial"/>
          <w:color w:val="000000"/>
          <w:sz w:val="20"/>
          <w:szCs w:val="20"/>
        </w:rPr>
        <w:t xml:space="preserve">, $269.8 million, and $263.4 </w:t>
      </w:r>
      <w:r>
        <w:rPr>
          <w:rFonts w:ascii="Arial" w:eastAsia="Times New Roman" w:hAnsi="Arial" w:cs="Arial"/>
          <w:color w:val="000000"/>
          <w:sz w:val="20"/>
          <w:szCs w:val="20"/>
        </w:rPr>
        <w:t>million, respectively. There have been no significant changes that affect the comparability of total contributions for any of the periods presented.</w:t>
      </w:r>
    </w:p>
    <w:p w14:paraId="1B23FE31" w14:textId="77777777" w:rsidR="00000000" w:rsidRDefault="001D0688">
      <w:pPr>
        <w:jc w:val="center"/>
        <w:divId w:val="1437211666"/>
        <w:rPr>
          <w:rFonts w:eastAsia="Times New Roman"/>
        </w:rPr>
      </w:pPr>
      <w:r>
        <w:rPr>
          <w:rFonts w:ascii="Arial" w:eastAsia="Times New Roman" w:hAnsi="Arial" w:cs="Arial"/>
          <w:color w:val="000000"/>
          <w:sz w:val="20"/>
          <w:szCs w:val="20"/>
        </w:rPr>
        <w:t>84</w:t>
      </w:r>
    </w:p>
    <w:p w14:paraId="4EDB4FA1" w14:textId="77777777" w:rsidR="00000000" w:rsidRDefault="001D0688">
      <w:pPr>
        <w:rPr>
          <w:rFonts w:eastAsia="Times New Roman"/>
        </w:rPr>
      </w:pPr>
      <w:r>
        <w:rPr>
          <w:rFonts w:eastAsia="Times New Roman"/>
        </w:rPr>
        <w:pict w14:anchorId="07B8B156">
          <v:rect id="_x0000_i1121" style="width:0;height:1.5pt" o:hralign="center" o:hrstd="t" o:hr="t" fillcolor="#a0a0a0" stroked="f"/>
        </w:pict>
      </w:r>
    </w:p>
    <w:p w14:paraId="4E8AA54F" w14:textId="77777777" w:rsidR="00000000" w:rsidRDefault="001D0688">
      <w:pPr>
        <w:divId w:val="467892005"/>
        <w:rPr>
          <w:rFonts w:eastAsia="Times New Roman"/>
        </w:rPr>
      </w:pPr>
    </w:p>
    <w:p w14:paraId="37F4AF07" w14:textId="77777777" w:rsidR="00000000" w:rsidRDefault="001D0688">
      <w:pPr>
        <w:divId w:val="1955362990"/>
        <w:rPr>
          <w:rFonts w:eastAsia="Times New Roman"/>
        </w:rPr>
      </w:pPr>
      <w:r>
        <w:rPr>
          <w:rFonts w:ascii="Arial" w:eastAsia="Times New Roman" w:hAnsi="Arial" w:cs="Arial"/>
          <w:b/>
          <w:bCs/>
          <w:color w:val="0046AD"/>
          <w:sz w:val="20"/>
          <w:szCs w:val="20"/>
        </w:rPr>
        <w:t xml:space="preserve">13. COMMITMENTS AND CONTINGENCIES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032703C8" w14:textId="77777777">
        <w:trPr>
          <w:divId w:val="14119766"/>
        </w:trPr>
        <w:tc>
          <w:tcPr>
            <w:tcW w:w="5" w:type="pct"/>
            <w:vAlign w:val="center"/>
            <w:hideMark/>
          </w:tcPr>
          <w:p w14:paraId="40EB6587" w14:textId="77777777" w:rsidR="00000000" w:rsidRDefault="001D0688">
            <w:pPr>
              <w:rPr>
                <w:rFonts w:eastAsia="Times New Roman"/>
              </w:rPr>
            </w:pPr>
          </w:p>
        </w:tc>
        <w:tc>
          <w:tcPr>
            <w:tcW w:w="129" w:type="pct"/>
            <w:vAlign w:val="center"/>
            <w:hideMark/>
          </w:tcPr>
          <w:p w14:paraId="21A2B88C" w14:textId="77777777" w:rsidR="00000000" w:rsidRDefault="001D0688">
            <w:pPr>
              <w:rPr>
                <w:rFonts w:eastAsia="Times New Roman"/>
                <w:sz w:val="20"/>
                <w:szCs w:val="20"/>
              </w:rPr>
            </w:pPr>
          </w:p>
        </w:tc>
        <w:tc>
          <w:tcPr>
            <w:tcW w:w="5" w:type="pct"/>
            <w:vAlign w:val="center"/>
            <w:hideMark/>
          </w:tcPr>
          <w:p w14:paraId="7A8E97CA" w14:textId="77777777" w:rsidR="00000000" w:rsidRDefault="001D0688">
            <w:pPr>
              <w:rPr>
                <w:rFonts w:eastAsia="Times New Roman"/>
                <w:sz w:val="20"/>
                <w:szCs w:val="20"/>
              </w:rPr>
            </w:pPr>
          </w:p>
        </w:tc>
        <w:tc>
          <w:tcPr>
            <w:tcW w:w="50" w:type="pct"/>
            <w:vAlign w:val="center"/>
            <w:hideMark/>
          </w:tcPr>
          <w:p w14:paraId="4B6224C8" w14:textId="77777777" w:rsidR="00000000" w:rsidRDefault="001D0688">
            <w:pPr>
              <w:rPr>
                <w:rFonts w:eastAsia="Times New Roman"/>
                <w:sz w:val="20"/>
                <w:szCs w:val="20"/>
              </w:rPr>
            </w:pPr>
          </w:p>
        </w:tc>
        <w:tc>
          <w:tcPr>
            <w:tcW w:w="4805" w:type="pct"/>
            <w:vAlign w:val="center"/>
            <w:hideMark/>
          </w:tcPr>
          <w:p w14:paraId="0F29E500" w14:textId="77777777" w:rsidR="00000000" w:rsidRDefault="001D0688">
            <w:pPr>
              <w:rPr>
                <w:rFonts w:eastAsia="Times New Roman"/>
                <w:sz w:val="20"/>
                <w:szCs w:val="20"/>
              </w:rPr>
            </w:pPr>
          </w:p>
        </w:tc>
        <w:tc>
          <w:tcPr>
            <w:tcW w:w="5" w:type="pct"/>
            <w:vAlign w:val="center"/>
            <w:hideMark/>
          </w:tcPr>
          <w:p w14:paraId="5542EA65" w14:textId="77777777" w:rsidR="00000000" w:rsidRDefault="001D0688">
            <w:pPr>
              <w:rPr>
                <w:rFonts w:eastAsia="Times New Roman"/>
                <w:sz w:val="20"/>
                <w:szCs w:val="20"/>
              </w:rPr>
            </w:pPr>
          </w:p>
        </w:tc>
      </w:tr>
      <w:tr w:rsidR="00000000" w14:paraId="6DC07971" w14:textId="77777777">
        <w:trPr>
          <w:divId w:val="14119766"/>
          <w:trHeight w:val="60"/>
        </w:trPr>
        <w:tc>
          <w:tcPr>
            <w:tcW w:w="0" w:type="auto"/>
            <w:gridSpan w:val="3"/>
            <w:tcBorders>
              <w:top w:val="single" w:sz="8" w:space="0" w:color="E98300"/>
            </w:tcBorders>
            <w:tcMar>
              <w:top w:w="0" w:type="dxa"/>
              <w:left w:w="20" w:type="dxa"/>
              <w:bottom w:w="0" w:type="dxa"/>
              <w:right w:w="20" w:type="dxa"/>
            </w:tcMar>
            <w:vAlign w:val="center"/>
            <w:hideMark/>
          </w:tcPr>
          <w:p w14:paraId="0AC8B007"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015C201" w14:textId="77777777" w:rsidR="00000000" w:rsidRDefault="001D0688">
            <w:pPr>
              <w:rPr>
                <w:rFonts w:eastAsia="Times New Roman"/>
                <w:sz w:val="20"/>
                <w:szCs w:val="20"/>
              </w:rPr>
            </w:pPr>
          </w:p>
        </w:tc>
      </w:tr>
    </w:tbl>
    <w:p w14:paraId="0BFFD3D9" w14:textId="77777777" w:rsidR="00000000" w:rsidRDefault="001D0688">
      <w:pPr>
        <w:divId w:val="1407730425"/>
        <w:rPr>
          <w:rFonts w:eastAsia="Times New Roman"/>
        </w:rPr>
      </w:pPr>
      <w:r>
        <w:rPr>
          <w:rFonts w:ascii="Arial" w:eastAsia="Times New Roman" w:hAnsi="Arial" w:cs="Arial"/>
          <w:b/>
          <w:bCs/>
          <w:color w:val="0046AD"/>
          <w:sz w:val="20"/>
          <w:szCs w:val="20"/>
        </w:rPr>
        <w:t>Letters of Credit and Surety Bonds</w:t>
      </w:r>
    </w:p>
    <w:p w14:paraId="706EDF9B" w14:textId="77777777" w:rsidR="00000000" w:rsidRDefault="001D0688">
      <w:pPr>
        <w:ind w:firstLine="720"/>
        <w:jc w:val="both"/>
        <w:divId w:val="2012828621"/>
        <w:rPr>
          <w:rFonts w:eastAsia="Times New Roman"/>
        </w:rPr>
      </w:pPr>
      <w:r>
        <w:rPr>
          <w:rFonts w:ascii="Arial" w:eastAsia="Times New Roman" w:hAnsi="Arial" w:cs="Arial"/>
          <w:color w:val="000000"/>
          <w:sz w:val="20"/>
          <w:szCs w:val="20"/>
        </w:rPr>
        <w:t>We use letters of credit and surety bonds to secure certain commitments related to insurance programs and for other purposes. As of October 31, 2020, these letters of credit and surety bonds totaled $153.1 million and $63</w:t>
      </w:r>
      <w:r>
        <w:rPr>
          <w:rFonts w:ascii="Arial" w:eastAsia="Times New Roman" w:hAnsi="Arial" w:cs="Arial"/>
          <w:color w:val="000000"/>
          <w:sz w:val="20"/>
          <w:szCs w:val="20"/>
        </w:rPr>
        <w:t xml:space="preserve">2.9 million, respectively. </w:t>
      </w:r>
    </w:p>
    <w:p w14:paraId="68852ADA" w14:textId="77777777" w:rsidR="00000000" w:rsidRDefault="001D0688">
      <w:pPr>
        <w:divId w:val="17632625"/>
        <w:rPr>
          <w:rFonts w:eastAsia="Times New Roman"/>
        </w:rPr>
      </w:pPr>
      <w:r>
        <w:rPr>
          <w:rFonts w:ascii="Arial" w:eastAsia="Times New Roman" w:hAnsi="Arial" w:cs="Arial"/>
          <w:b/>
          <w:bCs/>
          <w:color w:val="0046AD"/>
          <w:sz w:val="20"/>
          <w:szCs w:val="20"/>
        </w:rPr>
        <w:t>Guarantees</w:t>
      </w:r>
    </w:p>
    <w:p w14:paraId="57C9DC9D" w14:textId="77777777" w:rsidR="00000000" w:rsidRDefault="001D0688">
      <w:pPr>
        <w:ind w:firstLine="720"/>
        <w:jc w:val="both"/>
        <w:divId w:val="1071004906"/>
        <w:rPr>
          <w:rFonts w:eastAsia="Times New Roman"/>
        </w:rPr>
      </w:pPr>
      <w:r>
        <w:rPr>
          <w:rFonts w:ascii="Arial" w:eastAsia="Times New Roman" w:hAnsi="Arial" w:cs="Arial"/>
          <w:color w:val="000000"/>
          <w:sz w:val="20"/>
          <w:szCs w:val="20"/>
        </w:rPr>
        <w:t>In some instances, we offer clients guaranteed energy savings under certain energy savings contracts. At October 31, 2020 and 2019, total guarantees were $182.8 million and $174.8 million, respectively, and these guar</w:t>
      </w:r>
      <w:r>
        <w:rPr>
          <w:rFonts w:ascii="Arial" w:eastAsia="Times New Roman" w:hAnsi="Arial" w:cs="Arial"/>
          <w:color w:val="000000"/>
          <w:sz w:val="20"/>
          <w:szCs w:val="20"/>
        </w:rPr>
        <w:t>antees extend through 2039 and 2038, respectively. We accrue for the estimated cost of guarantees when it is probable that a liability has been incurred and the amount can be reasonably estimated. Historically, we have not incurred any material losses in c</w:t>
      </w:r>
      <w:r>
        <w:rPr>
          <w:rFonts w:ascii="Arial" w:eastAsia="Times New Roman" w:hAnsi="Arial" w:cs="Arial"/>
          <w:color w:val="000000"/>
          <w:sz w:val="20"/>
          <w:szCs w:val="20"/>
        </w:rPr>
        <w:t>onnection with these guarantees.</w:t>
      </w:r>
    </w:p>
    <w:p w14:paraId="762150B1" w14:textId="77777777" w:rsidR="00000000" w:rsidRDefault="001D0688">
      <w:pPr>
        <w:ind w:firstLine="720"/>
        <w:jc w:val="both"/>
        <w:divId w:val="66153996"/>
        <w:rPr>
          <w:rFonts w:eastAsia="Times New Roman"/>
        </w:rPr>
      </w:pPr>
      <w:r>
        <w:rPr>
          <w:rFonts w:ascii="Arial" w:eastAsia="Times New Roman" w:hAnsi="Arial" w:cs="Arial"/>
          <w:color w:val="000000"/>
          <w:sz w:val="20"/>
          <w:szCs w:val="20"/>
        </w:rPr>
        <w:t>In connection with an unconsolidated joint venture in which one of our subsidiaries has a 33% ownership interest, that subsidiary and the other joint venture partners have each jointly and severally guaranteed the obligatio</w:t>
      </w:r>
      <w:r>
        <w:rPr>
          <w:rFonts w:ascii="Arial" w:eastAsia="Times New Roman" w:hAnsi="Arial" w:cs="Arial"/>
          <w:color w:val="000000"/>
          <w:sz w:val="20"/>
          <w:szCs w:val="20"/>
        </w:rPr>
        <w:t>ns of the joint venture to perform under certain contracts extending through 2024. Annual revenues relating to the underlying contracts are approximately $30 million. Should the joint venture be unable to perform under these contracts, the joint venture pa</w:t>
      </w:r>
      <w:r>
        <w:rPr>
          <w:rFonts w:ascii="Arial" w:eastAsia="Times New Roman" w:hAnsi="Arial" w:cs="Arial"/>
          <w:color w:val="000000"/>
          <w:sz w:val="20"/>
          <w:szCs w:val="20"/>
        </w:rPr>
        <w:t>rtners would be jointly and severally liable for any losses incurred by the client due to the failure to perform.</w:t>
      </w:r>
    </w:p>
    <w:p w14:paraId="77219873" w14:textId="77777777" w:rsidR="00000000" w:rsidRDefault="001D0688">
      <w:pPr>
        <w:divId w:val="1496535979"/>
        <w:rPr>
          <w:rFonts w:eastAsia="Times New Roman"/>
        </w:rPr>
      </w:pPr>
      <w:r>
        <w:rPr>
          <w:rFonts w:ascii="Arial" w:eastAsia="Times New Roman" w:hAnsi="Arial" w:cs="Arial"/>
          <w:b/>
          <w:bCs/>
          <w:color w:val="0046AD"/>
          <w:sz w:val="20"/>
          <w:szCs w:val="20"/>
        </w:rPr>
        <w:t>Indemnifications</w:t>
      </w:r>
    </w:p>
    <w:p w14:paraId="5EE2613F" w14:textId="77777777" w:rsidR="00000000" w:rsidRDefault="001D0688">
      <w:pPr>
        <w:ind w:firstLine="720"/>
        <w:jc w:val="both"/>
        <w:divId w:val="1822235438"/>
        <w:rPr>
          <w:rFonts w:eastAsia="Times New Roman"/>
        </w:rPr>
      </w:pPr>
      <w:r>
        <w:rPr>
          <w:rFonts w:ascii="Arial" w:eastAsia="Times New Roman" w:hAnsi="Arial" w:cs="Arial"/>
          <w:color w:val="000000"/>
          <w:sz w:val="20"/>
          <w:szCs w:val="20"/>
        </w:rPr>
        <w:t>We are party to a variety of agreements under which we may be obligated to indemnify the other party for certain matters. The</w:t>
      </w:r>
      <w:r>
        <w:rPr>
          <w:rFonts w:ascii="Arial" w:eastAsia="Times New Roman" w:hAnsi="Arial" w:cs="Arial"/>
          <w:color w:val="000000"/>
          <w:sz w:val="20"/>
          <w:szCs w:val="20"/>
        </w:rPr>
        <w:t>se agreements are primarily standard indemnification arrangements entered into in our ordinary course of business. Pursuant to these arrangements, we may agree to indemnify, hold harmless, and reimburse the indemnified parties for losses suffered or incurr</w:t>
      </w:r>
      <w:r>
        <w:rPr>
          <w:rFonts w:ascii="Arial" w:eastAsia="Times New Roman" w:hAnsi="Arial" w:cs="Arial"/>
          <w:color w:val="000000"/>
          <w:sz w:val="20"/>
          <w:szCs w:val="20"/>
        </w:rPr>
        <w:t>ed by the indemnified party, generally our clients, in connection with any claims arising out of the services that we provide. We also incur costs to defend lawsuits or settle claims related to these indemnification arrangements, and in most cases these co</w:t>
      </w:r>
      <w:r>
        <w:rPr>
          <w:rFonts w:ascii="Arial" w:eastAsia="Times New Roman" w:hAnsi="Arial" w:cs="Arial"/>
          <w:color w:val="000000"/>
          <w:sz w:val="20"/>
          <w:szCs w:val="20"/>
        </w:rPr>
        <w:t>sts are paid from our insurance program. Although we attempt to place limits on such indemnification arrangements related to the size of the contract, the maximum obligation may not be explicitly stated and, as a result, we are unable to determine the maxi</w:t>
      </w:r>
      <w:r>
        <w:rPr>
          <w:rFonts w:ascii="Arial" w:eastAsia="Times New Roman" w:hAnsi="Arial" w:cs="Arial"/>
          <w:color w:val="000000"/>
          <w:sz w:val="20"/>
          <w:szCs w:val="20"/>
        </w:rPr>
        <w:t>mum potential amount of future payments we could be required to make under these arrangements.</w:t>
      </w:r>
    </w:p>
    <w:p w14:paraId="2DB99643" w14:textId="77777777" w:rsidR="00000000" w:rsidRDefault="001D0688">
      <w:pPr>
        <w:ind w:firstLine="720"/>
        <w:jc w:val="both"/>
        <w:divId w:val="1259408167"/>
        <w:rPr>
          <w:rFonts w:eastAsia="Times New Roman"/>
        </w:rPr>
      </w:pPr>
      <w:r>
        <w:rPr>
          <w:rFonts w:ascii="Arial" w:eastAsia="Times New Roman" w:hAnsi="Arial" w:cs="Arial"/>
          <w:color w:val="000000"/>
          <w:sz w:val="20"/>
          <w:szCs w:val="20"/>
        </w:rPr>
        <w:t>Our certificate of incorporation and bylaws may require us to indemnify our directors and officers for certain liabilities that were incurred as a result of thei</w:t>
      </w:r>
      <w:r>
        <w:rPr>
          <w:rFonts w:ascii="Arial" w:eastAsia="Times New Roman" w:hAnsi="Arial" w:cs="Arial"/>
          <w:color w:val="000000"/>
          <w:sz w:val="20"/>
          <w:szCs w:val="20"/>
        </w:rPr>
        <w:t xml:space="preserve">r status or service to ABM as a director or officer. The amount of these obligations cannot be reasonably estimated. </w:t>
      </w:r>
    </w:p>
    <w:p w14:paraId="43C66327" w14:textId="77777777" w:rsidR="00000000" w:rsidRDefault="001D0688">
      <w:pPr>
        <w:divId w:val="1911771710"/>
        <w:rPr>
          <w:rFonts w:eastAsia="Times New Roman"/>
        </w:rPr>
      </w:pPr>
      <w:r>
        <w:rPr>
          <w:rFonts w:ascii="Arial" w:eastAsia="Times New Roman" w:hAnsi="Arial" w:cs="Arial"/>
          <w:b/>
          <w:bCs/>
          <w:color w:val="0046AD"/>
          <w:sz w:val="20"/>
          <w:szCs w:val="20"/>
        </w:rPr>
        <w:t>Unclaimed Property Audits</w:t>
      </w:r>
    </w:p>
    <w:p w14:paraId="2CD6AEB4" w14:textId="77777777" w:rsidR="00000000" w:rsidRDefault="001D0688">
      <w:pPr>
        <w:ind w:firstLine="720"/>
        <w:jc w:val="both"/>
        <w:divId w:val="689377509"/>
        <w:rPr>
          <w:rFonts w:eastAsia="Times New Roman"/>
        </w:rPr>
      </w:pPr>
      <w:r>
        <w:rPr>
          <w:rFonts w:ascii="Arial" w:eastAsia="Times New Roman" w:hAnsi="Arial" w:cs="Arial"/>
          <w:color w:val="000000"/>
          <w:sz w:val="20"/>
          <w:szCs w:val="20"/>
        </w:rPr>
        <w:t xml:space="preserve">We routinely remit escheat payments to states in compliance with applicable escheat laws, and we are subject to </w:t>
      </w:r>
      <w:r>
        <w:rPr>
          <w:rFonts w:ascii="Arial" w:eastAsia="Times New Roman" w:hAnsi="Arial" w:cs="Arial"/>
          <w:color w:val="000000"/>
          <w:sz w:val="20"/>
          <w:szCs w:val="20"/>
        </w:rPr>
        <w:t>unclaimed property audits by states in the ordinary course of business. The property subject to review in the audit process may include unclaimed wages, vendor payments, or customer refunds. State escheat laws generally require entities to report and remit</w:t>
      </w:r>
      <w:r>
        <w:rPr>
          <w:rFonts w:ascii="Arial" w:eastAsia="Times New Roman" w:hAnsi="Arial" w:cs="Arial"/>
          <w:color w:val="000000"/>
          <w:sz w:val="20"/>
          <w:szCs w:val="20"/>
        </w:rPr>
        <w:t xml:space="preserve"> abandoned or unclaimed property to the state, and failure to do so can result in assessments that could include interest and penalties in addition to the payment of the escheat liability. </w:t>
      </w:r>
    </w:p>
    <w:p w14:paraId="42F8F992" w14:textId="77777777" w:rsidR="00000000" w:rsidRDefault="001D0688">
      <w:pPr>
        <w:divId w:val="942104445"/>
        <w:rPr>
          <w:rFonts w:eastAsia="Times New Roman"/>
        </w:rPr>
      </w:pPr>
      <w:r>
        <w:rPr>
          <w:rFonts w:ascii="Arial" w:eastAsia="Times New Roman" w:hAnsi="Arial" w:cs="Arial"/>
          <w:b/>
          <w:bCs/>
          <w:color w:val="0046AD"/>
          <w:sz w:val="20"/>
          <w:szCs w:val="20"/>
        </w:rPr>
        <w:t>Sales Tax Audits</w:t>
      </w:r>
    </w:p>
    <w:p w14:paraId="648B2922" w14:textId="77777777" w:rsidR="00000000" w:rsidRDefault="001D0688">
      <w:pPr>
        <w:ind w:firstLine="720"/>
        <w:jc w:val="both"/>
        <w:divId w:val="1544634502"/>
        <w:rPr>
          <w:rFonts w:eastAsia="Times New Roman"/>
        </w:rPr>
      </w:pPr>
      <w:r>
        <w:rPr>
          <w:rFonts w:ascii="Arial" w:eastAsia="Times New Roman" w:hAnsi="Arial" w:cs="Arial"/>
          <w:color w:val="000000"/>
          <w:sz w:val="20"/>
          <w:szCs w:val="20"/>
        </w:rPr>
        <w:t>We collect sales tax from clients and remit those</w:t>
      </w:r>
      <w:r>
        <w:rPr>
          <w:rFonts w:ascii="Arial" w:eastAsia="Times New Roman" w:hAnsi="Arial" w:cs="Arial"/>
          <w:color w:val="000000"/>
          <w:sz w:val="20"/>
          <w:szCs w:val="20"/>
        </w:rPr>
        <w:t xml:space="preserve"> collections to the applicable states. When clients fail to pay their invoices, including the amount of any sales tax that we paid on their behalf, in some cases we are entitled to seek a refund of that amount of sales tax from the applicable state. </w:t>
      </w:r>
    </w:p>
    <w:p w14:paraId="49B5E80D" w14:textId="77777777" w:rsidR="00000000" w:rsidRDefault="001D0688">
      <w:pPr>
        <w:ind w:firstLine="720"/>
        <w:jc w:val="both"/>
        <w:divId w:val="2090761071"/>
        <w:rPr>
          <w:rFonts w:eastAsia="Times New Roman"/>
        </w:rPr>
      </w:pPr>
      <w:r>
        <w:rPr>
          <w:rFonts w:ascii="Arial" w:eastAsia="Times New Roman" w:hAnsi="Arial" w:cs="Arial"/>
          <w:color w:val="000000"/>
          <w:sz w:val="20"/>
          <w:szCs w:val="20"/>
        </w:rPr>
        <w:t>Sales</w:t>
      </w:r>
      <w:r>
        <w:rPr>
          <w:rFonts w:ascii="Arial" w:eastAsia="Times New Roman" w:hAnsi="Arial" w:cs="Arial"/>
          <w:color w:val="000000"/>
          <w:sz w:val="20"/>
          <w:szCs w:val="20"/>
        </w:rPr>
        <w:t xml:space="preserve"> tax laws and regulations enacted by the various states are subject to interpretation, and our compliance with such laws is routinely subject to audit and review by such states. Audit risk is concentrated in several states that are conducting ongoing audit</w:t>
      </w:r>
      <w:r>
        <w:rPr>
          <w:rFonts w:ascii="Arial" w:eastAsia="Times New Roman" w:hAnsi="Arial" w:cs="Arial"/>
          <w:color w:val="000000"/>
          <w:sz w:val="20"/>
          <w:szCs w:val="20"/>
        </w:rPr>
        <w:t xml:space="preserve">s. The outcomes of ongoing and any future audits and changes in the states’ interpretation of the sales tax laws and regulations could materially adversely impact our results of operations. </w:t>
      </w:r>
    </w:p>
    <w:p w14:paraId="6294075F" w14:textId="77777777" w:rsidR="00000000" w:rsidRDefault="001D0688">
      <w:pPr>
        <w:jc w:val="center"/>
        <w:divId w:val="24912973"/>
        <w:rPr>
          <w:rFonts w:eastAsia="Times New Roman"/>
        </w:rPr>
      </w:pPr>
      <w:r>
        <w:rPr>
          <w:rFonts w:ascii="Arial" w:eastAsia="Times New Roman" w:hAnsi="Arial" w:cs="Arial"/>
          <w:color w:val="000000"/>
          <w:sz w:val="20"/>
          <w:szCs w:val="20"/>
        </w:rPr>
        <w:t>85</w:t>
      </w:r>
    </w:p>
    <w:p w14:paraId="63EBC0BE" w14:textId="77777777" w:rsidR="00000000" w:rsidRDefault="001D0688">
      <w:pPr>
        <w:rPr>
          <w:rFonts w:eastAsia="Times New Roman"/>
        </w:rPr>
      </w:pPr>
      <w:r>
        <w:rPr>
          <w:rFonts w:eastAsia="Times New Roman"/>
        </w:rPr>
        <w:pict w14:anchorId="5377EF7B">
          <v:rect id="_x0000_i1122" style="width:0;height:1.5pt" o:hralign="center" o:hrstd="t" o:hr="t" fillcolor="#a0a0a0" stroked="f"/>
        </w:pict>
      </w:r>
    </w:p>
    <w:p w14:paraId="664E352D" w14:textId="77777777" w:rsidR="00000000" w:rsidRDefault="001D0688">
      <w:pPr>
        <w:divId w:val="797141628"/>
        <w:rPr>
          <w:rFonts w:eastAsia="Times New Roman"/>
        </w:rPr>
      </w:pPr>
    </w:p>
    <w:p w14:paraId="615AFEB9" w14:textId="77777777" w:rsidR="00000000" w:rsidRDefault="001D0688">
      <w:pPr>
        <w:divId w:val="1567104747"/>
        <w:rPr>
          <w:rFonts w:eastAsia="Times New Roman"/>
        </w:rPr>
      </w:pPr>
      <w:r>
        <w:rPr>
          <w:rFonts w:ascii="Arial" w:eastAsia="Times New Roman" w:hAnsi="Arial" w:cs="Arial"/>
          <w:b/>
          <w:bCs/>
          <w:color w:val="0046AD"/>
          <w:sz w:val="20"/>
          <w:szCs w:val="20"/>
        </w:rPr>
        <w:t>Legal Matters</w:t>
      </w:r>
    </w:p>
    <w:p w14:paraId="7AEAF750" w14:textId="77777777" w:rsidR="00000000" w:rsidRDefault="001D0688">
      <w:pPr>
        <w:ind w:firstLine="720"/>
        <w:jc w:val="both"/>
        <w:divId w:val="807548676"/>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 other matters, some of which allege substantial mon</w:t>
      </w:r>
      <w:r>
        <w:rPr>
          <w:rFonts w:ascii="Arial" w:eastAsia="Times New Roman" w:hAnsi="Arial" w:cs="Arial"/>
          <w:color w:val="000000"/>
          <w:sz w:val="20"/>
          <w:szCs w:val="20"/>
        </w:rPr>
        <w:t xml:space="preserve">etary damages. Some of these actions may be brought as class actions on behalf of a class or purported class of employees. </w:t>
      </w:r>
    </w:p>
    <w:p w14:paraId="231EBEC9" w14:textId="77777777" w:rsidR="00000000" w:rsidRDefault="001D0688">
      <w:pPr>
        <w:ind w:firstLine="720"/>
        <w:jc w:val="both"/>
        <w:divId w:val="502553896"/>
        <w:rPr>
          <w:rFonts w:eastAsia="Times New Roman"/>
        </w:rPr>
      </w:pPr>
      <w:r>
        <w:rPr>
          <w:rFonts w:ascii="Arial" w:eastAsia="Times New Roman" w:hAnsi="Arial" w:cs="Arial"/>
          <w:color w:val="000000"/>
          <w:sz w:val="20"/>
          <w:szCs w:val="20"/>
        </w:rPr>
        <w:t>At October 31, 2020, the total amount accrued for probable litigation losses where a reasonable estimate of the loss could be made w</w:t>
      </w:r>
      <w:r>
        <w:rPr>
          <w:rFonts w:ascii="Arial" w:eastAsia="Times New Roman" w:hAnsi="Arial" w:cs="Arial"/>
          <w:color w:val="000000"/>
          <w:sz w:val="20"/>
          <w:szCs w:val="20"/>
        </w:rPr>
        <w:t>as $14.7 million. We do not accrue for contingent losses that, in our judgment, are considered to be reasonably possible but not probable. The estimation of reasonably possible losses also requires the analysis of multiple possible outcomes that often depe</w:t>
      </w:r>
      <w:r>
        <w:rPr>
          <w:rFonts w:ascii="Arial" w:eastAsia="Times New Roman" w:hAnsi="Arial" w:cs="Arial"/>
          <w:color w:val="000000"/>
          <w:sz w:val="20"/>
          <w:szCs w:val="20"/>
        </w:rPr>
        <w:t>nd on judgments about potential actions by third parties. Our management currently estimates the range of loss for reasonably possible losses for which a reasonable estimate of the loss can be made is between zero and $4 million. Factors underlying this es</w:t>
      </w:r>
      <w:r>
        <w:rPr>
          <w:rFonts w:ascii="Arial" w:eastAsia="Times New Roman" w:hAnsi="Arial" w:cs="Arial"/>
          <w:color w:val="000000"/>
          <w:sz w:val="20"/>
          <w:szCs w:val="20"/>
        </w:rPr>
        <w:t xml:space="preserve">timated range of loss may change from time to time, and actual results may vary significantly from this estimate. The amounts above do not include any accrual or loss estimates with respect to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described below.</w:t>
      </w:r>
    </w:p>
    <w:p w14:paraId="6D89EF45" w14:textId="77777777" w:rsidR="00000000" w:rsidRDefault="001D0688">
      <w:pPr>
        <w:ind w:firstLine="720"/>
        <w:jc w:val="both"/>
        <w:divId w:val="2097436064"/>
        <w:rPr>
          <w:rFonts w:eastAsia="Times New Roman"/>
        </w:rPr>
      </w:pPr>
      <w:r>
        <w:rPr>
          <w:rFonts w:ascii="Arial" w:eastAsia="Times New Roman" w:hAnsi="Arial" w:cs="Arial"/>
          <w:color w:val="000000"/>
          <w:sz w:val="20"/>
          <w:szCs w:val="20"/>
        </w:rPr>
        <w:t>Litigation outcomes are difficu</w:t>
      </w:r>
      <w:r>
        <w:rPr>
          <w:rFonts w:ascii="Arial" w:eastAsia="Times New Roman" w:hAnsi="Arial" w:cs="Arial"/>
          <w:color w:val="000000"/>
          <w:sz w:val="20"/>
          <w:szCs w:val="20"/>
        </w:rPr>
        <w:t>lt to predict and the estimation of probable losses requires the analysis of multiple possible outcomes that often depend on judgments about potential actions by third parties. If one or more matters are resolved in a particular period in an amount in exce</w:t>
      </w:r>
      <w:r>
        <w:rPr>
          <w:rFonts w:ascii="Arial" w:eastAsia="Times New Roman" w:hAnsi="Arial" w:cs="Arial"/>
          <w:color w:val="000000"/>
          <w:sz w:val="20"/>
          <w:szCs w:val="20"/>
        </w:rPr>
        <w:t xml:space="preserve">ss of, or in a manner different than, what we anticipated, this could have a material adverse effect on our financial position, results of operations, or cash flows. </w:t>
      </w:r>
    </w:p>
    <w:p w14:paraId="5FAD2A7E" w14:textId="77777777" w:rsidR="00000000" w:rsidRDefault="001D0688">
      <w:pPr>
        <w:ind w:firstLine="720"/>
        <w:jc w:val="both"/>
        <w:divId w:val="2000382346"/>
        <w:rPr>
          <w:rFonts w:eastAsia="Times New Roman"/>
        </w:rPr>
      </w:pPr>
      <w:r>
        <w:rPr>
          <w:rFonts w:ascii="Arial" w:eastAsia="Times New Roman" w:hAnsi="Arial" w:cs="Arial"/>
          <w:color w:val="000000"/>
          <w:sz w:val="20"/>
          <w:szCs w:val="20"/>
        </w:rPr>
        <w:t>In some cases, although a loss is probable or reasonably possible, we cannot reasonably e</w:t>
      </w:r>
      <w:r>
        <w:rPr>
          <w:rFonts w:ascii="Arial" w:eastAsia="Times New Roman" w:hAnsi="Arial" w:cs="Arial"/>
          <w:color w:val="000000"/>
          <w:sz w:val="20"/>
          <w:szCs w:val="20"/>
        </w:rPr>
        <w:t>stimate the maximum potential losses for probable matters or the range of losses for reasonably possible matters. Therefore, our accrual for probable losses and our estimated range of loss for reasonably possible losses do not represent our maximum possibl</w:t>
      </w:r>
      <w:r>
        <w:rPr>
          <w:rFonts w:ascii="Arial" w:eastAsia="Times New Roman" w:hAnsi="Arial" w:cs="Arial"/>
          <w:color w:val="000000"/>
          <w:sz w:val="20"/>
          <w:szCs w:val="20"/>
        </w:rPr>
        <w:t xml:space="preserve">e exposure. </w:t>
      </w:r>
    </w:p>
    <w:p w14:paraId="11440A81" w14:textId="77777777" w:rsidR="00000000" w:rsidRDefault="001D0688">
      <w:pPr>
        <w:jc w:val="both"/>
        <w:divId w:val="2100907138"/>
        <w:rPr>
          <w:rFonts w:eastAsia="Times New Roman"/>
        </w:rPr>
      </w:pPr>
      <w:r>
        <w:rPr>
          <w:rFonts w:ascii="Arial" w:eastAsia="Times New Roman" w:hAnsi="Arial" w:cs="Arial"/>
          <w:b/>
          <w:bCs/>
          <w:i/>
          <w:iCs/>
          <w:color w:val="0046AD"/>
          <w:sz w:val="20"/>
          <w:szCs w:val="20"/>
        </w:rPr>
        <w:t>Certain Legal Proceedings</w:t>
      </w:r>
    </w:p>
    <w:p w14:paraId="7A53AB76" w14:textId="77777777" w:rsidR="00000000" w:rsidRDefault="001D0688">
      <w:pPr>
        <w:ind w:firstLine="720"/>
        <w:jc w:val="both"/>
        <w:divId w:val="684331989"/>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damages and the nature of any other re</w:t>
      </w:r>
      <w:r>
        <w:rPr>
          <w:rFonts w:ascii="Arial" w:eastAsia="Times New Roman" w:hAnsi="Arial" w:cs="Arial"/>
          <w:color w:val="000000"/>
          <w:sz w:val="20"/>
          <w:szCs w:val="20"/>
        </w:rPr>
        <w:t>lief sought in the proceeding; if such damages and other relief are specified, our view of the merits of the claims; whether the action is or purports to be a class action, and our view of the likelihood that a class will be certified by the court; the jur</w:t>
      </w:r>
      <w:r>
        <w:rPr>
          <w:rFonts w:ascii="Arial" w:eastAsia="Times New Roman" w:hAnsi="Arial" w:cs="Arial"/>
          <w:color w:val="000000"/>
          <w:sz w:val="20"/>
          <w:szCs w:val="20"/>
        </w:rPr>
        <w:t xml:space="preserve">isdiction in which the proceeding is pending; and the potential impact of the proceeding on our reputation. </w:t>
      </w:r>
    </w:p>
    <w:p w14:paraId="76E5BB56" w14:textId="77777777" w:rsidR="00000000" w:rsidRDefault="001D0688">
      <w:pPr>
        <w:jc w:val="both"/>
        <w:divId w:val="1580367148"/>
        <w:rPr>
          <w:rFonts w:eastAsia="Times New Roman"/>
        </w:rPr>
      </w:pPr>
      <w:r>
        <w:rPr>
          <w:rFonts w:ascii="Arial" w:eastAsia="Times New Roman" w:hAnsi="Arial" w:cs="Arial"/>
          <w:i/>
          <w:iCs/>
          <w:color w:val="000000"/>
          <w:sz w:val="20"/>
          <w:szCs w:val="20"/>
        </w:rPr>
        <w:t>The Consolidated Cases of Bucio and Martinez v. ABM Janitorial Services filed on April 7, 2006, pending in the Superior Court of California, County</w:t>
      </w:r>
      <w:r>
        <w:rPr>
          <w:rFonts w:ascii="Arial" w:eastAsia="Times New Roman" w:hAnsi="Arial" w:cs="Arial"/>
          <w:i/>
          <w:iCs/>
          <w:color w:val="000000"/>
          <w:sz w:val="20"/>
          <w:szCs w:val="20"/>
        </w:rPr>
        <w:t xml:space="preserve"> of San Francisco (the “Bucio case”) </w:t>
      </w:r>
    </w:p>
    <w:p w14:paraId="6650BA9E" w14:textId="77777777" w:rsidR="00000000" w:rsidRDefault="001D0688">
      <w:pPr>
        <w:ind w:firstLine="720"/>
        <w:jc w:val="both"/>
        <w:divId w:val="764496152"/>
        <w:rPr>
          <w:rFonts w:eastAsia="Times New Roman"/>
        </w:rPr>
      </w:pP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is a class action pending in San Francisco Superior Court that alleges we failed to provide legally required meal periods and make additional premium payments for such meal periods, pay split shift premi</w:t>
      </w:r>
      <w:r>
        <w:rPr>
          <w:rFonts w:ascii="Arial" w:eastAsia="Times New Roman" w:hAnsi="Arial" w:cs="Arial"/>
          <w:color w:val="000000"/>
          <w:sz w:val="20"/>
          <w:szCs w:val="20"/>
        </w:rPr>
        <w:t>ums when owed, and reimburse janitors for travel expenses. There is also a claim for penalties under the California Labor Code Private Attorneys General Act (“PAGA”). On April 19, 2011, the trial court held a hearing on plaintiffs’ motion to certify the cl</w:t>
      </w:r>
      <w:r>
        <w:rPr>
          <w:rFonts w:ascii="Arial" w:eastAsia="Times New Roman" w:hAnsi="Arial" w:cs="Arial"/>
          <w:color w:val="000000"/>
          <w:sz w:val="20"/>
          <w:szCs w:val="20"/>
        </w:rPr>
        <w:t xml:space="preserve">ass. At the conclusion of that hearing, the trial court denied plaintiffs’ motion to certify the class. On May 11, 2011, the plaintiffs filed a motion to reconsider, which was denied. The plaintiffs appealed the class certification issues. The trial court </w:t>
      </w:r>
      <w:r>
        <w:rPr>
          <w:rFonts w:ascii="Arial" w:eastAsia="Times New Roman" w:hAnsi="Arial" w:cs="Arial"/>
          <w:color w:val="000000"/>
          <w:sz w:val="20"/>
          <w:szCs w:val="20"/>
        </w:rPr>
        <w:t>stayed the underlying lawsuit pending the decision in the appeal. The Court of Appeal of the State of California, First Appellate District (the “Court of Appeal”), heard oral arguments on November 7, 2017. On December 11, 2017, the Court of Appeal reversed</w:t>
      </w:r>
      <w:r>
        <w:rPr>
          <w:rFonts w:ascii="Arial" w:eastAsia="Times New Roman" w:hAnsi="Arial" w:cs="Arial"/>
          <w:color w:val="000000"/>
          <w:sz w:val="20"/>
          <w:szCs w:val="20"/>
        </w:rPr>
        <w:t xml:space="preserve"> the trial court’s order denying class certification and remanded the matter for certification of a meal period, travel expense reimbursement, and split shift class. The case was remitted to the trial court for further proceedings on class certification, d</w:t>
      </w:r>
      <w:r>
        <w:rPr>
          <w:rFonts w:ascii="Arial" w:eastAsia="Times New Roman" w:hAnsi="Arial" w:cs="Arial"/>
          <w:color w:val="000000"/>
          <w:sz w:val="20"/>
          <w:szCs w:val="20"/>
        </w:rPr>
        <w:t xml:space="preserve">iscovery, dispositive motions, and trial. </w:t>
      </w:r>
    </w:p>
    <w:p w14:paraId="42141A49" w14:textId="77777777" w:rsidR="00000000" w:rsidRDefault="001D0688">
      <w:pPr>
        <w:ind w:firstLine="720"/>
        <w:jc w:val="both"/>
        <w:divId w:val="1055280411"/>
        <w:rPr>
          <w:rFonts w:eastAsia="Times New Roman"/>
        </w:rPr>
      </w:pPr>
      <w:r>
        <w:rPr>
          <w:rFonts w:ascii="Arial" w:eastAsia="Times New Roman" w:hAnsi="Arial" w:cs="Arial"/>
          <w:color w:val="000000"/>
          <w:sz w:val="20"/>
          <w:szCs w:val="20"/>
        </w:rPr>
        <w:t xml:space="preserve">On September 20, 2018, the trial court entered an order defining four certified subclasses of janitors who were employed by the legacy ABM janitorial companies in California at any time between April 7, 2002, and </w:t>
      </w:r>
      <w:r>
        <w:rPr>
          <w:rFonts w:ascii="Arial" w:eastAsia="Times New Roman" w:hAnsi="Arial" w:cs="Arial"/>
          <w:color w:val="000000"/>
          <w:sz w:val="20"/>
          <w:szCs w:val="20"/>
        </w:rPr>
        <w:t>April 30, 2013, on claims based on alleged previous automatic deduction practices for meal breaks, unpaid meal premiums, unpaid split shift premiums, and unreimbursed business expenses, such as mileage reimbursement for use of personal vehicles to travel b</w:t>
      </w:r>
      <w:r>
        <w:rPr>
          <w:rFonts w:ascii="Arial" w:eastAsia="Times New Roman" w:hAnsi="Arial" w:cs="Arial"/>
          <w:color w:val="000000"/>
          <w:sz w:val="20"/>
          <w:szCs w:val="20"/>
        </w:rPr>
        <w:t>etween worksites. On February 1, 2019, the trial court held that the discovery related to PAGA claims allegedly arising after April 30, 2013, would be stayed until after the class and PAGA claims accruing prior to April 30, 2013, had been tried. The partie</w:t>
      </w:r>
      <w:r>
        <w:rPr>
          <w:rFonts w:ascii="Arial" w:eastAsia="Times New Roman" w:hAnsi="Arial" w:cs="Arial"/>
          <w:color w:val="000000"/>
          <w:sz w:val="20"/>
          <w:szCs w:val="20"/>
        </w:rPr>
        <w:t>s engaged in mediation in July 2019, which did not result in settlement of the case. On October 17, 2019, the plaintiffs filed a motion asking the trial court to certify additional classes based on an alleged failure to maintain time records, an alleged fa</w:t>
      </w:r>
      <w:r>
        <w:rPr>
          <w:rFonts w:ascii="Arial" w:eastAsia="Times New Roman" w:hAnsi="Arial" w:cs="Arial"/>
          <w:color w:val="000000"/>
          <w:sz w:val="20"/>
          <w:szCs w:val="20"/>
        </w:rPr>
        <w:t xml:space="preserve">ilure to provide accurate wage statements, and an alleged practice of combining meal and rest breaks. The trial court denied the plaintiffs’ motion </w:t>
      </w:r>
    </w:p>
    <w:p w14:paraId="18414906" w14:textId="77777777" w:rsidR="00000000" w:rsidRDefault="001D0688">
      <w:pPr>
        <w:jc w:val="center"/>
        <w:divId w:val="720596270"/>
        <w:rPr>
          <w:rFonts w:eastAsia="Times New Roman"/>
        </w:rPr>
      </w:pPr>
      <w:r>
        <w:rPr>
          <w:rFonts w:ascii="Arial" w:eastAsia="Times New Roman" w:hAnsi="Arial" w:cs="Arial"/>
          <w:color w:val="000000"/>
          <w:sz w:val="20"/>
          <w:szCs w:val="20"/>
        </w:rPr>
        <w:t>86</w:t>
      </w:r>
    </w:p>
    <w:p w14:paraId="1B9B313D" w14:textId="77777777" w:rsidR="00000000" w:rsidRDefault="001D0688">
      <w:pPr>
        <w:rPr>
          <w:rFonts w:eastAsia="Times New Roman"/>
        </w:rPr>
      </w:pPr>
      <w:r>
        <w:rPr>
          <w:rFonts w:eastAsia="Times New Roman"/>
        </w:rPr>
        <w:pict w14:anchorId="3B2B2736">
          <v:rect id="_x0000_i1123" style="width:0;height:1.5pt" o:hralign="center" o:hrstd="t" o:hr="t" fillcolor="#a0a0a0" stroked="f"/>
        </w:pict>
      </w:r>
    </w:p>
    <w:p w14:paraId="2BBCC4A2" w14:textId="77777777" w:rsidR="00000000" w:rsidRDefault="001D0688">
      <w:pPr>
        <w:divId w:val="1165125813"/>
        <w:rPr>
          <w:rFonts w:eastAsia="Times New Roman"/>
        </w:rPr>
      </w:pPr>
    </w:p>
    <w:p w14:paraId="03D03BAB" w14:textId="77777777" w:rsidR="00000000" w:rsidRDefault="001D0688">
      <w:pPr>
        <w:jc w:val="both"/>
        <w:divId w:val="988903470"/>
        <w:rPr>
          <w:rFonts w:eastAsia="Times New Roman"/>
        </w:rPr>
      </w:pPr>
      <w:r>
        <w:rPr>
          <w:rFonts w:ascii="Arial" w:eastAsia="Times New Roman" w:hAnsi="Arial" w:cs="Arial"/>
          <w:color w:val="000000"/>
          <w:sz w:val="20"/>
          <w:szCs w:val="20"/>
        </w:rPr>
        <w:t>to certify additional classes on December 26, 2019. The case was r</w:t>
      </w:r>
      <w:r>
        <w:rPr>
          <w:rFonts w:ascii="Arial" w:eastAsia="Times New Roman" w:hAnsi="Arial" w:cs="Arial"/>
          <w:color w:val="000000"/>
          <w:sz w:val="20"/>
          <w:szCs w:val="20"/>
        </w:rPr>
        <w:t xml:space="preserve">e-assigned to a new judge on January 6, 2020. ABM filed motions for summary adjudication as to certain of Plaintiffs’ class claims, and the trial court denied those motions in November 2020. Plaintiffs filed motions for summary adjudication and/or summary </w:t>
      </w:r>
      <w:r>
        <w:rPr>
          <w:rFonts w:ascii="Arial" w:eastAsia="Times New Roman" w:hAnsi="Arial" w:cs="Arial"/>
          <w:color w:val="000000"/>
          <w:sz w:val="20"/>
          <w:szCs w:val="20"/>
        </w:rPr>
        <w:t xml:space="preserve">judgment on some claims in December 2020, and a hearing on these motions is currently set for February 24, 2021. The trial court has ordered that the parties complete another mediation by February 19, 2021. </w:t>
      </w:r>
    </w:p>
    <w:p w14:paraId="668DC72A" w14:textId="77777777" w:rsidR="00000000" w:rsidRDefault="001D0688">
      <w:pPr>
        <w:ind w:firstLine="720"/>
        <w:jc w:val="both"/>
        <w:divId w:val="643119820"/>
        <w:rPr>
          <w:rFonts w:eastAsia="Times New Roman"/>
        </w:rPr>
      </w:pPr>
      <w:r>
        <w:rPr>
          <w:rFonts w:ascii="Arial" w:eastAsia="Times New Roman" w:hAnsi="Arial" w:cs="Arial"/>
          <w:color w:val="000000"/>
          <w:sz w:val="20"/>
          <w:szCs w:val="20"/>
        </w:rPr>
        <w:t>The parties are currently engaged in substantive</w:t>
      </w:r>
      <w:r>
        <w:rPr>
          <w:rFonts w:ascii="Arial" w:eastAsia="Times New Roman" w:hAnsi="Arial" w:cs="Arial"/>
          <w:color w:val="000000"/>
          <w:sz w:val="20"/>
          <w:szCs w:val="20"/>
        </w:rPr>
        <w:t xml:space="preserve"> briefing and will begin expert discovery. The class action claims accruing prior to April 30, 2013 are set for trial on July 12, 2021. Prior to trial, we will have the opportunity to, among other things, seek decertification of the classes, seek interlocu</w:t>
      </w:r>
      <w:r>
        <w:rPr>
          <w:rFonts w:ascii="Arial" w:eastAsia="Times New Roman" w:hAnsi="Arial" w:cs="Arial"/>
          <w:color w:val="000000"/>
          <w:sz w:val="20"/>
          <w:szCs w:val="20"/>
        </w:rPr>
        <w:t xml:space="preserve">tory appellate review, or engage in further mediation if we deem such actions appropriate. We may engage in one or more such activities before the trial. </w:t>
      </w:r>
    </w:p>
    <w:p w14:paraId="681E915D" w14:textId="77777777" w:rsidR="00000000" w:rsidRDefault="001D0688">
      <w:pPr>
        <w:ind w:firstLine="720"/>
        <w:jc w:val="both"/>
        <w:divId w:val="954824127"/>
        <w:rPr>
          <w:rFonts w:eastAsia="Times New Roman"/>
        </w:rPr>
      </w:pPr>
      <w:r>
        <w:rPr>
          <w:rFonts w:ascii="Arial" w:eastAsia="Times New Roman" w:hAnsi="Arial" w:cs="Arial"/>
          <w:color w:val="000000"/>
          <w:sz w:val="20"/>
          <w:szCs w:val="20"/>
        </w:rPr>
        <w:t>While we believe we have valid defenses to the claims in this proceeding and will continue to vigorou</w:t>
      </w:r>
      <w:r>
        <w:rPr>
          <w:rFonts w:ascii="Arial" w:eastAsia="Times New Roman" w:hAnsi="Arial" w:cs="Arial"/>
          <w:color w:val="000000"/>
          <w:sz w:val="20"/>
          <w:szCs w:val="20"/>
        </w:rPr>
        <w:t xml:space="preserve">sly defend ourselves, there can be no assurance that the final resolution of this matter will not have a material adverse effect on our business, financial condition, results of operations, or cash flows. </w:t>
      </w:r>
    </w:p>
    <w:p w14:paraId="77BB8755" w14:textId="77777777" w:rsidR="00000000" w:rsidRDefault="001D0688">
      <w:pPr>
        <w:divId w:val="1478720683"/>
        <w:rPr>
          <w:rFonts w:eastAsia="Times New Roman"/>
        </w:rPr>
      </w:pPr>
    </w:p>
    <w:p w14:paraId="7043ACF4" w14:textId="77777777" w:rsidR="00000000" w:rsidRDefault="001D0688">
      <w:pPr>
        <w:divId w:val="1303464161"/>
        <w:rPr>
          <w:rFonts w:eastAsia="Times New Roman"/>
        </w:rPr>
      </w:pPr>
      <w:r>
        <w:rPr>
          <w:rFonts w:ascii="Arial" w:eastAsia="Times New Roman" w:hAnsi="Arial" w:cs="Arial"/>
          <w:b/>
          <w:bCs/>
          <w:color w:val="0046AD"/>
          <w:sz w:val="20"/>
          <w:szCs w:val="20"/>
        </w:rPr>
        <w:t xml:space="preserve">14. PREFERRED AND COMMON STOCK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07AF668C" w14:textId="77777777">
        <w:trPr>
          <w:divId w:val="1847210523"/>
        </w:trPr>
        <w:tc>
          <w:tcPr>
            <w:tcW w:w="5" w:type="pct"/>
            <w:vAlign w:val="center"/>
            <w:hideMark/>
          </w:tcPr>
          <w:p w14:paraId="6F4F0E30" w14:textId="77777777" w:rsidR="00000000" w:rsidRDefault="001D0688">
            <w:pPr>
              <w:rPr>
                <w:rFonts w:eastAsia="Times New Roman"/>
              </w:rPr>
            </w:pPr>
          </w:p>
        </w:tc>
        <w:tc>
          <w:tcPr>
            <w:tcW w:w="129" w:type="pct"/>
            <w:vAlign w:val="center"/>
            <w:hideMark/>
          </w:tcPr>
          <w:p w14:paraId="46E049E3" w14:textId="77777777" w:rsidR="00000000" w:rsidRDefault="001D0688">
            <w:pPr>
              <w:rPr>
                <w:rFonts w:eastAsia="Times New Roman"/>
                <w:sz w:val="20"/>
                <w:szCs w:val="20"/>
              </w:rPr>
            </w:pPr>
          </w:p>
        </w:tc>
        <w:tc>
          <w:tcPr>
            <w:tcW w:w="5" w:type="pct"/>
            <w:vAlign w:val="center"/>
            <w:hideMark/>
          </w:tcPr>
          <w:p w14:paraId="257F6C72" w14:textId="77777777" w:rsidR="00000000" w:rsidRDefault="001D0688">
            <w:pPr>
              <w:rPr>
                <w:rFonts w:eastAsia="Times New Roman"/>
                <w:sz w:val="20"/>
                <w:szCs w:val="20"/>
              </w:rPr>
            </w:pPr>
          </w:p>
        </w:tc>
        <w:tc>
          <w:tcPr>
            <w:tcW w:w="50" w:type="pct"/>
            <w:vAlign w:val="center"/>
            <w:hideMark/>
          </w:tcPr>
          <w:p w14:paraId="2470293B" w14:textId="77777777" w:rsidR="00000000" w:rsidRDefault="001D0688">
            <w:pPr>
              <w:rPr>
                <w:rFonts w:eastAsia="Times New Roman"/>
                <w:sz w:val="20"/>
                <w:szCs w:val="20"/>
              </w:rPr>
            </w:pPr>
          </w:p>
        </w:tc>
        <w:tc>
          <w:tcPr>
            <w:tcW w:w="4805" w:type="pct"/>
            <w:vAlign w:val="center"/>
            <w:hideMark/>
          </w:tcPr>
          <w:p w14:paraId="7DEA91C6" w14:textId="77777777" w:rsidR="00000000" w:rsidRDefault="001D0688">
            <w:pPr>
              <w:rPr>
                <w:rFonts w:eastAsia="Times New Roman"/>
                <w:sz w:val="20"/>
                <w:szCs w:val="20"/>
              </w:rPr>
            </w:pPr>
          </w:p>
        </w:tc>
        <w:tc>
          <w:tcPr>
            <w:tcW w:w="5" w:type="pct"/>
            <w:vAlign w:val="center"/>
            <w:hideMark/>
          </w:tcPr>
          <w:p w14:paraId="2AE754DD" w14:textId="77777777" w:rsidR="00000000" w:rsidRDefault="001D0688">
            <w:pPr>
              <w:rPr>
                <w:rFonts w:eastAsia="Times New Roman"/>
                <w:sz w:val="20"/>
                <w:szCs w:val="20"/>
              </w:rPr>
            </w:pPr>
          </w:p>
        </w:tc>
      </w:tr>
      <w:tr w:rsidR="00000000" w14:paraId="2E196DE8" w14:textId="77777777">
        <w:trPr>
          <w:divId w:val="1847210523"/>
          <w:trHeight w:val="60"/>
        </w:trPr>
        <w:tc>
          <w:tcPr>
            <w:tcW w:w="0" w:type="auto"/>
            <w:gridSpan w:val="3"/>
            <w:tcBorders>
              <w:top w:val="single" w:sz="8" w:space="0" w:color="E98300"/>
            </w:tcBorders>
            <w:tcMar>
              <w:top w:w="0" w:type="dxa"/>
              <w:left w:w="20" w:type="dxa"/>
              <w:bottom w:w="0" w:type="dxa"/>
              <w:right w:w="20" w:type="dxa"/>
            </w:tcMar>
            <w:vAlign w:val="center"/>
            <w:hideMark/>
          </w:tcPr>
          <w:p w14:paraId="6EFDCE8A"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19E9817E" w14:textId="77777777" w:rsidR="00000000" w:rsidRDefault="001D0688">
            <w:pPr>
              <w:rPr>
                <w:rFonts w:eastAsia="Times New Roman"/>
                <w:sz w:val="20"/>
                <w:szCs w:val="20"/>
              </w:rPr>
            </w:pPr>
          </w:p>
        </w:tc>
      </w:tr>
    </w:tbl>
    <w:p w14:paraId="209A1A6D" w14:textId="77777777" w:rsidR="00000000" w:rsidRDefault="001D0688">
      <w:pPr>
        <w:divId w:val="1010179946"/>
        <w:rPr>
          <w:rFonts w:eastAsia="Times New Roman"/>
        </w:rPr>
      </w:pPr>
      <w:r>
        <w:rPr>
          <w:rFonts w:ascii="Arial" w:eastAsia="Times New Roman" w:hAnsi="Arial" w:cs="Arial"/>
          <w:b/>
          <w:bCs/>
          <w:color w:val="0046AD"/>
          <w:sz w:val="20"/>
          <w:szCs w:val="20"/>
        </w:rPr>
        <w:t xml:space="preserve">Preferred Stock </w:t>
      </w:r>
    </w:p>
    <w:p w14:paraId="52F48377" w14:textId="77777777" w:rsidR="00000000" w:rsidRDefault="001D0688">
      <w:pPr>
        <w:ind w:firstLine="720"/>
        <w:jc w:val="both"/>
        <w:divId w:val="600994089"/>
        <w:rPr>
          <w:rFonts w:eastAsia="Times New Roman"/>
        </w:rPr>
      </w:pPr>
      <w:r>
        <w:rPr>
          <w:rFonts w:ascii="Arial" w:eastAsia="Times New Roman" w:hAnsi="Arial" w:cs="Arial"/>
          <w:color w:val="000000"/>
          <w:sz w:val="20"/>
          <w:szCs w:val="20"/>
        </w:rPr>
        <w:t>We are authorized to issue 500,000 shares of preferred stock. None of these preferred shares are issued.</w:t>
      </w:r>
    </w:p>
    <w:p w14:paraId="09644B18" w14:textId="77777777" w:rsidR="00000000" w:rsidRDefault="001D0688">
      <w:pPr>
        <w:jc w:val="both"/>
        <w:divId w:val="1460684216"/>
        <w:rPr>
          <w:rFonts w:eastAsia="Times New Roman"/>
        </w:rPr>
      </w:pPr>
      <w:r>
        <w:rPr>
          <w:rFonts w:ascii="Arial" w:eastAsia="Times New Roman" w:hAnsi="Arial" w:cs="Arial"/>
          <w:b/>
          <w:bCs/>
          <w:color w:val="0046AD"/>
          <w:sz w:val="20"/>
          <w:szCs w:val="20"/>
        </w:rPr>
        <w:t>Common Stock</w:t>
      </w:r>
    </w:p>
    <w:p w14:paraId="67A1898B" w14:textId="77777777" w:rsidR="00000000" w:rsidRDefault="001D0688">
      <w:pPr>
        <w:ind w:firstLine="720"/>
        <w:jc w:val="both"/>
        <w:divId w:val="1313950049"/>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These purchases may take place on the open m</w:t>
      </w:r>
      <w:r>
        <w:rPr>
          <w:rFonts w:ascii="Arial" w:eastAsia="Times New Roman" w:hAnsi="Arial" w:cs="Arial"/>
          <w:color w:val="000000"/>
          <w:sz w:val="20"/>
          <w:szCs w:val="20"/>
        </w:rPr>
        <w:t>arket or otherwise, and all or part of the repurchases may be made pursuant to Rule 10b5-1 plans or in privately negotiated transactions. The timing of repurchases is at our discretion and will depend upon several factors, including market and business con</w:t>
      </w:r>
      <w:r>
        <w:rPr>
          <w:rFonts w:ascii="Arial" w:eastAsia="Times New Roman" w:hAnsi="Arial" w:cs="Arial"/>
          <w:color w:val="000000"/>
          <w:sz w:val="20"/>
          <w:szCs w:val="20"/>
        </w:rPr>
        <w:t>ditions, future cash flows, share price, share availability, and other factors at our discretion. Repurchased shares are retired and returned to an authorized but unissued status.</w:t>
      </w:r>
      <w:r>
        <w:rPr>
          <w:rFonts w:ascii="Arial" w:eastAsia="Times New Roman" w:hAnsi="Arial" w:cs="Arial"/>
          <w:color w:val="000000"/>
          <w:sz w:val="20"/>
          <w:szCs w:val="20"/>
          <w:shd w:val="clear" w:color="auto" w:fill="FFFFFF"/>
        </w:rPr>
        <w:t xml:space="preserve"> The repurchase program may be suspended or discontinued at any time without </w:t>
      </w:r>
      <w:r>
        <w:rPr>
          <w:rFonts w:ascii="Arial" w:eastAsia="Times New Roman" w:hAnsi="Arial" w:cs="Arial"/>
          <w:color w:val="000000"/>
          <w:sz w:val="20"/>
          <w:szCs w:val="20"/>
          <w:shd w:val="clear" w:color="auto" w:fill="FFFFFF"/>
        </w:rPr>
        <w:t xml:space="preserve">prior notice. </w:t>
      </w:r>
    </w:p>
    <w:p w14:paraId="3B2691AF" w14:textId="77777777" w:rsidR="00000000" w:rsidRDefault="001D0688">
      <w:pPr>
        <w:jc w:val="both"/>
        <w:divId w:val="775247100"/>
        <w:rPr>
          <w:rFonts w:eastAsia="Times New Roman"/>
        </w:rPr>
      </w:pPr>
      <w:r>
        <w:rPr>
          <w:rFonts w:ascii="Arial" w:eastAsia="Times New Roman" w:hAnsi="Arial" w:cs="Arial"/>
          <w:b/>
          <w:bCs/>
          <w:i/>
          <w:iCs/>
          <w:color w:val="0046AD"/>
          <w:sz w:val="20"/>
          <w:szCs w:val="20"/>
        </w:rPr>
        <w:t>Repurchase Activity</w:t>
      </w:r>
    </w:p>
    <w:p w14:paraId="51AFA789" w14:textId="77777777" w:rsidR="00000000" w:rsidRDefault="001D0688">
      <w:pPr>
        <w:ind w:firstLine="720"/>
        <w:jc w:val="both"/>
        <w:divId w:val="2052655554"/>
        <w:rPr>
          <w:rFonts w:eastAsia="Times New Roman"/>
        </w:rPr>
      </w:pPr>
      <w:r>
        <w:rPr>
          <w:rFonts w:ascii="Arial" w:eastAsia="Times New Roman" w:hAnsi="Arial" w:cs="Arial"/>
          <w:color w:val="000000"/>
          <w:sz w:val="20"/>
          <w:szCs w:val="20"/>
        </w:rPr>
        <w:t>We repurchased shares under the 2019 Share Repurchase Program during the second quarter of 2020, as summarized below. However, due to the market and business conditions arising from the Pandemic, in March 2020 we suspende</w:t>
      </w:r>
      <w:r>
        <w:rPr>
          <w:rFonts w:ascii="Arial" w:eastAsia="Times New Roman" w:hAnsi="Arial" w:cs="Arial"/>
          <w:color w:val="000000"/>
          <w:sz w:val="20"/>
          <w:szCs w:val="20"/>
        </w:rPr>
        <w:t>d further repurchases of our common stock. At October 31, 2020, authorization for $144.9 million of repurchases remained under the 2019 Share Repurchase Program. There were no share repurchases during 2019 or 2018.</w:t>
      </w:r>
    </w:p>
    <w:tbl>
      <w:tblPr>
        <w:tblW w:w="5000" w:type="pct"/>
        <w:tblCellMar>
          <w:top w:w="15" w:type="dxa"/>
          <w:left w:w="15" w:type="dxa"/>
          <w:bottom w:w="15" w:type="dxa"/>
          <w:right w:w="15" w:type="dxa"/>
        </w:tblCellMar>
        <w:tblLook w:val="04A0" w:firstRow="1" w:lastRow="0" w:firstColumn="1" w:lastColumn="0" w:noHBand="0" w:noVBand="1"/>
      </w:tblPr>
      <w:tblGrid>
        <w:gridCol w:w="42"/>
        <w:gridCol w:w="5795"/>
        <w:gridCol w:w="38"/>
        <w:gridCol w:w="36"/>
        <w:gridCol w:w="36"/>
        <w:gridCol w:w="36"/>
        <w:gridCol w:w="133"/>
        <w:gridCol w:w="2153"/>
        <w:gridCol w:w="37"/>
      </w:tblGrid>
      <w:tr w:rsidR="00000000" w14:paraId="5FB66646" w14:textId="77777777">
        <w:trPr>
          <w:divId w:val="1082918814"/>
        </w:trPr>
        <w:tc>
          <w:tcPr>
            <w:tcW w:w="50" w:type="pct"/>
            <w:vAlign w:val="center"/>
            <w:hideMark/>
          </w:tcPr>
          <w:p w14:paraId="5ABB1F1D" w14:textId="77777777" w:rsidR="00000000" w:rsidRDefault="001D0688">
            <w:pPr>
              <w:ind w:firstLine="720"/>
              <w:jc w:val="both"/>
              <w:rPr>
                <w:rFonts w:eastAsia="Times New Roman"/>
              </w:rPr>
            </w:pPr>
          </w:p>
        </w:tc>
        <w:tc>
          <w:tcPr>
            <w:tcW w:w="3512" w:type="pct"/>
            <w:vAlign w:val="center"/>
            <w:hideMark/>
          </w:tcPr>
          <w:p w14:paraId="57A58E66" w14:textId="77777777" w:rsidR="00000000" w:rsidRDefault="001D0688">
            <w:pPr>
              <w:rPr>
                <w:rFonts w:eastAsia="Times New Roman"/>
                <w:sz w:val="20"/>
                <w:szCs w:val="20"/>
              </w:rPr>
            </w:pPr>
          </w:p>
        </w:tc>
        <w:tc>
          <w:tcPr>
            <w:tcW w:w="5" w:type="pct"/>
            <w:vAlign w:val="center"/>
            <w:hideMark/>
          </w:tcPr>
          <w:p w14:paraId="0554CA5B" w14:textId="77777777" w:rsidR="00000000" w:rsidRDefault="001D0688">
            <w:pPr>
              <w:rPr>
                <w:rFonts w:eastAsia="Times New Roman"/>
                <w:sz w:val="20"/>
                <w:szCs w:val="20"/>
              </w:rPr>
            </w:pPr>
          </w:p>
        </w:tc>
        <w:tc>
          <w:tcPr>
            <w:tcW w:w="5" w:type="pct"/>
            <w:vAlign w:val="center"/>
            <w:hideMark/>
          </w:tcPr>
          <w:p w14:paraId="20E3BCBC" w14:textId="77777777" w:rsidR="00000000" w:rsidRDefault="001D0688">
            <w:pPr>
              <w:rPr>
                <w:rFonts w:eastAsia="Times New Roman"/>
                <w:sz w:val="20"/>
                <w:szCs w:val="20"/>
              </w:rPr>
            </w:pPr>
          </w:p>
        </w:tc>
        <w:tc>
          <w:tcPr>
            <w:tcW w:w="26" w:type="pct"/>
            <w:vAlign w:val="center"/>
            <w:hideMark/>
          </w:tcPr>
          <w:p w14:paraId="5BCC2A33" w14:textId="77777777" w:rsidR="00000000" w:rsidRDefault="001D0688">
            <w:pPr>
              <w:rPr>
                <w:rFonts w:eastAsia="Times New Roman"/>
                <w:sz w:val="20"/>
                <w:szCs w:val="20"/>
              </w:rPr>
            </w:pPr>
          </w:p>
        </w:tc>
        <w:tc>
          <w:tcPr>
            <w:tcW w:w="5" w:type="pct"/>
            <w:vAlign w:val="center"/>
            <w:hideMark/>
          </w:tcPr>
          <w:p w14:paraId="427BBF51" w14:textId="77777777" w:rsidR="00000000" w:rsidRDefault="001D0688">
            <w:pPr>
              <w:rPr>
                <w:rFonts w:eastAsia="Times New Roman"/>
                <w:sz w:val="20"/>
                <w:szCs w:val="20"/>
              </w:rPr>
            </w:pPr>
          </w:p>
        </w:tc>
        <w:tc>
          <w:tcPr>
            <w:tcW w:w="50" w:type="pct"/>
            <w:vAlign w:val="center"/>
            <w:hideMark/>
          </w:tcPr>
          <w:p w14:paraId="206769A2" w14:textId="77777777" w:rsidR="00000000" w:rsidRDefault="001D0688">
            <w:pPr>
              <w:rPr>
                <w:rFonts w:eastAsia="Times New Roman"/>
                <w:sz w:val="20"/>
                <w:szCs w:val="20"/>
              </w:rPr>
            </w:pPr>
          </w:p>
        </w:tc>
        <w:tc>
          <w:tcPr>
            <w:tcW w:w="1341" w:type="pct"/>
            <w:vAlign w:val="center"/>
            <w:hideMark/>
          </w:tcPr>
          <w:p w14:paraId="3A4C3236" w14:textId="77777777" w:rsidR="00000000" w:rsidRDefault="001D0688">
            <w:pPr>
              <w:rPr>
                <w:rFonts w:eastAsia="Times New Roman"/>
                <w:sz w:val="20"/>
                <w:szCs w:val="20"/>
              </w:rPr>
            </w:pPr>
          </w:p>
        </w:tc>
        <w:tc>
          <w:tcPr>
            <w:tcW w:w="5" w:type="pct"/>
            <w:vAlign w:val="center"/>
            <w:hideMark/>
          </w:tcPr>
          <w:p w14:paraId="182F0A9A" w14:textId="77777777" w:rsidR="00000000" w:rsidRDefault="001D0688">
            <w:pPr>
              <w:rPr>
                <w:rFonts w:eastAsia="Times New Roman"/>
                <w:sz w:val="20"/>
                <w:szCs w:val="20"/>
              </w:rPr>
            </w:pPr>
          </w:p>
        </w:tc>
      </w:tr>
      <w:tr w:rsidR="00000000" w14:paraId="15CA5E3F" w14:textId="77777777">
        <w:trPr>
          <w:divId w:val="1082918814"/>
        </w:trPr>
        <w:tc>
          <w:tcPr>
            <w:tcW w:w="0" w:type="auto"/>
            <w:gridSpan w:val="3"/>
            <w:tcMar>
              <w:top w:w="0" w:type="dxa"/>
              <w:left w:w="20" w:type="dxa"/>
              <w:bottom w:w="0" w:type="dxa"/>
              <w:right w:w="20" w:type="dxa"/>
            </w:tcMar>
            <w:vAlign w:val="center"/>
            <w:hideMark/>
          </w:tcPr>
          <w:p w14:paraId="737E6B56"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3E8AF43"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20988245" w14:textId="77777777" w:rsidR="00000000" w:rsidRDefault="001D0688">
            <w:pPr>
              <w:jc w:val="center"/>
              <w:rPr>
                <w:rFonts w:eastAsia="Times New Roman"/>
              </w:rPr>
            </w:pPr>
            <w:r>
              <w:rPr>
                <w:rFonts w:ascii="Arial" w:eastAsia="Times New Roman" w:hAnsi="Arial" w:cs="Arial"/>
                <w:b/>
                <w:bCs/>
                <w:color w:val="000000"/>
                <w:sz w:val="20"/>
                <w:szCs w:val="20"/>
              </w:rPr>
              <w:t>Year Ended</w:t>
            </w:r>
          </w:p>
        </w:tc>
      </w:tr>
      <w:tr w:rsidR="00000000" w14:paraId="0C6AC0BF" w14:textId="77777777">
        <w:trPr>
          <w:divId w:val="1082918814"/>
        </w:trPr>
        <w:tc>
          <w:tcPr>
            <w:tcW w:w="0" w:type="auto"/>
            <w:gridSpan w:val="3"/>
            <w:tcMar>
              <w:top w:w="30" w:type="dxa"/>
              <w:left w:w="20" w:type="dxa"/>
              <w:bottom w:w="30" w:type="dxa"/>
              <w:right w:w="20" w:type="dxa"/>
            </w:tcMar>
            <w:vAlign w:val="bottom"/>
            <w:hideMark/>
          </w:tcPr>
          <w:p w14:paraId="0F8E4DD0"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614BDD82" w14:textId="77777777" w:rsidR="00000000" w:rsidRDefault="001D0688">
            <w:pPr>
              <w:rPr>
                <w:rFonts w:eastAsia="Times New Roman"/>
              </w:rPr>
            </w:pPr>
          </w:p>
        </w:tc>
        <w:tc>
          <w:tcPr>
            <w:tcW w:w="0" w:type="auto"/>
            <w:gridSpan w:val="3"/>
            <w:tcMar>
              <w:top w:w="30" w:type="dxa"/>
              <w:left w:w="20" w:type="dxa"/>
              <w:bottom w:w="30" w:type="dxa"/>
              <w:right w:w="20" w:type="dxa"/>
            </w:tcMar>
            <w:vAlign w:val="bottom"/>
            <w:hideMark/>
          </w:tcPr>
          <w:p w14:paraId="367D9FDD" w14:textId="77777777" w:rsidR="00000000" w:rsidRDefault="001D0688">
            <w:pPr>
              <w:jc w:val="center"/>
              <w:rPr>
                <w:rFonts w:eastAsia="Times New Roman"/>
              </w:rPr>
            </w:pPr>
            <w:r>
              <w:rPr>
                <w:rFonts w:ascii="Arial" w:eastAsia="Times New Roman" w:hAnsi="Arial" w:cs="Arial"/>
                <w:b/>
                <w:bCs/>
                <w:color w:val="000000"/>
                <w:sz w:val="20"/>
                <w:szCs w:val="20"/>
              </w:rPr>
              <w:t>October 31, 2020</w:t>
            </w:r>
          </w:p>
        </w:tc>
      </w:tr>
      <w:tr w:rsidR="00000000" w14:paraId="434F2B7C" w14:textId="77777777">
        <w:trPr>
          <w:divId w:val="1082918814"/>
        </w:trPr>
        <w:tc>
          <w:tcPr>
            <w:tcW w:w="0" w:type="auto"/>
            <w:gridSpan w:val="3"/>
            <w:shd w:val="clear" w:color="auto" w:fill="DCE2EF"/>
            <w:tcMar>
              <w:top w:w="30" w:type="dxa"/>
              <w:left w:w="20" w:type="dxa"/>
              <w:bottom w:w="30" w:type="dxa"/>
              <w:right w:w="20" w:type="dxa"/>
            </w:tcMar>
            <w:vAlign w:val="bottom"/>
            <w:hideMark/>
          </w:tcPr>
          <w:p w14:paraId="76712298" w14:textId="77777777" w:rsidR="00000000" w:rsidRDefault="001D0688">
            <w:pPr>
              <w:rPr>
                <w:rFonts w:eastAsia="Times New Roman"/>
              </w:rPr>
            </w:pPr>
            <w:r>
              <w:rPr>
                <w:rFonts w:ascii="Arial" w:eastAsia="Times New Roman" w:hAnsi="Arial" w:cs="Arial"/>
                <w:color w:val="000000"/>
                <w:sz w:val="20"/>
                <w:szCs w:val="20"/>
              </w:rPr>
              <w:t>Total number of shares purchased</w:t>
            </w:r>
          </w:p>
        </w:tc>
        <w:tc>
          <w:tcPr>
            <w:tcW w:w="0" w:type="auto"/>
            <w:gridSpan w:val="3"/>
            <w:shd w:val="clear" w:color="auto" w:fill="DCE2EF"/>
            <w:tcMar>
              <w:top w:w="0" w:type="dxa"/>
              <w:left w:w="20" w:type="dxa"/>
              <w:bottom w:w="0" w:type="dxa"/>
              <w:right w:w="20" w:type="dxa"/>
            </w:tcMar>
            <w:vAlign w:val="center"/>
            <w:hideMark/>
          </w:tcPr>
          <w:p w14:paraId="6D491ECC" w14:textId="77777777" w:rsidR="00000000" w:rsidRDefault="001D0688">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92F626F"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E00C93" w14:textId="77777777" w:rsidR="00000000" w:rsidRDefault="001D0688">
            <w:pPr>
              <w:jc w:val="right"/>
              <w:rPr>
                <w:rFonts w:eastAsia="Times New Roman"/>
              </w:rPr>
            </w:pPr>
          </w:p>
        </w:tc>
      </w:tr>
      <w:tr w:rsidR="00000000" w14:paraId="5598E895" w14:textId="77777777">
        <w:trPr>
          <w:divId w:val="1082918814"/>
        </w:trPr>
        <w:tc>
          <w:tcPr>
            <w:tcW w:w="0" w:type="auto"/>
            <w:gridSpan w:val="3"/>
            <w:shd w:val="clear" w:color="auto" w:fill="FFFFFF"/>
            <w:tcMar>
              <w:top w:w="30" w:type="dxa"/>
              <w:left w:w="20" w:type="dxa"/>
              <w:bottom w:w="30" w:type="dxa"/>
              <w:right w:w="20" w:type="dxa"/>
            </w:tcMar>
            <w:vAlign w:val="bottom"/>
            <w:hideMark/>
          </w:tcPr>
          <w:p w14:paraId="4F4403D8" w14:textId="77777777" w:rsidR="00000000" w:rsidRDefault="001D0688">
            <w:pPr>
              <w:rPr>
                <w:rFonts w:eastAsia="Times New Roman"/>
              </w:rPr>
            </w:pPr>
            <w:r>
              <w:rPr>
                <w:rFonts w:ascii="Arial" w:eastAsia="Times New Roman" w:hAnsi="Arial" w:cs="Arial"/>
                <w:color w:val="000000"/>
                <w:sz w:val="20"/>
                <w:szCs w:val="20"/>
              </w:rPr>
              <w:t>Average price paid per share</w:t>
            </w:r>
          </w:p>
        </w:tc>
        <w:tc>
          <w:tcPr>
            <w:tcW w:w="0" w:type="auto"/>
            <w:gridSpan w:val="3"/>
            <w:shd w:val="clear" w:color="auto" w:fill="FFFFFF"/>
            <w:tcMar>
              <w:top w:w="0" w:type="dxa"/>
              <w:left w:w="20" w:type="dxa"/>
              <w:bottom w:w="0" w:type="dxa"/>
              <w:right w:w="20" w:type="dxa"/>
            </w:tcMar>
            <w:vAlign w:val="center"/>
            <w:hideMark/>
          </w:tcPr>
          <w:p w14:paraId="7F546076" w14:textId="77777777" w:rsidR="00000000" w:rsidRDefault="001D0688">
            <w:pPr>
              <w:rPr>
                <w:rFonts w:eastAsia="Times New Roman"/>
              </w:rPr>
            </w:pPr>
          </w:p>
        </w:tc>
        <w:tc>
          <w:tcPr>
            <w:tcW w:w="0" w:type="auto"/>
            <w:shd w:val="clear" w:color="auto" w:fill="FFFFFF"/>
            <w:tcMar>
              <w:top w:w="30" w:type="dxa"/>
              <w:left w:w="20" w:type="dxa"/>
              <w:bottom w:w="30" w:type="dxa"/>
              <w:right w:w="0" w:type="dxa"/>
            </w:tcMar>
            <w:vAlign w:val="bottom"/>
            <w:hideMark/>
          </w:tcPr>
          <w:p w14:paraId="63059DC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981DDF0" w14:textId="77777777" w:rsidR="00000000" w:rsidRDefault="001D0688">
            <w:pPr>
              <w:jc w:val="right"/>
              <w:rPr>
                <w:rFonts w:eastAsia="Times New Roman"/>
              </w:rPr>
            </w:pPr>
            <w:r>
              <w:rPr>
                <w:rFonts w:ascii="Arial" w:eastAsia="Times New Roman" w:hAnsi="Arial" w:cs="Arial"/>
                <w:color w:val="000000"/>
                <w:sz w:val="20"/>
                <w:szCs w:val="20"/>
              </w:rPr>
              <w:t>36.16 </w:t>
            </w:r>
          </w:p>
        </w:tc>
        <w:tc>
          <w:tcPr>
            <w:tcW w:w="0" w:type="auto"/>
            <w:shd w:val="clear" w:color="auto" w:fill="FFFFFF"/>
            <w:tcMar>
              <w:top w:w="30" w:type="dxa"/>
              <w:left w:w="0" w:type="dxa"/>
              <w:bottom w:w="30" w:type="dxa"/>
              <w:right w:w="20" w:type="dxa"/>
            </w:tcMar>
            <w:vAlign w:val="bottom"/>
            <w:hideMark/>
          </w:tcPr>
          <w:p w14:paraId="362C1E73" w14:textId="77777777" w:rsidR="00000000" w:rsidRDefault="001D0688">
            <w:pPr>
              <w:jc w:val="right"/>
              <w:rPr>
                <w:rFonts w:eastAsia="Times New Roman"/>
              </w:rPr>
            </w:pPr>
          </w:p>
        </w:tc>
      </w:tr>
      <w:tr w:rsidR="00000000" w14:paraId="56B35371" w14:textId="77777777">
        <w:trPr>
          <w:divId w:val="1082918814"/>
        </w:trPr>
        <w:tc>
          <w:tcPr>
            <w:tcW w:w="0" w:type="auto"/>
            <w:gridSpan w:val="3"/>
            <w:shd w:val="clear" w:color="auto" w:fill="DCE2EF"/>
            <w:tcMar>
              <w:top w:w="30" w:type="dxa"/>
              <w:left w:w="20" w:type="dxa"/>
              <w:bottom w:w="30" w:type="dxa"/>
              <w:right w:w="20" w:type="dxa"/>
            </w:tcMar>
            <w:vAlign w:val="bottom"/>
            <w:hideMark/>
          </w:tcPr>
          <w:p w14:paraId="661F8EEB" w14:textId="77777777" w:rsidR="00000000" w:rsidRDefault="001D0688">
            <w:pPr>
              <w:rPr>
                <w:rFonts w:eastAsia="Times New Roman"/>
              </w:rPr>
            </w:pPr>
            <w:r>
              <w:rPr>
                <w:rFonts w:ascii="Arial" w:eastAsia="Times New Roman" w:hAnsi="Arial" w:cs="Arial"/>
                <w:color w:val="000000"/>
                <w:sz w:val="20"/>
                <w:szCs w:val="20"/>
              </w:rPr>
              <w:t>Total cash paid for share repurchases</w:t>
            </w:r>
          </w:p>
        </w:tc>
        <w:tc>
          <w:tcPr>
            <w:tcW w:w="0" w:type="auto"/>
            <w:gridSpan w:val="3"/>
            <w:shd w:val="clear" w:color="auto" w:fill="DCE2EF"/>
            <w:tcMar>
              <w:top w:w="0" w:type="dxa"/>
              <w:left w:w="20" w:type="dxa"/>
              <w:bottom w:w="0" w:type="dxa"/>
              <w:right w:w="20" w:type="dxa"/>
            </w:tcMar>
            <w:vAlign w:val="center"/>
            <w:hideMark/>
          </w:tcPr>
          <w:p w14:paraId="63BAB1B3" w14:textId="77777777" w:rsidR="00000000" w:rsidRDefault="001D0688">
            <w:pPr>
              <w:rPr>
                <w:rFonts w:eastAsia="Times New Roman"/>
              </w:rPr>
            </w:pPr>
          </w:p>
        </w:tc>
        <w:tc>
          <w:tcPr>
            <w:tcW w:w="0" w:type="auto"/>
            <w:shd w:val="clear" w:color="auto" w:fill="DCE2EF"/>
            <w:tcMar>
              <w:top w:w="30" w:type="dxa"/>
              <w:left w:w="20" w:type="dxa"/>
              <w:bottom w:w="30" w:type="dxa"/>
              <w:right w:w="0" w:type="dxa"/>
            </w:tcMar>
            <w:vAlign w:val="bottom"/>
            <w:hideMark/>
          </w:tcPr>
          <w:p w14:paraId="0C400230"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EA09CF8" w14:textId="77777777" w:rsidR="00000000" w:rsidRDefault="001D0688">
            <w:pPr>
              <w:jc w:val="right"/>
              <w:rPr>
                <w:rFonts w:eastAsia="Times New Roman"/>
              </w:rPr>
            </w:pPr>
            <w:r>
              <w:rPr>
                <w:rFonts w:ascii="Arial" w:eastAsia="Times New Roman" w:hAnsi="Arial" w:cs="Arial"/>
                <w:color w:val="000000"/>
                <w:sz w:val="20"/>
                <w:szCs w:val="20"/>
              </w:rPr>
              <w:t>5.1 </w:t>
            </w:r>
          </w:p>
        </w:tc>
        <w:tc>
          <w:tcPr>
            <w:tcW w:w="0" w:type="auto"/>
            <w:shd w:val="clear" w:color="auto" w:fill="DCE2EF"/>
            <w:tcMar>
              <w:top w:w="30" w:type="dxa"/>
              <w:left w:w="0" w:type="dxa"/>
              <w:bottom w:w="30" w:type="dxa"/>
              <w:right w:w="20" w:type="dxa"/>
            </w:tcMar>
            <w:vAlign w:val="bottom"/>
            <w:hideMark/>
          </w:tcPr>
          <w:p w14:paraId="42B28C0B" w14:textId="77777777" w:rsidR="00000000" w:rsidRDefault="001D0688">
            <w:pPr>
              <w:jc w:val="right"/>
              <w:rPr>
                <w:rFonts w:eastAsia="Times New Roman"/>
              </w:rPr>
            </w:pPr>
          </w:p>
        </w:tc>
      </w:tr>
    </w:tbl>
    <w:p w14:paraId="389500E6" w14:textId="77777777" w:rsidR="00000000" w:rsidRDefault="001D0688">
      <w:pPr>
        <w:jc w:val="both"/>
        <w:rPr>
          <w:rFonts w:eastAsia="Times New Roman"/>
        </w:rPr>
      </w:pPr>
    </w:p>
    <w:p w14:paraId="47505225" w14:textId="77777777" w:rsidR="00000000" w:rsidRDefault="001D0688">
      <w:pPr>
        <w:divId w:val="980118909"/>
        <w:rPr>
          <w:rFonts w:eastAsia="Times New Roman"/>
        </w:rPr>
      </w:pPr>
      <w:r>
        <w:rPr>
          <w:rFonts w:ascii="Arial" w:eastAsia="Times New Roman" w:hAnsi="Arial" w:cs="Arial"/>
          <w:b/>
          <w:bCs/>
          <w:color w:val="0046AD"/>
          <w:sz w:val="20"/>
          <w:szCs w:val="20"/>
        </w:rPr>
        <w:t xml:space="preserve">15. </w:t>
      </w:r>
      <w:r>
        <w:rPr>
          <w:rFonts w:ascii="Arial" w:eastAsia="Times New Roman" w:hAnsi="Arial" w:cs="Arial"/>
          <w:b/>
          <w:bCs/>
          <w:color w:val="0046AD"/>
          <w:sz w:val="20"/>
          <w:szCs w:val="20"/>
        </w:rPr>
        <w:t>SHARE-BASED COMPENSATION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2DEF7213" w14:textId="77777777">
        <w:trPr>
          <w:divId w:val="1432121584"/>
        </w:trPr>
        <w:tc>
          <w:tcPr>
            <w:tcW w:w="5" w:type="pct"/>
            <w:vAlign w:val="center"/>
            <w:hideMark/>
          </w:tcPr>
          <w:p w14:paraId="6F6C2011" w14:textId="77777777" w:rsidR="00000000" w:rsidRDefault="001D0688">
            <w:pPr>
              <w:rPr>
                <w:rFonts w:eastAsia="Times New Roman"/>
              </w:rPr>
            </w:pPr>
          </w:p>
        </w:tc>
        <w:tc>
          <w:tcPr>
            <w:tcW w:w="129" w:type="pct"/>
            <w:vAlign w:val="center"/>
            <w:hideMark/>
          </w:tcPr>
          <w:p w14:paraId="22172915" w14:textId="77777777" w:rsidR="00000000" w:rsidRDefault="001D0688">
            <w:pPr>
              <w:rPr>
                <w:rFonts w:eastAsia="Times New Roman"/>
                <w:sz w:val="20"/>
                <w:szCs w:val="20"/>
              </w:rPr>
            </w:pPr>
          </w:p>
        </w:tc>
        <w:tc>
          <w:tcPr>
            <w:tcW w:w="5" w:type="pct"/>
            <w:vAlign w:val="center"/>
            <w:hideMark/>
          </w:tcPr>
          <w:p w14:paraId="6D8FDCAC" w14:textId="77777777" w:rsidR="00000000" w:rsidRDefault="001D0688">
            <w:pPr>
              <w:rPr>
                <w:rFonts w:eastAsia="Times New Roman"/>
                <w:sz w:val="20"/>
                <w:szCs w:val="20"/>
              </w:rPr>
            </w:pPr>
          </w:p>
        </w:tc>
        <w:tc>
          <w:tcPr>
            <w:tcW w:w="50" w:type="pct"/>
            <w:vAlign w:val="center"/>
            <w:hideMark/>
          </w:tcPr>
          <w:p w14:paraId="4311AEB7" w14:textId="77777777" w:rsidR="00000000" w:rsidRDefault="001D0688">
            <w:pPr>
              <w:rPr>
                <w:rFonts w:eastAsia="Times New Roman"/>
                <w:sz w:val="20"/>
                <w:szCs w:val="20"/>
              </w:rPr>
            </w:pPr>
          </w:p>
        </w:tc>
        <w:tc>
          <w:tcPr>
            <w:tcW w:w="4805" w:type="pct"/>
            <w:vAlign w:val="center"/>
            <w:hideMark/>
          </w:tcPr>
          <w:p w14:paraId="1868829E" w14:textId="77777777" w:rsidR="00000000" w:rsidRDefault="001D0688">
            <w:pPr>
              <w:rPr>
                <w:rFonts w:eastAsia="Times New Roman"/>
                <w:sz w:val="20"/>
                <w:szCs w:val="20"/>
              </w:rPr>
            </w:pPr>
          </w:p>
        </w:tc>
        <w:tc>
          <w:tcPr>
            <w:tcW w:w="5" w:type="pct"/>
            <w:vAlign w:val="center"/>
            <w:hideMark/>
          </w:tcPr>
          <w:p w14:paraId="7C679C98" w14:textId="77777777" w:rsidR="00000000" w:rsidRDefault="001D0688">
            <w:pPr>
              <w:rPr>
                <w:rFonts w:eastAsia="Times New Roman"/>
                <w:sz w:val="20"/>
                <w:szCs w:val="20"/>
              </w:rPr>
            </w:pPr>
          </w:p>
        </w:tc>
      </w:tr>
      <w:tr w:rsidR="00000000" w14:paraId="32F3A2F4" w14:textId="77777777">
        <w:trPr>
          <w:divId w:val="1432121584"/>
          <w:trHeight w:val="60"/>
        </w:trPr>
        <w:tc>
          <w:tcPr>
            <w:tcW w:w="0" w:type="auto"/>
            <w:gridSpan w:val="3"/>
            <w:tcBorders>
              <w:top w:val="single" w:sz="8" w:space="0" w:color="E98300"/>
            </w:tcBorders>
            <w:tcMar>
              <w:top w:w="0" w:type="dxa"/>
              <w:left w:w="20" w:type="dxa"/>
              <w:bottom w:w="0" w:type="dxa"/>
              <w:right w:w="20" w:type="dxa"/>
            </w:tcMar>
            <w:vAlign w:val="center"/>
            <w:hideMark/>
          </w:tcPr>
          <w:p w14:paraId="55F80A4F"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27B05683" w14:textId="77777777" w:rsidR="00000000" w:rsidRDefault="001D0688">
            <w:pPr>
              <w:rPr>
                <w:rFonts w:eastAsia="Times New Roman"/>
                <w:sz w:val="20"/>
                <w:szCs w:val="20"/>
              </w:rPr>
            </w:pPr>
          </w:p>
        </w:tc>
      </w:tr>
    </w:tbl>
    <w:p w14:paraId="47BF296E" w14:textId="77777777" w:rsidR="00000000" w:rsidRDefault="001D0688">
      <w:pPr>
        <w:ind w:firstLine="720"/>
        <w:jc w:val="both"/>
        <w:divId w:val="1436097820"/>
        <w:rPr>
          <w:rFonts w:eastAsia="Times New Roman"/>
        </w:rPr>
      </w:pPr>
      <w:r>
        <w:rPr>
          <w:rFonts w:ascii="Arial" w:eastAsia="Times New Roman" w:hAnsi="Arial" w:cs="Arial"/>
          <w:color w:val="000000"/>
          <w:sz w:val="20"/>
          <w:szCs w:val="20"/>
        </w:rPr>
        <w:t xml:space="preserve">We use various share-based compensation plans to provide incentives for our key employees and directors. Currently, these incentives primarily consist of RSUs and performance shares. </w:t>
      </w:r>
    </w:p>
    <w:p w14:paraId="0BA5430C" w14:textId="77777777" w:rsidR="00000000" w:rsidRDefault="001D0688">
      <w:pPr>
        <w:ind w:firstLine="720"/>
        <w:jc w:val="both"/>
        <w:divId w:val="1214341665"/>
        <w:rPr>
          <w:rFonts w:eastAsia="Times New Roman"/>
        </w:rPr>
      </w:pPr>
      <w:r>
        <w:rPr>
          <w:rFonts w:ascii="Arial" w:eastAsia="Times New Roman" w:hAnsi="Arial" w:cs="Arial"/>
          <w:color w:val="000000"/>
          <w:sz w:val="20"/>
          <w:szCs w:val="20"/>
        </w:rPr>
        <w:t>On May 2, 2006, our stockholders approved the 2006 Equity Incentive Plan</w:t>
      </w:r>
      <w:r>
        <w:rPr>
          <w:rFonts w:ascii="Arial" w:eastAsia="Times New Roman" w:hAnsi="Arial" w:cs="Arial"/>
          <w:color w:val="000000"/>
          <w:sz w:val="20"/>
          <w:szCs w:val="20"/>
        </w:rPr>
        <w:t xml:space="preserve"> (the “2006 Equity Plan”). The 2006 Equity Plan is an omnibus plan that provides for a variety of equity and equity-based award vehicles, including stock options, stock appreciation rights, RSUs, performance shares, and other share-based awards. Shares sub</w:t>
      </w:r>
      <w:r>
        <w:rPr>
          <w:rFonts w:ascii="Arial" w:eastAsia="Times New Roman" w:hAnsi="Arial" w:cs="Arial"/>
          <w:color w:val="000000"/>
          <w:sz w:val="20"/>
          <w:szCs w:val="20"/>
        </w:rPr>
        <w:t xml:space="preserve">ject to awards that terminate without vesting or exercise are available for future awards under the 2006 Equity Plan. Certain of the awards under the 2006 Equity Plan may qualify as “performance-based” compensation under the IRC. </w:t>
      </w:r>
    </w:p>
    <w:p w14:paraId="5E09CDEB" w14:textId="77777777" w:rsidR="00000000" w:rsidRDefault="001D0688">
      <w:pPr>
        <w:jc w:val="center"/>
        <w:divId w:val="1094278016"/>
        <w:rPr>
          <w:rFonts w:eastAsia="Times New Roman"/>
        </w:rPr>
      </w:pPr>
      <w:r>
        <w:rPr>
          <w:rFonts w:ascii="Arial" w:eastAsia="Times New Roman" w:hAnsi="Arial" w:cs="Arial"/>
          <w:color w:val="000000"/>
          <w:sz w:val="20"/>
          <w:szCs w:val="20"/>
        </w:rPr>
        <w:t>87</w:t>
      </w:r>
    </w:p>
    <w:p w14:paraId="392D90CE" w14:textId="77777777" w:rsidR="00000000" w:rsidRDefault="001D0688">
      <w:pPr>
        <w:rPr>
          <w:rFonts w:eastAsia="Times New Roman"/>
        </w:rPr>
      </w:pPr>
      <w:r>
        <w:rPr>
          <w:rFonts w:eastAsia="Times New Roman"/>
        </w:rPr>
        <w:pict w14:anchorId="018C212E">
          <v:rect id="_x0000_i1124" style="width:0;height:1.5pt" o:hralign="center" o:hrstd="t" o:hr="t" fillcolor="#a0a0a0" stroked="f"/>
        </w:pict>
      </w:r>
    </w:p>
    <w:p w14:paraId="2418FFE9" w14:textId="77777777" w:rsidR="00000000" w:rsidRDefault="001D0688">
      <w:pPr>
        <w:divId w:val="1107579514"/>
        <w:rPr>
          <w:rFonts w:eastAsia="Times New Roman"/>
        </w:rPr>
      </w:pPr>
    </w:p>
    <w:p w14:paraId="6E1E55A6" w14:textId="77777777" w:rsidR="00000000" w:rsidRDefault="001D0688">
      <w:pPr>
        <w:ind w:firstLine="720"/>
        <w:jc w:val="both"/>
        <w:divId w:val="855315292"/>
        <w:rPr>
          <w:rFonts w:eastAsia="Times New Roman"/>
        </w:rPr>
      </w:pPr>
      <w:r>
        <w:rPr>
          <w:rFonts w:ascii="Arial" w:eastAsia="Times New Roman" w:hAnsi="Arial" w:cs="Arial"/>
          <w:color w:val="000000"/>
          <w:sz w:val="20"/>
          <w:szCs w:val="20"/>
        </w:rPr>
        <w:t>As amended, there are 13,475,265 total shares of common stock authorized for issuance under the 2006 Equity Plan, and at October 31, 2020, there were 2,086,078 shares of common stock available for grant for future equi</w:t>
      </w:r>
      <w:r>
        <w:rPr>
          <w:rFonts w:ascii="Arial" w:eastAsia="Times New Roman" w:hAnsi="Arial" w:cs="Arial"/>
          <w:color w:val="000000"/>
          <w:sz w:val="20"/>
          <w:szCs w:val="20"/>
        </w:rPr>
        <w:t>ty-based compensation awards. In addition, there are certain plans under which we can no longer issue awards, although awards outstanding under these plans may still vest and be exercised.</w:t>
      </w:r>
    </w:p>
    <w:p w14:paraId="1CC8B080" w14:textId="77777777" w:rsidR="00000000" w:rsidRDefault="001D0688">
      <w:pPr>
        <w:ind w:firstLine="720"/>
        <w:jc w:val="both"/>
        <w:divId w:val="750541687"/>
        <w:rPr>
          <w:rFonts w:eastAsia="Times New Roman"/>
        </w:rPr>
      </w:pPr>
      <w:r>
        <w:rPr>
          <w:rFonts w:ascii="Arial" w:eastAsia="Times New Roman" w:hAnsi="Arial" w:cs="Arial"/>
          <w:color w:val="000000"/>
          <w:sz w:val="20"/>
          <w:szCs w:val="20"/>
        </w:rPr>
        <w:t>We also maintain an employee stock purchase plan, which our stockho</w:t>
      </w:r>
      <w:r>
        <w:rPr>
          <w:rFonts w:ascii="Arial" w:eastAsia="Times New Roman" w:hAnsi="Arial" w:cs="Arial"/>
          <w:color w:val="000000"/>
          <w:sz w:val="20"/>
          <w:szCs w:val="20"/>
        </w:rPr>
        <w:t>lders approved on March 9, 2004 (the “2004 Employee Stock Purchase Plan”). As amended, there are 4,000,000 total shares of common stock authorized for issuance under the 2004 Employee Stock Purchase Plan. Effective May 1, 2006, the 2004 Employee Stock Purc</w:t>
      </w:r>
      <w:r>
        <w:rPr>
          <w:rFonts w:ascii="Arial" w:eastAsia="Times New Roman" w:hAnsi="Arial" w:cs="Arial"/>
          <w:color w:val="000000"/>
          <w:sz w:val="20"/>
          <w:szCs w:val="20"/>
        </w:rPr>
        <w:t>hase Plan is no longer considered compensatory and the values of the awards are no longer treated as share-based compensation expense. Additionally, as of that date, the purchase price became 95% of the fair value of our common stock price on the last trad</w:t>
      </w:r>
      <w:r>
        <w:rPr>
          <w:rFonts w:ascii="Arial" w:eastAsia="Times New Roman" w:hAnsi="Arial" w:cs="Arial"/>
          <w:color w:val="000000"/>
          <w:sz w:val="20"/>
          <w:szCs w:val="20"/>
        </w:rPr>
        <w:t>ing day of the month. Employees may designate up to 10% of their compensation for the purchase of stock, subject to a $25,000 annual limit. Employees are required to hold their shares for a minimum of six months from the date of purchase. At October 31, 20</w:t>
      </w:r>
      <w:r>
        <w:rPr>
          <w:rFonts w:ascii="Arial" w:eastAsia="Times New Roman" w:hAnsi="Arial" w:cs="Arial"/>
          <w:color w:val="000000"/>
          <w:sz w:val="20"/>
          <w:szCs w:val="20"/>
        </w:rPr>
        <w:t>20, there were 599,159 remaining unissued shares under the 2004 Employee Stock Purchase Plan.</w:t>
      </w:r>
    </w:p>
    <w:p w14:paraId="5A27E741" w14:textId="77777777" w:rsidR="00000000" w:rsidRDefault="001D0688">
      <w:pPr>
        <w:jc w:val="both"/>
        <w:divId w:val="1980914394"/>
        <w:rPr>
          <w:rFonts w:eastAsia="Times New Roman"/>
        </w:rPr>
      </w:pPr>
      <w:r>
        <w:rPr>
          <w:rFonts w:ascii="Arial" w:eastAsia="Times New Roman" w:hAnsi="Arial" w:cs="Arial"/>
          <w:b/>
          <w:bCs/>
          <w:color w:val="0046AD"/>
          <w:sz w:val="20"/>
          <w:szCs w:val="20"/>
        </w:rPr>
        <w:t>Compensation Expense by Type of Award and Related Income Tax Benefit</w:t>
      </w:r>
    </w:p>
    <w:tbl>
      <w:tblPr>
        <w:tblW w:w="4992" w:type="pct"/>
        <w:tblCellMar>
          <w:top w:w="15" w:type="dxa"/>
          <w:left w:w="15" w:type="dxa"/>
          <w:bottom w:w="15" w:type="dxa"/>
          <w:right w:w="15" w:type="dxa"/>
        </w:tblCellMar>
        <w:tblLook w:val="04A0" w:firstRow="1" w:lastRow="0" w:firstColumn="1" w:lastColumn="0" w:noHBand="0" w:noVBand="1"/>
      </w:tblPr>
      <w:tblGrid>
        <w:gridCol w:w="39"/>
        <w:gridCol w:w="4415"/>
        <w:gridCol w:w="37"/>
        <w:gridCol w:w="132"/>
        <w:gridCol w:w="1058"/>
        <w:gridCol w:w="36"/>
        <w:gridCol w:w="36"/>
        <w:gridCol w:w="36"/>
        <w:gridCol w:w="36"/>
        <w:gridCol w:w="132"/>
        <w:gridCol w:w="1012"/>
        <w:gridCol w:w="36"/>
        <w:gridCol w:w="36"/>
        <w:gridCol w:w="36"/>
        <w:gridCol w:w="36"/>
        <w:gridCol w:w="132"/>
        <w:gridCol w:w="1012"/>
        <w:gridCol w:w="36"/>
      </w:tblGrid>
      <w:tr w:rsidR="00000000" w14:paraId="5258C8F5" w14:textId="77777777">
        <w:trPr>
          <w:divId w:val="117720362"/>
        </w:trPr>
        <w:tc>
          <w:tcPr>
            <w:tcW w:w="50" w:type="pct"/>
            <w:vAlign w:val="center"/>
            <w:hideMark/>
          </w:tcPr>
          <w:p w14:paraId="47DF90C3" w14:textId="77777777" w:rsidR="00000000" w:rsidRDefault="001D0688">
            <w:pPr>
              <w:jc w:val="both"/>
              <w:rPr>
                <w:rFonts w:eastAsia="Times New Roman"/>
              </w:rPr>
            </w:pPr>
          </w:p>
        </w:tc>
        <w:tc>
          <w:tcPr>
            <w:tcW w:w="2697" w:type="pct"/>
            <w:vAlign w:val="center"/>
            <w:hideMark/>
          </w:tcPr>
          <w:p w14:paraId="66C1751C" w14:textId="77777777" w:rsidR="00000000" w:rsidRDefault="001D0688">
            <w:pPr>
              <w:rPr>
                <w:rFonts w:eastAsia="Times New Roman"/>
                <w:sz w:val="20"/>
                <w:szCs w:val="20"/>
              </w:rPr>
            </w:pPr>
          </w:p>
        </w:tc>
        <w:tc>
          <w:tcPr>
            <w:tcW w:w="5" w:type="pct"/>
            <w:vAlign w:val="center"/>
            <w:hideMark/>
          </w:tcPr>
          <w:p w14:paraId="26B69F12" w14:textId="77777777" w:rsidR="00000000" w:rsidRDefault="001D0688">
            <w:pPr>
              <w:rPr>
                <w:rFonts w:eastAsia="Times New Roman"/>
                <w:sz w:val="20"/>
                <w:szCs w:val="20"/>
              </w:rPr>
            </w:pPr>
          </w:p>
        </w:tc>
        <w:tc>
          <w:tcPr>
            <w:tcW w:w="50" w:type="pct"/>
            <w:vAlign w:val="center"/>
            <w:hideMark/>
          </w:tcPr>
          <w:p w14:paraId="47013E98" w14:textId="77777777" w:rsidR="00000000" w:rsidRDefault="001D0688">
            <w:pPr>
              <w:rPr>
                <w:rFonts w:eastAsia="Times New Roman"/>
                <w:sz w:val="20"/>
                <w:szCs w:val="20"/>
              </w:rPr>
            </w:pPr>
          </w:p>
        </w:tc>
        <w:tc>
          <w:tcPr>
            <w:tcW w:w="669" w:type="pct"/>
            <w:vAlign w:val="center"/>
            <w:hideMark/>
          </w:tcPr>
          <w:p w14:paraId="15CB2AE2" w14:textId="77777777" w:rsidR="00000000" w:rsidRDefault="001D0688">
            <w:pPr>
              <w:rPr>
                <w:rFonts w:eastAsia="Times New Roman"/>
                <w:sz w:val="20"/>
                <w:szCs w:val="20"/>
              </w:rPr>
            </w:pPr>
          </w:p>
        </w:tc>
        <w:tc>
          <w:tcPr>
            <w:tcW w:w="5" w:type="pct"/>
            <w:vAlign w:val="center"/>
            <w:hideMark/>
          </w:tcPr>
          <w:p w14:paraId="2E38D587" w14:textId="77777777" w:rsidR="00000000" w:rsidRDefault="001D0688">
            <w:pPr>
              <w:rPr>
                <w:rFonts w:eastAsia="Times New Roman"/>
                <w:sz w:val="20"/>
                <w:szCs w:val="20"/>
              </w:rPr>
            </w:pPr>
          </w:p>
        </w:tc>
        <w:tc>
          <w:tcPr>
            <w:tcW w:w="5" w:type="pct"/>
            <w:vAlign w:val="center"/>
            <w:hideMark/>
          </w:tcPr>
          <w:p w14:paraId="55646313" w14:textId="77777777" w:rsidR="00000000" w:rsidRDefault="001D0688">
            <w:pPr>
              <w:rPr>
                <w:rFonts w:eastAsia="Times New Roman"/>
                <w:sz w:val="20"/>
                <w:szCs w:val="20"/>
              </w:rPr>
            </w:pPr>
          </w:p>
        </w:tc>
        <w:tc>
          <w:tcPr>
            <w:tcW w:w="26" w:type="pct"/>
            <w:vAlign w:val="center"/>
            <w:hideMark/>
          </w:tcPr>
          <w:p w14:paraId="0739B13D" w14:textId="77777777" w:rsidR="00000000" w:rsidRDefault="001D0688">
            <w:pPr>
              <w:rPr>
                <w:rFonts w:eastAsia="Times New Roman"/>
                <w:sz w:val="20"/>
                <w:szCs w:val="20"/>
              </w:rPr>
            </w:pPr>
          </w:p>
        </w:tc>
        <w:tc>
          <w:tcPr>
            <w:tcW w:w="5" w:type="pct"/>
            <w:vAlign w:val="center"/>
            <w:hideMark/>
          </w:tcPr>
          <w:p w14:paraId="4B5122C3" w14:textId="77777777" w:rsidR="00000000" w:rsidRDefault="001D0688">
            <w:pPr>
              <w:rPr>
                <w:rFonts w:eastAsia="Times New Roman"/>
                <w:sz w:val="20"/>
                <w:szCs w:val="20"/>
              </w:rPr>
            </w:pPr>
          </w:p>
        </w:tc>
        <w:tc>
          <w:tcPr>
            <w:tcW w:w="50" w:type="pct"/>
            <w:vAlign w:val="center"/>
            <w:hideMark/>
          </w:tcPr>
          <w:p w14:paraId="02AF7620" w14:textId="77777777" w:rsidR="00000000" w:rsidRDefault="001D0688">
            <w:pPr>
              <w:rPr>
                <w:rFonts w:eastAsia="Times New Roman"/>
                <w:sz w:val="20"/>
                <w:szCs w:val="20"/>
              </w:rPr>
            </w:pPr>
          </w:p>
        </w:tc>
        <w:tc>
          <w:tcPr>
            <w:tcW w:w="669" w:type="pct"/>
            <w:vAlign w:val="center"/>
            <w:hideMark/>
          </w:tcPr>
          <w:p w14:paraId="20535097" w14:textId="77777777" w:rsidR="00000000" w:rsidRDefault="001D0688">
            <w:pPr>
              <w:rPr>
                <w:rFonts w:eastAsia="Times New Roman"/>
                <w:sz w:val="20"/>
                <w:szCs w:val="20"/>
              </w:rPr>
            </w:pPr>
          </w:p>
        </w:tc>
        <w:tc>
          <w:tcPr>
            <w:tcW w:w="5" w:type="pct"/>
            <w:vAlign w:val="center"/>
            <w:hideMark/>
          </w:tcPr>
          <w:p w14:paraId="374775B8" w14:textId="77777777" w:rsidR="00000000" w:rsidRDefault="001D0688">
            <w:pPr>
              <w:rPr>
                <w:rFonts w:eastAsia="Times New Roman"/>
                <w:sz w:val="20"/>
                <w:szCs w:val="20"/>
              </w:rPr>
            </w:pPr>
          </w:p>
        </w:tc>
        <w:tc>
          <w:tcPr>
            <w:tcW w:w="5" w:type="pct"/>
            <w:vAlign w:val="center"/>
            <w:hideMark/>
          </w:tcPr>
          <w:p w14:paraId="4B7BDB8D" w14:textId="77777777" w:rsidR="00000000" w:rsidRDefault="001D0688">
            <w:pPr>
              <w:rPr>
                <w:rFonts w:eastAsia="Times New Roman"/>
                <w:sz w:val="20"/>
                <w:szCs w:val="20"/>
              </w:rPr>
            </w:pPr>
          </w:p>
        </w:tc>
        <w:tc>
          <w:tcPr>
            <w:tcW w:w="26" w:type="pct"/>
            <w:vAlign w:val="center"/>
            <w:hideMark/>
          </w:tcPr>
          <w:p w14:paraId="69A2838A" w14:textId="77777777" w:rsidR="00000000" w:rsidRDefault="001D0688">
            <w:pPr>
              <w:rPr>
                <w:rFonts w:eastAsia="Times New Roman"/>
                <w:sz w:val="20"/>
                <w:szCs w:val="20"/>
              </w:rPr>
            </w:pPr>
          </w:p>
        </w:tc>
        <w:tc>
          <w:tcPr>
            <w:tcW w:w="5" w:type="pct"/>
            <w:vAlign w:val="center"/>
            <w:hideMark/>
          </w:tcPr>
          <w:p w14:paraId="1A9D44BD" w14:textId="77777777" w:rsidR="00000000" w:rsidRDefault="001D0688">
            <w:pPr>
              <w:rPr>
                <w:rFonts w:eastAsia="Times New Roman"/>
                <w:sz w:val="20"/>
                <w:szCs w:val="20"/>
              </w:rPr>
            </w:pPr>
          </w:p>
        </w:tc>
        <w:tc>
          <w:tcPr>
            <w:tcW w:w="50" w:type="pct"/>
            <w:vAlign w:val="center"/>
            <w:hideMark/>
          </w:tcPr>
          <w:p w14:paraId="1E62C6F3" w14:textId="77777777" w:rsidR="00000000" w:rsidRDefault="001D0688">
            <w:pPr>
              <w:rPr>
                <w:rFonts w:eastAsia="Times New Roman"/>
                <w:sz w:val="20"/>
                <w:szCs w:val="20"/>
              </w:rPr>
            </w:pPr>
          </w:p>
        </w:tc>
        <w:tc>
          <w:tcPr>
            <w:tcW w:w="669" w:type="pct"/>
            <w:vAlign w:val="center"/>
            <w:hideMark/>
          </w:tcPr>
          <w:p w14:paraId="4E772C45" w14:textId="77777777" w:rsidR="00000000" w:rsidRDefault="001D0688">
            <w:pPr>
              <w:rPr>
                <w:rFonts w:eastAsia="Times New Roman"/>
                <w:sz w:val="20"/>
                <w:szCs w:val="20"/>
              </w:rPr>
            </w:pPr>
          </w:p>
        </w:tc>
        <w:tc>
          <w:tcPr>
            <w:tcW w:w="5" w:type="pct"/>
            <w:vAlign w:val="center"/>
            <w:hideMark/>
          </w:tcPr>
          <w:p w14:paraId="4CEA44A8" w14:textId="77777777" w:rsidR="00000000" w:rsidRDefault="001D0688">
            <w:pPr>
              <w:rPr>
                <w:rFonts w:eastAsia="Times New Roman"/>
                <w:sz w:val="20"/>
                <w:szCs w:val="20"/>
              </w:rPr>
            </w:pPr>
          </w:p>
        </w:tc>
      </w:tr>
      <w:tr w:rsidR="00000000" w14:paraId="29BF0014" w14:textId="77777777">
        <w:trPr>
          <w:divId w:val="117720362"/>
        </w:trPr>
        <w:tc>
          <w:tcPr>
            <w:tcW w:w="0" w:type="auto"/>
            <w:gridSpan w:val="3"/>
            <w:tcMar>
              <w:top w:w="0" w:type="dxa"/>
              <w:left w:w="20" w:type="dxa"/>
              <w:bottom w:w="0" w:type="dxa"/>
              <w:right w:w="20" w:type="dxa"/>
            </w:tcMar>
            <w:vAlign w:val="center"/>
            <w:hideMark/>
          </w:tcPr>
          <w:p w14:paraId="3322365F"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428CAC69"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0386FA9C" w14:textId="77777777">
        <w:trPr>
          <w:divId w:val="117720362"/>
        </w:trPr>
        <w:tc>
          <w:tcPr>
            <w:tcW w:w="0" w:type="auto"/>
            <w:gridSpan w:val="3"/>
            <w:tcMar>
              <w:top w:w="30" w:type="dxa"/>
              <w:left w:w="20" w:type="dxa"/>
              <w:bottom w:w="30" w:type="dxa"/>
              <w:right w:w="20" w:type="dxa"/>
            </w:tcMar>
            <w:vAlign w:val="bottom"/>
            <w:hideMark/>
          </w:tcPr>
          <w:p w14:paraId="1F72C121"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067DBDE"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B6A950F"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E5503E"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724434A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A524F1"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4DD0F9EE" w14:textId="77777777">
        <w:trPr>
          <w:divId w:val="117720362"/>
        </w:trPr>
        <w:tc>
          <w:tcPr>
            <w:tcW w:w="0" w:type="auto"/>
            <w:gridSpan w:val="3"/>
            <w:shd w:val="clear" w:color="auto" w:fill="DCE2EF"/>
            <w:tcMar>
              <w:top w:w="30" w:type="dxa"/>
              <w:left w:w="20" w:type="dxa"/>
              <w:bottom w:w="30" w:type="dxa"/>
              <w:right w:w="20" w:type="dxa"/>
            </w:tcMar>
            <w:vAlign w:val="bottom"/>
            <w:hideMark/>
          </w:tcPr>
          <w:p w14:paraId="6C48E9F7" w14:textId="77777777" w:rsidR="00000000" w:rsidRDefault="001D0688">
            <w:pPr>
              <w:rPr>
                <w:rFonts w:eastAsia="Times New Roman"/>
              </w:rPr>
            </w:pPr>
            <w:r>
              <w:rPr>
                <w:rFonts w:ascii="Arial" w:eastAsia="Times New Roman" w:hAnsi="Arial" w:cs="Arial"/>
                <w:color w:val="000000"/>
                <w:sz w:val="20"/>
                <w:szCs w:val="20"/>
              </w:rPr>
              <w:t>RSUs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444AAE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95C6736" w14:textId="77777777" w:rsidR="00000000" w:rsidRDefault="001D0688">
            <w:pPr>
              <w:jc w:val="right"/>
              <w:rPr>
                <w:rFonts w:eastAsia="Times New Roman"/>
              </w:rPr>
            </w:pPr>
            <w:r>
              <w:rPr>
                <w:rFonts w:ascii="Arial" w:eastAsia="Times New Roman" w:hAnsi="Arial" w:cs="Arial"/>
                <w:color w:val="000000"/>
                <w:sz w:val="20"/>
                <w:szCs w:val="20"/>
              </w:rPr>
              <w:t>11.5 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8F0448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82CF6F"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95C929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F718134" w14:textId="77777777" w:rsidR="00000000" w:rsidRDefault="001D0688">
            <w:pPr>
              <w:jc w:val="right"/>
              <w:rPr>
                <w:rFonts w:eastAsia="Times New Roman"/>
              </w:rPr>
            </w:pPr>
            <w:r>
              <w:rPr>
                <w:rFonts w:ascii="Arial" w:eastAsia="Times New Roman" w:hAnsi="Arial" w:cs="Arial"/>
                <w:color w:val="000000"/>
                <w:sz w:val="20"/>
                <w:szCs w:val="20"/>
              </w:rPr>
              <w:t>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0767E8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E01A2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C58AE6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12763AF" w14:textId="77777777" w:rsidR="00000000" w:rsidRDefault="001D0688">
            <w:pPr>
              <w:jc w:val="right"/>
              <w:rPr>
                <w:rFonts w:eastAsia="Times New Roman"/>
              </w:rPr>
            </w:pPr>
            <w:r>
              <w:rPr>
                <w:rFonts w:ascii="Arial" w:eastAsia="Times New Roman" w:hAnsi="Arial" w:cs="Arial"/>
                <w:color w:val="000000"/>
                <w:sz w:val="20"/>
                <w:szCs w:val="20"/>
              </w:rPr>
              <w:t>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28083D" w14:textId="77777777" w:rsidR="00000000" w:rsidRDefault="001D0688">
            <w:pPr>
              <w:jc w:val="right"/>
              <w:rPr>
                <w:rFonts w:eastAsia="Times New Roman"/>
              </w:rPr>
            </w:pPr>
          </w:p>
        </w:tc>
      </w:tr>
      <w:tr w:rsidR="00000000" w14:paraId="5CFE1C78" w14:textId="77777777">
        <w:trPr>
          <w:divId w:val="117720362"/>
        </w:trPr>
        <w:tc>
          <w:tcPr>
            <w:tcW w:w="0" w:type="auto"/>
            <w:gridSpan w:val="3"/>
            <w:shd w:val="clear" w:color="auto" w:fill="FFFFFF"/>
            <w:tcMar>
              <w:top w:w="30" w:type="dxa"/>
              <w:left w:w="20" w:type="dxa"/>
              <w:bottom w:w="30" w:type="dxa"/>
              <w:right w:w="20" w:type="dxa"/>
            </w:tcMar>
            <w:vAlign w:val="bottom"/>
            <w:hideMark/>
          </w:tcPr>
          <w:p w14:paraId="6510FD45" w14:textId="77777777" w:rsidR="00000000" w:rsidRDefault="001D0688">
            <w:pPr>
              <w:rPr>
                <w:rFonts w:eastAsia="Times New Roman"/>
              </w:rPr>
            </w:pPr>
            <w:r>
              <w:rPr>
                <w:rFonts w:ascii="Arial" w:eastAsia="Times New Roman" w:hAnsi="Arial" w:cs="Arial"/>
                <w:color w:val="000000"/>
                <w:sz w:val="20"/>
                <w:szCs w:val="20"/>
              </w:rPr>
              <w:t>Performance shares</w:t>
            </w:r>
          </w:p>
        </w:tc>
        <w:tc>
          <w:tcPr>
            <w:tcW w:w="0" w:type="auto"/>
            <w:gridSpan w:val="2"/>
            <w:shd w:val="clear" w:color="auto" w:fill="FFFFFF"/>
            <w:tcMar>
              <w:top w:w="30" w:type="dxa"/>
              <w:left w:w="20" w:type="dxa"/>
              <w:bottom w:w="30" w:type="dxa"/>
              <w:right w:w="0" w:type="dxa"/>
            </w:tcMar>
            <w:vAlign w:val="bottom"/>
            <w:hideMark/>
          </w:tcPr>
          <w:p w14:paraId="57D129CA" w14:textId="77777777" w:rsidR="00000000" w:rsidRDefault="001D0688">
            <w:pPr>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14:paraId="0E3D0F8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9DCD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A681E" w14:textId="77777777" w:rsidR="00000000" w:rsidRDefault="001D0688">
            <w:pPr>
              <w:jc w:val="right"/>
              <w:rPr>
                <w:rFonts w:eastAsia="Times New Roman"/>
              </w:rPr>
            </w:pPr>
            <w:r>
              <w:rPr>
                <w:rFonts w:ascii="Arial" w:eastAsia="Times New Roman" w:hAnsi="Arial" w:cs="Arial"/>
                <w:color w:val="000000"/>
                <w:sz w:val="20"/>
                <w:szCs w:val="20"/>
              </w:rPr>
              <w:t>8.0 </w:t>
            </w:r>
          </w:p>
        </w:tc>
        <w:tc>
          <w:tcPr>
            <w:tcW w:w="0" w:type="auto"/>
            <w:shd w:val="clear" w:color="auto" w:fill="FFFFFF"/>
            <w:tcMar>
              <w:top w:w="30" w:type="dxa"/>
              <w:left w:w="0" w:type="dxa"/>
              <w:bottom w:w="30" w:type="dxa"/>
              <w:right w:w="20" w:type="dxa"/>
            </w:tcMar>
            <w:vAlign w:val="bottom"/>
            <w:hideMark/>
          </w:tcPr>
          <w:p w14:paraId="61A9275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6B8F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230A5" w14:textId="77777777" w:rsidR="00000000" w:rsidRDefault="001D0688">
            <w:pPr>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14:paraId="5A111922" w14:textId="77777777" w:rsidR="00000000" w:rsidRDefault="001D0688">
            <w:pPr>
              <w:jc w:val="right"/>
              <w:rPr>
                <w:rFonts w:eastAsia="Times New Roman"/>
              </w:rPr>
            </w:pPr>
          </w:p>
        </w:tc>
      </w:tr>
      <w:tr w:rsidR="00000000" w14:paraId="0429237B" w14:textId="77777777">
        <w:trPr>
          <w:divId w:val="117720362"/>
        </w:trPr>
        <w:tc>
          <w:tcPr>
            <w:tcW w:w="0" w:type="auto"/>
            <w:gridSpan w:val="3"/>
            <w:vAlign w:val="center"/>
            <w:hideMark/>
          </w:tcPr>
          <w:p w14:paraId="1B970FBF" w14:textId="77777777" w:rsidR="00000000" w:rsidRDefault="001D0688">
            <w:pPr>
              <w:jc w:val="right"/>
              <w:rPr>
                <w:rFonts w:eastAsia="Times New Roman"/>
                <w:sz w:val="20"/>
                <w:szCs w:val="20"/>
              </w:rPr>
            </w:pPr>
          </w:p>
        </w:tc>
        <w:tc>
          <w:tcPr>
            <w:tcW w:w="0" w:type="auto"/>
            <w:gridSpan w:val="3"/>
            <w:vAlign w:val="center"/>
            <w:hideMark/>
          </w:tcPr>
          <w:p w14:paraId="0D43D84C" w14:textId="77777777" w:rsidR="00000000" w:rsidRDefault="001D0688">
            <w:pPr>
              <w:rPr>
                <w:rFonts w:eastAsia="Times New Roman"/>
                <w:sz w:val="20"/>
                <w:szCs w:val="20"/>
              </w:rPr>
            </w:pPr>
          </w:p>
        </w:tc>
        <w:tc>
          <w:tcPr>
            <w:tcW w:w="0" w:type="auto"/>
            <w:gridSpan w:val="3"/>
            <w:vAlign w:val="center"/>
            <w:hideMark/>
          </w:tcPr>
          <w:p w14:paraId="7ECDA124" w14:textId="77777777" w:rsidR="00000000" w:rsidRDefault="001D0688">
            <w:pPr>
              <w:rPr>
                <w:rFonts w:eastAsia="Times New Roman"/>
                <w:sz w:val="20"/>
                <w:szCs w:val="20"/>
              </w:rPr>
            </w:pPr>
          </w:p>
        </w:tc>
        <w:tc>
          <w:tcPr>
            <w:tcW w:w="0" w:type="auto"/>
            <w:gridSpan w:val="3"/>
            <w:vAlign w:val="center"/>
            <w:hideMark/>
          </w:tcPr>
          <w:p w14:paraId="31ABD17F" w14:textId="77777777" w:rsidR="00000000" w:rsidRDefault="001D0688">
            <w:pPr>
              <w:rPr>
                <w:rFonts w:eastAsia="Times New Roman"/>
                <w:sz w:val="20"/>
                <w:szCs w:val="20"/>
              </w:rPr>
            </w:pPr>
          </w:p>
        </w:tc>
        <w:tc>
          <w:tcPr>
            <w:tcW w:w="0" w:type="auto"/>
            <w:gridSpan w:val="3"/>
            <w:vAlign w:val="center"/>
            <w:hideMark/>
          </w:tcPr>
          <w:p w14:paraId="2790D2E0" w14:textId="77777777" w:rsidR="00000000" w:rsidRDefault="001D0688">
            <w:pPr>
              <w:rPr>
                <w:rFonts w:eastAsia="Times New Roman"/>
                <w:sz w:val="20"/>
                <w:szCs w:val="20"/>
              </w:rPr>
            </w:pPr>
          </w:p>
        </w:tc>
        <w:tc>
          <w:tcPr>
            <w:tcW w:w="0" w:type="auto"/>
            <w:gridSpan w:val="3"/>
            <w:vAlign w:val="center"/>
            <w:hideMark/>
          </w:tcPr>
          <w:p w14:paraId="79F697C4" w14:textId="77777777" w:rsidR="00000000" w:rsidRDefault="001D0688">
            <w:pPr>
              <w:rPr>
                <w:rFonts w:eastAsia="Times New Roman"/>
                <w:sz w:val="20"/>
                <w:szCs w:val="20"/>
              </w:rPr>
            </w:pPr>
          </w:p>
        </w:tc>
      </w:tr>
      <w:tr w:rsidR="00000000" w14:paraId="08D93776" w14:textId="77777777">
        <w:trPr>
          <w:divId w:val="117720362"/>
        </w:trPr>
        <w:tc>
          <w:tcPr>
            <w:tcW w:w="0" w:type="auto"/>
            <w:gridSpan w:val="3"/>
            <w:shd w:val="clear" w:color="auto" w:fill="DCE2EF"/>
            <w:tcMar>
              <w:top w:w="30" w:type="dxa"/>
              <w:left w:w="20" w:type="dxa"/>
              <w:bottom w:w="30" w:type="dxa"/>
              <w:right w:w="20" w:type="dxa"/>
            </w:tcMar>
            <w:vAlign w:val="bottom"/>
            <w:hideMark/>
          </w:tcPr>
          <w:p w14:paraId="3942E11A" w14:textId="77777777" w:rsidR="00000000" w:rsidRDefault="001D0688">
            <w:pPr>
              <w:rPr>
                <w:rFonts w:eastAsia="Times New Roman"/>
              </w:rPr>
            </w:pPr>
            <w:r>
              <w:rPr>
                <w:rFonts w:ascii="Arial" w:eastAsia="Times New Roman" w:hAnsi="Arial" w:cs="Arial"/>
                <w:color w:val="000000"/>
                <w:sz w:val="20"/>
                <w:szCs w:val="20"/>
              </w:rPr>
              <w:t>Share-based compensation expense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5C27DDB" w14:textId="77777777" w:rsidR="00000000" w:rsidRDefault="001D0688">
            <w:pPr>
              <w:jc w:val="right"/>
              <w:rPr>
                <w:rFonts w:eastAsia="Times New Roman"/>
              </w:rPr>
            </w:pPr>
            <w:r>
              <w:rPr>
                <w:rFonts w:ascii="Arial" w:eastAsia="Times New Roman" w:hAnsi="Arial" w:cs="Arial"/>
                <w:color w:val="000000"/>
                <w:sz w:val="20"/>
                <w:szCs w:val="20"/>
              </w:rPr>
              <w:t>20.3 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632B7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87B6E4"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5804549" w14:textId="77777777" w:rsidR="00000000" w:rsidRDefault="001D0688">
            <w:pPr>
              <w:jc w:val="right"/>
              <w:rPr>
                <w:rFonts w:eastAsia="Times New Roman"/>
              </w:rPr>
            </w:pPr>
            <w:r>
              <w:rPr>
                <w:rFonts w:ascii="Arial" w:eastAsia="Times New Roman" w:hAnsi="Arial" w:cs="Arial"/>
                <w:color w:val="000000"/>
                <w:sz w:val="20"/>
                <w:szCs w:val="20"/>
              </w:rPr>
              <w:t>17.5 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4EED01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B2FD7F"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5B3A882" w14:textId="77777777" w:rsidR="00000000" w:rsidRDefault="001D0688">
            <w:pPr>
              <w:jc w:val="right"/>
              <w:rPr>
                <w:rFonts w:eastAsia="Times New Roman"/>
              </w:rPr>
            </w:pPr>
            <w:r>
              <w:rPr>
                <w:rFonts w:ascii="Arial" w:eastAsia="Times New Roman" w:hAnsi="Arial" w:cs="Arial"/>
                <w:color w:val="000000"/>
                <w:sz w:val="20"/>
                <w:szCs w:val="20"/>
              </w:rPr>
              <w:t>17.0 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85465FB" w14:textId="77777777" w:rsidR="00000000" w:rsidRDefault="001D0688">
            <w:pPr>
              <w:jc w:val="right"/>
              <w:rPr>
                <w:rFonts w:eastAsia="Times New Roman"/>
              </w:rPr>
            </w:pPr>
          </w:p>
        </w:tc>
      </w:tr>
      <w:tr w:rsidR="00000000" w14:paraId="3796E682" w14:textId="77777777">
        <w:trPr>
          <w:divId w:val="117720362"/>
        </w:trPr>
        <w:tc>
          <w:tcPr>
            <w:tcW w:w="0" w:type="auto"/>
            <w:gridSpan w:val="3"/>
            <w:shd w:val="clear" w:color="auto" w:fill="FFFFFF"/>
            <w:tcMar>
              <w:top w:w="30" w:type="dxa"/>
              <w:left w:w="20" w:type="dxa"/>
              <w:bottom w:w="30" w:type="dxa"/>
              <w:right w:w="20" w:type="dxa"/>
            </w:tcMar>
            <w:vAlign w:val="bottom"/>
            <w:hideMark/>
          </w:tcPr>
          <w:p w14:paraId="10316537" w14:textId="77777777" w:rsidR="00000000" w:rsidRDefault="001D0688">
            <w:pPr>
              <w:rPr>
                <w:rFonts w:eastAsia="Times New Roman"/>
              </w:rPr>
            </w:pPr>
            <w:r>
              <w:rPr>
                <w:rFonts w:ascii="Arial" w:eastAsia="Times New Roman" w:hAnsi="Arial" w:cs="Arial"/>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52049D10" w14:textId="77777777" w:rsidR="00000000" w:rsidRDefault="001D0688">
            <w:pPr>
              <w:jc w:val="right"/>
              <w:rPr>
                <w:rFonts w:eastAsia="Times New Roman"/>
              </w:rPr>
            </w:pPr>
            <w:r>
              <w:rPr>
                <w:rFonts w:ascii="Arial" w:eastAsia="Times New Roman" w:hAnsi="Arial" w:cs="Arial"/>
                <w:color w:val="000000"/>
                <w:sz w:val="20"/>
                <w:szCs w:val="20"/>
              </w:rPr>
              <w:t>(5.7)</w:t>
            </w:r>
          </w:p>
        </w:tc>
        <w:tc>
          <w:tcPr>
            <w:tcW w:w="0" w:type="auto"/>
            <w:shd w:val="clear" w:color="auto" w:fill="FFFFFF"/>
            <w:tcMar>
              <w:top w:w="30" w:type="dxa"/>
              <w:left w:w="0" w:type="dxa"/>
              <w:bottom w:w="30" w:type="dxa"/>
              <w:right w:w="20" w:type="dxa"/>
            </w:tcMar>
            <w:vAlign w:val="bottom"/>
            <w:hideMark/>
          </w:tcPr>
          <w:p w14:paraId="160A3D7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5B39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28414A" w14:textId="77777777" w:rsidR="00000000" w:rsidRDefault="001D0688">
            <w:pPr>
              <w:jc w:val="right"/>
              <w:rPr>
                <w:rFonts w:eastAsia="Times New Roman"/>
              </w:rPr>
            </w:pPr>
            <w:r>
              <w:rPr>
                <w:rFonts w:ascii="Arial" w:eastAsia="Times New Roman" w:hAnsi="Arial" w:cs="Arial"/>
                <w:color w:val="000000"/>
                <w:sz w:val="20"/>
                <w:szCs w:val="20"/>
              </w:rPr>
              <w:t>(4.9)</w:t>
            </w:r>
          </w:p>
        </w:tc>
        <w:tc>
          <w:tcPr>
            <w:tcW w:w="0" w:type="auto"/>
            <w:shd w:val="clear" w:color="auto" w:fill="FFFFFF"/>
            <w:tcMar>
              <w:top w:w="30" w:type="dxa"/>
              <w:left w:w="0" w:type="dxa"/>
              <w:bottom w:w="30" w:type="dxa"/>
              <w:right w:w="20" w:type="dxa"/>
            </w:tcMar>
            <w:vAlign w:val="bottom"/>
            <w:hideMark/>
          </w:tcPr>
          <w:p w14:paraId="175D70A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7760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8EA8C" w14:textId="77777777" w:rsidR="00000000" w:rsidRDefault="001D0688">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5.1)</w:t>
            </w:r>
          </w:p>
        </w:tc>
        <w:tc>
          <w:tcPr>
            <w:tcW w:w="0" w:type="auto"/>
            <w:shd w:val="clear" w:color="auto" w:fill="FFFFFF"/>
            <w:tcMar>
              <w:top w:w="30" w:type="dxa"/>
              <w:left w:w="0" w:type="dxa"/>
              <w:bottom w:w="30" w:type="dxa"/>
              <w:right w:w="20" w:type="dxa"/>
            </w:tcMar>
            <w:vAlign w:val="bottom"/>
            <w:hideMark/>
          </w:tcPr>
          <w:p w14:paraId="5D8AF99D" w14:textId="77777777" w:rsidR="00000000" w:rsidRDefault="001D0688">
            <w:pPr>
              <w:jc w:val="right"/>
              <w:rPr>
                <w:rFonts w:eastAsia="Times New Roman"/>
              </w:rPr>
            </w:pPr>
          </w:p>
        </w:tc>
      </w:tr>
      <w:tr w:rsidR="00000000" w14:paraId="3951D38F" w14:textId="77777777">
        <w:trPr>
          <w:divId w:val="117720362"/>
        </w:trPr>
        <w:tc>
          <w:tcPr>
            <w:tcW w:w="0" w:type="auto"/>
            <w:gridSpan w:val="3"/>
            <w:shd w:val="clear" w:color="auto" w:fill="DCE2EF"/>
            <w:tcMar>
              <w:top w:w="30" w:type="dxa"/>
              <w:left w:w="20" w:type="dxa"/>
              <w:bottom w:w="30" w:type="dxa"/>
              <w:right w:w="20" w:type="dxa"/>
            </w:tcMar>
            <w:vAlign w:val="bottom"/>
            <w:hideMark/>
          </w:tcPr>
          <w:p w14:paraId="3315E756" w14:textId="77777777" w:rsidR="00000000" w:rsidRDefault="001D0688">
            <w:pPr>
              <w:rPr>
                <w:rFonts w:eastAsia="Times New Roman"/>
              </w:rPr>
            </w:pPr>
            <w:r>
              <w:rPr>
                <w:rFonts w:ascii="Arial" w:eastAsia="Times New Roman" w:hAnsi="Arial" w:cs="Arial"/>
                <w:color w:val="000000"/>
                <w:sz w:val="20"/>
                <w:szCs w:val="20"/>
              </w:rPr>
              <w:t>Share-based compensation expense, net of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A58AD7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703F5FD" w14:textId="77777777" w:rsidR="00000000" w:rsidRDefault="001D0688">
            <w:pPr>
              <w:jc w:val="right"/>
              <w:rPr>
                <w:rFonts w:eastAsia="Times New Roman"/>
              </w:rPr>
            </w:pPr>
            <w:r>
              <w:rPr>
                <w:rFonts w:ascii="Arial" w:eastAsia="Times New Roman" w:hAnsi="Arial" w:cs="Arial"/>
                <w:color w:val="000000"/>
                <w:sz w:val="20"/>
                <w:szCs w:val="20"/>
              </w:rPr>
              <w:t>14.6 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E00CE7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FE7A9D"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0B28D6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CE7CDB5" w14:textId="77777777" w:rsidR="00000000" w:rsidRDefault="001D0688">
            <w:pPr>
              <w:jc w:val="right"/>
              <w:rPr>
                <w:rFonts w:eastAsia="Times New Roman"/>
              </w:rPr>
            </w:pPr>
            <w:r>
              <w:rPr>
                <w:rFonts w:ascii="Arial" w:eastAsia="Times New Roman" w:hAnsi="Arial" w:cs="Arial"/>
                <w:color w:val="000000"/>
                <w:sz w:val="20"/>
                <w:szCs w:val="20"/>
              </w:rPr>
              <w:t>12.5 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3CB8D6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FD200E"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3C39F4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2C2AA6F" w14:textId="77777777" w:rsidR="00000000" w:rsidRDefault="001D0688">
            <w:pPr>
              <w:jc w:val="right"/>
              <w:rPr>
                <w:rFonts w:eastAsia="Times New Roman"/>
              </w:rPr>
            </w:pPr>
            <w:r>
              <w:rPr>
                <w:rFonts w:ascii="Arial" w:eastAsia="Times New Roman" w:hAnsi="Arial" w:cs="Arial"/>
                <w:color w:val="000000"/>
                <w:sz w:val="20"/>
                <w:szCs w:val="20"/>
              </w:rPr>
              <w:t>11.8 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11121FD" w14:textId="77777777" w:rsidR="00000000" w:rsidRDefault="001D0688">
            <w:pPr>
              <w:jc w:val="right"/>
              <w:rPr>
                <w:rFonts w:eastAsia="Times New Roman"/>
              </w:rPr>
            </w:pPr>
          </w:p>
        </w:tc>
      </w:tr>
    </w:tbl>
    <w:p w14:paraId="132DD71D" w14:textId="77777777" w:rsidR="00000000" w:rsidRDefault="001D0688">
      <w:pPr>
        <w:divId w:val="1977445777"/>
        <w:rPr>
          <w:rFonts w:eastAsia="Times New Roman"/>
        </w:rPr>
      </w:pPr>
      <w:r>
        <w:rPr>
          <w:rFonts w:ascii="Arial" w:eastAsia="Times New Roman" w:hAnsi="Arial" w:cs="Arial"/>
          <w:b/>
          <w:bCs/>
          <w:color w:val="0046AD"/>
          <w:sz w:val="20"/>
          <w:szCs w:val="20"/>
        </w:rPr>
        <w:t>RSUs and Dividend Equivalent Rights</w:t>
      </w:r>
    </w:p>
    <w:p w14:paraId="60A235EC" w14:textId="77777777" w:rsidR="00000000" w:rsidRDefault="001D0688">
      <w:pPr>
        <w:ind w:firstLine="720"/>
        <w:jc w:val="both"/>
        <w:divId w:val="145361884"/>
        <w:rPr>
          <w:rFonts w:eastAsia="Times New Roman"/>
        </w:rPr>
      </w:pPr>
      <w:r>
        <w:rPr>
          <w:rFonts w:ascii="Arial" w:eastAsia="Times New Roman" w:hAnsi="Arial" w:cs="Arial"/>
          <w:color w:val="000000"/>
          <w:sz w:val="20"/>
          <w:szCs w:val="20"/>
        </w:rPr>
        <w:t>We award RSUs to eligible employees and our directors (each, a “Grantee”</w:t>
      </w:r>
      <w:r>
        <w:rPr>
          <w:rFonts w:ascii="Arial" w:eastAsia="Times New Roman" w:hAnsi="Arial" w:cs="Arial"/>
          <w:color w:val="000000"/>
          <w:sz w:val="20"/>
          <w:szCs w:val="20"/>
        </w:rPr>
        <w:t>) that entitle the Grantee to receive shares of our common stock as the units vest. RSUs granted to eligible employees in 2020 generally vest ratably over three years. RSUs granted to eligible employees prior to 2020 generally vest with respect to 50% of t</w:t>
      </w:r>
      <w:r>
        <w:rPr>
          <w:rFonts w:ascii="Arial" w:eastAsia="Times New Roman" w:hAnsi="Arial" w:cs="Arial"/>
          <w:color w:val="000000"/>
          <w:sz w:val="20"/>
          <w:szCs w:val="20"/>
        </w:rPr>
        <w:t>he underlying award on the second and fourth anniversary of the award. RSUs granted to directors vest over three years. In general, the receipt of RSUs is subject to the Grantee’s continuing employment or service as a director.</w:t>
      </w:r>
    </w:p>
    <w:p w14:paraId="49FB7607" w14:textId="77777777" w:rsidR="00000000" w:rsidRDefault="001D0688">
      <w:pPr>
        <w:ind w:firstLine="720"/>
        <w:jc w:val="both"/>
        <w:divId w:val="190266532"/>
        <w:rPr>
          <w:rFonts w:eastAsia="Times New Roman"/>
        </w:rPr>
      </w:pPr>
      <w:r>
        <w:rPr>
          <w:rFonts w:ascii="Arial" w:eastAsia="Times New Roman" w:hAnsi="Arial" w:cs="Arial"/>
          <w:color w:val="000000"/>
          <w:sz w:val="20"/>
          <w:szCs w:val="20"/>
        </w:rPr>
        <w:t>RSUs are credited with divid</w:t>
      </w:r>
      <w:r>
        <w:rPr>
          <w:rFonts w:ascii="Arial" w:eastAsia="Times New Roman" w:hAnsi="Arial" w:cs="Arial"/>
          <w:color w:val="000000"/>
          <w:sz w:val="20"/>
          <w:szCs w:val="20"/>
        </w:rPr>
        <w:t xml:space="preserve">end equivalent rights that are converted to RSUs at the fair market value of our common stock on the dates the dividend payments are made and are subject to the same terms and conditions as the underlying award. </w:t>
      </w:r>
    </w:p>
    <w:p w14:paraId="4EEBB578" w14:textId="77777777" w:rsidR="00000000" w:rsidRDefault="001D0688">
      <w:pPr>
        <w:divId w:val="1963263987"/>
        <w:rPr>
          <w:rFonts w:eastAsia="Times New Roman"/>
        </w:rPr>
      </w:pPr>
      <w:r>
        <w:rPr>
          <w:rFonts w:ascii="Arial" w:eastAsia="Times New Roman" w:hAnsi="Arial" w:cs="Arial"/>
          <w:b/>
          <w:bCs/>
          <w:i/>
          <w:iCs/>
          <w:color w:val="0046AD"/>
          <w:sz w:val="20"/>
          <w:szCs w:val="20"/>
        </w:rPr>
        <w:t>RSU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6"/>
        <w:gridCol w:w="52"/>
        <w:gridCol w:w="1334"/>
        <w:gridCol w:w="36"/>
        <w:gridCol w:w="36"/>
        <w:gridCol w:w="36"/>
        <w:gridCol w:w="36"/>
        <w:gridCol w:w="133"/>
        <w:gridCol w:w="1310"/>
        <w:gridCol w:w="36"/>
      </w:tblGrid>
      <w:tr w:rsidR="00000000" w14:paraId="5BD87EA3" w14:textId="77777777">
        <w:trPr>
          <w:divId w:val="2075735742"/>
        </w:trPr>
        <w:tc>
          <w:tcPr>
            <w:tcW w:w="50" w:type="pct"/>
            <w:vAlign w:val="center"/>
            <w:hideMark/>
          </w:tcPr>
          <w:p w14:paraId="439DAF02" w14:textId="77777777" w:rsidR="00000000" w:rsidRDefault="001D0688">
            <w:pPr>
              <w:rPr>
                <w:rFonts w:eastAsia="Times New Roman"/>
              </w:rPr>
            </w:pPr>
          </w:p>
        </w:tc>
        <w:tc>
          <w:tcPr>
            <w:tcW w:w="3148" w:type="pct"/>
            <w:vAlign w:val="center"/>
            <w:hideMark/>
          </w:tcPr>
          <w:p w14:paraId="134FC795" w14:textId="77777777" w:rsidR="00000000" w:rsidRDefault="001D0688">
            <w:pPr>
              <w:rPr>
                <w:rFonts w:eastAsia="Times New Roman"/>
                <w:sz w:val="20"/>
                <w:szCs w:val="20"/>
              </w:rPr>
            </w:pPr>
          </w:p>
        </w:tc>
        <w:tc>
          <w:tcPr>
            <w:tcW w:w="5" w:type="pct"/>
            <w:vAlign w:val="center"/>
            <w:hideMark/>
          </w:tcPr>
          <w:p w14:paraId="76A84929" w14:textId="77777777" w:rsidR="00000000" w:rsidRDefault="001D0688">
            <w:pPr>
              <w:rPr>
                <w:rFonts w:eastAsia="Times New Roman"/>
                <w:sz w:val="20"/>
                <w:szCs w:val="20"/>
              </w:rPr>
            </w:pPr>
          </w:p>
        </w:tc>
        <w:tc>
          <w:tcPr>
            <w:tcW w:w="50" w:type="pct"/>
            <w:vAlign w:val="center"/>
            <w:hideMark/>
          </w:tcPr>
          <w:p w14:paraId="310BA647" w14:textId="77777777" w:rsidR="00000000" w:rsidRDefault="001D0688">
            <w:pPr>
              <w:rPr>
                <w:rFonts w:eastAsia="Times New Roman"/>
                <w:sz w:val="20"/>
                <w:szCs w:val="20"/>
              </w:rPr>
            </w:pPr>
          </w:p>
        </w:tc>
        <w:tc>
          <w:tcPr>
            <w:tcW w:w="824" w:type="pct"/>
            <w:vAlign w:val="center"/>
            <w:hideMark/>
          </w:tcPr>
          <w:p w14:paraId="26F6B95A" w14:textId="77777777" w:rsidR="00000000" w:rsidRDefault="001D0688">
            <w:pPr>
              <w:rPr>
                <w:rFonts w:eastAsia="Times New Roman"/>
                <w:sz w:val="20"/>
                <w:szCs w:val="20"/>
              </w:rPr>
            </w:pPr>
          </w:p>
        </w:tc>
        <w:tc>
          <w:tcPr>
            <w:tcW w:w="5" w:type="pct"/>
            <w:vAlign w:val="center"/>
            <w:hideMark/>
          </w:tcPr>
          <w:p w14:paraId="62317714" w14:textId="77777777" w:rsidR="00000000" w:rsidRDefault="001D0688">
            <w:pPr>
              <w:rPr>
                <w:rFonts w:eastAsia="Times New Roman"/>
                <w:sz w:val="20"/>
                <w:szCs w:val="20"/>
              </w:rPr>
            </w:pPr>
          </w:p>
        </w:tc>
        <w:tc>
          <w:tcPr>
            <w:tcW w:w="5" w:type="pct"/>
            <w:vAlign w:val="center"/>
            <w:hideMark/>
          </w:tcPr>
          <w:p w14:paraId="1EB21BC0" w14:textId="77777777" w:rsidR="00000000" w:rsidRDefault="001D0688">
            <w:pPr>
              <w:rPr>
                <w:rFonts w:eastAsia="Times New Roman"/>
                <w:sz w:val="20"/>
                <w:szCs w:val="20"/>
              </w:rPr>
            </w:pPr>
          </w:p>
        </w:tc>
        <w:tc>
          <w:tcPr>
            <w:tcW w:w="26" w:type="pct"/>
            <w:vAlign w:val="center"/>
            <w:hideMark/>
          </w:tcPr>
          <w:p w14:paraId="31DF544A" w14:textId="77777777" w:rsidR="00000000" w:rsidRDefault="001D0688">
            <w:pPr>
              <w:rPr>
                <w:rFonts w:eastAsia="Times New Roman"/>
                <w:sz w:val="20"/>
                <w:szCs w:val="20"/>
              </w:rPr>
            </w:pPr>
          </w:p>
        </w:tc>
        <w:tc>
          <w:tcPr>
            <w:tcW w:w="5" w:type="pct"/>
            <w:vAlign w:val="center"/>
            <w:hideMark/>
          </w:tcPr>
          <w:p w14:paraId="5FB175EB" w14:textId="77777777" w:rsidR="00000000" w:rsidRDefault="001D0688">
            <w:pPr>
              <w:rPr>
                <w:rFonts w:eastAsia="Times New Roman"/>
                <w:sz w:val="20"/>
                <w:szCs w:val="20"/>
              </w:rPr>
            </w:pPr>
          </w:p>
        </w:tc>
        <w:tc>
          <w:tcPr>
            <w:tcW w:w="50" w:type="pct"/>
            <w:vAlign w:val="center"/>
            <w:hideMark/>
          </w:tcPr>
          <w:p w14:paraId="3605ACD0" w14:textId="77777777" w:rsidR="00000000" w:rsidRDefault="001D0688">
            <w:pPr>
              <w:rPr>
                <w:rFonts w:eastAsia="Times New Roman"/>
                <w:sz w:val="20"/>
                <w:szCs w:val="20"/>
              </w:rPr>
            </w:pPr>
          </w:p>
        </w:tc>
        <w:tc>
          <w:tcPr>
            <w:tcW w:w="824" w:type="pct"/>
            <w:vAlign w:val="center"/>
            <w:hideMark/>
          </w:tcPr>
          <w:p w14:paraId="12C36562" w14:textId="77777777" w:rsidR="00000000" w:rsidRDefault="001D0688">
            <w:pPr>
              <w:rPr>
                <w:rFonts w:eastAsia="Times New Roman"/>
                <w:sz w:val="20"/>
                <w:szCs w:val="20"/>
              </w:rPr>
            </w:pPr>
          </w:p>
        </w:tc>
        <w:tc>
          <w:tcPr>
            <w:tcW w:w="5" w:type="pct"/>
            <w:vAlign w:val="center"/>
            <w:hideMark/>
          </w:tcPr>
          <w:p w14:paraId="6D150E75" w14:textId="77777777" w:rsidR="00000000" w:rsidRDefault="001D0688">
            <w:pPr>
              <w:rPr>
                <w:rFonts w:eastAsia="Times New Roman"/>
                <w:sz w:val="20"/>
                <w:szCs w:val="20"/>
              </w:rPr>
            </w:pPr>
          </w:p>
        </w:tc>
      </w:tr>
      <w:tr w:rsidR="00000000" w14:paraId="4925A9DB" w14:textId="77777777">
        <w:trPr>
          <w:divId w:val="2075735742"/>
        </w:trPr>
        <w:tc>
          <w:tcPr>
            <w:tcW w:w="0" w:type="auto"/>
            <w:gridSpan w:val="3"/>
            <w:tcMar>
              <w:top w:w="0" w:type="dxa"/>
              <w:left w:w="20" w:type="dxa"/>
              <w:bottom w:w="0" w:type="dxa"/>
              <w:right w:w="20" w:type="dxa"/>
            </w:tcMar>
            <w:vAlign w:val="center"/>
            <w:hideMark/>
          </w:tcPr>
          <w:p w14:paraId="1B7F0EDB" w14:textId="77777777" w:rsidR="00000000" w:rsidRDefault="001D0688">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469A0A7" w14:textId="77777777" w:rsidR="00000000" w:rsidRDefault="001D0688">
            <w:pPr>
              <w:jc w:val="center"/>
              <w:rPr>
                <w:rFonts w:eastAsia="Times New Roman"/>
              </w:rPr>
            </w:pPr>
            <w:r>
              <w:rPr>
                <w:rFonts w:ascii="Arial" w:eastAsia="Times New Roman" w:hAnsi="Arial" w:cs="Arial"/>
                <w:b/>
                <w:bCs/>
                <w:color w:val="000000"/>
                <w:sz w:val="20"/>
                <w:szCs w:val="20"/>
              </w:rPr>
              <w:t>Number of</w:t>
            </w:r>
            <w:r>
              <w:rPr>
                <w:rFonts w:ascii="Arial" w:eastAsia="Times New Roman" w:hAnsi="Arial" w:cs="Arial"/>
                <w:b/>
                <w:bCs/>
                <w:color w:val="000000"/>
                <w:sz w:val="20"/>
                <w:szCs w:val="20"/>
              </w:rPr>
              <w:br/>
              <w:t>Shares</w:t>
            </w:r>
            <w:r>
              <w:rPr>
                <w:rFonts w:ascii="Arial" w:eastAsia="Times New Roman" w:hAnsi="Arial" w:cs="Arial"/>
                <w:b/>
                <w:bCs/>
                <w:color w:val="000000"/>
                <w:sz w:val="20"/>
                <w:szCs w:val="20"/>
              </w:rPr>
              <w:br/>
              <w:t>(in millions)</w:t>
            </w:r>
          </w:p>
        </w:tc>
        <w:tc>
          <w:tcPr>
            <w:tcW w:w="0" w:type="auto"/>
            <w:gridSpan w:val="3"/>
            <w:shd w:val="clear" w:color="auto" w:fill="FFFFFF"/>
            <w:tcMar>
              <w:top w:w="0" w:type="dxa"/>
              <w:left w:w="20" w:type="dxa"/>
              <w:bottom w:w="0" w:type="dxa"/>
              <w:right w:w="20" w:type="dxa"/>
            </w:tcMar>
            <w:vAlign w:val="center"/>
            <w:hideMark/>
          </w:tcPr>
          <w:p w14:paraId="1345103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8CF1D0" w14:textId="77777777" w:rsidR="00000000" w:rsidRDefault="001D0688">
            <w:pPr>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 per Share</w:t>
            </w:r>
          </w:p>
        </w:tc>
      </w:tr>
      <w:tr w:rsidR="00000000" w14:paraId="4A96B5FF" w14:textId="77777777">
        <w:trPr>
          <w:divId w:val="2075735742"/>
        </w:trPr>
        <w:tc>
          <w:tcPr>
            <w:tcW w:w="0" w:type="auto"/>
            <w:gridSpan w:val="3"/>
            <w:shd w:val="clear" w:color="auto" w:fill="DCE2EF"/>
            <w:tcMar>
              <w:top w:w="30" w:type="dxa"/>
              <w:left w:w="20" w:type="dxa"/>
              <w:bottom w:w="30" w:type="dxa"/>
              <w:right w:w="20" w:type="dxa"/>
            </w:tcMar>
            <w:vAlign w:val="bottom"/>
            <w:hideMark/>
          </w:tcPr>
          <w:p w14:paraId="44F2029C" w14:textId="77777777" w:rsidR="00000000" w:rsidRDefault="001D0688">
            <w:pPr>
              <w:rPr>
                <w:rFonts w:eastAsia="Times New Roman"/>
              </w:rPr>
            </w:pPr>
            <w:r>
              <w:rPr>
                <w:rFonts w:ascii="Arial" w:eastAsia="Times New Roman" w:hAnsi="Arial" w:cs="Arial"/>
                <w:color w:val="000000"/>
                <w:sz w:val="20"/>
                <w:szCs w:val="20"/>
              </w:rPr>
              <w:t>Outstanding at October 31, 2019</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35B0287"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57C9F1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EF9849"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AB1F01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753F4A5" w14:textId="77777777" w:rsidR="00000000" w:rsidRDefault="001D0688">
            <w:pPr>
              <w:jc w:val="right"/>
              <w:rPr>
                <w:rFonts w:eastAsia="Times New Roman"/>
              </w:rPr>
            </w:pPr>
            <w:r>
              <w:rPr>
                <w:rFonts w:ascii="Arial" w:eastAsia="Times New Roman" w:hAnsi="Arial" w:cs="Arial"/>
                <w:color w:val="000000"/>
                <w:sz w:val="20"/>
                <w:szCs w:val="20"/>
              </w:rPr>
              <w:t>36.92 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DD65C9" w14:textId="77777777" w:rsidR="00000000" w:rsidRDefault="001D0688">
            <w:pPr>
              <w:jc w:val="right"/>
              <w:rPr>
                <w:rFonts w:eastAsia="Times New Roman"/>
              </w:rPr>
            </w:pPr>
          </w:p>
        </w:tc>
      </w:tr>
      <w:tr w:rsidR="00000000" w14:paraId="1F037E5B" w14:textId="77777777">
        <w:trPr>
          <w:divId w:val="2075735742"/>
        </w:trPr>
        <w:tc>
          <w:tcPr>
            <w:tcW w:w="0" w:type="auto"/>
            <w:gridSpan w:val="3"/>
            <w:tcMar>
              <w:top w:w="30" w:type="dxa"/>
              <w:left w:w="20" w:type="dxa"/>
              <w:bottom w:w="30" w:type="dxa"/>
              <w:right w:w="20" w:type="dxa"/>
            </w:tcMar>
            <w:vAlign w:val="bottom"/>
            <w:hideMark/>
          </w:tcPr>
          <w:p w14:paraId="12D0D9B9" w14:textId="77777777" w:rsidR="00000000" w:rsidRDefault="001D0688">
            <w:pPr>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713D38C3" w14:textId="77777777" w:rsidR="00000000" w:rsidRDefault="001D0688">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54B797A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1195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76D3C3" w14:textId="77777777" w:rsidR="00000000" w:rsidRDefault="001D0688">
            <w:pPr>
              <w:jc w:val="right"/>
              <w:rPr>
                <w:rFonts w:eastAsia="Times New Roman"/>
              </w:rPr>
            </w:pPr>
            <w:r>
              <w:rPr>
                <w:rFonts w:ascii="Arial" w:eastAsia="Times New Roman" w:hAnsi="Arial" w:cs="Arial"/>
                <w:color w:val="000000"/>
                <w:sz w:val="20"/>
                <w:szCs w:val="20"/>
              </w:rPr>
              <w:t>36.11 </w:t>
            </w:r>
          </w:p>
        </w:tc>
        <w:tc>
          <w:tcPr>
            <w:tcW w:w="0" w:type="auto"/>
            <w:shd w:val="clear" w:color="auto" w:fill="FFFFFF"/>
            <w:tcMar>
              <w:top w:w="30" w:type="dxa"/>
              <w:left w:w="0" w:type="dxa"/>
              <w:bottom w:w="30" w:type="dxa"/>
              <w:right w:w="20" w:type="dxa"/>
            </w:tcMar>
            <w:vAlign w:val="bottom"/>
            <w:hideMark/>
          </w:tcPr>
          <w:p w14:paraId="07A6A48E" w14:textId="77777777" w:rsidR="00000000" w:rsidRDefault="001D0688">
            <w:pPr>
              <w:jc w:val="right"/>
              <w:rPr>
                <w:rFonts w:eastAsia="Times New Roman"/>
              </w:rPr>
            </w:pPr>
          </w:p>
        </w:tc>
      </w:tr>
      <w:tr w:rsidR="00000000" w14:paraId="33B93804" w14:textId="77777777">
        <w:trPr>
          <w:divId w:val="2075735742"/>
        </w:trPr>
        <w:tc>
          <w:tcPr>
            <w:tcW w:w="0" w:type="auto"/>
            <w:gridSpan w:val="3"/>
            <w:shd w:val="clear" w:color="auto" w:fill="DCE2EF"/>
            <w:tcMar>
              <w:top w:w="30" w:type="dxa"/>
              <w:left w:w="20" w:type="dxa"/>
              <w:bottom w:w="30" w:type="dxa"/>
              <w:right w:w="20" w:type="dxa"/>
            </w:tcMar>
            <w:hideMark/>
          </w:tcPr>
          <w:p w14:paraId="64132752" w14:textId="77777777" w:rsidR="00000000" w:rsidRDefault="001D0688">
            <w:pPr>
              <w:divId w:val="2121408294"/>
              <w:rPr>
                <w:rFonts w:eastAsia="Times New Roman"/>
              </w:rPr>
            </w:pPr>
            <w:r>
              <w:rPr>
                <w:rFonts w:ascii="Arial" w:eastAsia="Times New Roman" w:hAnsi="Arial" w:cs="Arial"/>
                <w:color w:val="000000"/>
                <w:sz w:val="20"/>
                <w:szCs w:val="20"/>
              </w:rPr>
              <w:t xml:space="preserve">Vested (including 0.1 </w:t>
            </w:r>
            <w:r>
              <w:rPr>
                <w:rFonts w:ascii="Arial" w:eastAsia="Times New Roman" w:hAnsi="Arial" w:cs="Arial"/>
                <w:color w:val="000000"/>
                <w:sz w:val="20"/>
                <w:szCs w:val="20"/>
              </w:rPr>
              <w:t>shares withheld for income taxes)</w:t>
            </w:r>
          </w:p>
        </w:tc>
        <w:tc>
          <w:tcPr>
            <w:tcW w:w="0" w:type="auto"/>
            <w:gridSpan w:val="2"/>
            <w:shd w:val="clear" w:color="auto" w:fill="DCE2EF"/>
            <w:tcMar>
              <w:top w:w="30" w:type="dxa"/>
              <w:left w:w="20" w:type="dxa"/>
              <w:bottom w:w="30" w:type="dxa"/>
              <w:right w:w="0" w:type="dxa"/>
            </w:tcMar>
            <w:vAlign w:val="bottom"/>
            <w:hideMark/>
          </w:tcPr>
          <w:p w14:paraId="4DD872D1" w14:textId="77777777" w:rsidR="00000000" w:rsidRDefault="001D0688">
            <w:pPr>
              <w:jc w:val="right"/>
              <w:rPr>
                <w:rFonts w:eastAsia="Times New Roman"/>
              </w:rPr>
            </w:pPr>
            <w:r>
              <w:rPr>
                <w:rFonts w:ascii="Arial" w:eastAsia="Times New Roman" w:hAnsi="Arial" w:cs="Arial"/>
                <w:color w:val="000000"/>
                <w:sz w:val="20"/>
                <w:szCs w:val="20"/>
              </w:rPr>
              <w:t>(0.2)</w:t>
            </w:r>
          </w:p>
        </w:tc>
        <w:tc>
          <w:tcPr>
            <w:tcW w:w="0" w:type="auto"/>
            <w:shd w:val="clear" w:color="auto" w:fill="DCE2EF"/>
            <w:tcMar>
              <w:top w:w="30" w:type="dxa"/>
              <w:left w:w="0" w:type="dxa"/>
              <w:bottom w:w="30" w:type="dxa"/>
              <w:right w:w="20" w:type="dxa"/>
            </w:tcMar>
            <w:vAlign w:val="bottom"/>
            <w:hideMark/>
          </w:tcPr>
          <w:p w14:paraId="03B9A9B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AFEF7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82DEAE" w14:textId="77777777" w:rsidR="00000000" w:rsidRDefault="001D0688">
            <w:pPr>
              <w:jc w:val="right"/>
              <w:rPr>
                <w:rFonts w:eastAsia="Times New Roman"/>
              </w:rPr>
            </w:pPr>
            <w:r>
              <w:rPr>
                <w:rFonts w:ascii="Arial" w:eastAsia="Times New Roman" w:hAnsi="Arial" w:cs="Arial"/>
                <w:color w:val="000000"/>
                <w:sz w:val="20"/>
                <w:szCs w:val="20"/>
              </w:rPr>
              <w:t>37.24 </w:t>
            </w:r>
          </w:p>
        </w:tc>
        <w:tc>
          <w:tcPr>
            <w:tcW w:w="0" w:type="auto"/>
            <w:shd w:val="clear" w:color="auto" w:fill="DCE2EF"/>
            <w:tcMar>
              <w:top w:w="30" w:type="dxa"/>
              <w:left w:w="0" w:type="dxa"/>
              <w:bottom w:w="30" w:type="dxa"/>
              <w:right w:w="20" w:type="dxa"/>
            </w:tcMar>
            <w:vAlign w:val="bottom"/>
            <w:hideMark/>
          </w:tcPr>
          <w:p w14:paraId="73A59E5C" w14:textId="77777777" w:rsidR="00000000" w:rsidRDefault="001D0688">
            <w:pPr>
              <w:jc w:val="right"/>
              <w:rPr>
                <w:rFonts w:eastAsia="Times New Roman"/>
              </w:rPr>
            </w:pPr>
          </w:p>
        </w:tc>
      </w:tr>
      <w:tr w:rsidR="00000000" w14:paraId="7FC3DD38" w14:textId="77777777">
        <w:trPr>
          <w:divId w:val="2075735742"/>
        </w:trPr>
        <w:tc>
          <w:tcPr>
            <w:tcW w:w="0" w:type="auto"/>
            <w:gridSpan w:val="3"/>
            <w:tcMar>
              <w:top w:w="30" w:type="dxa"/>
              <w:left w:w="20" w:type="dxa"/>
              <w:bottom w:w="30" w:type="dxa"/>
              <w:right w:w="20" w:type="dxa"/>
            </w:tcMar>
            <w:vAlign w:val="bottom"/>
            <w:hideMark/>
          </w:tcPr>
          <w:p w14:paraId="63A6D063" w14:textId="77777777" w:rsidR="00000000" w:rsidRDefault="001D0688">
            <w:pPr>
              <w:rPr>
                <w:rFonts w:eastAsia="Times New Roman"/>
              </w:rPr>
            </w:pPr>
            <w:r>
              <w:rPr>
                <w:rFonts w:ascii="Arial" w:eastAsia="Times New Roman" w:hAnsi="Arial" w:cs="Arial"/>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11954520"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2689AA5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819D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4A904" w14:textId="77777777" w:rsidR="00000000" w:rsidRDefault="001D0688">
            <w:pPr>
              <w:jc w:val="right"/>
              <w:rPr>
                <w:rFonts w:eastAsia="Times New Roman"/>
              </w:rPr>
            </w:pPr>
            <w:r>
              <w:rPr>
                <w:rFonts w:ascii="Arial" w:eastAsia="Times New Roman" w:hAnsi="Arial" w:cs="Arial"/>
                <w:color w:val="000000"/>
                <w:sz w:val="20"/>
                <w:szCs w:val="20"/>
              </w:rPr>
              <w:t>37.63 </w:t>
            </w:r>
          </w:p>
        </w:tc>
        <w:tc>
          <w:tcPr>
            <w:tcW w:w="0" w:type="auto"/>
            <w:shd w:val="clear" w:color="auto" w:fill="FFFFFF"/>
            <w:tcMar>
              <w:top w:w="30" w:type="dxa"/>
              <w:left w:w="0" w:type="dxa"/>
              <w:bottom w:w="30" w:type="dxa"/>
              <w:right w:w="20" w:type="dxa"/>
            </w:tcMar>
            <w:vAlign w:val="bottom"/>
            <w:hideMark/>
          </w:tcPr>
          <w:p w14:paraId="0F350314" w14:textId="77777777" w:rsidR="00000000" w:rsidRDefault="001D0688">
            <w:pPr>
              <w:jc w:val="right"/>
              <w:rPr>
                <w:rFonts w:eastAsia="Times New Roman"/>
              </w:rPr>
            </w:pPr>
          </w:p>
        </w:tc>
      </w:tr>
      <w:tr w:rsidR="00000000" w14:paraId="61378766" w14:textId="77777777">
        <w:trPr>
          <w:divId w:val="2075735742"/>
        </w:trPr>
        <w:tc>
          <w:tcPr>
            <w:tcW w:w="0" w:type="auto"/>
            <w:gridSpan w:val="3"/>
            <w:shd w:val="clear" w:color="auto" w:fill="DCE2EF"/>
            <w:tcMar>
              <w:top w:w="30" w:type="dxa"/>
              <w:left w:w="20" w:type="dxa"/>
              <w:bottom w:w="30" w:type="dxa"/>
              <w:right w:w="20" w:type="dxa"/>
            </w:tcMar>
            <w:vAlign w:val="bottom"/>
            <w:hideMark/>
          </w:tcPr>
          <w:p w14:paraId="180AAE13" w14:textId="77777777" w:rsidR="00000000" w:rsidRDefault="001D0688">
            <w:pPr>
              <w:rPr>
                <w:rFonts w:eastAsia="Times New Roman"/>
              </w:rPr>
            </w:pPr>
            <w:r>
              <w:rPr>
                <w:rFonts w:ascii="Arial" w:eastAsia="Times New Roman" w:hAnsi="Arial" w:cs="Arial"/>
                <w:color w:val="000000"/>
                <w:sz w:val="20"/>
                <w:szCs w:val="20"/>
              </w:rPr>
              <w:t>Outstanding at October 31, 2020</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CC4C4C6" w14:textId="77777777" w:rsidR="00000000" w:rsidRDefault="001D0688">
            <w:pPr>
              <w:jc w:val="right"/>
              <w:rPr>
                <w:rFonts w:eastAsia="Times New Roman"/>
              </w:rPr>
            </w:pPr>
            <w:r>
              <w:rPr>
                <w:rFonts w:ascii="Arial" w:eastAsia="Times New Roman" w:hAnsi="Arial" w:cs="Arial"/>
                <w:color w:val="000000"/>
                <w:sz w:val="20"/>
                <w:szCs w:val="20"/>
              </w:rPr>
              <w:t>1.1 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3BDD0C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FF04B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96395B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C73C67A" w14:textId="77777777" w:rsidR="00000000" w:rsidRDefault="001D0688">
            <w:pPr>
              <w:jc w:val="right"/>
              <w:rPr>
                <w:rFonts w:eastAsia="Times New Roman"/>
              </w:rPr>
            </w:pPr>
            <w:r>
              <w:rPr>
                <w:rFonts w:ascii="Arial" w:eastAsia="Times New Roman" w:hAnsi="Arial" w:cs="Arial"/>
                <w:color w:val="000000"/>
                <w:sz w:val="20"/>
                <w:szCs w:val="20"/>
              </w:rPr>
              <w:t>36.32 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0922237" w14:textId="77777777" w:rsidR="00000000" w:rsidRDefault="001D0688">
            <w:pPr>
              <w:jc w:val="right"/>
              <w:rPr>
                <w:rFonts w:eastAsia="Times New Roman"/>
              </w:rPr>
            </w:pPr>
          </w:p>
        </w:tc>
      </w:tr>
      <w:tr w:rsidR="00000000" w14:paraId="370DD18D" w14:textId="77777777">
        <w:trPr>
          <w:divId w:val="2075735742"/>
        </w:trPr>
        <w:tc>
          <w:tcPr>
            <w:tcW w:w="0" w:type="auto"/>
            <w:gridSpan w:val="3"/>
            <w:vAlign w:val="center"/>
            <w:hideMark/>
          </w:tcPr>
          <w:p w14:paraId="2A5231B7" w14:textId="77777777" w:rsidR="00000000" w:rsidRDefault="001D0688">
            <w:pPr>
              <w:jc w:val="right"/>
              <w:rPr>
                <w:rFonts w:eastAsia="Times New Roman"/>
                <w:sz w:val="20"/>
                <w:szCs w:val="20"/>
              </w:rPr>
            </w:pPr>
          </w:p>
        </w:tc>
        <w:tc>
          <w:tcPr>
            <w:tcW w:w="0" w:type="auto"/>
            <w:gridSpan w:val="3"/>
            <w:vAlign w:val="center"/>
            <w:hideMark/>
          </w:tcPr>
          <w:p w14:paraId="2E4A1545" w14:textId="77777777" w:rsidR="00000000" w:rsidRDefault="001D0688">
            <w:pPr>
              <w:rPr>
                <w:rFonts w:eastAsia="Times New Roman"/>
                <w:sz w:val="20"/>
                <w:szCs w:val="20"/>
              </w:rPr>
            </w:pPr>
          </w:p>
        </w:tc>
        <w:tc>
          <w:tcPr>
            <w:tcW w:w="0" w:type="auto"/>
            <w:gridSpan w:val="3"/>
            <w:vAlign w:val="center"/>
            <w:hideMark/>
          </w:tcPr>
          <w:p w14:paraId="6B1EBF19" w14:textId="77777777" w:rsidR="00000000" w:rsidRDefault="001D0688">
            <w:pPr>
              <w:rPr>
                <w:rFonts w:eastAsia="Times New Roman"/>
                <w:sz w:val="20"/>
                <w:szCs w:val="20"/>
              </w:rPr>
            </w:pPr>
          </w:p>
        </w:tc>
        <w:tc>
          <w:tcPr>
            <w:tcW w:w="0" w:type="auto"/>
            <w:gridSpan w:val="3"/>
            <w:vAlign w:val="center"/>
            <w:hideMark/>
          </w:tcPr>
          <w:p w14:paraId="1596036B" w14:textId="77777777" w:rsidR="00000000" w:rsidRDefault="001D0688">
            <w:pPr>
              <w:rPr>
                <w:rFonts w:eastAsia="Times New Roman"/>
                <w:sz w:val="20"/>
                <w:szCs w:val="20"/>
              </w:rPr>
            </w:pPr>
          </w:p>
        </w:tc>
      </w:tr>
    </w:tbl>
    <w:p w14:paraId="282CD21C" w14:textId="77777777" w:rsidR="00000000" w:rsidRDefault="001D0688">
      <w:pPr>
        <w:ind w:firstLine="720"/>
        <w:jc w:val="both"/>
        <w:divId w:val="692416436"/>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2020, total unrecognized compensation cost, net of estimated forfeitures, related to RSUs was $25.2 million, which is expected to be recognized ratably over a weighted-average vesting period of 1.9 years. In 2020, 2019, and 2018, the weighted-average g</w:t>
      </w:r>
      <w:r>
        <w:rPr>
          <w:rFonts w:ascii="Arial" w:eastAsia="Times New Roman" w:hAnsi="Arial" w:cs="Arial"/>
          <w:color w:val="000000"/>
          <w:sz w:val="20"/>
          <w:szCs w:val="20"/>
        </w:rPr>
        <w:t>rant date fair value per share of awards granted was $36.11, $34.48, and $37.98, respectively. In 2020, 2019, and 2018, the total grant date fair value of RSUs vested and converted to shares of ABM common stock was $6.1 million, $10.7 million, and $7.4 mil</w:t>
      </w:r>
      <w:r>
        <w:rPr>
          <w:rFonts w:ascii="Arial" w:eastAsia="Times New Roman" w:hAnsi="Arial" w:cs="Arial"/>
          <w:color w:val="000000"/>
          <w:sz w:val="20"/>
          <w:szCs w:val="20"/>
        </w:rPr>
        <w:t>lion, respectively.</w:t>
      </w:r>
    </w:p>
    <w:p w14:paraId="5A854560" w14:textId="77777777" w:rsidR="00000000" w:rsidRDefault="001D0688">
      <w:pPr>
        <w:jc w:val="both"/>
        <w:divId w:val="6370715"/>
        <w:rPr>
          <w:rFonts w:eastAsia="Times New Roman"/>
        </w:rPr>
      </w:pPr>
    </w:p>
    <w:p w14:paraId="45C35F79" w14:textId="77777777" w:rsidR="00000000" w:rsidRDefault="001D0688">
      <w:pPr>
        <w:jc w:val="center"/>
        <w:divId w:val="104816721"/>
        <w:rPr>
          <w:rFonts w:eastAsia="Times New Roman"/>
        </w:rPr>
      </w:pPr>
      <w:r>
        <w:rPr>
          <w:rFonts w:ascii="Arial" w:eastAsia="Times New Roman" w:hAnsi="Arial" w:cs="Arial"/>
          <w:color w:val="000000"/>
          <w:sz w:val="20"/>
          <w:szCs w:val="20"/>
        </w:rPr>
        <w:t>88</w:t>
      </w:r>
    </w:p>
    <w:p w14:paraId="73327880" w14:textId="77777777" w:rsidR="00000000" w:rsidRDefault="001D0688">
      <w:pPr>
        <w:rPr>
          <w:rFonts w:eastAsia="Times New Roman"/>
        </w:rPr>
      </w:pPr>
      <w:r>
        <w:rPr>
          <w:rFonts w:eastAsia="Times New Roman"/>
        </w:rPr>
        <w:pict w14:anchorId="77E19E06">
          <v:rect id="_x0000_i1125" style="width:0;height:1.5pt" o:hralign="center" o:hrstd="t" o:hr="t" fillcolor="#a0a0a0" stroked="f"/>
        </w:pict>
      </w:r>
    </w:p>
    <w:p w14:paraId="7245B4A4" w14:textId="77777777" w:rsidR="00000000" w:rsidRDefault="001D0688">
      <w:pPr>
        <w:divId w:val="553390747"/>
        <w:rPr>
          <w:rFonts w:eastAsia="Times New Roman"/>
        </w:rPr>
      </w:pPr>
    </w:p>
    <w:p w14:paraId="772FF860" w14:textId="77777777" w:rsidR="00000000" w:rsidRDefault="001D0688">
      <w:pPr>
        <w:jc w:val="both"/>
        <w:divId w:val="886994216"/>
        <w:rPr>
          <w:rFonts w:eastAsia="Times New Roman"/>
        </w:rPr>
      </w:pPr>
      <w:r>
        <w:rPr>
          <w:rFonts w:ascii="Arial" w:eastAsia="Times New Roman" w:hAnsi="Arial" w:cs="Arial"/>
          <w:b/>
          <w:bCs/>
          <w:color w:val="0046AD"/>
          <w:sz w:val="20"/>
          <w:szCs w:val="20"/>
          <w:shd w:val="clear" w:color="auto" w:fill="FFFFFF"/>
        </w:rPr>
        <w:t>Performance Shares, Including TSR Performance Shares</w:t>
      </w:r>
    </w:p>
    <w:p w14:paraId="0658845F" w14:textId="77777777" w:rsidR="00000000" w:rsidRDefault="001D0688">
      <w:pPr>
        <w:ind w:firstLine="720"/>
        <w:jc w:val="both"/>
        <w:divId w:val="688140782"/>
        <w:rPr>
          <w:rFonts w:eastAsia="Times New Roman"/>
        </w:rPr>
      </w:pPr>
      <w:r>
        <w:rPr>
          <w:rFonts w:ascii="Arial" w:eastAsia="Times New Roman" w:hAnsi="Arial" w:cs="Arial"/>
          <w:color w:val="000000"/>
          <w:sz w:val="20"/>
          <w:szCs w:val="20"/>
        </w:rPr>
        <w:t>Performance shares consist of a contingent right to receive shares of our common stock based on performance targets adopted by our Compensation Committee. Performance shares are credited with dividend equivalent rights that will be converted to performance</w:t>
      </w:r>
      <w:r>
        <w:rPr>
          <w:rFonts w:ascii="Arial" w:eastAsia="Times New Roman" w:hAnsi="Arial" w:cs="Arial"/>
          <w:color w:val="000000"/>
          <w:sz w:val="20"/>
          <w:szCs w:val="20"/>
        </w:rPr>
        <w:t xml:space="preserve"> shares at the fair market value of our common stock beginning after the performance targets have been satisfied and are subject to the same terms and conditions as the underlying award. </w:t>
      </w:r>
    </w:p>
    <w:p w14:paraId="0CDAEFFB" w14:textId="77777777" w:rsidR="00000000" w:rsidRDefault="001D0688">
      <w:pPr>
        <w:ind w:firstLine="720"/>
        <w:jc w:val="both"/>
        <w:divId w:val="366416742"/>
        <w:rPr>
          <w:rFonts w:eastAsia="Times New Roman"/>
        </w:rPr>
      </w:pPr>
      <w:r>
        <w:rPr>
          <w:rFonts w:ascii="Arial" w:eastAsia="Times New Roman" w:hAnsi="Arial" w:cs="Arial"/>
          <w:color w:val="000000"/>
          <w:sz w:val="20"/>
          <w:szCs w:val="20"/>
        </w:rPr>
        <w:t>For certain performance share awards, the number of performance shar</w:t>
      </w:r>
      <w:r>
        <w:rPr>
          <w:rFonts w:ascii="Arial" w:eastAsia="Times New Roman" w:hAnsi="Arial" w:cs="Arial"/>
          <w:color w:val="000000"/>
          <w:sz w:val="20"/>
          <w:szCs w:val="20"/>
        </w:rPr>
        <w:t>es that will vest is based on pre-established internal financial performance targets and typically a three-year service and performance period. The number of TSR awards and TSR-modified awards that will vest over the respective three-year performance perio</w:t>
      </w:r>
      <w:r>
        <w:rPr>
          <w:rFonts w:ascii="Arial" w:eastAsia="Times New Roman" w:hAnsi="Arial" w:cs="Arial"/>
          <w:color w:val="000000"/>
          <w:sz w:val="20"/>
          <w:szCs w:val="20"/>
        </w:rPr>
        <w:t>d is based on our total shareholder return relative to the S&amp;P 600 Small Cap Index for awards that were granted in 2018 and is based on the S&amp;P 1500 Commercial Services &amp; Supplies Index for awards that were granted in 2019 or 2020. Vesting of 0% to 150% of</w:t>
      </w:r>
      <w:r>
        <w:rPr>
          <w:rFonts w:ascii="Arial" w:eastAsia="Times New Roman" w:hAnsi="Arial" w:cs="Arial"/>
          <w:color w:val="000000"/>
          <w:sz w:val="20"/>
          <w:szCs w:val="20"/>
        </w:rPr>
        <w:t xml:space="preserve"> the awards originally granted may occur depending on the respective performance metrics under both award types. </w:t>
      </w:r>
    </w:p>
    <w:p w14:paraId="46351DE4" w14:textId="77777777" w:rsidR="00000000" w:rsidRDefault="001D0688">
      <w:pPr>
        <w:jc w:val="both"/>
        <w:divId w:val="799422483"/>
        <w:rPr>
          <w:rFonts w:eastAsia="Times New Roman"/>
        </w:rPr>
      </w:pPr>
      <w:r>
        <w:rPr>
          <w:rFonts w:ascii="Arial" w:eastAsia="Times New Roman" w:hAnsi="Arial" w:cs="Arial"/>
          <w:b/>
          <w:bCs/>
          <w:i/>
          <w:iCs/>
          <w:color w:val="0046AD"/>
          <w:sz w:val="20"/>
          <w:szCs w:val="20"/>
        </w:rPr>
        <w:t>Performance Share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7"/>
        <w:gridCol w:w="51"/>
        <w:gridCol w:w="1334"/>
        <w:gridCol w:w="36"/>
        <w:gridCol w:w="36"/>
        <w:gridCol w:w="36"/>
        <w:gridCol w:w="36"/>
        <w:gridCol w:w="133"/>
        <w:gridCol w:w="1310"/>
        <w:gridCol w:w="36"/>
      </w:tblGrid>
      <w:tr w:rsidR="00000000" w14:paraId="21DED87C" w14:textId="77777777">
        <w:trPr>
          <w:divId w:val="2069647747"/>
        </w:trPr>
        <w:tc>
          <w:tcPr>
            <w:tcW w:w="50" w:type="pct"/>
            <w:vAlign w:val="center"/>
            <w:hideMark/>
          </w:tcPr>
          <w:p w14:paraId="7EC88605" w14:textId="77777777" w:rsidR="00000000" w:rsidRDefault="001D0688">
            <w:pPr>
              <w:jc w:val="both"/>
              <w:rPr>
                <w:rFonts w:eastAsia="Times New Roman"/>
              </w:rPr>
            </w:pPr>
          </w:p>
        </w:tc>
        <w:tc>
          <w:tcPr>
            <w:tcW w:w="3148" w:type="pct"/>
            <w:vAlign w:val="center"/>
            <w:hideMark/>
          </w:tcPr>
          <w:p w14:paraId="6DCA77FB" w14:textId="77777777" w:rsidR="00000000" w:rsidRDefault="001D0688">
            <w:pPr>
              <w:rPr>
                <w:rFonts w:eastAsia="Times New Roman"/>
                <w:sz w:val="20"/>
                <w:szCs w:val="20"/>
              </w:rPr>
            </w:pPr>
          </w:p>
        </w:tc>
        <w:tc>
          <w:tcPr>
            <w:tcW w:w="5" w:type="pct"/>
            <w:vAlign w:val="center"/>
            <w:hideMark/>
          </w:tcPr>
          <w:p w14:paraId="0B69D64B" w14:textId="77777777" w:rsidR="00000000" w:rsidRDefault="001D0688">
            <w:pPr>
              <w:rPr>
                <w:rFonts w:eastAsia="Times New Roman"/>
                <w:sz w:val="20"/>
                <w:szCs w:val="20"/>
              </w:rPr>
            </w:pPr>
          </w:p>
        </w:tc>
        <w:tc>
          <w:tcPr>
            <w:tcW w:w="50" w:type="pct"/>
            <w:vAlign w:val="center"/>
            <w:hideMark/>
          </w:tcPr>
          <w:p w14:paraId="764EA354" w14:textId="77777777" w:rsidR="00000000" w:rsidRDefault="001D0688">
            <w:pPr>
              <w:rPr>
                <w:rFonts w:eastAsia="Times New Roman"/>
                <w:sz w:val="20"/>
                <w:szCs w:val="20"/>
              </w:rPr>
            </w:pPr>
          </w:p>
        </w:tc>
        <w:tc>
          <w:tcPr>
            <w:tcW w:w="824" w:type="pct"/>
            <w:vAlign w:val="center"/>
            <w:hideMark/>
          </w:tcPr>
          <w:p w14:paraId="41DCD489" w14:textId="77777777" w:rsidR="00000000" w:rsidRDefault="001D0688">
            <w:pPr>
              <w:rPr>
                <w:rFonts w:eastAsia="Times New Roman"/>
                <w:sz w:val="20"/>
                <w:szCs w:val="20"/>
              </w:rPr>
            </w:pPr>
          </w:p>
        </w:tc>
        <w:tc>
          <w:tcPr>
            <w:tcW w:w="5" w:type="pct"/>
            <w:vAlign w:val="center"/>
            <w:hideMark/>
          </w:tcPr>
          <w:p w14:paraId="4FD271E5" w14:textId="77777777" w:rsidR="00000000" w:rsidRDefault="001D0688">
            <w:pPr>
              <w:rPr>
                <w:rFonts w:eastAsia="Times New Roman"/>
                <w:sz w:val="20"/>
                <w:szCs w:val="20"/>
              </w:rPr>
            </w:pPr>
          </w:p>
        </w:tc>
        <w:tc>
          <w:tcPr>
            <w:tcW w:w="5" w:type="pct"/>
            <w:vAlign w:val="center"/>
            <w:hideMark/>
          </w:tcPr>
          <w:p w14:paraId="57684E22" w14:textId="77777777" w:rsidR="00000000" w:rsidRDefault="001D0688">
            <w:pPr>
              <w:rPr>
                <w:rFonts w:eastAsia="Times New Roman"/>
                <w:sz w:val="20"/>
                <w:szCs w:val="20"/>
              </w:rPr>
            </w:pPr>
          </w:p>
        </w:tc>
        <w:tc>
          <w:tcPr>
            <w:tcW w:w="26" w:type="pct"/>
            <w:vAlign w:val="center"/>
            <w:hideMark/>
          </w:tcPr>
          <w:p w14:paraId="578A566D" w14:textId="77777777" w:rsidR="00000000" w:rsidRDefault="001D0688">
            <w:pPr>
              <w:rPr>
                <w:rFonts w:eastAsia="Times New Roman"/>
                <w:sz w:val="20"/>
                <w:szCs w:val="20"/>
              </w:rPr>
            </w:pPr>
          </w:p>
        </w:tc>
        <w:tc>
          <w:tcPr>
            <w:tcW w:w="5" w:type="pct"/>
            <w:vAlign w:val="center"/>
            <w:hideMark/>
          </w:tcPr>
          <w:p w14:paraId="712278E6" w14:textId="77777777" w:rsidR="00000000" w:rsidRDefault="001D0688">
            <w:pPr>
              <w:rPr>
                <w:rFonts w:eastAsia="Times New Roman"/>
                <w:sz w:val="20"/>
                <w:szCs w:val="20"/>
              </w:rPr>
            </w:pPr>
          </w:p>
        </w:tc>
        <w:tc>
          <w:tcPr>
            <w:tcW w:w="50" w:type="pct"/>
            <w:vAlign w:val="center"/>
            <w:hideMark/>
          </w:tcPr>
          <w:p w14:paraId="5284FF92" w14:textId="77777777" w:rsidR="00000000" w:rsidRDefault="001D0688">
            <w:pPr>
              <w:rPr>
                <w:rFonts w:eastAsia="Times New Roman"/>
                <w:sz w:val="20"/>
                <w:szCs w:val="20"/>
              </w:rPr>
            </w:pPr>
          </w:p>
        </w:tc>
        <w:tc>
          <w:tcPr>
            <w:tcW w:w="824" w:type="pct"/>
            <w:vAlign w:val="center"/>
            <w:hideMark/>
          </w:tcPr>
          <w:p w14:paraId="534D7328" w14:textId="77777777" w:rsidR="00000000" w:rsidRDefault="001D0688">
            <w:pPr>
              <w:rPr>
                <w:rFonts w:eastAsia="Times New Roman"/>
                <w:sz w:val="20"/>
                <w:szCs w:val="20"/>
              </w:rPr>
            </w:pPr>
          </w:p>
        </w:tc>
        <w:tc>
          <w:tcPr>
            <w:tcW w:w="5" w:type="pct"/>
            <w:vAlign w:val="center"/>
            <w:hideMark/>
          </w:tcPr>
          <w:p w14:paraId="5D47ADAE" w14:textId="77777777" w:rsidR="00000000" w:rsidRDefault="001D0688">
            <w:pPr>
              <w:rPr>
                <w:rFonts w:eastAsia="Times New Roman"/>
                <w:sz w:val="20"/>
                <w:szCs w:val="20"/>
              </w:rPr>
            </w:pPr>
          </w:p>
        </w:tc>
      </w:tr>
      <w:tr w:rsidR="00000000" w14:paraId="3C6B8FEA" w14:textId="77777777">
        <w:trPr>
          <w:divId w:val="2069647747"/>
        </w:trPr>
        <w:tc>
          <w:tcPr>
            <w:tcW w:w="0" w:type="auto"/>
            <w:gridSpan w:val="3"/>
            <w:tcMar>
              <w:top w:w="0" w:type="dxa"/>
              <w:left w:w="20" w:type="dxa"/>
              <w:bottom w:w="0" w:type="dxa"/>
              <w:right w:w="20" w:type="dxa"/>
            </w:tcMar>
            <w:vAlign w:val="center"/>
            <w:hideMark/>
          </w:tcPr>
          <w:p w14:paraId="7D23D294"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6252672F" w14:textId="77777777" w:rsidR="00000000" w:rsidRDefault="001D0688">
            <w:pPr>
              <w:jc w:val="center"/>
              <w:rPr>
                <w:rFonts w:eastAsia="Times New Roman"/>
              </w:rPr>
            </w:pPr>
            <w:r>
              <w:rPr>
                <w:rFonts w:ascii="Arial" w:eastAsia="Times New Roman" w:hAnsi="Arial" w:cs="Arial"/>
                <w:b/>
                <w:bCs/>
                <w:color w:val="000000"/>
                <w:sz w:val="20"/>
                <w:szCs w:val="20"/>
              </w:rPr>
              <w:t>Number of Shares</w:t>
            </w:r>
            <w:r>
              <w:rPr>
                <w:rFonts w:ascii="Arial" w:eastAsia="Times New Roman" w:hAnsi="Arial" w:cs="Arial"/>
                <w:b/>
                <w:bCs/>
                <w:color w:val="000000"/>
                <w:sz w:val="20"/>
                <w:szCs w:val="20"/>
              </w:rPr>
              <w:br/>
              <w:t>(in millions)</w:t>
            </w:r>
          </w:p>
        </w:tc>
        <w:tc>
          <w:tcPr>
            <w:tcW w:w="0" w:type="auto"/>
            <w:gridSpan w:val="3"/>
            <w:tcMar>
              <w:top w:w="0" w:type="dxa"/>
              <w:left w:w="20" w:type="dxa"/>
              <w:bottom w:w="0" w:type="dxa"/>
              <w:right w:w="20" w:type="dxa"/>
            </w:tcMar>
            <w:vAlign w:val="center"/>
            <w:hideMark/>
          </w:tcPr>
          <w:p w14:paraId="0E4D53D0"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7950EF4" w14:textId="77777777" w:rsidR="00000000" w:rsidRDefault="001D0688">
            <w:pPr>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w:t>
            </w:r>
            <w:r>
              <w:rPr>
                <w:rFonts w:ascii="Arial" w:eastAsia="Times New Roman" w:hAnsi="Arial" w:cs="Arial"/>
                <w:b/>
                <w:bCs/>
                <w:color w:val="000000"/>
                <w:sz w:val="20"/>
                <w:szCs w:val="20"/>
              </w:rPr>
              <w:br/>
              <w:t>per Share</w:t>
            </w:r>
          </w:p>
        </w:tc>
      </w:tr>
      <w:tr w:rsidR="00000000" w14:paraId="4C924422" w14:textId="77777777">
        <w:trPr>
          <w:divId w:val="2069647747"/>
        </w:trPr>
        <w:tc>
          <w:tcPr>
            <w:tcW w:w="0" w:type="auto"/>
            <w:gridSpan w:val="3"/>
            <w:shd w:val="clear" w:color="auto" w:fill="DCE2EF"/>
            <w:tcMar>
              <w:top w:w="30" w:type="dxa"/>
              <w:left w:w="20" w:type="dxa"/>
              <w:bottom w:w="30" w:type="dxa"/>
              <w:right w:w="20" w:type="dxa"/>
            </w:tcMar>
            <w:vAlign w:val="bottom"/>
            <w:hideMark/>
          </w:tcPr>
          <w:p w14:paraId="057CE5B8" w14:textId="77777777" w:rsidR="00000000" w:rsidRDefault="001D0688">
            <w:pPr>
              <w:rPr>
                <w:rFonts w:eastAsia="Times New Roman"/>
              </w:rPr>
            </w:pPr>
            <w:r>
              <w:rPr>
                <w:rFonts w:ascii="Arial" w:eastAsia="Times New Roman" w:hAnsi="Arial" w:cs="Arial"/>
                <w:color w:val="000000"/>
                <w:sz w:val="20"/>
                <w:szCs w:val="20"/>
              </w:rPr>
              <w:t>Outstanding at October 31, 2019</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38571ED" w14:textId="77777777" w:rsidR="00000000" w:rsidRDefault="001D0688">
            <w:pPr>
              <w:jc w:val="right"/>
              <w:rPr>
                <w:rFonts w:eastAsia="Times New Roman"/>
              </w:rPr>
            </w:pPr>
            <w:r>
              <w:rPr>
                <w:rFonts w:ascii="Arial" w:eastAsia="Times New Roman" w:hAnsi="Arial" w:cs="Arial"/>
                <w:color w:val="000000"/>
                <w:sz w:val="20"/>
                <w:szCs w:val="20"/>
              </w:rPr>
              <w:t>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1705F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16FE21"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020119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9502414" w14:textId="77777777" w:rsidR="00000000" w:rsidRDefault="001D0688">
            <w:pPr>
              <w:jc w:val="right"/>
              <w:rPr>
                <w:rFonts w:eastAsia="Times New Roman"/>
              </w:rPr>
            </w:pPr>
            <w:r>
              <w:rPr>
                <w:rFonts w:ascii="Arial" w:eastAsia="Times New Roman" w:hAnsi="Arial" w:cs="Arial"/>
                <w:color w:val="000000"/>
                <w:sz w:val="20"/>
                <w:szCs w:val="20"/>
              </w:rPr>
              <w:t>38.06 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84D2A7" w14:textId="77777777" w:rsidR="00000000" w:rsidRDefault="001D0688">
            <w:pPr>
              <w:jc w:val="right"/>
              <w:rPr>
                <w:rFonts w:eastAsia="Times New Roman"/>
              </w:rPr>
            </w:pPr>
          </w:p>
        </w:tc>
      </w:tr>
      <w:tr w:rsidR="00000000" w14:paraId="1D956C2E" w14:textId="77777777">
        <w:trPr>
          <w:divId w:val="2069647747"/>
        </w:trPr>
        <w:tc>
          <w:tcPr>
            <w:tcW w:w="0" w:type="auto"/>
            <w:gridSpan w:val="3"/>
            <w:tcMar>
              <w:top w:w="30" w:type="dxa"/>
              <w:left w:w="20" w:type="dxa"/>
              <w:bottom w:w="30" w:type="dxa"/>
              <w:right w:w="20" w:type="dxa"/>
            </w:tcMar>
            <w:vAlign w:val="bottom"/>
            <w:hideMark/>
          </w:tcPr>
          <w:p w14:paraId="224CA2AC" w14:textId="77777777" w:rsidR="00000000" w:rsidRDefault="001D0688">
            <w:pPr>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71095D8C" w14:textId="77777777" w:rsidR="00000000" w:rsidRDefault="001D0688">
            <w:pPr>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14:paraId="0F56C57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3092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E3E91A" w14:textId="77777777" w:rsidR="00000000" w:rsidRDefault="001D0688">
            <w:pPr>
              <w:jc w:val="right"/>
              <w:rPr>
                <w:rFonts w:eastAsia="Times New Roman"/>
              </w:rPr>
            </w:pPr>
            <w:r>
              <w:rPr>
                <w:rFonts w:ascii="Arial" w:eastAsia="Times New Roman" w:hAnsi="Arial" w:cs="Arial"/>
                <w:color w:val="000000"/>
                <w:sz w:val="20"/>
                <w:szCs w:val="20"/>
              </w:rPr>
              <w:t>35.92 </w:t>
            </w:r>
          </w:p>
        </w:tc>
        <w:tc>
          <w:tcPr>
            <w:tcW w:w="0" w:type="auto"/>
            <w:shd w:val="clear" w:color="auto" w:fill="FFFFFF"/>
            <w:tcMar>
              <w:top w:w="30" w:type="dxa"/>
              <w:left w:w="0" w:type="dxa"/>
              <w:bottom w:w="30" w:type="dxa"/>
              <w:right w:w="20" w:type="dxa"/>
            </w:tcMar>
            <w:vAlign w:val="bottom"/>
            <w:hideMark/>
          </w:tcPr>
          <w:p w14:paraId="6072578B" w14:textId="77777777" w:rsidR="00000000" w:rsidRDefault="001D0688">
            <w:pPr>
              <w:jc w:val="right"/>
              <w:rPr>
                <w:rFonts w:eastAsia="Times New Roman"/>
              </w:rPr>
            </w:pPr>
          </w:p>
        </w:tc>
      </w:tr>
      <w:tr w:rsidR="00000000" w14:paraId="28089D35" w14:textId="77777777">
        <w:trPr>
          <w:divId w:val="2069647747"/>
        </w:trPr>
        <w:tc>
          <w:tcPr>
            <w:tcW w:w="0" w:type="auto"/>
            <w:gridSpan w:val="3"/>
            <w:shd w:val="clear" w:color="auto" w:fill="DCE2EF"/>
            <w:tcMar>
              <w:top w:w="30" w:type="dxa"/>
              <w:left w:w="20" w:type="dxa"/>
              <w:bottom w:w="30" w:type="dxa"/>
              <w:right w:w="20" w:type="dxa"/>
            </w:tcMar>
            <w:hideMark/>
          </w:tcPr>
          <w:p w14:paraId="0863DDC8" w14:textId="77777777" w:rsidR="00000000" w:rsidRDefault="001D0688">
            <w:pPr>
              <w:divId w:val="1359162187"/>
              <w:rPr>
                <w:rFonts w:eastAsia="Times New Roman"/>
              </w:rPr>
            </w:pPr>
            <w:r>
              <w:rPr>
                <w:rFonts w:ascii="Arial" w:eastAsia="Times New Roman" w:hAnsi="Arial" w:cs="Arial"/>
                <w:color w:val="000000"/>
                <w:sz w:val="20"/>
                <w:szCs w:val="20"/>
              </w:rPr>
              <w:t>Vested (including 0.1 shares withheld for income taxes)</w:t>
            </w:r>
          </w:p>
        </w:tc>
        <w:tc>
          <w:tcPr>
            <w:tcW w:w="0" w:type="auto"/>
            <w:gridSpan w:val="2"/>
            <w:shd w:val="clear" w:color="auto" w:fill="DCE2EF"/>
            <w:tcMar>
              <w:top w:w="30" w:type="dxa"/>
              <w:left w:w="20" w:type="dxa"/>
              <w:bottom w:w="30" w:type="dxa"/>
              <w:right w:w="0" w:type="dxa"/>
            </w:tcMar>
            <w:vAlign w:val="bottom"/>
            <w:hideMark/>
          </w:tcPr>
          <w:p w14:paraId="7A3FF68D" w14:textId="77777777" w:rsidR="00000000" w:rsidRDefault="001D0688">
            <w:pPr>
              <w:jc w:val="right"/>
              <w:rPr>
                <w:rFonts w:eastAsia="Times New Roman"/>
              </w:rPr>
            </w:pPr>
            <w:r>
              <w:rPr>
                <w:rFonts w:ascii="Arial" w:eastAsia="Times New Roman" w:hAnsi="Arial" w:cs="Arial"/>
                <w:color w:val="000000"/>
                <w:sz w:val="20"/>
                <w:szCs w:val="20"/>
              </w:rPr>
              <w:t>(0.2)</w:t>
            </w:r>
          </w:p>
        </w:tc>
        <w:tc>
          <w:tcPr>
            <w:tcW w:w="0" w:type="auto"/>
            <w:shd w:val="clear" w:color="auto" w:fill="DCE2EF"/>
            <w:tcMar>
              <w:top w:w="30" w:type="dxa"/>
              <w:left w:w="0" w:type="dxa"/>
              <w:bottom w:w="30" w:type="dxa"/>
              <w:right w:w="20" w:type="dxa"/>
            </w:tcMar>
            <w:vAlign w:val="bottom"/>
            <w:hideMark/>
          </w:tcPr>
          <w:p w14:paraId="02E2889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9DFA9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2A268FE" w14:textId="77777777" w:rsidR="00000000" w:rsidRDefault="001D0688">
            <w:pPr>
              <w:jc w:val="right"/>
              <w:rPr>
                <w:rFonts w:eastAsia="Times New Roman"/>
              </w:rPr>
            </w:pPr>
            <w:r>
              <w:rPr>
                <w:rFonts w:ascii="Arial" w:eastAsia="Times New Roman" w:hAnsi="Arial" w:cs="Arial"/>
                <w:color w:val="000000"/>
                <w:sz w:val="20"/>
                <w:szCs w:val="20"/>
              </w:rPr>
              <w:t>37.72 </w:t>
            </w:r>
          </w:p>
        </w:tc>
        <w:tc>
          <w:tcPr>
            <w:tcW w:w="0" w:type="auto"/>
            <w:shd w:val="clear" w:color="auto" w:fill="DCE2EF"/>
            <w:tcMar>
              <w:top w:w="30" w:type="dxa"/>
              <w:left w:w="0" w:type="dxa"/>
              <w:bottom w:w="30" w:type="dxa"/>
              <w:right w:w="20" w:type="dxa"/>
            </w:tcMar>
            <w:vAlign w:val="bottom"/>
            <w:hideMark/>
          </w:tcPr>
          <w:p w14:paraId="7BA29A5B" w14:textId="77777777" w:rsidR="00000000" w:rsidRDefault="001D0688">
            <w:pPr>
              <w:jc w:val="right"/>
              <w:rPr>
                <w:rFonts w:eastAsia="Times New Roman"/>
              </w:rPr>
            </w:pPr>
          </w:p>
        </w:tc>
      </w:tr>
      <w:tr w:rsidR="00000000" w14:paraId="3812C31C" w14:textId="77777777">
        <w:trPr>
          <w:divId w:val="2069647747"/>
        </w:trPr>
        <w:tc>
          <w:tcPr>
            <w:tcW w:w="0" w:type="auto"/>
            <w:gridSpan w:val="3"/>
            <w:tcMar>
              <w:top w:w="30" w:type="dxa"/>
              <w:left w:w="20" w:type="dxa"/>
              <w:bottom w:w="30" w:type="dxa"/>
              <w:right w:w="20" w:type="dxa"/>
            </w:tcMar>
            <w:vAlign w:val="bottom"/>
            <w:hideMark/>
          </w:tcPr>
          <w:p w14:paraId="6D83AF60" w14:textId="77777777" w:rsidR="00000000" w:rsidRDefault="001D0688">
            <w:pPr>
              <w:rPr>
                <w:rFonts w:eastAsia="Times New Roman"/>
              </w:rPr>
            </w:pPr>
            <w:r>
              <w:rPr>
                <w:rFonts w:ascii="Arial" w:eastAsia="Times New Roman" w:hAnsi="Arial" w:cs="Arial"/>
                <w:color w:val="000000"/>
                <w:sz w:val="20"/>
                <w:szCs w:val="20"/>
              </w:rPr>
              <w:t>Performance adjustments</w:t>
            </w:r>
          </w:p>
        </w:tc>
        <w:tc>
          <w:tcPr>
            <w:tcW w:w="0" w:type="auto"/>
            <w:gridSpan w:val="2"/>
            <w:shd w:val="clear" w:color="auto" w:fill="FFFFFF"/>
            <w:tcMar>
              <w:top w:w="30" w:type="dxa"/>
              <w:left w:w="20" w:type="dxa"/>
              <w:bottom w:w="30" w:type="dxa"/>
              <w:right w:w="0" w:type="dxa"/>
            </w:tcMar>
            <w:vAlign w:val="bottom"/>
            <w:hideMark/>
          </w:tcPr>
          <w:p w14:paraId="6FEBEDC2"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490D1D4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99CC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70C35B" w14:textId="77777777" w:rsidR="00000000" w:rsidRDefault="001D0688">
            <w:pPr>
              <w:jc w:val="right"/>
              <w:rPr>
                <w:rFonts w:eastAsia="Times New Roman"/>
              </w:rPr>
            </w:pPr>
            <w:r>
              <w:rPr>
                <w:rFonts w:ascii="Arial" w:eastAsia="Times New Roman" w:hAnsi="Arial" w:cs="Arial"/>
                <w:color w:val="000000"/>
                <w:sz w:val="20"/>
                <w:szCs w:val="20"/>
              </w:rPr>
              <w:t>36.85 </w:t>
            </w:r>
          </w:p>
        </w:tc>
        <w:tc>
          <w:tcPr>
            <w:tcW w:w="0" w:type="auto"/>
            <w:shd w:val="clear" w:color="auto" w:fill="FFFFFF"/>
            <w:tcMar>
              <w:top w:w="30" w:type="dxa"/>
              <w:left w:w="0" w:type="dxa"/>
              <w:bottom w:w="30" w:type="dxa"/>
              <w:right w:w="20" w:type="dxa"/>
            </w:tcMar>
            <w:vAlign w:val="bottom"/>
            <w:hideMark/>
          </w:tcPr>
          <w:p w14:paraId="2B0348F6" w14:textId="77777777" w:rsidR="00000000" w:rsidRDefault="001D0688">
            <w:pPr>
              <w:jc w:val="right"/>
              <w:rPr>
                <w:rFonts w:eastAsia="Times New Roman"/>
              </w:rPr>
            </w:pPr>
          </w:p>
        </w:tc>
      </w:tr>
      <w:tr w:rsidR="00000000" w14:paraId="69E78996" w14:textId="77777777">
        <w:trPr>
          <w:divId w:val="2069647747"/>
        </w:trPr>
        <w:tc>
          <w:tcPr>
            <w:tcW w:w="0" w:type="auto"/>
            <w:gridSpan w:val="3"/>
            <w:shd w:val="clear" w:color="auto" w:fill="DCE2EF"/>
            <w:tcMar>
              <w:top w:w="30" w:type="dxa"/>
              <w:left w:w="20" w:type="dxa"/>
              <w:bottom w:w="30" w:type="dxa"/>
              <w:right w:w="20" w:type="dxa"/>
            </w:tcMar>
            <w:vAlign w:val="bottom"/>
            <w:hideMark/>
          </w:tcPr>
          <w:p w14:paraId="42D3D66C" w14:textId="77777777" w:rsidR="00000000" w:rsidRDefault="001D0688">
            <w:pPr>
              <w:rPr>
                <w:rFonts w:eastAsia="Times New Roman"/>
              </w:rPr>
            </w:pPr>
            <w:r>
              <w:rPr>
                <w:rFonts w:ascii="Arial" w:eastAsia="Times New Roman" w:hAnsi="Arial" w:cs="Arial"/>
                <w:color w:val="000000"/>
                <w:sz w:val="20"/>
                <w:szCs w:val="20"/>
              </w:rPr>
              <w:t>Forfeited</w:t>
            </w:r>
          </w:p>
        </w:tc>
        <w:tc>
          <w:tcPr>
            <w:tcW w:w="0" w:type="auto"/>
            <w:gridSpan w:val="2"/>
            <w:shd w:val="clear" w:color="auto" w:fill="DCE2EF"/>
            <w:tcMar>
              <w:top w:w="30" w:type="dxa"/>
              <w:left w:w="20" w:type="dxa"/>
              <w:bottom w:w="30" w:type="dxa"/>
              <w:right w:w="0" w:type="dxa"/>
            </w:tcMar>
            <w:vAlign w:val="bottom"/>
            <w:hideMark/>
          </w:tcPr>
          <w:p w14:paraId="53D5D17D"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14:paraId="4CD2839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0F609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FF98328" w14:textId="77777777" w:rsidR="00000000" w:rsidRDefault="001D0688">
            <w:pPr>
              <w:jc w:val="right"/>
              <w:rPr>
                <w:rFonts w:eastAsia="Times New Roman"/>
              </w:rPr>
            </w:pPr>
            <w:r>
              <w:rPr>
                <w:rFonts w:ascii="Arial" w:eastAsia="Times New Roman" w:hAnsi="Arial" w:cs="Arial"/>
                <w:color w:val="000000"/>
                <w:sz w:val="20"/>
                <w:szCs w:val="20"/>
              </w:rPr>
              <w:t>36.58 </w:t>
            </w:r>
          </w:p>
        </w:tc>
        <w:tc>
          <w:tcPr>
            <w:tcW w:w="0" w:type="auto"/>
            <w:shd w:val="clear" w:color="auto" w:fill="DCE2EF"/>
            <w:tcMar>
              <w:top w:w="30" w:type="dxa"/>
              <w:left w:w="0" w:type="dxa"/>
              <w:bottom w:w="30" w:type="dxa"/>
              <w:right w:w="20" w:type="dxa"/>
            </w:tcMar>
            <w:vAlign w:val="bottom"/>
            <w:hideMark/>
          </w:tcPr>
          <w:p w14:paraId="62296A80" w14:textId="77777777" w:rsidR="00000000" w:rsidRDefault="001D0688">
            <w:pPr>
              <w:jc w:val="right"/>
              <w:rPr>
                <w:rFonts w:eastAsia="Times New Roman"/>
              </w:rPr>
            </w:pPr>
          </w:p>
        </w:tc>
      </w:tr>
      <w:tr w:rsidR="00000000" w14:paraId="5B667611" w14:textId="77777777">
        <w:trPr>
          <w:divId w:val="2069647747"/>
        </w:trPr>
        <w:tc>
          <w:tcPr>
            <w:tcW w:w="0" w:type="auto"/>
            <w:gridSpan w:val="3"/>
            <w:shd w:val="clear" w:color="auto" w:fill="FFFFFF"/>
            <w:tcMar>
              <w:top w:w="30" w:type="dxa"/>
              <w:left w:w="20" w:type="dxa"/>
              <w:bottom w:w="30" w:type="dxa"/>
              <w:right w:w="20" w:type="dxa"/>
            </w:tcMar>
            <w:vAlign w:val="bottom"/>
            <w:hideMark/>
          </w:tcPr>
          <w:p w14:paraId="72963E91" w14:textId="77777777" w:rsidR="00000000" w:rsidRDefault="001D0688">
            <w:pPr>
              <w:rPr>
                <w:rFonts w:eastAsia="Times New Roman"/>
              </w:rPr>
            </w:pPr>
            <w:r>
              <w:rPr>
                <w:rFonts w:ascii="Arial" w:eastAsia="Times New Roman" w:hAnsi="Arial" w:cs="Arial"/>
                <w:color w:val="000000"/>
                <w:sz w:val="20"/>
                <w:szCs w:val="20"/>
              </w:rPr>
              <w:t>Outstanding at October 31,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EB4348" w14:textId="77777777" w:rsidR="00000000" w:rsidRDefault="001D0688">
            <w:pPr>
              <w:jc w:val="right"/>
              <w:rPr>
                <w:rFonts w:eastAsia="Times New Roman"/>
              </w:rPr>
            </w:pPr>
            <w:r>
              <w:rPr>
                <w:rFonts w:ascii="Arial" w:eastAsia="Times New Roman" w:hAnsi="Arial" w:cs="Arial"/>
                <w:color w:val="000000"/>
                <w:sz w:val="20"/>
                <w:szCs w:val="20"/>
              </w:rPr>
              <w:t>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80C55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FB6E9"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B8B86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860967" w14:textId="77777777" w:rsidR="00000000" w:rsidRDefault="001D0688">
            <w:pPr>
              <w:jc w:val="right"/>
              <w:rPr>
                <w:rFonts w:eastAsia="Times New Roman"/>
              </w:rPr>
            </w:pPr>
            <w:r>
              <w:rPr>
                <w:rFonts w:ascii="Arial" w:eastAsia="Times New Roman" w:hAnsi="Arial" w:cs="Arial"/>
                <w:color w:val="000000"/>
                <w:sz w:val="20"/>
                <w:szCs w:val="20"/>
              </w:rPr>
              <w:t>37.35 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2375AF" w14:textId="77777777" w:rsidR="00000000" w:rsidRDefault="001D0688">
            <w:pPr>
              <w:jc w:val="right"/>
              <w:rPr>
                <w:rFonts w:eastAsia="Times New Roman"/>
              </w:rPr>
            </w:pPr>
          </w:p>
        </w:tc>
      </w:tr>
      <w:tr w:rsidR="00000000" w14:paraId="10955A08" w14:textId="77777777">
        <w:trPr>
          <w:divId w:val="2069647747"/>
        </w:trPr>
        <w:tc>
          <w:tcPr>
            <w:tcW w:w="0" w:type="auto"/>
            <w:gridSpan w:val="3"/>
            <w:vAlign w:val="center"/>
            <w:hideMark/>
          </w:tcPr>
          <w:p w14:paraId="04CC4C90" w14:textId="77777777" w:rsidR="00000000" w:rsidRDefault="001D0688">
            <w:pPr>
              <w:jc w:val="right"/>
              <w:rPr>
                <w:rFonts w:eastAsia="Times New Roman"/>
                <w:sz w:val="20"/>
                <w:szCs w:val="20"/>
              </w:rPr>
            </w:pPr>
          </w:p>
        </w:tc>
        <w:tc>
          <w:tcPr>
            <w:tcW w:w="0" w:type="auto"/>
            <w:gridSpan w:val="3"/>
            <w:vAlign w:val="center"/>
            <w:hideMark/>
          </w:tcPr>
          <w:p w14:paraId="2CA1D062" w14:textId="77777777" w:rsidR="00000000" w:rsidRDefault="001D0688">
            <w:pPr>
              <w:rPr>
                <w:rFonts w:eastAsia="Times New Roman"/>
                <w:sz w:val="20"/>
                <w:szCs w:val="20"/>
              </w:rPr>
            </w:pPr>
          </w:p>
        </w:tc>
        <w:tc>
          <w:tcPr>
            <w:tcW w:w="0" w:type="auto"/>
            <w:gridSpan w:val="3"/>
            <w:vAlign w:val="center"/>
            <w:hideMark/>
          </w:tcPr>
          <w:p w14:paraId="56C40F8D" w14:textId="77777777" w:rsidR="00000000" w:rsidRDefault="001D0688">
            <w:pPr>
              <w:rPr>
                <w:rFonts w:eastAsia="Times New Roman"/>
                <w:sz w:val="20"/>
                <w:szCs w:val="20"/>
              </w:rPr>
            </w:pPr>
          </w:p>
        </w:tc>
        <w:tc>
          <w:tcPr>
            <w:tcW w:w="0" w:type="auto"/>
            <w:gridSpan w:val="3"/>
            <w:vAlign w:val="center"/>
            <w:hideMark/>
          </w:tcPr>
          <w:p w14:paraId="3A9566CB" w14:textId="77777777" w:rsidR="00000000" w:rsidRDefault="001D0688">
            <w:pPr>
              <w:rPr>
                <w:rFonts w:eastAsia="Times New Roman"/>
                <w:sz w:val="20"/>
                <w:szCs w:val="20"/>
              </w:rPr>
            </w:pPr>
          </w:p>
        </w:tc>
      </w:tr>
    </w:tbl>
    <w:p w14:paraId="4CABA80B" w14:textId="77777777" w:rsidR="00000000" w:rsidRDefault="001D0688">
      <w:pPr>
        <w:ind w:firstLine="720"/>
        <w:jc w:val="both"/>
        <w:divId w:val="699863996"/>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2020, total unrecognized compensation cost related to performance share awards was $14.4 million, which is expected to be recognized ratably over a weighted-average vesting period of 1.9 years. Except for TSR performance shares, these costs are based o</w:t>
      </w:r>
      <w:r>
        <w:rPr>
          <w:rFonts w:ascii="Arial" w:eastAsia="Times New Roman" w:hAnsi="Arial" w:cs="Arial"/>
          <w:color w:val="000000"/>
          <w:sz w:val="20"/>
          <w:szCs w:val="20"/>
        </w:rPr>
        <w:t>n estimated achievement of performance targets and estimated costs are periodically reevaluated. For our TSR performance shares, these costs are based on the fair value of awards at the grant date and are recognized on a straight-line basis over the servic</w:t>
      </w:r>
      <w:r>
        <w:rPr>
          <w:rFonts w:ascii="Arial" w:eastAsia="Times New Roman" w:hAnsi="Arial" w:cs="Arial"/>
          <w:color w:val="000000"/>
          <w:sz w:val="20"/>
          <w:szCs w:val="20"/>
        </w:rPr>
        <w:t xml:space="preserve">e period of three years. </w:t>
      </w:r>
    </w:p>
    <w:p w14:paraId="705A7E3E" w14:textId="77777777" w:rsidR="00000000" w:rsidRDefault="001D0688">
      <w:pPr>
        <w:ind w:firstLine="720"/>
        <w:jc w:val="both"/>
        <w:divId w:val="491332749"/>
        <w:rPr>
          <w:rFonts w:eastAsia="Times New Roman"/>
        </w:rPr>
      </w:pPr>
      <w:r>
        <w:rPr>
          <w:rFonts w:ascii="Arial" w:eastAsia="Times New Roman" w:hAnsi="Arial" w:cs="Arial"/>
          <w:color w:val="000000"/>
          <w:sz w:val="20"/>
          <w:szCs w:val="20"/>
        </w:rPr>
        <w:t>In 2020, 2019, and 2018, the weighted-average grant date fair value per share of awards granted was $35.92, $35.44, and $38.53, respectively. In 2020, 2019, and 2018, the total grant date fair value of performance shares vested an</w:t>
      </w:r>
      <w:r>
        <w:rPr>
          <w:rFonts w:ascii="Arial" w:eastAsia="Times New Roman" w:hAnsi="Arial" w:cs="Arial"/>
          <w:color w:val="000000"/>
          <w:sz w:val="20"/>
          <w:szCs w:val="20"/>
        </w:rPr>
        <w:t xml:space="preserve">d converted to shares of ABM common stock was $6.1 million, $6.8 million, and $7.3 million, respectively. </w:t>
      </w:r>
    </w:p>
    <w:p w14:paraId="5AA9FEF7" w14:textId="77777777" w:rsidR="00000000" w:rsidRDefault="001D0688">
      <w:pPr>
        <w:ind w:firstLine="720"/>
        <w:jc w:val="both"/>
        <w:divId w:val="890768956"/>
        <w:rPr>
          <w:rFonts w:eastAsia="Times New Roman"/>
        </w:rPr>
      </w:pPr>
      <w:r>
        <w:rPr>
          <w:rFonts w:ascii="Arial" w:eastAsia="Times New Roman" w:hAnsi="Arial" w:cs="Arial"/>
          <w:color w:val="000000"/>
          <w:sz w:val="20"/>
          <w:szCs w:val="20"/>
        </w:rPr>
        <w:t>In 2020, 2019, and 2018, we used the Monte Carlo simulation valuation technique to estimate the fair value of TSR performance share grants, which use</w:t>
      </w:r>
      <w:r>
        <w:rPr>
          <w:rFonts w:ascii="Arial" w:eastAsia="Times New Roman" w:hAnsi="Arial" w:cs="Arial"/>
          <w:color w:val="000000"/>
          <w:sz w:val="20"/>
          <w:szCs w:val="20"/>
        </w:rPr>
        <w:t xml:space="preserve">d the assumptions in the table below. </w:t>
      </w:r>
    </w:p>
    <w:p w14:paraId="46A7400B" w14:textId="77777777" w:rsidR="00000000" w:rsidRDefault="001D0688">
      <w:pPr>
        <w:jc w:val="both"/>
        <w:divId w:val="749037310"/>
        <w:rPr>
          <w:rFonts w:eastAsia="Times New Roman"/>
        </w:rPr>
      </w:pPr>
      <w:r>
        <w:rPr>
          <w:rFonts w:ascii="Arial" w:eastAsia="Times New Roman" w:hAnsi="Arial" w:cs="Arial"/>
          <w:b/>
          <w:bCs/>
          <w:i/>
          <w:iCs/>
          <w:color w:val="0046AD"/>
          <w:sz w:val="20"/>
          <w:szCs w:val="20"/>
        </w:rPr>
        <w:t>Monte Carlo Assumptions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3791"/>
        <w:gridCol w:w="36"/>
        <w:gridCol w:w="132"/>
        <w:gridCol w:w="1147"/>
        <w:gridCol w:w="198"/>
        <w:gridCol w:w="36"/>
        <w:gridCol w:w="36"/>
        <w:gridCol w:w="36"/>
        <w:gridCol w:w="132"/>
        <w:gridCol w:w="1032"/>
        <w:gridCol w:w="198"/>
        <w:gridCol w:w="36"/>
        <w:gridCol w:w="36"/>
        <w:gridCol w:w="36"/>
        <w:gridCol w:w="132"/>
        <w:gridCol w:w="1032"/>
        <w:gridCol w:w="198"/>
      </w:tblGrid>
      <w:tr w:rsidR="00000000" w14:paraId="1A71E004" w14:textId="77777777">
        <w:trPr>
          <w:divId w:val="1304116240"/>
        </w:trPr>
        <w:tc>
          <w:tcPr>
            <w:tcW w:w="50" w:type="pct"/>
            <w:vAlign w:val="center"/>
            <w:hideMark/>
          </w:tcPr>
          <w:p w14:paraId="1950B892" w14:textId="77777777" w:rsidR="00000000" w:rsidRDefault="001D0688">
            <w:pPr>
              <w:jc w:val="both"/>
              <w:rPr>
                <w:rFonts w:eastAsia="Times New Roman"/>
              </w:rPr>
            </w:pPr>
          </w:p>
        </w:tc>
        <w:tc>
          <w:tcPr>
            <w:tcW w:w="2408" w:type="pct"/>
            <w:vAlign w:val="center"/>
            <w:hideMark/>
          </w:tcPr>
          <w:p w14:paraId="48C572F5" w14:textId="77777777" w:rsidR="00000000" w:rsidRDefault="001D0688">
            <w:pPr>
              <w:rPr>
                <w:rFonts w:eastAsia="Times New Roman"/>
                <w:sz w:val="20"/>
                <w:szCs w:val="20"/>
              </w:rPr>
            </w:pPr>
          </w:p>
        </w:tc>
        <w:tc>
          <w:tcPr>
            <w:tcW w:w="5" w:type="pct"/>
            <w:vAlign w:val="center"/>
            <w:hideMark/>
          </w:tcPr>
          <w:p w14:paraId="59D80A80" w14:textId="77777777" w:rsidR="00000000" w:rsidRDefault="001D0688">
            <w:pPr>
              <w:rPr>
                <w:rFonts w:eastAsia="Times New Roman"/>
                <w:sz w:val="20"/>
                <w:szCs w:val="20"/>
              </w:rPr>
            </w:pPr>
          </w:p>
        </w:tc>
        <w:tc>
          <w:tcPr>
            <w:tcW w:w="50" w:type="pct"/>
            <w:vAlign w:val="center"/>
            <w:hideMark/>
          </w:tcPr>
          <w:p w14:paraId="5017C71C" w14:textId="77777777" w:rsidR="00000000" w:rsidRDefault="001D0688">
            <w:pPr>
              <w:rPr>
                <w:rFonts w:eastAsia="Times New Roman"/>
                <w:sz w:val="20"/>
                <w:szCs w:val="20"/>
              </w:rPr>
            </w:pPr>
          </w:p>
        </w:tc>
        <w:tc>
          <w:tcPr>
            <w:tcW w:w="766" w:type="pct"/>
            <w:vAlign w:val="center"/>
            <w:hideMark/>
          </w:tcPr>
          <w:p w14:paraId="3B3E6B9E" w14:textId="77777777" w:rsidR="00000000" w:rsidRDefault="001D0688">
            <w:pPr>
              <w:rPr>
                <w:rFonts w:eastAsia="Times New Roman"/>
                <w:sz w:val="20"/>
                <w:szCs w:val="20"/>
              </w:rPr>
            </w:pPr>
          </w:p>
        </w:tc>
        <w:tc>
          <w:tcPr>
            <w:tcW w:w="5" w:type="pct"/>
            <w:vAlign w:val="center"/>
            <w:hideMark/>
          </w:tcPr>
          <w:p w14:paraId="64B35C32" w14:textId="77777777" w:rsidR="00000000" w:rsidRDefault="001D0688">
            <w:pPr>
              <w:rPr>
                <w:rFonts w:eastAsia="Times New Roman"/>
                <w:sz w:val="20"/>
                <w:szCs w:val="20"/>
              </w:rPr>
            </w:pPr>
          </w:p>
        </w:tc>
        <w:tc>
          <w:tcPr>
            <w:tcW w:w="5" w:type="pct"/>
            <w:vAlign w:val="center"/>
            <w:hideMark/>
          </w:tcPr>
          <w:p w14:paraId="4FE4D529" w14:textId="77777777" w:rsidR="00000000" w:rsidRDefault="001D0688">
            <w:pPr>
              <w:rPr>
                <w:rFonts w:eastAsia="Times New Roman"/>
                <w:sz w:val="20"/>
                <w:szCs w:val="20"/>
              </w:rPr>
            </w:pPr>
          </w:p>
        </w:tc>
        <w:tc>
          <w:tcPr>
            <w:tcW w:w="26" w:type="pct"/>
            <w:vAlign w:val="center"/>
            <w:hideMark/>
          </w:tcPr>
          <w:p w14:paraId="18D26E6C" w14:textId="77777777" w:rsidR="00000000" w:rsidRDefault="001D0688">
            <w:pPr>
              <w:rPr>
                <w:rFonts w:eastAsia="Times New Roman"/>
                <w:sz w:val="20"/>
                <w:szCs w:val="20"/>
              </w:rPr>
            </w:pPr>
          </w:p>
        </w:tc>
        <w:tc>
          <w:tcPr>
            <w:tcW w:w="5" w:type="pct"/>
            <w:vAlign w:val="center"/>
            <w:hideMark/>
          </w:tcPr>
          <w:p w14:paraId="5BE2E79F" w14:textId="77777777" w:rsidR="00000000" w:rsidRDefault="001D0688">
            <w:pPr>
              <w:rPr>
                <w:rFonts w:eastAsia="Times New Roman"/>
                <w:sz w:val="20"/>
                <w:szCs w:val="20"/>
              </w:rPr>
            </w:pPr>
          </w:p>
        </w:tc>
        <w:tc>
          <w:tcPr>
            <w:tcW w:w="50" w:type="pct"/>
            <w:vAlign w:val="center"/>
            <w:hideMark/>
          </w:tcPr>
          <w:p w14:paraId="2ADC960E" w14:textId="77777777" w:rsidR="00000000" w:rsidRDefault="001D0688">
            <w:pPr>
              <w:rPr>
                <w:rFonts w:eastAsia="Times New Roman"/>
                <w:sz w:val="20"/>
                <w:szCs w:val="20"/>
              </w:rPr>
            </w:pPr>
          </w:p>
        </w:tc>
        <w:tc>
          <w:tcPr>
            <w:tcW w:w="766" w:type="pct"/>
            <w:vAlign w:val="center"/>
            <w:hideMark/>
          </w:tcPr>
          <w:p w14:paraId="6B756203" w14:textId="77777777" w:rsidR="00000000" w:rsidRDefault="001D0688">
            <w:pPr>
              <w:rPr>
                <w:rFonts w:eastAsia="Times New Roman"/>
                <w:sz w:val="20"/>
                <w:szCs w:val="20"/>
              </w:rPr>
            </w:pPr>
          </w:p>
        </w:tc>
        <w:tc>
          <w:tcPr>
            <w:tcW w:w="5" w:type="pct"/>
            <w:vAlign w:val="center"/>
            <w:hideMark/>
          </w:tcPr>
          <w:p w14:paraId="113DFF82" w14:textId="77777777" w:rsidR="00000000" w:rsidRDefault="001D0688">
            <w:pPr>
              <w:rPr>
                <w:rFonts w:eastAsia="Times New Roman"/>
                <w:sz w:val="20"/>
                <w:szCs w:val="20"/>
              </w:rPr>
            </w:pPr>
          </w:p>
        </w:tc>
        <w:tc>
          <w:tcPr>
            <w:tcW w:w="5" w:type="pct"/>
            <w:vAlign w:val="center"/>
            <w:hideMark/>
          </w:tcPr>
          <w:p w14:paraId="127FDFCB" w14:textId="77777777" w:rsidR="00000000" w:rsidRDefault="001D0688">
            <w:pPr>
              <w:rPr>
                <w:rFonts w:eastAsia="Times New Roman"/>
                <w:sz w:val="20"/>
                <w:szCs w:val="20"/>
              </w:rPr>
            </w:pPr>
          </w:p>
        </w:tc>
        <w:tc>
          <w:tcPr>
            <w:tcW w:w="26" w:type="pct"/>
            <w:vAlign w:val="center"/>
            <w:hideMark/>
          </w:tcPr>
          <w:p w14:paraId="4EB91FC0" w14:textId="77777777" w:rsidR="00000000" w:rsidRDefault="001D0688">
            <w:pPr>
              <w:rPr>
                <w:rFonts w:eastAsia="Times New Roman"/>
                <w:sz w:val="20"/>
                <w:szCs w:val="20"/>
              </w:rPr>
            </w:pPr>
          </w:p>
        </w:tc>
        <w:tc>
          <w:tcPr>
            <w:tcW w:w="5" w:type="pct"/>
            <w:vAlign w:val="center"/>
            <w:hideMark/>
          </w:tcPr>
          <w:p w14:paraId="2F03DAA6" w14:textId="77777777" w:rsidR="00000000" w:rsidRDefault="001D0688">
            <w:pPr>
              <w:rPr>
                <w:rFonts w:eastAsia="Times New Roman"/>
                <w:sz w:val="20"/>
                <w:szCs w:val="20"/>
              </w:rPr>
            </w:pPr>
          </w:p>
        </w:tc>
        <w:tc>
          <w:tcPr>
            <w:tcW w:w="50" w:type="pct"/>
            <w:vAlign w:val="center"/>
            <w:hideMark/>
          </w:tcPr>
          <w:p w14:paraId="41E7DA3C" w14:textId="77777777" w:rsidR="00000000" w:rsidRDefault="001D0688">
            <w:pPr>
              <w:rPr>
                <w:rFonts w:eastAsia="Times New Roman"/>
                <w:sz w:val="20"/>
                <w:szCs w:val="20"/>
              </w:rPr>
            </w:pPr>
          </w:p>
        </w:tc>
        <w:tc>
          <w:tcPr>
            <w:tcW w:w="766" w:type="pct"/>
            <w:vAlign w:val="center"/>
            <w:hideMark/>
          </w:tcPr>
          <w:p w14:paraId="76AC1805" w14:textId="77777777" w:rsidR="00000000" w:rsidRDefault="001D0688">
            <w:pPr>
              <w:rPr>
                <w:rFonts w:eastAsia="Times New Roman"/>
                <w:sz w:val="20"/>
                <w:szCs w:val="20"/>
              </w:rPr>
            </w:pPr>
          </w:p>
        </w:tc>
        <w:tc>
          <w:tcPr>
            <w:tcW w:w="5" w:type="pct"/>
            <w:vAlign w:val="center"/>
            <w:hideMark/>
          </w:tcPr>
          <w:p w14:paraId="43226B0E" w14:textId="77777777" w:rsidR="00000000" w:rsidRDefault="001D0688">
            <w:pPr>
              <w:rPr>
                <w:rFonts w:eastAsia="Times New Roman"/>
                <w:sz w:val="20"/>
                <w:szCs w:val="20"/>
              </w:rPr>
            </w:pPr>
          </w:p>
        </w:tc>
      </w:tr>
      <w:tr w:rsidR="00000000" w14:paraId="30118678" w14:textId="77777777">
        <w:trPr>
          <w:divId w:val="1304116240"/>
        </w:trPr>
        <w:tc>
          <w:tcPr>
            <w:tcW w:w="0" w:type="auto"/>
            <w:gridSpan w:val="3"/>
            <w:tcMar>
              <w:top w:w="0" w:type="dxa"/>
              <w:left w:w="20" w:type="dxa"/>
              <w:bottom w:w="0" w:type="dxa"/>
              <w:right w:w="20" w:type="dxa"/>
            </w:tcMar>
            <w:vAlign w:val="center"/>
            <w:hideMark/>
          </w:tcPr>
          <w:p w14:paraId="1DABAA75"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vAlign w:val="bottom"/>
            <w:hideMark/>
          </w:tcPr>
          <w:p w14:paraId="5DB71C66"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Mar>
              <w:top w:w="0" w:type="dxa"/>
              <w:left w:w="20" w:type="dxa"/>
              <w:bottom w:w="0" w:type="dxa"/>
              <w:right w:w="20" w:type="dxa"/>
            </w:tcMar>
            <w:vAlign w:val="center"/>
            <w:hideMark/>
          </w:tcPr>
          <w:p w14:paraId="54C96359"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CF5358F"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Mar>
              <w:top w:w="0" w:type="dxa"/>
              <w:left w:w="20" w:type="dxa"/>
              <w:bottom w:w="0" w:type="dxa"/>
              <w:right w:w="20" w:type="dxa"/>
            </w:tcMar>
            <w:vAlign w:val="center"/>
            <w:hideMark/>
          </w:tcPr>
          <w:p w14:paraId="76147BD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0ADF356E"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09118DFD" w14:textId="77777777">
        <w:trPr>
          <w:divId w:val="1304116240"/>
        </w:trPr>
        <w:tc>
          <w:tcPr>
            <w:tcW w:w="0" w:type="auto"/>
            <w:gridSpan w:val="3"/>
            <w:shd w:val="clear" w:color="auto" w:fill="DCE2EF"/>
            <w:tcMar>
              <w:top w:w="30" w:type="dxa"/>
              <w:left w:w="20" w:type="dxa"/>
              <w:bottom w:w="30" w:type="dxa"/>
              <w:right w:w="20" w:type="dxa"/>
            </w:tcMar>
            <w:vAlign w:val="bottom"/>
            <w:hideMark/>
          </w:tcPr>
          <w:p w14:paraId="2B606457" w14:textId="77777777" w:rsidR="00000000" w:rsidRDefault="001D0688">
            <w:pPr>
              <w:divId w:val="855189366"/>
              <w:rPr>
                <w:rFonts w:eastAsia="Times New Roman"/>
              </w:rPr>
            </w:pPr>
            <w:r>
              <w:rPr>
                <w:rFonts w:ascii="Arial" w:eastAsia="Times New Roman" w:hAnsi="Arial" w:cs="Arial"/>
                <w:color w:val="000000"/>
                <w:sz w:val="20"/>
                <w:szCs w:val="20"/>
              </w:rPr>
              <w:t>Expected lif</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BF620AB" w14:textId="77777777" w:rsidR="00000000" w:rsidRDefault="001D0688">
            <w:pPr>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14:paraId="1C500967"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585809F" w14:textId="77777777" w:rsidR="00000000" w:rsidRDefault="001D0688">
            <w:pPr>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14:paraId="2DA42330" w14:textId="77777777" w:rsidR="00000000" w:rsidRDefault="001D0688">
            <w:pPr>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0CE6B099" w14:textId="77777777" w:rsidR="00000000" w:rsidRDefault="001D0688">
            <w:pPr>
              <w:jc w:val="right"/>
              <w:rPr>
                <w:rFonts w:eastAsia="Times New Roman"/>
              </w:rPr>
            </w:pPr>
            <w:r>
              <w:rPr>
                <w:rFonts w:ascii="Arial" w:eastAsia="Times New Roman" w:hAnsi="Arial" w:cs="Arial"/>
                <w:color w:val="000000"/>
                <w:sz w:val="20"/>
                <w:szCs w:val="20"/>
              </w:rPr>
              <w:t>2.81 years</w:t>
            </w:r>
          </w:p>
        </w:tc>
      </w:tr>
      <w:tr w:rsidR="00000000" w14:paraId="329D80AF" w14:textId="77777777">
        <w:trPr>
          <w:divId w:val="1304116240"/>
        </w:trPr>
        <w:tc>
          <w:tcPr>
            <w:tcW w:w="0" w:type="auto"/>
            <w:gridSpan w:val="3"/>
            <w:shd w:val="clear" w:color="auto" w:fill="FFFFFF"/>
            <w:tcMar>
              <w:top w:w="30" w:type="dxa"/>
              <w:left w:w="20" w:type="dxa"/>
              <w:bottom w:w="30" w:type="dxa"/>
              <w:right w:w="20" w:type="dxa"/>
            </w:tcMar>
            <w:vAlign w:val="bottom"/>
            <w:hideMark/>
          </w:tcPr>
          <w:p w14:paraId="0180E36D" w14:textId="77777777" w:rsidR="00000000" w:rsidRDefault="001D0688">
            <w:pPr>
              <w:divId w:val="1815756777"/>
              <w:rPr>
                <w:rFonts w:eastAsia="Times New Roman"/>
              </w:rPr>
            </w:pPr>
            <w:r>
              <w:rPr>
                <w:rFonts w:ascii="Arial" w:eastAsia="Times New Roman" w:hAnsi="Arial" w:cs="Arial"/>
                <w:color w:val="000000"/>
                <w:sz w:val="20"/>
                <w:szCs w:val="20"/>
              </w:rPr>
              <w:t>Expected stock price volatilit</w:t>
            </w:r>
            <w:r>
              <w:rPr>
                <w:rFonts w:ascii="Arial" w:eastAsia="Times New Roman" w:hAnsi="Arial" w:cs="Arial"/>
                <w:color w:val="000000"/>
                <w:sz w:val="20"/>
                <w:szCs w:val="20"/>
              </w:rPr>
              <w:t>y</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8A18F22" w14:textId="77777777" w:rsidR="00000000" w:rsidRDefault="001D0688">
            <w:pPr>
              <w:jc w:val="right"/>
              <w:rPr>
                <w:rFonts w:eastAsia="Times New Roman"/>
              </w:rPr>
            </w:pPr>
            <w:r>
              <w:rPr>
                <w:rFonts w:ascii="Arial" w:eastAsia="Times New Roman" w:hAnsi="Arial" w:cs="Arial"/>
                <w:color w:val="000000"/>
                <w:sz w:val="20"/>
                <w:szCs w:val="20"/>
              </w:rPr>
              <w:t>28.7 </w:t>
            </w:r>
          </w:p>
        </w:tc>
        <w:tc>
          <w:tcPr>
            <w:tcW w:w="0" w:type="auto"/>
            <w:shd w:val="clear" w:color="auto" w:fill="FFFFFF"/>
            <w:tcMar>
              <w:top w:w="30" w:type="dxa"/>
              <w:left w:w="0" w:type="dxa"/>
              <w:bottom w:w="30" w:type="dxa"/>
              <w:right w:w="20" w:type="dxa"/>
            </w:tcMar>
            <w:vAlign w:val="bottom"/>
            <w:hideMark/>
          </w:tcPr>
          <w:p w14:paraId="78FCF094" w14:textId="77777777" w:rsidR="00000000" w:rsidRDefault="001D0688">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AA65248" w14:textId="77777777" w:rsidR="00000000" w:rsidRDefault="001D068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AF5903" w14:textId="77777777" w:rsidR="00000000" w:rsidRDefault="001D0688">
            <w:pPr>
              <w:jc w:val="right"/>
              <w:rPr>
                <w:rFonts w:eastAsia="Times New Roman"/>
              </w:rPr>
            </w:pPr>
            <w:r>
              <w:rPr>
                <w:rFonts w:ascii="Arial" w:eastAsia="Times New Roman" w:hAnsi="Arial" w:cs="Arial"/>
                <w:color w:val="000000"/>
                <w:sz w:val="20"/>
                <w:szCs w:val="20"/>
              </w:rPr>
              <w:t>27.7 </w:t>
            </w:r>
          </w:p>
        </w:tc>
        <w:tc>
          <w:tcPr>
            <w:tcW w:w="0" w:type="auto"/>
            <w:shd w:val="clear" w:color="auto" w:fill="FFFFFF"/>
            <w:tcMar>
              <w:top w:w="30" w:type="dxa"/>
              <w:left w:w="0" w:type="dxa"/>
              <w:bottom w:w="30" w:type="dxa"/>
              <w:right w:w="20" w:type="dxa"/>
            </w:tcMar>
            <w:vAlign w:val="bottom"/>
            <w:hideMark/>
          </w:tcPr>
          <w:p w14:paraId="56F6C585" w14:textId="77777777" w:rsidR="00000000" w:rsidRDefault="001D0688">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4045BDA" w14:textId="77777777" w:rsidR="00000000" w:rsidRDefault="001D0688">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44A08C" w14:textId="77777777" w:rsidR="00000000" w:rsidRDefault="001D0688">
            <w:pPr>
              <w:jc w:val="right"/>
              <w:rPr>
                <w:rFonts w:eastAsia="Times New Roman"/>
              </w:rPr>
            </w:pPr>
            <w:r>
              <w:rPr>
                <w:rFonts w:ascii="Arial" w:eastAsia="Times New Roman" w:hAnsi="Arial" w:cs="Arial"/>
                <w:color w:val="000000"/>
                <w:sz w:val="20"/>
                <w:szCs w:val="20"/>
              </w:rPr>
              <w:t>21.6 </w:t>
            </w:r>
          </w:p>
        </w:tc>
        <w:tc>
          <w:tcPr>
            <w:tcW w:w="0" w:type="auto"/>
            <w:shd w:val="clear" w:color="auto" w:fill="FFFFFF"/>
            <w:tcMar>
              <w:top w:w="30" w:type="dxa"/>
              <w:left w:w="0" w:type="dxa"/>
              <w:bottom w:w="30" w:type="dxa"/>
              <w:right w:w="20" w:type="dxa"/>
            </w:tcMar>
            <w:vAlign w:val="bottom"/>
            <w:hideMark/>
          </w:tcPr>
          <w:p w14:paraId="51CFF958" w14:textId="77777777" w:rsidR="00000000" w:rsidRDefault="001D0688">
            <w:pPr>
              <w:jc w:val="right"/>
              <w:rPr>
                <w:rFonts w:eastAsia="Times New Roman"/>
              </w:rPr>
            </w:pPr>
            <w:r>
              <w:rPr>
                <w:rFonts w:ascii="Arial" w:eastAsia="Times New Roman" w:hAnsi="Arial" w:cs="Arial"/>
                <w:color w:val="000000"/>
                <w:sz w:val="20"/>
                <w:szCs w:val="20"/>
              </w:rPr>
              <w:t>%</w:t>
            </w:r>
          </w:p>
        </w:tc>
      </w:tr>
      <w:tr w:rsidR="00000000" w14:paraId="7E055876" w14:textId="77777777">
        <w:trPr>
          <w:divId w:val="1304116240"/>
        </w:trPr>
        <w:tc>
          <w:tcPr>
            <w:tcW w:w="0" w:type="auto"/>
            <w:gridSpan w:val="3"/>
            <w:vAlign w:val="center"/>
            <w:hideMark/>
          </w:tcPr>
          <w:p w14:paraId="5F5E79A3" w14:textId="77777777" w:rsidR="00000000" w:rsidRDefault="001D0688">
            <w:pPr>
              <w:jc w:val="right"/>
              <w:rPr>
                <w:rFonts w:eastAsia="Times New Roman"/>
              </w:rPr>
            </w:pPr>
          </w:p>
        </w:tc>
        <w:tc>
          <w:tcPr>
            <w:tcW w:w="0" w:type="auto"/>
            <w:gridSpan w:val="3"/>
            <w:vAlign w:val="center"/>
            <w:hideMark/>
          </w:tcPr>
          <w:p w14:paraId="466D47AB" w14:textId="77777777" w:rsidR="00000000" w:rsidRDefault="001D0688">
            <w:pPr>
              <w:rPr>
                <w:rFonts w:eastAsia="Times New Roman"/>
                <w:sz w:val="20"/>
                <w:szCs w:val="20"/>
              </w:rPr>
            </w:pPr>
          </w:p>
        </w:tc>
        <w:tc>
          <w:tcPr>
            <w:tcW w:w="0" w:type="auto"/>
            <w:gridSpan w:val="3"/>
            <w:vAlign w:val="center"/>
            <w:hideMark/>
          </w:tcPr>
          <w:p w14:paraId="696342B6" w14:textId="77777777" w:rsidR="00000000" w:rsidRDefault="001D0688">
            <w:pPr>
              <w:rPr>
                <w:rFonts w:eastAsia="Times New Roman"/>
                <w:sz w:val="20"/>
                <w:szCs w:val="20"/>
              </w:rPr>
            </w:pPr>
          </w:p>
        </w:tc>
        <w:tc>
          <w:tcPr>
            <w:tcW w:w="0" w:type="auto"/>
            <w:gridSpan w:val="3"/>
            <w:vAlign w:val="center"/>
            <w:hideMark/>
          </w:tcPr>
          <w:p w14:paraId="200326EC" w14:textId="77777777" w:rsidR="00000000" w:rsidRDefault="001D0688">
            <w:pPr>
              <w:rPr>
                <w:rFonts w:eastAsia="Times New Roman"/>
                <w:sz w:val="20"/>
                <w:szCs w:val="20"/>
              </w:rPr>
            </w:pPr>
          </w:p>
        </w:tc>
        <w:tc>
          <w:tcPr>
            <w:tcW w:w="0" w:type="auto"/>
            <w:gridSpan w:val="3"/>
            <w:vAlign w:val="center"/>
            <w:hideMark/>
          </w:tcPr>
          <w:p w14:paraId="33F8E74E" w14:textId="77777777" w:rsidR="00000000" w:rsidRDefault="001D0688">
            <w:pPr>
              <w:rPr>
                <w:rFonts w:eastAsia="Times New Roman"/>
                <w:sz w:val="20"/>
                <w:szCs w:val="20"/>
              </w:rPr>
            </w:pPr>
          </w:p>
        </w:tc>
        <w:tc>
          <w:tcPr>
            <w:tcW w:w="0" w:type="auto"/>
            <w:gridSpan w:val="3"/>
            <w:vAlign w:val="center"/>
            <w:hideMark/>
          </w:tcPr>
          <w:p w14:paraId="6ECE5E52" w14:textId="77777777" w:rsidR="00000000" w:rsidRDefault="001D0688">
            <w:pPr>
              <w:rPr>
                <w:rFonts w:eastAsia="Times New Roman"/>
                <w:sz w:val="20"/>
                <w:szCs w:val="20"/>
              </w:rPr>
            </w:pPr>
          </w:p>
        </w:tc>
      </w:tr>
      <w:tr w:rsidR="00000000" w14:paraId="6E39DA5C" w14:textId="77777777">
        <w:trPr>
          <w:divId w:val="1304116240"/>
        </w:trPr>
        <w:tc>
          <w:tcPr>
            <w:tcW w:w="0" w:type="auto"/>
            <w:gridSpan w:val="3"/>
            <w:shd w:val="clear" w:color="auto" w:fill="DCE2EF"/>
            <w:tcMar>
              <w:top w:w="30" w:type="dxa"/>
              <w:left w:w="20" w:type="dxa"/>
              <w:bottom w:w="30" w:type="dxa"/>
              <w:right w:w="20" w:type="dxa"/>
            </w:tcMar>
            <w:vAlign w:val="bottom"/>
            <w:hideMark/>
          </w:tcPr>
          <w:p w14:paraId="2E1F9DA1" w14:textId="77777777" w:rsidR="00000000" w:rsidRDefault="001D0688">
            <w:pPr>
              <w:divId w:val="1558514731"/>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0DEEFF96" w14:textId="77777777" w:rsidR="00000000" w:rsidRDefault="001D0688">
            <w:pPr>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14:paraId="24CFC5A8" w14:textId="77777777" w:rsidR="00000000" w:rsidRDefault="001D0688">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51DE7F4B"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FC6421A" w14:textId="77777777" w:rsidR="00000000" w:rsidRDefault="001D0688">
            <w:pPr>
              <w:jc w:val="right"/>
              <w:rPr>
                <w:rFonts w:eastAsia="Times New Roman"/>
              </w:rPr>
            </w:pPr>
            <w:r>
              <w:rPr>
                <w:rFonts w:ascii="Arial" w:eastAsia="Times New Roman" w:hAnsi="Arial" w:cs="Arial"/>
                <w:color w:val="000000"/>
                <w:sz w:val="20"/>
                <w:szCs w:val="20"/>
              </w:rPr>
              <w:t>2.5 </w:t>
            </w:r>
          </w:p>
        </w:tc>
        <w:tc>
          <w:tcPr>
            <w:tcW w:w="0" w:type="auto"/>
            <w:shd w:val="clear" w:color="auto" w:fill="DCE2EF"/>
            <w:tcMar>
              <w:top w:w="30" w:type="dxa"/>
              <w:left w:w="0" w:type="dxa"/>
              <w:bottom w:w="30" w:type="dxa"/>
              <w:right w:w="20" w:type="dxa"/>
            </w:tcMar>
            <w:vAlign w:val="bottom"/>
            <w:hideMark/>
          </w:tcPr>
          <w:p w14:paraId="53E2C1D3" w14:textId="77777777" w:rsidR="00000000" w:rsidRDefault="001D0688">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3D32A873" w14:textId="77777777" w:rsidR="00000000" w:rsidRDefault="001D0688">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B7513B9" w14:textId="77777777" w:rsidR="00000000" w:rsidRDefault="001D0688">
            <w:pPr>
              <w:jc w:val="right"/>
              <w:rPr>
                <w:rFonts w:eastAsia="Times New Roman"/>
              </w:rPr>
            </w:pPr>
            <w:r>
              <w:rPr>
                <w:rFonts w:ascii="Arial" w:eastAsia="Times New Roman" w:hAnsi="Arial" w:cs="Arial"/>
                <w:color w:val="000000"/>
                <w:sz w:val="20"/>
                <w:szCs w:val="20"/>
              </w:rPr>
              <w:t>2.0 </w:t>
            </w:r>
          </w:p>
        </w:tc>
        <w:tc>
          <w:tcPr>
            <w:tcW w:w="0" w:type="auto"/>
            <w:shd w:val="clear" w:color="auto" w:fill="DCE2EF"/>
            <w:tcMar>
              <w:top w:w="30" w:type="dxa"/>
              <w:left w:w="0" w:type="dxa"/>
              <w:bottom w:w="30" w:type="dxa"/>
              <w:right w:w="20" w:type="dxa"/>
            </w:tcMar>
            <w:vAlign w:val="bottom"/>
            <w:hideMark/>
          </w:tcPr>
          <w:p w14:paraId="35829924" w14:textId="77777777" w:rsidR="00000000" w:rsidRDefault="001D0688">
            <w:pPr>
              <w:jc w:val="right"/>
              <w:rPr>
                <w:rFonts w:eastAsia="Times New Roman"/>
              </w:rPr>
            </w:pPr>
            <w:r>
              <w:rPr>
                <w:rFonts w:ascii="Arial" w:eastAsia="Times New Roman" w:hAnsi="Arial" w:cs="Arial"/>
                <w:color w:val="000000"/>
                <w:sz w:val="20"/>
                <w:szCs w:val="20"/>
              </w:rPr>
              <w:t>%</w:t>
            </w:r>
          </w:p>
        </w:tc>
      </w:tr>
      <w:tr w:rsidR="00000000" w14:paraId="29AC2486" w14:textId="77777777">
        <w:trPr>
          <w:divId w:val="1304116240"/>
        </w:trPr>
        <w:tc>
          <w:tcPr>
            <w:tcW w:w="0" w:type="auto"/>
            <w:gridSpan w:val="3"/>
            <w:shd w:val="clear" w:color="auto" w:fill="FFFFFF"/>
            <w:tcMar>
              <w:top w:w="30" w:type="dxa"/>
              <w:left w:w="20" w:type="dxa"/>
              <w:bottom w:w="30" w:type="dxa"/>
              <w:right w:w="20" w:type="dxa"/>
            </w:tcMar>
            <w:vAlign w:val="bottom"/>
            <w:hideMark/>
          </w:tcPr>
          <w:p w14:paraId="3C7AE4EC" w14:textId="77777777" w:rsidR="00000000" w:rsidRDefault="001D0688">
            <w:pPr>
              <w:divId w:val="1439761625"/>
              <w:rPr>
                <w:rFonts w:eastAsia="Times New Roman"/>
              </w:rPr>
            </w:pPr>
            <w:r>
              <w:rPr>
                <w:rFonts w:ascii="Arial" w:eastAsia="Times New Roman" w:hAnsi="Arial" w:cs="Arial"/>
                <w:color w:val="000000"/>
                <w:sz w:val="20"/>
                <w:szCs w:val="20"/>
              </w:rPr>
              <w:t>Stock pric</w:t>
            </w:r>
            <w:r>
              <w:rPr>
                <w:rFonts w:ascii="Arial" w:eastAsia="Times New Roman" w:hAnsi="Arial" w:cs="Arial"/>
                <w:color w:val="000000"/>
                <w:sz w:val="20"/>
                <w:szCs w:val="20"/>
              </w:rPr>
              <w:t>e</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14:paraId="51AD01F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531E8A0" w14:textId="77777777" w:rsidR="00000000" w:rsidRDefault="001D0688">
            <w:pPr>
              <w:jc w:val="right"/>
              <w:rPr>
                <w:rFonts w:eastAsia="Times New Roman"/>
              </w:rPr>
            </w:pPr>
            <w:r>
              <w:rPr>
                <w:rFonts w:ascii="Arial" w:eastAsia="Times New Roman" w:hAnsi="Arial" w:cs="Arial"/>
                <w:color w:val="000000"/>
                <w:sz w:val="20"/>
                <w:szCs w:val="20"/>
              </w:rPr>
              <w:t>37.99 </w:t>
            </w:r>
          </w:p>
        </w:tc>
        <w:tc>
          <w:tcPr>
            <w:tcW w:w="0" w:type="auto"/>
            <w:shd w:val="clear" w:color="auto" w:fill="FFFFFF"/>
            <w:tcMar>
              <w:top w:w="30" w:type="dxa"/>
              <w:left w:w="0" w:type="dxa"/>
              <w:bottom w:w="30" w:type="dxa"/>
              <w:right w:w="20" w:type="dxa"/>
            </w:tcMar>
            <w:vAlign w:val="bottom"/>
            <w:hideMark/>
          </w:tcPr>
          <w:p w14:paraId="16B6384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A3397"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BA175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B1E95F5" w14:textId="77777777" w:rsidR="00000000" w:rsidRDefault="001D0688">
            <w:pPr>
              <w:jc w:val="right"/>
              <w:rPr>
                <w:rFonts w:eastAsia="Times New Roman"/>
              </w:rPr>
            </w:pPr>
            <w:r>
              <w:rPr>
                <w:rFonts w:ascii="Arial" w:eastAsia="Times New Roman" w:hAnsi="Arial" w:cs="Arial"/>
                <w:color w:val="000000"/>
                <w:sz w:val="20"/>
                <w:szCs w:val="20"/>
              </w:rPr>
              <w:t>34.92 </w:t>
            </w:r>
          </w:p>
        </w:tc>
        <w:tc>
          <w:tcPr>
            <w:tcW w:w="0" w:type="auto"/>
            <w:shd w:val="clear" w:color="auto" w:fill="FFFFFF"/>
            <w:tcMar>
              <w:top w:w="30" w:type="dxa"/>
              <w:left w:w="0" w:type="dxa"/>
              <w:bottom w:w="30" w:type="dxa"/>
              <w:right w:w="20" w:type="dxa"/>
            </w:tcMar>
            <w:vAlign w:val="bottom"/>
            <w:hideMark/>
          </w:tcPr>
          <w:p w14:paraId="5F6BD60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EDED3"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AB7306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0C89A8A" w14:textId="77777777" w:rsidR="00000000" w:rsidRDefault="001D0688">
            <w:pPr>
              <w:jc w:val="right"/>
              <w:rPr>
                <w:rFonts w:eastAsia="Times New Roman"/>
              </w:rPr>
            </w:pPr>
            <w:r>
              <w:rPr>
                <w:rFonts w:ascii="Arial" w:eastAsia="Times New Roman" w:hAnsi="Arial" w:cs="Arial"/>
                <w:color w:val="000000"/>
                <w:sz w:val="20"/>
                <w:szCs w:val="20"/>
              </w:rPr>
              <w:t>39.02 </w:t>
            </w:r>
          </w:p>
        </w:tc>
        <w:tc>
          <w:tcPr>
            <w:tcW w:w="0" w:type="auto"/>
            <w:shd w:val="clear" w:color="auto" w:fill="FFFFFF"/>
            <w:tcMar>
              <w:top w:w="30" w:type="dxa"/>
              <w:left w:w="0" w:type="dxa"/>
              <w:bottom w:w="30" w:type="dxa"/>
              <w:right w:w="20" w:type="dxa"/>
            </w:tcMar>
            <w:vAlign w:val="bottom"/>
            <w:hideMark/>
          </w:tcPr>
          <w:p w14:paraId="4ADD5FAC" w14:textId="77777777" w:rsidR="00000000" w:rsidRDefault="001D0688">
            <w:pPr>
              <w:jc w:val="right"/>
              <w:rPr>
                <w:rFonts w:eastAsia="Times New Roman"/>
              </w:rPr>
            </w:pPr>
          </w:p>
        </w:tc>
      </w:tr>
      <w:tr w:rsidR="00000000" w14:paraId="47E17B6B" w14:textId="77777777">
        <w:trPr>
          <w:divId w:val="1304116240"/>
        </w:trPr>
        <w:tc>
          <w:tcPr>
            <w:tcW w:w="0" w:type="auto"/>
            <w:gridSpan w:val="3"/>
            <w:vAlign w:val="center"/>
            <w:hideMark/>
          </w:tcPr>
          <w:p w14:paraId="4C01F6C1" w14:textId="77777777" w:rsidR="00000000" w:rsidRDefault="001D0688">
            <w:pPr>
              <w:jc w:val="right"/>
              <w:rPr>
                <w:rFonts w:eastAsia="Times New Roman"/>
                <w:sz w:val="20"/>
                <w:szCs w:val="20"/>
              </w:rPr>
            </w:pPr>
          </w:p>
        </w:tc>
        <w:tc>
          <w:tcPr>
            <w:tcW w:w="0" w:type="auto"/>
            <w:gridSpan w:val="3"/>
            <w:vAlign w:val="center"/>
            <w:hideMark/>
          </w:tcPr>
          <w:p w14:paraId="02642E4C" w14:textId="77777777" w:rsidR="00000000" w:rsidRDefault="001D0688">
            <w:pPr>
              <w:rPr>
                <w:rFonts w:eastAsia="Times New Roman"/>
                <w:sz w:val="20"/>
                <w:szCs w:val="20"/>
              </w:rPr>
            </w:pPr>
          </w:p>
        </w:tc>
        <w:tc>
          <w:tcPr>
            <w:tcW w:w="0" w:type="auto"/>
            <w:gridSpan w:val="3"/>
            <w:vAlign w:val="center"/>
            <w:hideMark/>
          </w:tcPr>
          <w:p w14:paraId="5850C777" w14:textId="77777777" w:rsidR="00000000" w:rsidRDefault="001D0688">
            <w:pPr>
              <w:rPr>
                <w:rFonts w:eastAsia="Times New Roman"/>
                <w:sz w:val="20"/>
                <w:szCs w:val="20"/>
              </w:rPr>
            </w:pPr>
          </w:p>
        </w:tc>
        <w:tc>
          <w:tcPr>
            <w:tcW w:w="0" w:type="auto"/>
            <w:gridSpan w:val="3"/>
            <w:vAlign w:val="center"/>
            <w:hideMark/>
          </w:tcPr>
          <w:p w14:paraId="2E01005E" w14:textId="77777777" w:rsidR="00000000" w:rsidRDefault="001D0688">
            <w:pPr>
              <w:rPr>
                <w:rFonts w:eastAsia="Times New Roman"/>
                <w:sz w:val="20"/>
                <w:szCs w:val="20"/>
              </w:rPr>
            </w:pPr>
          </w:p>
        </w:tc>
        <w:tc>
          <w:tcPr>
            <w:tcW w:w="0" w:type="auto"/>
            <w:gridSpan w:val="3"/>
            <w:vAlign w:val="center"/>
            <w:hideMark/>
          </w:tcPr>
          <w:p w14:paraId="7777E259" w14:textId="77777777" w:rsidR="00000000" w:rsidRDefault="001D0688">
            <w:pPr>
              <w:rPr>
                <w:rFonts w:eastAsia="Times New Roman"/>
                <w:sz w:val="20"/>
                <w:szCs w:val="20"/>
              </w:rPr>
            </w:pPr>
          </w:p>
        </w:tc>
        <w:tc>
          <w:tcPr>
            <w:tcW w:w="0" w:type="auto"/>
            <w:gridSpan w:val="3"/>
            <w:vAlign w:val="center"/>
            <w:hideMark/>
          </w:tcPr>
          <w:p w14:paraId="4D33661E" w14:textId="77777777" w:rsidR="00000000" w:rsidRDefault="001D0688">
            <w:pPr>
              <w:rPr>
                <w:rFonts w:eastAsia="Times New Roman"/>
                <w:sz w:val="20"/>
                <w:szCs w:val="20"/>
              </w:rPr>
            </w:pPr>
          </w:p>
        </w:tc>
      </w:tr>
    </w:tbl>
    <w:p w14:paraId="30488EA4" w14:textId="77777777" w:rsidR="00000000" w:rsidRDefault="001D0688">
      <w:pPr>
        <w:ind w:hanging="180"/>
        <w:jc w:val="both"/>
        <w:divId w:val="119029235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expected life represents the remaining performance period of the awards. </w:t>
      </w:r>
    </w:p>
    <w:p w14:paraId="6A94EA17" w14:textId="77777777" w:rsidR="00000000" w:rsidRDefault="001D0688">
      <w:pPr>
        <w:ind w:hanging="180"/>
        <w:jc w:val="both"/>
        <w:divId w:val="19570594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expected volatility for each grant is determined based on the historical volatility of our common stock over a period equal to the remaining term of the performance period from the date of grant for all awards.</w:t>
      </w:r>
    </w:p>
    <w:p w14:paraId="6DE55D41" w14:textId="77777777" w:rsidR="00000000" w:rsidRDefault="001D0688">
      <w:pPr>
        <w:ind w:hanging="180"/>
        <w:jc w:val="both"/>
        <w:divId w:val="426317344"/>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 risk-free interest rate is based </w:t>
      </w:r>
      <w:r>
        <w:rPr>
          <w:rFonts w:ascii="Arial" w:eastAsia="Times New Roman" w:hAnsi="Arial" w:cs="Arial"/>
          <w:color w:val="000000"/>
          <w:sz w:val="18"/>
          <w:szCs w:val="18"/>
        </w:rPr>
        <w:t xml:space="preserve">on the continuous compounded yield on U.S. Treasury Constant Maturity Rates with varying remaining terms; the yield is determined over a time period commensurate with the performance period from the grant date. </w:t>
      </w:r>
    </w:p>
    <w:p w14:paraId="13376BD8" w14:textId="77777777" w:rsidR="00000000" w:rsidRDefault="001D0688">
      <w:pPr>
        <w:ind w:hanging="180"/>
        <w:jc w:val="both"/>
        <w:divId w:val="1449470127"/>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stock price is the closing price of </w:t>
      </w:r>
      <w:r>
        <w:rPr>
          <w:rFonts w:ascii="Arial" w:eastAsia="Times New Roman" w:hAnsi="Arial" w:cs="Arial"/>
          <w:color w:val="000000"/>
          <w:sz w:val="18"/>
          <w:szCs w:val="18"/>
        </w:rPr>
        <w:t>our common stock on the valuation date.</w:t>
      </w:r>
    </w:p>
    <w:p w14:paraId="5031003B" w14:textId="77777777" w:rsidR="00000000" w:rsidRDefault="001D0688">
      <w:pPr>
        <w:jc w:val="center"/>
        <w:divId w:val="1685742788"/>
        <w:rPr>
          <w:rFonts w:eastAsia="Times New Roman"/>
        </w:rPr>
      </w:pPr>
      <w:r>
        <w:rPr>
          <w:rFonts w:ascii="Arial" w:eastAsia="Times New Roman" w:hAnsi="Arial" w:cs="Arial"/>
          <w:color w:val="000000"/>
          <w:sz w:val="20"/>
          <w:szCs w:val="20"/>
        </w:rPr>
        <w:t>89</w:t>
      </w:r>
    </w:p>
    <w:p w14:paraId="02E2AB35" w14:textId="77777777" w:rsidR="00000000" w:rsidRDefault="001D0688">
      <w:pPr>
        <w:rPr>
          <w:rFonts w:eastAsia="Times New Roman"/>
        </w:rPr>
      </w:pPr>
      <w:r>
        <w:rPr>
          <w:rFonts w:eastAsia="Times New Roman"/>
        </w:rPr>
        <w:pict w14:anchorId="257854DA">
          <v:rect id="_x0000_i1126" style="width:0;height:1.5pt" o:hralign="center" o:hrstd="t" o:hr="t" fillcolor="#a0a0a0" stroked="f"/>
        </w:pict>
      </w:r>
    </w:p>
    <w:p w14:paraId="4CCEC694" w14:textId="77777777" w:rsidR="00000000" w:rsidRDefault="001D0688">
      <w:pPr>
        <w:divId w:val="1201091342"/>
        <w:rPr>
          <w:rFonts w:eastAsia="Times New Roman"/>
        </w:rPr>
      </w:pPr>
    </w:p>
    <w:p w14:paraId="33A4E9B2" w14:textId="77777777" w:rsidR="00000000" w:rsidRDefault="001D0688">
      <w:pPr>
        <w:divId w:val="1148858924"/>
        <w:rPr>
          <w:rFonts w:eastAsia="Times New Roman"/>
        </w:rPr>
      </w:pPr>
      <w:r>
        <w:rPr>
          <w:rFonts w:ascii="Arial" w:eastAsia="Times New Roman" w:hAnsi="Arial" w:cs="Arial"/>
          <w:b/>
          <w:bCs/>
          <w:color w:val="0046AD"/>
          <w:sz w:val="20"/>
          <w:szCs w:val="20"/>
        </w:rPr>
        <w:t>Employee Stock Purchase Plan</w:t>
      </w:r>
    </w:p>
    <w:tbl>
      <w:tblPr>
        <w:tblW w:w="4978" w:type="pct"/>
        <w:tblCellMar>
          <w:top w:w="15" w:type="dxa"/>
          <w:left w:w="15" w:type="dxa"/>
          <w:bottom w:w="15" w:type="dxa"/>
          <w:right w:w="15" w:type="dxa"/>
        </w:tblCellMar>
        <w:tblLook w:val="04A0" w:firstRow="1" w:lastRow="0" w:firstColumn="1" w:lastColumn="0" w:noHBand="0" w:noVBand="1"/>
      </w:tblPr>
      <w:tblGrid>
        <w:gridCol w:w="38"/>
        <w:gridCol w:w="5059"/>
        <w:gridCol w:w="37"/>
        <w:gridCol w:w="132"/>
        <w:gridCol w:w="838"/>
        <w:gridCol w:w="36"/>
        <w:gridCol w:w="36"/>
        <w:gridCol w:w="36"/>
        <w:gridCol w:w="36"/>
        <w:gridCol w:w="132"/>
        <w:gridCol w:w="783"/>
        <w:gridCol w:w="36"/>
        <w:gridCol w:w="36"/>
        <w:gridCol w:w="36"/>
        <w:gridCol w:w="36"/>
        <w:gridCol w:w="132"/>
        <w:gridCol w:w="794"/>
        <w:gridCol w:w="36"/>
      </w:tblGrid>
      <w:tr w:rsidR="00000000" w14:paraId="7047D866" w14:textId="77777777">
        <w:tc>
          <w:tcPr>
            <w:tcW w:w="50" w:type="pct"/>
            <w:vAlign w:val="center"/>
            <w:hideMark/>
          </w:tcPr>
          <w:p w14:paraId="58A6188C" w14:textId="77777777" w:rsidR="00000000" w:rsidRDefault="001D0688">
            <w:pPr>
              <w:rPr>
                <w:rFonts w:eastAsia="Times New Roman"/>
              </w:rPr>
            </w:pPr>
          </w:p>
        </w:tc>
        <w:tc>
          <w:tcPr>
            <w:tcW w:w="3094" w:type="pct"/>
            <w:vAlign w:val="center"/>
            <w:hideMark/>
          </w:tcPr>
          <w:p w14:paraId="77088640" w14:textId="77777777" w:rsidR="00000000" w:rsidRDefault="001D0688">
            <w:pPr>
              <w:rPr>
                <w:rFonts w:eastAsia="Times New Roman"/>
                <w:sz w:val="20"/>
                <w:szCs w:val="20"/>
              </w:rPr>
            </w:pPr>
          </w:p>
        </w:tc>
        <w:tc>
          <w:tcPr>
            <w:tcW w:w="5" w:type="pct"/>
            <w:vAlign w:val="center"/>
            <w:hideMark/>
          </w:tcPr>
          <w:p w14:paraId="1D134BD3" w14:textId="77777777" w:rsidR="00000000" w:rsidRDefault="001D0688">
            <w:pPr>
              <w:rPr>
                <w:rFonts w:eastAsia="Times New Roman"/>
                <w:sz w:val="20"/>
                <w:szCs w:val="20"/>
              </w:rPr>
            </w:pPr>
          </w:p>
        </w:tc>
        <w:tc>
          <w:tcPr>
            <w:tcW w:w="50" w:type="pct"/>
            <w:vAlign w:val="center"/>
            <w:hideMark/>
          </w:tcPr>
          <w:p w14:paraId="085099D3" w14:textId="77777777" w:rsidR="00000000" w:rsidRDefault="001D0688">
            <w:pPr>
              <w:rPr>
                <w:rFonts w:eastAsia="Times New Roman"/>
                <w:sz w:val="20"/>
                <w:szCs w:val="20"/>
              </w:rPr>
            </w:pPr>
          </w:p>
        </w:tc>
        <w:tc>
          <w:tcPr>
            <w:tcW w:w="539" w:type="pct"/>
            <w:vAlign w:val="center"/>
            <w:hideMark/>
          </w:tcPr>
          <w:p w14:paraId="1729E1A9" w14:textId="77777777" w:rsidR="00000000" w:rsidRDefault="001D0688">
            <w:pPr>
              <w:rPr>
                <w:rFonts w:eastAsia="Times New Roman"/>
                <w:sz w:val="20"/>
                <w:szCs w:val="20"/>
              </w:rPr>
            </w:pPr>
          </w:p>
        </w:tc>
        <w:tc>
          <w:tcPr>
            <w:tcW w:w="5" w:type="pct"/>
            <w:vAlign w:val="center"/>
            <w:hideMark/>
          </w:tcPr>
          <w:p w14:paraId="3CC2D81A" w14:textId="77777777" w:rsidR="00000000" w:rsidRDefault="001D0688">
            <w:pPr>
              <w:rPr>
                <w:rFonts w:eastAsia="Times New Roman"/>
                <w:sz w:val="20"/>
                <w:szCs w:val="20"/>
              </w:rPr>
            </w:pPr>
          </w:p>
        </w:tc>
        <w:tc>
          <w:tcPr>
            <w:tcW w:w="5" w:type="pct"/>
            <w:vAlign w:val="center"/>
            <w:hideMark/>
          </w:tcPr>
          <w:p w14:paraId="19E930C5" w14:textId="77777777" w:rsidR="00000000" w:rsidRDefault="001D0688">
            <w:pPr>
              <w:rPr>
                <w:rFonts w:eastAsia="Times New Roman"/>
                <w:sz w:val="20"/>
                <w:szCs w:val="20"/>
              </w:rPr>
            </w:pPr>
          </w:p>
        </w:tc>
        <w:tc>
          <w:tcPr>
            <w:tcW w:w="26" w:type="pct"/>
            <w:vAlign w:val="center"/>
            <w:hideMark/>
          </w:tcPr>
          <w:p w14:paraId="2200A872" w14:textId="77777777" w:rsidR="00000000" w:rsidRDefault="001D0688">
            <w:pPr>
              <w:rPr>
                <w:rFonts w:eastAsia="Times New Roman"/>
                <w:sz w:val="20"/>
                <w:szCs w:val="20"/>
              </w:rPr>
            </w:pPr>
          </w:p>
        </w:tc>
        <w:tc>
          <w:tcPr>
            <w:tcW w:w="5" w:type="pct"/>
            <w:vAlign w:val="center"/>
            <w:hideMark/>
          </w:tcPr>
          <w:p w14:paraId="0E4ADDB5" w14:textId="77777777" w:rsidR="00000000" w:rsidRDefault="001D0688">
            <w:pPr>
              <w:rPr>
                <w:rFonts w:eastAsia="Times New Roman"/>
                <w:sz w:val="20"/>
                <w:szCs w:val="20"/>
              </w:rPr>
            </w:pPr>
          </w:p>
        </w:tc>
        <w:tc>
          <w:tcPr>
            <w:tcW w:w="50" w:type="pct"/>
            <w:vAlign w:val="center"/>
            <w:hideMark/>
          </w:tcPr>
          <w:p w14:paraId="69281662" w14:textId="77777777" w:rsidR="00000000" w:rsidRDefault="001D0688">
            <w:pPr>
              <w:rPr>
                <w:rFonts w:eastAsia="Times New Roman"/>
                <w:sz w:val="20"/>
                <w:szCs w:val="20"/>
              </w:rPr>
            </w:pPr>
          </w:p>
        </w:tc>
        <w:tc>
          <w:tcPr>
            <w:tcW w:w="532" w:type="pct"/>
            <w:vAlign w:val="center"/>
            <w:hideMark/>
          </w:tcPr>
          <w:p w14:paraId="41EF9F31" w14:textId="77777777" w:rsidR="00000000" w:rsidRDefault="001D0688">
            <w:pPr>
              <w:rPr>
                <w:rFonts w:eastAsia="Times New Roman"/>
                <w:sz w:val="20"/>
                <w:szCs w:val="20"/>
              </w:rPr>
            </w:pPr>
          </w:p>
        </w:tc>
        <w:tc>
          <w:tcPr>
            <w:tcW w:w="5" w:type="pct"/>
            <w:vAlign w:val="center"/>
            <w:hideMark/>
          </w:tcPr>
          <w:p w14:paraId="20BB02BB" w14:textId="77777777" w:rsidR="00000000" w:rsidRDefault="001D0688">
            <w:pPr>
              <w:rPr>
                <w:rFonts w:eastAsia="Times New Roman"/>
                <w:sz w:val="20"/>
                <w:szCs w:val="20"/>
              </w:rPr>
            </w:pPr>
          </w:p>
        </w:tc>
        <w:tc>
          <w:tcPr>
            <w:tcW w:w="5" w:type="pct"/>
            <w:vAlign w:val="center"/>
            <w:hideMark/>
          </w:tcPr>
          <w:p w14:paraId="416470F0" w14:textId="77777777" w:rsidR="00000000" w:rsidRDefault="001D0688">
            <w:pPr>
              <w:rPr>
                <w:rFonts w:eastAsia="Times New Roman"/>
                <w:sz w:val="20"/>
                <w:szCs w:val="20"/>
              </w:rPr>
            </w:pPr>
          </w:p>
        </w:tc>
        <w:tc>
          <w:tcPr>
            <w:tcW w:w="26" w:type="pct"/>
            <w:vAlign w:val="center"/>
            <w:hideMark/>
          </w:tcPr>
          <w:p w14:paraId="454D7916" w14:textId="77777777" w:rsidR="00000000" w:rsidRDefault="001D0688">
            <w:pPr>
              <w:rPr>
                <w:rFonts w:eastAsia="Times New Roman"/>
                <w:sz w:val="20"/>
                <w:szCs w:val="20"/>
              </w:rPr>
            </w:pPr>
          </w:p>
        </w:tc>
        <w:tc>
          <w:tcPr>
            <w:tcW w:w="5" w:type="pct"/>
            <w:vAlign w:val="center"/>
            <w:hideMark/>
          </w:tcPr>
          <w:p w14:paraId="482B08EC" w14:textId="77777777" w:rsidR="00000000" w:rsidRDefault="001D0688">
            <w:pPr>
              <w:rPr>
                <w:rFonts w:eastAsia="Times New Roman"/>
                <w:sz w:val="20"/>
                <w:szCs w:val="20"/>
              </w:rPr>
            </w:pPr>
          </w:p>
        </w:tc>
        <w:tc>
          <w:tcPr>
            <w:tcW w:w="50" w:type="pct"/>
            <w:vAlign w:val="center"/>
            <w:hideMark/>
          </w:tcPr>
          <w:p w14:paraId="36022DF6" w14:textId="77777777" w:rsidR="00000000" w:rsidRDefault="001D0688">
            <w:pPr>
              <w:rPr>
                <w:rFonts w:eastAsia="Times New Roman"/>
                <w:sz w:val="20"/>
                <w:szCs w:val="20"/>
              </w:rPr>
            </w:pPr>
          </w:p>
        </w:tc>
        <w:tc>
          <w:tcPr>
            <w:tcW w:w="539" w:type="pct"/>
            <w:vAlign w:val="center"/>
            <w:hideMark/>
          </w:tcPr>
          <w:p w14:paraId="0CAA033F" w14:textId="77777777" w:rsidR="00000000" w:rsidRDefault="001D0688">
            <w:pPr>
              <w:rPr>
                <w:rFonts w:eastAsia="Times New Roman"/>
                <w:sz w:val="20"/>
                <w:szCs w:val="20"/>
              </w:rPr>
            </w:pPr>
          </w:p>
        </w:tc>
        <w:tc>
          <w:tcPr>
            <w:tcW w:w="5" w:type="pct"/>
            <w:vAlign w:val="center"/>
            <w:hideMark/>
          </w:tcPr>
          <w:p w14:paraId="714B494C" w14:textId="77777777" w:rsidR="00000000" w:rsidRDefault="001D0688">
            <w:pPr>
              <w:rPr>
                <w:rFonts w:eastAsia="Times New Roman"/>
                <w:sz w:val="20"/>
                <w:szCs w:val="20"/>
              </w:rPr>
            </w:pPr>
          </w:p>
        </w:tc>
      </w:tr>
      <w:tr w:rsidR="00000000" w14:paraId="06A18B22" w14:textId="77777777">
        <w:tc>
          <w:tcPr>
            <w:tcW w:w="0" w:type="auto"/>
            <w:gridSpan w:val="3"/>
            <w:tcMar>
              <w:top w:w="30" w:type="dxa"/>
              <w:left w:w="20" w:type="dxa"/>
              <w:bottom w:w="30" w:type="dxa"/>
              <w:right w:w="20" w:type="dxa"/>
            </w:tcMar>
            <w:vAlign w:val="bottom"/>
            <w:hideMark/>
          </w:tcPr>
          <w:p w14:paraId="0F45C18F" w14:textId="77777777" w:rsidR="00000000" w:rsidRDefault="001D0688">
            <w:pPr>
              <w:rPr>
                <w:rFonts w:eastAsia="Times New Roman"/>
              </w:rPr>
            </w:pPr>
            <w:r>
              <w:rPr>
                <w:rFonts w:ascii="Arial" w:eastAsia="Times New Roman" w:hAnsi="Arial" w:cs="Arial"/>
                <w:color w:val="000000"/>
                <w:sz w:val="20"/>
                <w:szCs w:val="20"/>
              </w:rPr>
              <w:t> </w:t>
            </w:r>
          </w:p>
        </w:tc>
        <w:tc>
          <w:tcPr>
            <w:tcW w:w="0" w:type="auto"/>
            <w:gridSpan w:val="15"/>
            <w:tcMar>
              <w:top w:w="30" w:type="dxa"/>
              <w:left w:w="20" w:type="dxa"/>
              <w:bottom w:w="30" w:type="dxa"/>
              <w:right w:w="20" w:type="dxa"/>
            </w:tcMar>
            <w:vAlign w:val="bottom"/>
            <w:hideMark/>
          </w:tcPr>
          <w:p w14:paraId="021F5236"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34C8F41F" w14:textId="77777777">
        <w:tc>
          <w:tcPr>
            <w:tcW w:w="0" w:type="auto"/>
            <w:gridSpan w:val="3"/>
            <w:tcMar>
              <w:top w:w="30" w:type="dxa"/>
              <w:left w:w="20" w:type="dxa"/>
              <w:bottom w:w="30" w:type="dxa"/>
              <w:right w:w="20" w:type="dxa"/>
            </w:tcMar>
            <w:vAlign w:val="bottom"/>
            <w:hideMark/>
          </w:tcPr>
          <w:p w14:paraId="7E633C97"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40186841"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3645677"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55C655"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64A6801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8C2088"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1757B95A" w14:textId="77777777">
        <w:tc>
          <w:tcPr>
            <w:tcW w:w="0" w:type="auto"/>
            <w:gridSpan w:val="3"/>
            <w:shd w:val="clear" w:color="auto" w:fill="DCE2EF"/>
            <w:tcMar>
              <w:top w:w="30" w:type="dxa"/>
              <w:left w:w="20" w:type="dxa"/>
              <w:bottom w:w="30" w:type="dxa"/>
              <w:right w:w="20" w:type="dxa"/>
            </w:tcMar>
            <w:vAlign w:val="bottom"/>
            <w:hideMark/>
          </w:tcPr>
          <w:p w14:paraId="1C4A26A0" w14:textId="77777777" w:rsidR="00000000" w:rsidRDefault="001D0688">
            <w:pPr>
              <w:rPr>
                <w:rFonts w:eastAsia="Times New Roman"/>
              </w:rPr>
            </w:pPr>
            <w:r>
              <w:rPr>
                <w:rFonts w:ascii="Arial" w:eastAsia="Times New Roman" w:hAnsi="Arial" w:cs="Arial"/>
                <w:color w:val="000000"/>
                <w:sz w:val="20"/>
                <w:szCs w:val="20"/>
              </w:rPr>
              <w:t>Weighted-average fair value of granted purchase rights per share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B8880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947BF26" w14:textId="77777777" w:rsidR="00000000" w:rsidRDefault="001D0688">
            <w:pPr>
              <w:jc w:val="right"/>
              <w:rPr>
                <w:rFonts w:eastAsia="Times New Roman"/>
              </w:rPr>
            </w:pPr>
            <w:r>
              <w:rPr>
                <w:rFonts w:ascii="Arial" w:eastAsia="Times New Roman" w:hAnsi="Arial" w:cs="Arial"/>
                <w:color w:val="000000"/>
                <w:sz w:val="20"/>
                <w:szCs w:val="20"/>
              </w:rPr>
              <w:t>1.75 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07CF4A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C1F74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037D4A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8E6DD0B" w14:textId="77777777" w:rsidR="00000000" w:rsidRDefault="001D0688">
            <w:pPr>
              <w:jc w:val="right"/>
              <w:rPr>
                <w:rFonts w:eastAsia="Times New Roman"/>
              </w:rPr>
            </w:pPr>
            <w:r>
              <w:rPr>
                <w:rFonts w:ascii="Arial" w:eastAsia="Times New Roman" w:hAnsi="Arial" w:cs="Arial"/>
                <w:color w:val="000000"/>
                <w:sz w:val="20"/>
                <w:szCs w:val="20"/>
              </w:rPr>
              <w:t>1.77 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BBAD3E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60F847"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82172B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63AB5C9" w14:textId="77777777" w:rsidR="00000000" w:rsidRDefault="001D0688">
            <w:pPr>
              <w:jc w:val="right"/>
              <w:rPr>
                <w:rFonts w:eastAsia="Times New Roman"/>
              </w:rPr>
            </w:pPr>
            <w:r>
              <w:rPr>
                <w:rFonts w:ascii="Arial" w:eastAsia="Times New Roman" w:hAnsi="Arial" w:cs="Arial"/>
                <w:color w:val="000000"/>
                <w:sz w:val="20"/>
                <w:szCs w:val="20"/>
              </w:rPr>
              <w:t>1.70 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55CE205" w14:textId="77777777" w:rsidR="00000000" w:rsidRDefault="001D0688">
            <w:pPr>
              <w:jc w:val="right"/>
              <w:rPr>
                <w:rFonts w:eastAsia="Times New Roman"/>
              </w:rPr>
            </w:pPr>
          </w:p>
        </w:tc>
      </w:tr>
      <w:tr w:rsidR="00000000" w14:paraId="7FF161BA" w14:textId="77777777">
        <w:tc>
          <w:tcPr>
            <w:tcW w:w="0" w:type="auto"/>
            <w:gridSpan w:val="3"/>
            <w:shd w:val="clear" w:color="auto" w:fill="FFFFFF"/>
            <w:tcMar>
              <w:top w:w="30" w:type="dxa"/>
              <w:left w:w="20" w:type="dxa"/>
              <w:bottom w:w="30" w:type="dxa"/>
              <w:right w:w="20" w:type="dxa"/>
            </w:tcMar>
            <w:vAlign w:val="bottom"/>
            <w:hideMark/>
          </w:tcPr>
          <w:p w14:paraId="1B6E7BE0" w14:textId="77777777" w:rsidR="00000000" w:rsidRDefault="001D0688">
            <w:pPr>
              <w:rPr>
                <w:rFonts w:eastAsia="Times New Roman"/>
              </w:rPr>
            </w:pPr>
            <w:r>
              <w:rPr>
                <w:rFonts w:ascii="Arial" w:eastAsia="Times New Roman" w:hAnsi="Arial" w:cs="Arial"/>
                <w:color w:val="000000"/>
                <w:sz w:val="20"/>
                <w:szCs w:val="20"/>
              </w:rPr>
              <w:t>Common stock issued</w:t>
            </w:r>
          </w:p>
        </w:tc>
        <w:tc>
          <w:tcPr>
            <w:tcW w:w="0" w:type="auto"/>
            <w:gridSpan w:val="2"/>
            <w:shd w:val="clear" w:color="auto" w:fill="FFFFFF"/>
            <w:tcMar>
              <w:top w:w="30" w:type="dxa"/>
              <w:left w:w="20" w:type="dxa"/>
              <w:bottom w:w="30" w:type="dxa"/>
              <w:right w:w="0" w:type="dxa"/>
            </w:tcMar>
            <w:vAlign w:val="bottom"/>
            <w:hideMark/>
          </w:tcPr>
          <w:p w14:paraId="78931378"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D5ECD4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682E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08846D"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75CD1F8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FD81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18DA7"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30B3E1FD" w14:textId="77777777" w:rsidR="00000000" w:rsidRDefault="001D0688">
            <w:pPr>
              <w:jc w:val="right"/>
              <w:rPr>
                <w:rFonts w:eastAsia="Times New Roman"/>
              </w:rPr>
            </w:pPr>
          </w:p>
        </w:tc>
      </w:tr>
      <w:tr w:rsidR="00000000" w14:paraId="2B4785A6" w14:textId="77777777">
        <w:tc>
          <w:tcPr>
            <w:tcW w:w="0" w:type="auto"/>
            <w:gridSpan w:val="3"/>
            <w:shd w:val="clear" w:color="auto" w:fill="DCE2EF"/>
            <w:tcMar>
              <w:top w:w="30" w:type="dxa"/>
              <w:left w:w="20" w:type="dxa"/>
              <w:bottom w:w="30" w:type="dxa"/>
              <w:right w:w="20" w:type="dxa"/>
            </w:tcMar>
            <w:vAlign w:val="bottom"/>
            <w:hideMark/>
          </w:tcPr>
          <w:p w14:paraId="6A3F1876" w14:textId="77777777" w:rsidR="00000000" w:rsidRDefault="001D0688">
            <w:pPr>
              <w:rPr>
                <w:rFonts w:eastAsia="Times New Roman"/>
              </w:rPr>
            </w:pPr>
            <w:r>
              <w:rPr>
                <w:rFonts w:ascii="Arial" w:eastAsia="Times New Roman" w:hAnsi="Arial" w:cs="Arial"/>
                <w:color w:val="000000"/>
                <w:sz w:val="20"/>
                <w:szCs w:val="20"/>
              </w:rPr>
              <w:t>Fair value of common stock issued per share</w:t>
            </w:r>
          </w:p>
        </w:tc>
        <w:tc>
          <w:tcPr>
            <w:tcW w:w="0" w:type="auto"/>
            <w:shd w:val="clear" w:color="auto" w:fill="DCE2EF"/>
            <w:tcMar>
              <w:top w:w="30" w:type="dxa"/>
              <w:left w:w="20" w:type="dxa"/>
              <w:bottom w:w="30" w:type="dxa"/>
              <w:right w:w="0" w:type="dxa"/>
            </w:tcMar>
            <w:vAlign w:val="bottom"/>
            <w:hideMark/>
          </w:tcPr>
          <w:p w14:paraId="119A611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A8AF98E" w14:textId="77777777" w:rsidR="00000000" w:rsidRDefault="001D0688">
            <w:pPr>
              <w:jc w:val="right"/>
              <w:rPr>
                <w:rFonts w:eastAsia="Times New Roman"/>
              </w:rPr>
            </w:pPr>
            <w:r>
              <w:rPr>
                <w:rFonts w:ascii="Arial" w:eastAsia="Times New Roman" w:hAnsi="Arial" w:cs="Arial"/>
                <w:color w:val="000000"/>
                <w:sz w:val="20"/>
                <w:szCs w:val="20"/>
              </w:rPr>
              <w:t>33.18 </w:t>
            </w:r>
          </w:p>
        </w:tc>
        <w:tc>
          <w:tcPr>
            <w:tcW w:w="0" w:type="auto"/>
            <w:shd w:val="clear" w:color="auto" w:fill="DCE2EF"/>
            <w:tcMar>
              <w:top w:w="30" w:type="dxa"/>
              <w:left w:w="0" w:type="dxa"/>
              <w:bottom w:w="30" w:type="dxa"/>
              <w:right w:w="20" w:type="dxa"/>
            </w:tcMar>
            <w:vAlign w:val="bottom"/>
            <w:hideMark/>
          </w:tcPr>
          <w:p w14:paraId="7094ACC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B43EBC"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7D764E0"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D45B028" w14:textId="77777777" w:rsidR="00000000" w:rsidRDefault="001D0688">
            <w:pPr>
              <w:jc w:val="right"/>
              <w:rPr>
                <w:rFonts w:eastAsia="Times New Roman"/>
              </w:rPr>
            </w:pPr>
            <w:r>
              <w:rPr>
                <w:rFonts w:ascii="Arial" w:eastAsia="Times New Roman" w:hAnsi="Arial" w:cs="Arial"/>
                <w:color w:val="000000"/>
                <w:sz w:val="20"/>
                <w:szCs w:val="20"/>
              </w:rPr>
              <w:t>33.60 </w:t>
            </w:r>
          </w:p>
        </w:tc>
        <w:tc>
          <w:tcPr>
            <w:tcW w:w="0" w:type="auto"/>
            <w:shd w:val="clear" w:color="auto" w:fill="DCE2EF"/>
            <w:tcMar>
              <w:top w:w="30" w:type="dxa"/>
              <w:left w:w="0" w:type="dxa"/>
              <w:bottom w:w="30" w:type="dxa"/>
              <w:right w:w="20" w:type="dxa"/>
            </w:tcMar>
            <w:vAlign w:val="bottom"/>
            <w:hideMark/>
          </w:tcPr>
          <w:p w14:paraId="4583ACA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832608"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D56F6E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C4B726E" w14:textId="77777777" w:rsidR="00000000" w:rsidRDefault="001D0688">
            <w:pPr>
              <w:jc w:val="right"/>
              <w:rPr>
                <w:rFonts w:eastAsia="Times New Roman"/>
              </w:rPr>
            </w:pPr>
            <w:r>
              <w:rPr>
                <w:rFonts w:ascii="Arial" w:eastAsia="Times New Roman" w:hAnsi="Arial" w:cs="Arial"/>
                <w:color w:val="000000"/>
                <w:sz w:val="20"/>
                <w:szCs w:val="20"/>
              </w:rPr>
              <w:t>32.34 </w:t>
            </w:r>
          </w:p>
        </w:tc>
        <w:tc>
          <w:tcPr>
            <w:tcW w:w="0" w:type="auto"/>
            <w:shd w:val="clear" w:color="auto" w:fill="DCE2EF"/>
            <w:tcMar>
              <w:top w:w="30" w:type="dxa"/>
              <w:left w:w="0" w:type="dxa"/>
              <w:bottom w:w="30" w:type="dxa"/>
              <w:right w:w="20" w:type="dxa"/>
            </w:tcMar>
            <w:vAlign w:val="bottom"/>
            <w:hideMark/>
          </w:tcPr>
          <w:p w14:paraId="7571D6BA" w14:textId="77777777" w:rsidR="00000000" w:rsidRDefault="001D0688">
            <w:pPr>
              <w:jc w:val="right"/>
              <w:rPr>
                <w:rFonts w:eastAsia="Times New Roman"/>
              </w:rPr>
            </w:pPr>
          </w:p>
        </w:tc>
      </w:tr>
      <w:tr w:rsidR="00000000" w14:paraId="3A4CFA99" w14:textId="77777777">
        <w:tc>
          <w:tcPr>
            <w:tcW w:w="0" w:type="auto"/>
            <w:gridSpan w:val="3"/>
            <w:shd w:val="clear" w:color="auto" w:fill="FFFFFF"/>
            <w:tcMar>
              <w:top w:w="30" w:type="dxa"/>
              <w:left w:w="20" w:type="dxa"/>
              <w:bottom w:w="30" w:type="dxa"/>
              <w:right w:w="20" w:type="dxa"/>
            </w:tcMar>
            <w:vAlign w:val="bottom"/>
            <w:hideMark/>
          </w:tcPr>
          <w:p w14:paraId="71DEF051" w14:textId="77777777" w:rsidR="00000000" w:rsidRDefault="001D0688">
            <w:pPr>
              <w:rPr>
                <w:rFonts w:eastAsia="Times New Roman"/>
              </w:rPr>
            </w:pPr>
            <w:r>
              <w:rPr>
                <w:rFonts w:ascii="Arial" w:eastAsia="Times New Roman" w:hAnsi="Arial" w:cs="Arial"/>
                <w:color w:val="000000"/>
                <w:sz w:val="20"/>
                <w:szCs w:val="20"/>
              </w:rPr>
              <w:t>Aggregate purchases</w:t>
            </w:r>
          </w:p>
        </w:tc>
        <w:tc>
          <w:tcPr>
            <w:tcW w:w="0" w:type="auto"/>
            <w:shd w:val="clear" w:color="auto" w:fill="FFFFFF"/>
            <w:tcMar>
              <w:top w:w="30" w:type="dxa"/>
              <w:left w:w="20" w:type="dxa"/>
              <w:bottom w:w="30" w:type="dxa"/>
              <w:right w:w="0" w:type="dxa"/>
            </w:tcMar>
            <w:vAlign w:val="bottom"/>
            <w:hideMark/>
          </w:tcPr>
          <w:p w14:paraId="10B64A6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C518911" w14:textId="77777777" w:rsidR="00000000" w:rsidRDefault="001D0688">
            <w:pPr>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14:paraId="1F0432B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B1CCD"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2CE1C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ADD7791" w14:textId="77777777" w:rsidR="00000000" w:rsidRDefault="001D0688">
            <w:pPr>
              <w:jc w:val="right"/>
              <w:rPr>
                <w:rFonts w:eastAsia="Times New Roman"/>
              </w:rPr>
            </w:pPr>
            <w:r>
              <w:rPr>
                <w:rFonts w:ascii="Arial" w:eastAsia="Times New Roman" w:hAnsi="Arial" w:cs="Arial"/>
                <w:color w:val="000000"/>
                <w:sz w:val="20"/>
                <w:szCs w:val="20"/>
              </w:rPr>
              <w:t>4.1 </w:t>
            </w:r>
          </w:p>
        </w:tc>
        <w:tc>
          <w:tcPr>
            <w:tcW w:w="0" w:type="auto"/>
            <w:shd w:val="clear" w:color="auto" w:fill="FFFFFF"/>
            <w:tcMar>
              <w:top w:w="30" w:type="dxa"/>
              <w:left w:w="0" w:type="dxa"/>
              <w:bottom w:w="30" w:type="dxa"/>
              <w:right w:w="20" w:type="dxa"/>
            </w:tcMar>
            <w:vAlign w:val="bottom"/>
            <w:hideMark/>
          </w:tcPr>
          <w:p w14:paraId="0D40AFF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BA313"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9BCB8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7DC83D1" w14:textId="77777777" w:rsidR="00000000" w:rsidRDefault="001D0688">
            <w:pPr>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14:paraId="31B9A71E" w14:textId="77777777" w:rsidR="00000000" w:rsidRDefault="001D0688">
            <w:pPr>
              <w:jc w:val="right"/>
              <w:rPr>
                <w:rFonts w:eastAsia="Times New Roman"/>
              </w:rPr>
            </w:pPr>
          </w:p>
        </w:tc>
      </w:tr>
    </w:tbl>
    <w:p w14:paraId="36368B1C" w14:textId="77777777" w:rsidR="00000000" w:rsidRDefault="001D0688">
      <w:pPr>
        <w:jc w:val="both"/>
        <w:rPr>
          <w:rFonts w:eastAsia="Times New Roman"/>
        </w:rPr>
      </w:pPr>
    </w:p>
    <w:p w14:paraId="65838E9B" w14:textId="77777777" w:rsidR="00000000" w:rsidRDefault="001D0688">
      <w:pPr>
        <w:divId w:val="1854146134"/>
        <w:rPr>
          <w:rFonts w:eastAsia="Times New Roman"/>
        </w:rPr>
      </w:pPr>
      <w:r>
        <w:rPr>
          <w:rFonts w:ascii="Arial" w:eastAsia="Times New Roman" w:hAnsi="Arial" w:cs="Arial"/>
          <w:b/>
          <w:bCs/>
          <w:color w:val="0046AD"/>
          <w:sz w:val="20"/>
          <w:szCs w:val="20"/>
        </w:rPr>
        <w:t>16. INCOME TAXES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2621EFFE" w14:textId="77777777">
        <w:trPr>
          <w:divId w:val="476533856"/>
        </w:trPr>
        <w:tc>
          <w:tcPr>
            <w:tcW w:w="5" w:type="pct"/>
            <w:vAlign w:val="center"/>
            <w:hideMark/>
          </w:tcPr>
          <w:p w14:paraId="0302BD8F" w14:textId="77777777" w:rsidR="00000000" w:rsidRDefault="001D0688">
            <w:pPr>
              <w:rPr>
                <w:rFonts w:eastAsia="Times New Roman"/>
              </w:rPr>
            </w:pPr>
          </w:p>
        </w:tc>
        <w:tc>
          <w:tcPr>
            <w:tcW w:w="129" w:type="pct"/>
            <w:vAlign w:val="center"/>
            <w:hideMark/>
          </w:tcPr>
          <w:p w14:paraId="1B2EC3FC" w14:textId="77777777" w:rsidR="00000000" w:rsidRDefault="001D0688">
            <w:pPr>
              <w:rPr>
                <w:rFonts w:eastAsia="Times New Roman"/>
                <w:sz w:val="20"/>
                <w:szCs w:val="20"/>
              </w:rPr>
            </w:pPr>
          </w:p>
        </w:tc>
        <w:tc>
          <w:tcPr>
            <w:tcW w:w="5" w:type="pct"/>
            <w:vAlign w:val="center"/>
            <w:hideMark/>
          </w:tcPr>
          <w:p w14:paraId="6C215464" w14:textId="77777777" w:rsidR="00000000" w:rsidRDefault="001D0688">
            <w:pPr>
              <w:rPr>
                <w:rFonts w:eastAsia="Times New Roman"/>
                <w:sz w:val="20"/>
                <w:szCs w:val="20"/>
              </w:rPr>
            </w:pPr>
          </w:p>
        </w:tc>
        <w:tc>
          <w:tcPr>
            <w:tcW w:w="50" w:type="pct"/>
            <w:vAlign w:val="center"/>
            <w:hideMark/>
          </w:tcPr>
          <w:p w14:paraId="55AF79DC" w14:textId="77777777" w:rsidR="00000000" w:rsidRDefault="001D0688">
            <w:pPr>
              <w:rPr>
                <w:rFonts w:eastAsia="Times New Roman"/>
                <w:sz w:val="20"/>
                <w:szCs w:val="20"/>
              </w:rPr>
            </w:pPr>
          </w:p>
        </w:tc>
        <w:tc>
          <w:tcPr>
            <w:tcW w:w="4805" w:type="pct"/>
            <w:vAlign w:val="center"/>
            <w:hideMark/>
          </w:tcPr>
          <w:p w14:paraId="47E2DEBD" w14:textId="77777777" w:rsidR="00000000" w:rsidRDefault="001D0688">
            <w:pPr>
              <w:rPr>
                <w:rFonts w:eastAsia="Times New Roman"/>
                <w:sz w:val="20"/>
                <w:szCs w:val="20"/>
              </w:rPr>
            </w:pPr>
          </w:p>
        </w:tc>
        <w:tc>
          <w:tcPr>
            <w:tcW w:w="5" w:type="pct"/>
            <w:vAlign w:val="center"/>
            <w:hideMark/>
          </w:tcPr>
          <w:p w14:paraId="6587CF20" w14:textId="77777777" w:rsidR="00000000" w:rsidRDefault="001D0688">
            <w:pPr>
              <w:rPr>
                <w:rFonts w:eastAsia="Times New Roman"/>
                <w:sz w:val="20"/>
                <w:szCs w:val="20"/>
              </w:rPr>
            </w:pPr>
          </w:p>
        </w:tc>
      </w:tr>
      <w:tr w:rsidR="00000000" w14:paraId="0FA2CDAC" w14:textId="77777777">
        <w:trPr>
          <w:divId w:val="476533856"/>
          <w:trHeight w:val="60"/>
        </w:trPr>
        <w:tc>
          <w:tcPr>
            <w:tcW w:w="0" w:type="auto"/>
            <w:gridSpan w:val="3"/>
            <w:tcBorders>
              <w:top w:val="single" w:sz="8" w:space="0" w:color="E98300"/>
            </w:tcBorders>
            <w:tcMar>
              <w:top w:w="0" w:type="dxa"/>
              <w:left w:w="20" w:type="dxa"/>
              <w:bottom w:w="0" w:type="dxa"/>
              <w:right w:w="20" w:type="dxa"/>
            </w:tcMar>
            <w:vAlign w:val="center"/>
            <w:hideMark/>
          </w:tcPr>
          <w:p w14:paraId="7F00B64A"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95E3EF9" w14:textId="77777777" w:rsidR="00000000" w:rsidRDefault="001D0688">
            <w:pPr>
              <w:rPr>
                <w:rFonts w:eastAsia="Times New Roman"/>
                <w:sz w:val="20"/>
                <w:szCs w:val="20"/>
              </w:rPr>
            </w:pPr>
          </w:p>
        </w:tc>
      </w:tr>
    </w:tbl>
    <w:p w14:paraId="73B8F295" w14:textId="77777777" w:rsidR="00000000" w:rsidRDefault="001D0688">
      <w:pPr>
        <w:jc w:val="both"/>
        <w:divId w:val="36128123"/>
        <w:rPr>
          <w:rFonts w:eastAsia="Times New Roman"/>
        </w:rPr>
      </w:pPr>
      <w:r>
        <w:rPr>
          <w:rFonts w:ascii="Arial" w:eastAsia="Times New Roman" w:hAnsi="Arial" w:cs="Arial"/>
          <w:b/>
          <w:bCs/>
          <w:color w:val="0046AD"/>
          <w:sz w:val="20"/>
          <w:szCs w:val="20"/>
        </w:rPr>
        <w:t>Geographic Sources of Income from Continuing Operations Before Income Taxes</w:t>
      </w:r>
    </w:p>
    <w:tbl>
      <w:tblPr>
        <w:tblW w:w="5000" w:type="pct"/>
        <w:tblCellMar>
          <w:top w:w="15" w:type="dxa"/>
          <w:left w:w="15" w:type="dxa"/>
          <w:bottom w:w="15" w:type="dxa"/>
          <w:right w:w="15" w:type="dxa"/>
        </w:tblCellMar>
        <w:tblLook w:val="04A0" w:firstRow="1" w:lastRow="0" w:firstColumn="1" w:lastColumn="0" w:noHBand="0" w:noVBand="1"/>
      </w:tblPr>
      <w:tblGrid>
        <w:gridCol w:w="39"/>
        <w:gridCol w:w="4682"/>
        <w:gridCol w:w="38"/>
        <w:gridCol w:w="132"/>
        <w:gridCol w:w="972"/>
        <w:gridCol w:w="36"/>
        <w:gridCol w:w="36"/>
        <w:gridCol w:w="36"/>
        <w:gridCol w:w="36"/>
        <w:gridCol w:w="132"/>
        <w:gridCol w:w="927"/>
        <w:gridCol w:w="36"/>
        <w:gridCol w:w="36"/>
        <w:gridCol w:w="36"/>
        <w:gridCol w:w="36"/>
        <w:gridCol w:w="132"/>
        <w:gridCol w:w="928"/>
        <w:gridCol w:w="36"/>
      </w:tblGrid>
      <w:tr w:rsidR="00000000" w14:paraId="3CD7A5F2" w14:textId="77777777">
        <w:trPr>
          <w:divId w:val="551386653"/>
        </w:trPr>
        <w:tc>
          <w:tcPr>
            <w:tcW w:w="50" w:type="pct"/>
            <w:vAlign w:val="center"/>
            <w:hideMark/>
          </w:tcPr>
          <w:p w14:paraId="193F39B0" w14:textId="77777777" w:rsidR="00000000" w:rsidRDefault="001D0688">
            <w:pPr>
              <w:jc w:val="both"/>
              <w:rPr>
                <w:rFonts w:eastAsia="Times New Roman"/>
              </w:rPr>
            </w:pPr>
          </w:p>
        </w:tc>
        <w:tc>
          <w:tcPr>
            <w:tcW w:w="2854" w:type="pct"/>
            <w:vAlign w:val="center"/>
            <w:hideMark/>
          </w:tcPr>
          <w:p w14:paraId="2994DCA5" w14:textId="77777777" w:rsidR="00000000" w:rsidRDefault="001D0688">
            <w:pPr>
              <w:rPr>
                <w:rFonts w:eastAsia="Times New Roman"/>
                <w:sz w:val="20"/>
                <w:szCs w:val="20"/>
              </w:rPr>
            </w:pPr>
          </w:p>
        </w:tc>
        <w:tc>
          <w:tcPr>
            <w:tcW w:w="5" w:type="pct"/>
            <w:vAlign w:val="center"/>
            <w:hideMark/>
          </w:tcPr>
          <w:p w14:paraId="4EE17943" w14:textId="77777777" w:rsidR="00000000" w:rsidRDefault="001D0688">
            <w:pPr>
              <w:rPr>
                <w:rFonts w:eastAsia="Times New Roman"/>
                <w:sz w:val="20"/>
                <w:szCs w:val="20"/>
              </w:rPr>
            </w:pPr>
          </w:p>
        </w:tc>
        <w:tc>
          <w:tcPr>
            <w:tcW w:w="50" w:type="pct"/>
            <w:vAlign w:val="center"/>
            <w:hideMark/>
          </w:tcPr>
          <w:p w14:paraId="3AF5D894" w14:textId="77777777" w:rsidR="00000000" w:rsidRDefault="001D0688">
            <w:pPr>
              <w:rPr>
                <w:rFonts w:eastAsia="Times New Roman"/>
                <w:sz w:val="20"/>
                <w:szCs w:val="20"/>
              </w:rPr>
            </w:pPr>
          </w:p>
        </w:tc>
        <w:tc>
          <w:tcPr>
            <w:tcW w:w="617" w:type="pct"/>
            <w:vAlign w:val="center"/>
            <w:hideMark/>
          </w:tcPr>
          <w:p w14:paraId="04828C6C" w14:textId="77777777" w:rsidR="00000000" w:rsidRDefault="001D0688">
            <w:pPr>
              <w:rPr>
                <w:rFonts w:eastAsia="Times New Roman"/>
                <w:sz w:val="20"/>
                <w:szCs w:val="20"/>
              </w:rPr>
            </w:pPr>
          </w:p>
        </w:tc>
        <w:tc>
          <w:tcPr>
            <w:tcW w:w="5" w:type="pct"/>
            <w:vAlign w:val="center"/>
            <w:hideMark/>
          </w:tcPr>
          <w:p w14:paraId="1F51B8DE" w14:textId="77777777" w:rsidR="00000000" w:rsidRDefault="001D0688">
            <w:pPr>
              <w:rPr>
                <w:rFonts w:eastAsia="Times New Roman"/>
                <w:sz w:val="20"/>
                <w:szCs w:val="20"/>
              </w:rPr>
            </w:pPr>
          </w:p>
        </w:tc>
        <w:tc>
          <w:tcPr>
            <w:tcW w:w="5" w:type="pct"/>
            <w:vAlign w:val="center"/>
            <w:hideMark/>
          </w:tcPr>
          <w:p w14:paraId="1D2DE7E1" w14:textId="77777777" w:rsidR="00000000" w:rsidRDefault="001D0688">
            <w:pPr>
              <w:rPr>
                <w:rFonts w:eastAsia="Times New Roman"/>
                <w:sz w:val="20"/>
                <w:szCs w:val="20"/>
              </w:rPr>
            </w:pPr>
          </w:p>
        </w:tc>
        <w:tc>
          <w:tcPr>
            <w:tcW w:w="26" w:type="pct"/>
            <w:vAlign w:val="center"/>
            <w:hideMark/>
          </w:tcPr>
          <w:p w14:paraId="0525644E" w14:textId="77777777" w:rsidR="00000000" w:rsidRDefault="001D0688">
            <w:pPr>
              <w:rPr>
                <w:rFonts w:eastAsia="Times New Roman"/>
                <w:sz w:val="20"/>
                <w:szCs w:val="20"/>
              </w:rPr>
            </w:pPr>
          </w:p>
        </w:tc>
        <w:tc>
          <w:tcPr>
            <w:tcW w:w="5" w:type="pct"/>
            <w:vAlign w:val="center"/>
            <w:hideMark/>
          </w:tcPr>
          <w:p w14:paraId="0685B558" w14:textId="77777777" w:rsidR="00000000" w:rsidRDefault="001D0688">
            <w:pPr>
              <w:rPr>
                <w:rFonts w:eastAsia="Times New Roman"/>
                <w:sz w:val="20"/>
                <w:szCs w:val="20"/>
              </w:rPr>
            </w:pPr>
          </w:p>
        </w:tc>
        <w:tc>
          <w:tcPr>
            <w:tcW w:w="50" w:type="pct"/>
            <w:vAlign w:val="center"/>
            <w:hideMark/>
          </w:tcPr>
          <w:p w14:paraId="528A9C80" w14:textId="77777777" w:rsidR="00000000" w:rsidRDefault="001D0688">
            <w:pPr>
              <w:rPr>
                <w:rFonts w:eastAsia="Times New Roman"/>
                <w:sz w:val="20"/>
                <w:szCs w:val="20"/>
              </w:rPr>
            </w:pPr>
          </w:p>
        </w:tc>
        <w:tc>
          <w:tcPr>
            <w:tcW w:w="617" w:type="pct"/>
            <w:vAlign w:val="center"/>
            <w:hideMark/>
          </w:tcPr>
          <w:p w14:paraId="2AA2C8CC" w14:textId="77777777" w:rsidR="00000000" w:rsidRDefault="001D0688">
            <w:pPr>
              <w:rPr>
                <w:rFonts w:eastAsia="Times New Roman"/>
                <w:sz w:val="20"/>
                <w:szCs w:val="20"/>
              </w:rPr>
            </w:pPr>
          </w:p>
        </w:tc>
        <w:tc>
          <w:tcPr>
            <w:tcW w:w="5" w:type="pct"/>
            <w:vAlign w:val="center"/>
            <w:hideMark/>
          </w:tcPr>
          <w:p w14:paraId="41FDFBF9" w14:textId="77777777" w:rsidR="00000000" w:rsidRDefault="001D0688">
            <w:pPr>
              <w:rPr>
                <w:rFonts w:eastAsia="Times New Roman"/>
                <w:sz w:val="20"/>
                <w:szCs w:val="20"/>
              </w:rPr>
            </w:pPr>
          </w:p>
        </w:tc>
        <w:tc>
          <w:tcPr>
            <w:tcW w:w="5" w:type="pct"/>
            <w:vAlign w:val="center"/>
            <w:hideMark/>
          </w:tcPr>
          <w:p w14:paraId="47B84C55" w14:textId="77777777" w:rsidR="00000000" w:rsidRDefault="001D0688">
            <w:pPr>
              <w:rPr>
                <w:rFonts w:eastAsia="Times New Roman"/>
                <w:sz w:val="20"/>
                <w:szCs w:val="20"/>
              </w:rPr>
            </w:pPr>
          </w:p>
        </w:tc>
        <w:tc>
          <w:tcPr>
            <w:tcW w:w="26" w:type="pct"/>
            <w:vAlign w:val="center"/>
            <w:hideMark/>
          </w:tcPr>
          <w:p w14:paraId="045540A9" w14:textId="77777777" w:rsidR="00000000" w:rsidRDefault="001D0688">
            <w:pPr>
              <w:rPr>
                <w:rFonts w:eastAsia="Times New Roman"/>
                <w:sz w:val="20"/>
                <w:szCs w:val="20"/>
              </w:rPr>
            </w:pPr>
          </w:p>
        </w:tc>
        <w:tc>
          <w:tcPr>
            <w:tcW w:w="5" w:type="pct"/>
            <w:vAlign w:val="center"/>
            <w:hideMark/>
          </w:tcPr>
          <w:p w14:paraId="559E3676" w14:textId="77777777" w:rsidR="00000000" w:rsidRDefault="001D0688">
            <w:pPr>
              <w:rPr>
                <w:rFonts w:eastAsia="Times New Roman"/>
                <w:sz w:val="20"/>
                <w:szCs w:val="20"/>
              </w:rPr>
            </w:pPr>
          </w:p>
        </w:tc>
        <w:tc>
          <w:tcPr>
            <w:tcW w:w="50" w:type="pct"/>
            <w:vAlign w:val="center"/>
            <w:hideMark/>
          </w:tcPr>
          <w:p w14:paraId="319C2702" w14:textId="77777777" w:rsidR="00000000" w:rsidRDefault="001D0688">
            <w:pPr>
              <w:rPr>
                <w:rFonts w:eastAsia="Times New Roman"/>
                <w:sz w:val="20"/>
                <w:szCs w:val="20"/>
              </w:rPr>
            </w:pPr>
          </w:p>
        </w:tc>
        <w:tc>
          <w:tcPr>
            <w:tcW w:w="617" w:type="pct"/>
            <w:vAlign w:val="center"/>
            <w:hideMark/>
          </w:tcPr>
          <w:p w14:paraId="4E913EE8" w14:textId="77777777" w:rsidR="00000000" w:rsidRDefault="001D0688">
            <w:pPr>
              <w:rPr>
                <w:rFonts w:eastAsia="Times New Roman"/>
                <w:sz w:val="20"/>
                <w:szCs w:val="20"/>
              </w:rPr>
            </w:pPr>
          </w:p>
        </w:tc>
        <w:tc>
          <w:tcPr>
            <w:tcW w:w="5" w:type="pct"/>
            <w:vAlign w:val="center"/>
            <w:hideMark/>
          </w:tcPr>
          <w:p w14:paraId="3527398D" w14:textId="77777777" w:rsidR="00000000" w:rsidRDefault="001D0688">
            <w:pPr>
              <w:rPr>
                <w:rFonts w:eastAsia="Times New Roman"/>
                <w:sz w:val="20"/>
                <w:szCs w:val="20"/>
              </w:rPr>
            </w:pPr>
          </w:p>
        </w:tc>
      </w:tr>
      <w:tr w:rsidR="00000000" w14:paraId="27E1E08A" w14:textId="77777777">
        <w:trPr>
          <w:divId w:val="551386653"/>
        </w:trPr>
        <w:tc>
          <w:tcPr>
            <w:tcW w:w="0" w:type="auto"/>
            <w:gridSpan w:val="3"/>
            <w:tcMar>
              <w:top w:w="0" w:type="dxa"/>
              <w:left w:w="20" w:type="dxa"/>
              <w:bottom w:w="0" w:type="dxa"/>
              <w:right w:w="20" w:type="dxa"/>
            </w:tcMar>
            <w:vAlign w:val="center"/>
            <w:hideMark/>
          </w:tcPr>
          <w:p w14:paraId="380618F2"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5CF7C232"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5AA5C1A5" w14:textId="77777777">
        <w:trPr>
          <w:divId w:val="551386653"/>
        </w:trPr>
        <w:tc>
          <w:tcPr>
            <w:tcW w:w="0" w:type="auto"/>
            <w:gridSpan w:val="3"/>
            <w:tcMar>
              <w:top w:w="30" w:type="dxa"/>
              <w:left w:w="20" w:type="dxa"/>
              <w:bottom w:w="30" w:type="dxa"/>
              <w:right w:w="20" w:type="dxa"/>
            </w:tcMar>
            <w:vAlign w:val="bottom"/>
            <w:hideMark/>
          </w:tcPr>
          <w:p w14:paraId="1F6FE8F3"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3486B73"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2C4EE4F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B25E19"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7AD0CFC7"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BFF84F"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3AAC3858" w14:textId="77777777">
        <w:trPr>
          <w:divId w:val="551386653"/>
        </w:trPr>
        <w:tc>
          <w:tcPr>
            <w:tcW w:w="0" w:type="auto"/>
            <w:gridSpan w:val="3"/>
            <w:shd w:val="clear" w:color="auto" w:fill="DCE2EF"/>
            <w:tcMar>
              <w:top w:w="30" w:type="dxa"/>
              <w:left w:w="20" w:type="dxa"/>
              <w:bottom w:w="30" w:type="dxa"/>
              <w:right w:w="20" w:type="dxa"/>
            </w:tcMar>
            <w:vAlign w:val="bottom"/>
            <w:hideMark/>
          </w:tcPr>
          <w:p w14:paraId="2402B3B4" w14:textId="77777777" w:rsidR="00000000" w:rsidRDefault="001D0688">
            <w:pPr>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6B4D54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26723A4" w14:textId="77777777" w:rsidR="00000000" w:rsidRDefault="001D0688">
            <w:pPr>
              <w:jc w:val="right"/>
              <w:rPr>
                <w:rFonts w:eastAsia="Times New Roman"/>
              </w:rPr>
            </w:pPr>
            <w:r>
              <w:rPr>
                <w:rFonts w:ascii="Arial" w:eastAsia="Times New Roman" w:hAnsi="Arial" w:cs="Arial"/>
                <w:color w:val="000000"/>
                <w:sz w:val="20"/>
                <w:szCs w:val="20"/>
              </w:rPr>
              <w:t>45.2 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9CF276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27E95E"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530AF8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7CA11CD" w14:textId="77777777" w:rsidR="00000000" w:rsidRDefault="001D0688">
            <w:pPr>
              <w:jc w:val="right"/>
              <w:rPr>
                <w:rFonts w:eastAsia="Times New Roman"/>
              </w:rPr>
            </w:pPr>
            <w:r>
              <w:rPr>
                <w:rFonts w:ascii="Arial" w:eastAsia="Times New Roman" w:hAnsi="Arial" w:cs="Arial"/>
                <w:color w:val="000000"/>
                <w:sz w:val="20"/>
                <w:szCs w:val="20"/>
              </w:rPr>
              <w:t>137.1 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E19BDC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93B45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9798D0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723F3DA" w14:textId="77777777" w:rsidR="00000000" w:rsidRDefault="001D0688">
            <w:pPr>
              <w:jc w:val="right"/>
              <w:rPr>
                <w:rFonts w:eastAsia="Times New Roman"/>
              </w:rPr>
            </w:pPr>
            <w:r>
              <w:rPr>
                <w:rFonts w:ascii="Arial" w:eastAsia="Times New Roman" w:hAnsi="Arial" w:cs="Arial"/>
                <w:color w:val="000000"/>
                <w:sz w:val="20"/>
                <w:szCs w:val="20"/>
              </w:rPr>
              <w:t>94.8 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4EAF69" w14:textId="77777777" w:rsidR="00000000" w:rsidRDefault="001D0688">
            <w:pPr>
              <w:jc w:val="right"/>
              <w:rPr>
                <w:rFonts w:eastAsia="Times New Roman"/>
              </w:rPr>
            </w:pPr>
          </w:p>
        </w:tc>
      </w:tr>
      <w:tr w:rsidR="00000000" w14:paraId="3A4B5858" w14:textId="77777777">
        <w:trPr>
          <w:divId w:val="551386653"/>
        </w:trPr>
        <w:tc>
          <w:tcPr>
            <w:tcW w:w="0" w:type="auto"/>
            <w:gridSpan w:val="3"/>
            <w:shd w:val="clear" w:color="auto" w:fill="FFFFFF"/>
            <w:tcMar>
              <w:top w:w="30" w:type="dxa"/>
              <w:left w:w="20" w:type="dxa"/>
              <w:bottom w:w="30" w:type="dxa"/>
              <w:right w:w="20" w:type="dxa"/>
            </w:tcMar>
            <w:vAlign w:val="bottom"/>
            <w:hideMark/>
          </w:tcPr>
          <w:p w14:paraId="7BFA62B4" w14:textId="77777777" w:rsidR="00000000" w:rsidRDefault="001D0688">
            <w:pPr>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4FA99252" w14:textId="77777777" w:rsidR="00000000" w:rsidRDefault="001D0688">
            <w:pPr>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14:paraId="375F223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15ED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F5DE7" w14:textId="77777777" w:rsidR="00000000" w:rsidRDefault="001D0688">
            <w:pPr>
              <w:jc w:val="right"/>
              <w:rPr>
                <w:rFonts w:eastAsia="Times New Roman"/>
              </w:rPr>
            </w:pPr>
            <w:r>
              <w:rPr>
                <w:rFonts w:ascii="Arial" w:eastAsia="Times New Roman" w:hAnsi="Arial" w:cs="Arial"/>
                <w:color w:val="000000"/>
                <w:sz w:val="20"/>
                <w:szCs w:val="20"/>
              </w:rPr>
              <w:t>23.1 </w:t>
            </w:r>
          </w:p>
        </w:tc>
        <w:tc>
          <w:tcPr>
            <w:tcW w:w="0" w:type="auto"/>
            <w:shd w:val="clear" w:color="auto" w:fill="FFFFFF"/>
            <w:tcMar>
              <w:top w:w="30" w:type="dxa"/>
              <w:left w:w="0" w:type="dxa"/>
              <w:bottom w:w="30" w:type="dxa"/>
              <w:right w:w="20" w:type="dxa"/>
            </w:tcMar>
            <w:vAlign w:val="bottom"/>
            <w:hideMark/>
          </w:tcPr>
          <w:p w14:paraId="791248E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4760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1B559" w14:textId="77777777" w:rsidR="00000000" w:rsidRDefault="001D0688">
            <w:pPr>
              <w:jc w:val="right"/>
              <w:rPr>
                <w:rFonts w:eastAsia="Times New Roman"/>
              </w:rPr>
            </w:pPr>
            <w:r>
              <w:rPr>
                <w:rFonts w:ascii="Arial" w:eastAsia="Times New Roman" w:hAnsi="Arial" w:cs="Arial"/>
                <w:color w:val="000000"/>
                <w:sz w:val="20"/>
                <w:szCs w:val="20"/>
              </w:rPr>
              <w:t>(7.1)</w:t>
            </w:r>
          </w:p>
        </w:tc>
        <w:tc>
          <w:tcPr>
            <w:tcW w:w="0" w:type="auto"/>
            <w:shd w:val="clear" w:color="auto" w:fill="FFFFFF"/>
            <w:tcMar>
              <w:top w:w="30" w:type="dxa"/>
              <w:left w:w="0" w:type="dxa"/>
              <w:bottom w:w="30" w:type="dxa"/>
              <w:right w:w="20" w:type="dxa"/>
            </w:tcMar>
            <w:vAlign w:val="bottom"/>
            <w:hideMark/>
          </w:tcPr>
          <w:p w14:paraId="5587155C" w14:textId="77777777" w:rsidR="00000000" w:rsidRDefault="001D0688">
            <w:pPr>
              <w:jc w:val="right"/>
              <w:rPr>
                <w:rFonts w:eastAsia="Times New Roman"/>
              </w:rPr>
            </w:pPr>
          </w:p>
        </w:tc>
      </w:tr>
      <w:tr w:rsidR="00000000" w14:paraId="0577AC65" w14:textId="77777777">
        <w:trPr>
          <w:divId w:val="551386653"/>
        </w:trPr>
        <w:tc>
          <w:tcPr>
            <w:tcW w:w="0" w:type="auto"/>
            <w:gridSpan w:val="3"/>
            <w:shd w:val="clear" w:color="auto" w:fill="DCE2EF"/>
            <w:tcMar>
              <w:top w:w="30" w:type="dxa"/>
              <w:left w:w="20" w:type="dxa"/>
              <w:bottom w:w="30" w:type="dxa"/>
              <w:right w:w="20" w:type="dxa"/>
            </w:tcMar>
            <w:vAlign w:val="bottom"/>
            <w:hideMark/>
          </w:tcPr>
          <w:p w14:paraId="7788ED59" w14:textId="77777777" w:rsidR="00000000" w:rsidRDefault="001D0688">
            <w:pPr>
              <w:rPr>
                <w:rFonts w:eastAsia="Times New Roman"/>
              </w:rPr>
            </w:pPr>
            <w:r>
              <w:rPr>
                <w:rFonts w:ascii="Arial" w:eastAsia="Times New Roman" w:hAnsi="Arial" w:cs="Arial"/>
                <w:b/>
                <w:bCs/>
                <w:color w:val="000000"/>
                <w:sz w:val="20"/>
                <w:szCs w:val="20"/>
              </w:rPr>
              <w:t>Income from continuing operations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B06772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216DF54" w14:textId="77777777" w:rsidR="00000000" w:rsidRDefault="001D0688">
            <w:pPr>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282552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09CFD9"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C779C6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3B752A9" w14:textId="77777777" w:rsidR="00000000" w:rsidRDefault="001D0688">
            <w:pPr>
              <w:jc w:val="right"/>
              <w:rPr>
                <w:rFonts w:eastAsia="Times New Roman"/>
              </w:rPr>
            </w:pPr>
            <w:r>
              <w:rPr>
                <w:rFonts w:ascii="Arial" w:eastAsia="Times New Roman" w:hAnsi="Arial" w:cs="Arial"/>
                <w:color w:val="000000"/>
                <w:sz w:val="20"/>
                <w:szCs w:val="20"/>
              </w:rPr>
              <w:t>160.2 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AEB0F4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B640F4"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8E6BDE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70F80DC" w14:textId="77777777" w:rsidR="00000000" w:rsidRDefault="001D0688">
            <w:pPr>
              <w:jc w:val="right"/>
              <w:rPr>
                <w:rFonts w:eastAsia="Times New Roman"/>
              </w:rPr>
            </w:pPr>
            <w:r>
              <w:rPr>
                <w:rFonts w:ascii="Arial" w:eastAsia="Times New Roman" w:hAnsi="Arial" w:cs="Arial"/>
                <w:color w:val="000000"/>
                <w:sz w:val="20"/>
                <w:szCs w:val="20"/>
              </w:rPr>
              <w:t>87.7 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8CF5835" w14:textId="77777777" w:rsidR="00000000" w:rsidRDefault="001D0688">
            <w:pPr>
              <w:jc w:val="right"/>
              <w:rPr>
                <w:rFonts w:eastAsia="Times New Roman"/>
              </w:rPr>
            </w:pPr>
          </w:p>
        </w:tc>
      </w:tr>
    </w:tbl>
    <w:p w14:paraId="5B1D4893" w14:textId="77777777" w:rsidR="00000000" w:rsidRDefault="001D0688">
      <w:pPr>
        <w:divId w:val="1497380106"/>
        <w:rPr>
          <w:rFonts w:eastAsia="Times New Roman"/>
        </w:rPr>
      </w:pPr>
      <w:r>
        <w:rPr>
          <w:rFonts w:ascii="Arial" w:eastAsia="Times New Roman" w:hAnsi="Arial" w:cs="Arial"/>
          <w:b/>
          <w:bCs/>
          <w:color w:val="0046AD"/>
          <w:sz w:val="20"/>
          <w:szCs w:val="20"/>
        </w:rPr>
        <w:t>Components of Income Tax (Provision) Benefit</w:t>
      </w:r>
    </w:p>
    <w:tbl>
      <w:tblPr>
        <w:tblW w:w="5000" w:type="pct"/>
        <w:tblCellMar>
          <w:top w:w="15" w:type="dxa"/>
          <w:left w:w="15" w:type="dxa"/>
          <w:bottom w:w="15" w:type="dxa"/>
          <w:right w:w="15" w:type="dxa"/>
        </w:tblCellMar>
        <w:tblLook w:val="04A0" w:firstRow="1" w:lastRow="0" w:firstColumn="1" w:lastColumn="0" w:noHBand="0" w:noVBand="1"/>
      </w:tblPr>
      <w:tblGrid>
        <w:gridCol w:w="40"/>
        <w:gridCol w:w="4681"/>
        <w:gridCol w:w="37"/>
        <w:gridCol w:w="132"/>
        <w:gridCol w:w="972"/>
        <w:gridCol w:w="36"/>
        <w:gridCol w:w="36"/>
        <w:gridCol w:w="36"/>
        <w:gridCol w:w="36"/>
        <w:gridCol w:w="132"/>
        <w:gridCol w:w="928"/>
        <w:gridCol w:w="36"/>
        <w:gridCol w:w="36"/>
        <w:gridCol w:w="36"/>
        <w:gridCol w:w="36"/>
        <w:gridCol w:w="132"/>
        <w:gridCol w:w="928"/>
        <w:gridCol w:w="36"/>
      </w:tblGrid>
      <w:tr w:rsidR="00000000" w14:paraId="211310A2" w14:textId="77777777">
        <w:trPr>
          <w:divId w:val="636178643"/>
        </w:trPr>
        <w:tc>
          <w:tcPr>
            <w:tcW w:w="50" w:type="pct"/>
            <w:vAlign w:val="center"/>
            <w:hideMark/>
          </w:tcPr>
          <w:p w14:paraId="0D761DDA" w14:textId="77777777" w:rsidR="00000000" w:rsidRDefault="001D0688">
            <w:pPr>
              <w:rPr>
                <w:rFonts w:eastAsia="Times New Roman"/>
              </w:rPr>
            </w:pPr>
          </w:p>
        </w:tc>
        <w:tc>
          <w:tcPr>
            <w:tcW w:w="2854" w:type="pct"/>
            <w:vAlign w:val="center"/>
            <w:hideMark/>
          </w:tcPr>
          <w:p w14:paraId="0763DDA2" w14:textId="77777777" w:rsidR="00000000" w:rsidRDefault="001D0688">
            <w:pPr>
              <w:rPr>
                <w:rFonts w:eastAsia="Times New Roman"/>
                <w:sz w:val="20"/>
                <w:szCs w:val="20"/>
              </w:rPr>
            </w:pPr>
          </w:p>
        </w:tc>
        <w:tc>
          <w:tcPr>
            <w:tcW w:w="5" w:type="pct"/>
            <w:vAlign w:val="center"/>
            <w:hideMark/>
          </w:tcPr>
          <w:p w14:paraId="1D3A547D" w14:textId="77777777" w:rsidR="00000000" w:rsidRDefault="001D0688">
            <w:pPr>
              <w:rPr>
                <w:rFonts w:eastAsia="Times New Roman"/>
                <w:sz w:val="20"/>
                <w:szCs w:val="20"/>
              </w:rPr>
            </w:pPr>
          </w:p>
        </w:tc>
        <w:tc>
          <w:tcPr>
            <w:tcW w:w="50" w:type="pct"/>
            <w:vAlign w:val="center"/>
            <w:hideMark/>
          </w:tcPr>
          <w:p w14:paraId="61C80192" w14:textId="77777777" w:rsidR="00000000" w:rsidRDefault="001D0688">
            <w:pPr>
              <w:rPr>
                <w:rFonts w:eastAsia="Times New Roman"/>
                <w:sz w:val="20"/>
                <w:szCs w:val="20"/>
              </w:rPr>
            </w:pPr>
          </w:p>
        </w:tc>
        <w:tc>
          <w:tcPr>
            <w:tcW w:w="617" w:type="pct"/>
            <w:vAlign w:val="center"/>
            <w:hideMark/>
          </w:tcPr>
          <w:p w14:paraId="50F126CA" w14:textId="77777777" w:rsidR="00000000" w:rsidRDefault="001D0688">
            <w:pPr>
              <w:rPr>
                <w:rFonts w:eastAsia="Times New Roman"/>
                <w:sz w:val="20"/>
                <w:szCs w:val="20"/>
              </w:rPr>
            </w:pPr>
          </w:p>
        </w:tc>
        <w:tc>
          <w:tcPr>
            <w:tcW w:w="5" w:type="pct"/>
            <w:vAlign w:val="center"/>
            <w:hideMark/>
          </w:tcPr>
          <w:p w14:paraId="4E69EAAC" w14:textId="77777777" w:rsidR="00000000" w:rsidRDefault="001D0688">
            <w:pPr>
              <w:rPr>
                <w:rFonts w:eastAsia="Times New Roman"/>
                <w:sz w:val="20"/>
                <w:szCs w:val="20"/>
              </w:rPr>
            </w:pPr>
          </w:p>
        </w:tc>
        <w:tc>
          <w:tcPr>
            <w:tcW w:w="5" w:type="pct"/>
            <w:vAlign w:val="center"/>
            <w:hideMark/>
          </w:tcPr>
          <w:p w14:paraId="505CB9C6" w14:textId="77777777" w:rsidR="00000000" w:rsidRDefault="001D0688">
            <w:pPr>
              <w:rPr>
                <w:rFonts w:eastAsia="Times New Roman"/>
                <w:sz w:val="20"/>
                <w:szCs w:val="20"/>
              </w:rPr>
            </w:pPr>
          </w:p>
        </w:tc>
        <w:tc>
          <w:tcPr>
            <w:tcW w:w="26" w:type="pct"/>
            <w:vAlign w:val="center"/>
            <w:hideMark/>
          </w:tcPr>
          <w:p w14:paraId="104FD359" w14:textId="77777777" w:rsidR="00000000" w:rsidRDefault="001D0688">
            <w:pPr>
              <w:rPr>
                <w:rFonts w:eastAsia="Times New Roman"/>
                <w:sz w:val="20"/>
                <w:szCs w:val="20"/>
              </w:rPr>
            </w:pPr>
          </w:p>
        </w:tc>
        <w:tc>
          <w:tcPr>
            <w:tcW w:w="5" w:type="pct"/>
            <w:vAlign w:val="center"/>
            <w:hideMark/>
          </w:tcPr>
          <w:p w14:paraId="616BBED1" w14:textId="77777777" w:rsidR="00000000" w:rsidRDefault="001D0688">
            <w:pPr>
              <w:rPr>
                <w:rFonts w:eastAsia="Times New Roman"/>
                <w:sz w:val="20"/>
                <w:szCs w:val="20"/>
              </w:rPr>
            </w:pPr>
          </w:p>
        </w:tc>
        <w:tc>
          <w:tcPr>
            <w:tcW w:w="50" w:type="pct"/>
            <w:vAlign w:val="center"/>
            <w:hideMark/>
          </w:tcPr>
          <w:p w14:paraId="7D844EAF" w14:textId="77777777" w:rsidR="00000000" w:rsidRDefault="001D0688">
            <w:pPr>
              <w:rPr>
                <w:rFonts w:eastAsia="Times New Roman"/>
                <w:sz w:val="20"/>
                <w:szCs w:val="20"/>
              </w:rPr>
            </w:pPr>
          </w:p>
        </w:tc>
        <w:tc>
          <w:tcPr>
            <w:tcW w:w="617" w:type="pct"/>
            <w:vAlign w:val="center"/>
            <w:hideMark/>
          </w:tcPr>
          <w:p w14:paraId="57CB8BF4" w14:textId="77777777" w:rsidR="00000000" w:rsidRDefault="001D0688">
            <w:pPr>
              <w:rPr>
                <w:rFonts w:eastAsia="Times New Roman"/>
                <w:sz w:val="20"/>
                <w:szCs w:val="20"/>
              </w:rPr>
            </w:pPr>
          </w:p>
        </w:tc>
        <w:tc>
          <w:tcPr>
            <w:tcW w:w="5" w:type="pct"/>
            <w:vAlign w:val="center"/>
            <w:hideMark/>
          </w:tcPr>
          <w:p w14:paraId="36C4FD90" w14:textId="77777777" w:rsidR="00000000" w:rsidRDefault="001D0688">
            <w:pPr>
              <w:rPr>
                <w:rFonts w:eastAsia="Times New Roman"/>
                <w:sz w:val="20"/>
                <w:szCs w:val="20"/>
              </w:rPr>
            </w:pPr>
          </w:p>
        </w:tc>
        <w:tc>
          <w:tcPr>
            <w:tcW w:w="5" w:type="pct"/>
            <w:vAlign w:val="center"/>
            <w:hideMark/>
          </w:tcPr>
          <w:p w14:paraId="3E4042B2" w14:textId="77777777" w:rsidR="00000000" w:rsidRDefault="001D0688">
            <w:pPr>
              <w:rPr>
                <w:rFonts w:eastAsia="Times New Roman"/>
                <w:sz w:val="20"/>
                <w:szCs w:val="20"/>
              </w:rPr>
            </w:pPr>
          </w:p>
        </w:tc>
        <w:tc>
          <w:tcPr>
            <w:tcW w:w="26" w:type="pct"/>
            <w:vAlign w:val="center"/>
            <w:hideMark/>
          </w:tcPr>
          <w:p w14:paraId="424B8825" w14:textId="77777777" w:rsidR="00000000" w:rsidRDefault="001D0688">
            <w:pPr>
              <w:rPr>
                <w:rFonts w:eastAsia="Times New Roman"/>
                <w:sz w:val="20"/>
                <w:szCs w:val="20"/>
              </w:rPr>
            </w:pPr>
          </w:p>
        </w:tc>
        <w:tc>
          <w:tcPr>
            <w:tcW w:w="5" w:type="pct"/>
            <w:vAlign w:val="center"/>
            <w:hideMark/>
          </w:tcPr>
          <w:p w14:paraId="66B2D958" w14:textId="77777777" w:rsidR="00000000" w:rsidRDefault="001D0688">
            <w:pPr>
              <w:rPr>
                <w:rFonts w:eastAsia="Times New Roman"/>
                <w:sz w:val="20"/>
                <w:szCs w:val="20"/>
              </w:rPr>
            </w:pPr>
          </w:p>
        </w:tc>
        <w:tc>
          <w:tcPr>
            <w:tcW w:w="50" w:type="pct"/>
            <w:vAlign w:val="center"/>
            <w:hideMark/>
          </w:tcPr>
          <w:p w14:paraId="7648E001" w14:textId="77777777" w:rsidR="00000000" w:rsidRDefault="001D0688">
            <w:pPr>
              <w:rPr>
                <w:rFonts w:eastAsia="Times New Roman"/>
                <w:sz w:val="20"/>
                <w:szCs w:val="20"/>
              </w:rPr>
            </w:pPr>
          </w:p>
        </w:tc>
        <w:tc>
          <w:tcPr>
            <w:tcW w:w="617" w:type="pct"/>
            <w:vAlign w:val="center"/>
            <w:hideMark/>
          </w:tcPr>
          <w:p w14:paraId="64C67ACD" w14:textId="77777777" w:rsidR="00000000" w:rsidRDefault="001D0688">
            <w:pPr>
              <w:rPr>
                <w:rFonts w:eastAsia="Times New Roman"/>
                <w:sz w:val="20"/>
                <w:szCs w:val="20"/>
              </w:rPr>
            </w:pPr>
          </w:p>
        </w:tc>
        <w:tc>
          <w:tcPr>
            <w:tcW w:w="5" w:type="pct"/>
            <w:vAlign w:val="center"/>
            <w:hideMark/>
          </w:tcPr>
          <w:p w14:paraId="2D61EECE" w14:textId="77777777" w:rsidR="00000000" w:rsidRDefault="001D0688">
            <w:pPr>
              <w:rPr>
                <w:rFonts w:eastAsia="Times New Roman"/>
                <w:sz w:val="20"/>
                <w:szCs w:val="20"/>
              </w:rPr>
            </w:pPr>
          </w:p>
        </w:tc>
      </w:tr>
      <w:tr w:rsidR="00000000" w14:paraId="6211ABAB" w14:textId="77777777">
        <w:trPr>
          <w:divId w:val="636178643"/>
        </w:trPr>
        <w:tc>
          <w:tcPr>
            <w:tcW w:w="0" w:type="auto"/>
            <w:gridSpan w:val="3"/>
            <w:tcMar>
              <w:top w:w="0" w:type="dxa"/>
              <w:left w:w="20" w:type="dxa"/>
              <w:bottom w:w="0" w:type="dxa"/>
              <w:right w:w="20" w:type="dxa"/>
            </w:tcMar>
            <w:vAlign w:val="center"/>
            <w:hideMark/>
          </w:tcPr>
          <w:p w14:paraId="7371C860"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6F210D8C"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1830DB6F" w14:textId="77777777">
        <w:trPr>
          <w:divId w:val="636178643"/>
        </w:trPr>
        <w:tc>
          <w:tcPr>
            <w:tcW w:w="0" w:type="auto"/>
            <w:gridSpan w:val="3"/>
            <w:tcMar>
              <w:top w:w="30" w:type="dxa"/>
              <w:left w:w="20" w:type="dxa"/>
              <w:bottom w:w="30" w:type="dxa"/>
              <w:right w:w="20" w:type="dxa"/>
            </w:tcMar>
            <w:vAlign w:val="bottom"/>
            <w:hideMark/>
          </w:tcPr>
          <w:p w14:paraId="5AF3AA0B"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50CF498D"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B459318"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28D6A2"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74BEF9A9"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7CCF7D"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536946F8" w14:textId="77777777">
        <w:trPr>
          <w:divId w:val="636178643"/>
        </w:trPr>
        <w:tc>
          <w:tcPr>
            <w:tcW w:w="0" w:type="auto"/>
            <w:gridSpan w:val="3"/>
            <w:shd w:val="clear" w:color="auto" w:fill="DCE2EF"/>
            <w:tcMar>
              <w:top w:w="30" w:type="dxa"/>
              <w:left w:w="20" w:type="dxa"/>
              <w:bottom w:w="30" w:type="dxa"/>
              <w:right w:w="20" w:type="dxa"/>
            </w:tcMar>
            <w:vAlign w:val="bottom"/>
            <w:hideMark/>
          </w:tcPr>
          <w:p w14:paraId="255EEFD1" w14:textId="77777777" w:rsidR="00000000" w:rsidRDefault="001D0688">
            <w:pPr>
              <w:rPr>
                <w:rFonts w:eastAsia="Times New Roman"/>
              </w:rPr>
            </w:pPr>
            <w:r>
              <w:rPr>
                <w:rFonts w:ascii="Arial" w:eastAsia="Times New Roman" w:hAnsi="Arial" w:cs="Arial"/>
                <w:b/>
                <w:bCs/>
                <w:i/>
                <w:iCs/>
                <w:color w:val="000000"/>
                <w:sz w:val="20"/>
                <w:szCs w:val="20"/>
              </w:rPr>
              <w:t>Current: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622EB22"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A358C2"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990E96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757404D"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94ABE09" w14:textId="77777777" w:rsidR="00000000" w:rsidRDefault="001D0688">
            <w:pPr>
              <w:rPr>
                <w:rFonts w:eastAsia="Times New Roman"/>
                <w:sz w:val="20"/>
                <w:szCs w:val="20"/>
              </w:rPr>
            </w:pPr>
          </w:p>
        </w:tc>
      </w:tr>
      <w:tr w:rsidR="00000000" w14:paraId="3F09EFE0" w14:textId="77777777">
        <w:trPr>
          <w:divId w:val="636178643"/>
        </w:trPr>
        <w:tc>
          <w:tcPr>
            <w:tcW w:w="0" w:type="auto"/>
            <w:gridSpan w:val="3"/>
            <w:shd w:val="clear" w:color="auto" w:fill="FFFFFF"/>
            <w:tcMar>
              <w:top w:w="30" w:type="dxa"/>
              <w:left w:w="155" w:type="dxa"/>
              <w:bottom w:w="30" w:type="dxa"/>
              <w:right w:w="20" w:type="dxa"/>
            </w:tcMar>
            <w:vAlign w:val="bottom"/>
            <w:hideMark/>
          </w:tcPr>
          <w:p w14:paraId="08D480EC" w14:textId="77777777" w:rsidR="00000000" w:rsidRDefault="001D0688">
            <w:pPr>
              <w:rPr>
                <w:rFonts w:eastAsia="Times New Roman"/>
              </w:rPr>
            </w:pPr>
            <w:r>
              <w:rPr>
                <w:rFonts w:ascii="Arial" w:eastAsia="Times New Roman" w:hAnsi="Arial" w:cs="Arial"/>
                <w:color w:val="000000"/>
                <w:sz w:val="20"/>
                <w:szCs w:val="20"/>
              </w:rPr>
              <w:t>Federal</w:t>
            </w:r>
          </w:p>
        </w:tc>
        <w:tc>
          <w:tcPr>
            <w:tcW w:w="0" w:type="auto"/>
            <w:shd w:val="clear" w:color="auto" w:fill="FFFFFF"/>
            <w:tcMar>
              <w:top w:w="30" w:type="dxa"/>
              <w:left w:w="20" w:type="dxa"/>
              <w:bottom w:w="30" w:type="dxa"/>
              <w:right w:w="0" w:type="dxa"/>
            </w:tcMar>
            <w:vAlign w:val="bottom"/>
            <w:hideMark/>
          </w:tcPr>
          <w:p w14:paraId="5B6295A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0132EA8" w14:textId="77777777" w:rsidR="00000000" w:rsidRDefault="001D0688">
            <w:pPr>
              <w:jc w:val="right"/>
              <w:rPr>
                <w:rFonts w:eastAsia="Times New Roman"/>
              </w:rPr>
            </w:pPr>
            <w:r>
              <w:rPr>
                <w:rFonts w:ascii="Arial" w:eastAsia="Times New Roman" w:hAnsi="Arial" w:cs="Arial"/>
                <w:color w:val="000000"/>
                <w:sz w:val="20"/>
                <w:szCs w:val="20"/>
              </w:rPr>
              <w:t>(59.3)</w:t>
            </w:r>
          </w:p>
        </w:tc>
        <w:tc>
          <w:tcPr>
            <w:tcW w:w="0" w:type="auto"/>
            <w:shd w:val="clear" w:color="auto" w:fill="FFFFFF"/>
            <w:tcMar>
              <w:top w:w="30" w:type="dxa"/>
              <w:left w:w="0" w:type="dxa"/>
              <w:bottom w:w="30" w:type="dxa"/>
              <w:right w:w="20" w:type="dxa"/>
            </w:tcMar>
            <w:vAlign w:val="bottom"/>
            <w:hideMark/>
          </w:tcPr>
          <w:p w14:paraId="2AF1D5D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4BD9F"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0B388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857779" w14:textId="77777777" w:rsidR="00000000" w:rsidRDefault="001D0688">
            <w:pPr>
              <w:jc w:val="right"/>
              <w:rPr>
                <w:rFonts w:eastAsia="Times New Roman"/>
              </w:rPr>
            </w:pPr>
            <w:r>
              <w:rPr>
                <w:rFonts w:ascii="Arial" w:eastAsia="Times New Roman" w:hAnsi="Arial" w:cs="Arial"/>
                <w:color w:val="000000"/>
                <w:sz w:val="20"/>
                <w:szCs w:val="20"/>
              </w:rPr>
              <w:t>(6.4)</w:t>
            </w:r>
          </w:p>
        </w:tc>
        <w:tc>
          <w:tcPr>
            <w:tcW w:w="0" w:type="auto"/>
            <w:shd w:val="clear" w:color="auto" w:fill="FFFFFF"/>
            <w:tcMar>
              <w:top w:w="30" w:type="dxa"/>
              <w:left w:w="0" w:type="dxa"/>
              <w:bottom w:w="30" w:type="dxa"/>
              <w:right w:w="20" w:type="dxa"/>
            </w:tcMar>
            <w:vAlign w:val="bottom"/>
            <w:hideMark/>
          </w:tcPr>
          <w:p w14:paraId="05455FA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29B4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BC9D75"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2F16C18" w14:textId="77777777" w:rsidR="00000000" w:rsidRDefault="001D0688">
            <w:pPr>
              <w:jc w:val="right"/>
              <w:rPr>
                <w:rFonts w:eastAsia="Times New Roman"/>
              </w:rPr>
            </w:pPr>
            <w:r>
              <w:rPr>
                <w:rFonts w:ascii="Arial" w:eastAsia="Times New Roman" w:hAnsi="Arial" w:cs="Arial"/>
                <w:color w:val="000000"/>
                <w:sz w:val="20"/>
                <w:szCs w:val="20"/>
              </w:rPr>
              <w:t>(4.3)</w:t>
            </w:r>
          </w:p>
        </w:tc>
        <w:tc>
          <w:tcPr>
            <w:tcW w:w="0" w:type="auto"/>
            <w:shd w:val="clear" w:color="auto" w:fill="FFFFFF"/>
            <w:tcMar>
              <w:top w:w="30" w:type="dxa"/>
              <w:left w:w="0" w:type="dxa"/>
              <w:bottom w:w="30" w:type="dxa"/>
              <w:right w:w="20" w:type="dxa"/>
            </w:tcMar>
            <w:vAlign w:val="bottom"/>
            <w:hideMark/>
          </w:tcPr>
          <w:p w14:paraId="42CC9F59" w14:textId="77777777" w:rsidR="00000000" w:rsidRDefault="001D0688">
            <w:pPr>
              <w:jc w:val="right"/>
              <w:rPr>
                <w:rFonts w:eastAsia="Times New Roman"/>
              </w:rPr>
            </w:pPr>
          </w:p>
        </w:tc>
      </w:tr>
      <w:tr w:rsidR="00000000" w14:paraId="63D5B904" w14:textId="77777777">
        <w:trPr>
          <w:divId w:val="636178643"/>
        </w:trPr>
        <w:tc>
          <w:tcPr>
            <w:tcW w:w="0" w:type="auto"/>
            <w:gridSpan w:val="3"/>
            <w:shd w:val="clear" w:color="auto" w:fill="DCE2EF"/>
            <w:tcMar>
              <w:top w:w="30" w:type="dxa"/>
              <w:left w:w="155" w:type="dxa"/>
              <w:bottom w:w="30" w:type="dxa"/>
              <w:right w:w="20" w:type="dxa"/>
            </w:tcMar>
            <w:vAlign w:val="bottom"/>
            <w:hideMark/>
          </w:tcPr>
          <w:p w14:paraId="7B443658" w14:textId="77777777" w:rsidR="00000000" w:rsidRDefault="001D0688">
            <w:pPr>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14:paraId="02E5C33C" w14:textId="77777777" w:rsidR="00000000" w:rsidRDefault="001D0688">
            <w:pPr>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14:paraId="437F929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28654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C165BF" w14:textId="77777777" w:rsidR="00000000" w:rsidRDefault="001D0688">
            <w:pPr>
              <w:jc w:val="right"/>
              <w:rPr>
                <w:rFonts w:eastAsia="Times New Roman"/>
              </w:rPr>
            </w:pPr>
            <w:r>
              <w:rPr>
                <w:rFonts w:ascii="Arial" w:eastAsia="Times New Roman" w:hAnsi="Arial" w:cs="Arial"/>
                <w:color w:val="000000"/>
                <w:sz w:val="20"/>
                <w:szCs w:val="20"/>
              </w:rPr>
              <w:t>(10.7)</w:t>
            </w:r>
          </w:p>
        </w:tc>
        <w:tc>
          <w:tcPr>
            <w:tcW w:w="0" w:type="auto"/>
            <w:shd w:val="clear" w:color="auto" w:fill="DCE2EF"/>
            <w:tcMar>
              <w:top w:w="30" w:type="dxa"/>
              <w:left w:w="0" w:type="dxa"/>
              <w:bottom w:w="30" w:type="dxa"/>
              <w:right w:w="20" w:type="dxa"/>
            </w:tcMar>
            <w:vAlign w:val="bottom"/>
            <w:hideMark/>
          </w:tcPr>
          <w:p w14:paraId="2E69493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2BCF4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3BBA504" w14:textId="77777777" w:rsidR="00000000" w:rsidRDefault="001D0688">
            <w:pPr>
              <w:jc w:val="right"/>
              <w:rPr>
                <w:rFonts w:eastAsia="Times New Roman"/>
              </w:rPr>
            </w:pPr>
            <w:r>
              <w:rPr>
                <w:rFonts w:ascii="Arial" w:eastAsia="Times New Roman" w:hAnsi="Arial" w:cs="Arial"/>
                <w:color w:val="000000"/>
                <w:sz w:val="20"/>
                <w:szCs w:val="20"/>
              </w:rPr>
              <w:t>(7.3)</w:t>
            </w:r>
          </w:p>
        </w:tc>
        <w:tc>
          <w:tcPr>
            <w:tcW w:w="0" w:type="auto"/>
            <w:shd w:val="clear" w:color="auto" w:fill="DCE2EF"/>
            <w:tcMar>
              <w:top w:w="30" w:type="dxa"/>
              <w:left w:w="0" w:type="dxa"/>
              <w:bottom w:w="30" w:type="dxa"/>
              <w:right w:w="20" w:type="dxa"/>
            </w:tcMar>
            <w:vAlign w:val="bottom"/>
            <w:hideMark/>
          </w:tcPr>
          <w:p w14:paraId="30B67C92" w14:textId="77777777" w:rsidR="00000000" w:rsidRDefault="001D0688">
            <w:pPr>
              <w:jc w:val="right"/>
              <w:rPr>
                <w:rFonts w:eastAsia="Times New Roman"/>
              </w:rPr>
            </w:pPr>
          </w:p>
        </w:tc>
      </w:tr>
      <w:tr w:rsidR="00000000" w14:paraId="53961DFC" w14:textId="77777777">
        <w:trPr>
          <w:divId w:val="636178643"/>
        </w:trPr>
        <w:tc>
          <w:tcPr>
            <w:tcW w:w="0" w:type="auto"/>
            <w:gridSpan w:val="3"/>
            <w:shd w:val="clear" w:color="auto" w:fill="FFFFFF"/>
            <w:tcMar>
              <w:top w:w="30" w:type="dxa"/>
              <w:left w:w="155" w:type="dxa"/>
              <w:bottom w:w="30" w:type="dxa"/>
              <w:right w:w="20" w:type="dxa"/>
            </w:tcMar>
            <w:vAlign w:val="bottom"/>
            <w:hideMark/>
          </w:tcPr>
          <w:p w14:paraId="1927AF57" w14:textId="77777777" w:rsidR="00000000" w:rsidRDefault="001D0688">
            <w:pPr>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227E4AC3" w14:textId="77777777" w:rsidR="00000000" w:rsidRDefault="001D0688">
            <w:pPr>
              <w:jc w:val="right"/>
              <w:rPr>
                <w:rFonts w:eastAsia="Times New Roman"/>
              </w:rPr>
            </w:pPr>
            <w:r>
              <w:rPr>
                <w:rFonts w:ascii="Arial" w:eastAsia="Times New Roman" w:hAnsi="Arial" w:cs="Arial"/>
                <w:color w:val="000000"/>
                <w:sz w:val="20"/>
                <w:szCs w:val="20"/>
              </w:rPr>
              <w:t>(1.7)</w:t>
            </w:r>
          </w:p>
        </w:tc>
        <w:tc>
          <w:tcPr>
            <w:tcW w:w="0" w:type="auto"/>
            <w:shd w:val="clear" w:color="auto" w:fill="FFFFFF"/>
            <w:tcMar>
              <w:top w:w="30" w:type="dxa"/>
              <w:left w:w="0" w:type="dxa"/>
              <w:bottom w:w="30" w:type="dxa"/>
              <w:right w:w="20" w:type="dxa"/>
            </w:tcMar>
            <w:vAlign w:val="bottom"/>
            <w:hideMark/>
          </w:tcPr>
          <w:p w14:paraId="6206F07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4902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9F59D" w14:textId="77777777" w:rsidR="00000000" w:rsidRDefault="001D0688">
            <w:pPr>
              <w:jc w:val="right"/>
              <w:rPr>
                <w:rFonts w:eastAsia="Times New Roman"/>
              </w:rPr>
            </w:pPr>
            <w:r>
              <w:rPr>
                <w:rFonts w:ascii="Arial" w:eastAsia="Times New Roman" w:hAnsi="Arial" w:cs="Arial"/>
                <w:color w:val="000000"/>
                <w:sz w:val="20"/>
                <w:szCs w:val="20"/>
              </w:rPr>
              <w:t>(5.9)</w:t>
            </w:r>
          </w:p>
        </w:tc>
        <w:tc>
          <w:tcPr>
            <w:tcW w:w="0" w:type="auto"/>
            <w:shd w:val="clear" w:color="auto" w:fill="FFFFFF"/>
            <w:tcMar>
              <w:top w:w="30" w:type="dxa"/>
              <w:left w:w="0" w:type="dxa"/>
              <w:bottom w:w="30" w:type="dxa"/>
              <w:right w:w="20" w:type="dxa"/>
            </w:tcMar>
            <w:vAlign w:val="bottom"/>
            <w:hideMark/>
          </w:tcPr>
          <w:p w14:paraId="4A3067A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04F61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619F54" w14:textId="77777777" w:rsidR="00000000" w:rsidRDefault="001D0688">
            <w:pPr>
              <w:jc w:val="right"/>
              <w:rPr>
                <w:rFonts w:eastAsia="Times New Roman"/>
              </w:rPr>
            </w:pPr>
            <w:r>
              <w:rPr>
                <w:rFonts w:ascii="Arial" w:eastAsia="Times New Roman" w:hAnsi="Arial" w:cs="Arial"/>
                <w:color w:val="000000"/>
                <w:sz w:val="20"/>
                <w:szCs w:val="20"/>
              </w:rPr>
              <w:t>(3.9)</w:t>
            </w:r>
          </w:p>
        </w:tc>
        <w:tc>
          <w:tcPr>
            <w:tcW w:w="0" w:type="auto"/>
            <w:shd w:val="clear" w:color="auto" w:fill="FFFFFF"/>
            <w:tcMar>
              <w:top w:w="30" w:type="dxa"/>
              <w:left w:w="0" w:type="dxa"/>
              <w:bottom w:w="30" w:type="dxa"/>
              <w:right w:w="20" w:type="dxa"/>
            </w:tcMar>
            <w:vAlign w:val="bottom"/>
            <w:hideMark/>
          </w:tcPr>
          <w:p w14:paraId="3F2A4497" w14:textId="77777777" w:rsidR="00000000" w:rsidRDefault="001D0688">
            <w:pPr>
              <w:jc w:val="right"/>
              <w:rPr>
                <w:rFonts w:eastAsia="Times New Roman"/>
              </w:rPr>
            </w:pPr>
          </w:p>
        </w:tc>
      </w:tr>
      <w:tr w:rsidR="00000000" w14:paraId="06034E29" w14:textId="77777777">
        <w:trPr>
          <w:divId w:val="636178643"/>
        </w:trPr>
        <w:tc>
          <w:tcPr>
            <w:tcW w:w="0" w:type="auto"/>
            <w:gridSpan w:val="3"/>
            <w:shd w:val="clear" w:color="auto" w:fill="DCE2EF"/>
            <w:tcMar>
              <w:top w:w="30" w:type="dxa"/>
              <w:left w:w="20" w:type="dxa"/>
              <w:bottom w:w="30" w:type="dxa"/>
              <w:right w:w="20" w:type="dxa"/>
            </w:tcMar>
            <w:vAlign w:val="bottom"/>
            <w:hideMark/>
          </w:tcPr>
          <w:p w14:paraId="4109312D" w14:textId="77777777" w:rsidR="00000000" w:rsidRDefault="001D0688">
            <w:pPr>
              <w:rPr>
                <w:rFonts w:eastAsia="Times New Roman"/>
              </w:rPr>
            </w:pPr>
            <w:r>
              <w:rPr>
                <w:rFonts w:ascii="Arial" w:eastAsia="Times New Roman" w:hAnsi="Arial" w:cs="Arial"/>
                <w:b/>
                <w:bCs/>
                <w:i/>
                <w:iCs/>
                <w:color w:val="000000"/>
                <w:sz w:val="20"/>
                <w:szCs w:val="20"/>
              </w:rPr>
              <w:t>Deferred:</w:t>
            </w:r>
          </w:p>
        </w:tc>
        <w:tc>
          <w:tcPr>
            <w:tcW w:w="0" w:type="auto"/>
            <w:gridSpan w:val="3"/>
            <w:shd w:val="clear" w:color="auto" w:fill="DCE2EF"/>
            <w:tcMar>
              <w:top w:w="0" w:type="dxa"/>
              <w:left w:w="20" w:type="dxa"/>
              <w:bottom w:w="0" w:type="dxa"/>
              <w:right w:w="20" w:type="dxa"/>
            </w:tcMar>
            <w:vAlign w:val="center"/>
            <w:hideMark/>
          </w:tcPr>
          <w:p w14:paraId="18B06304"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D357D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3DE70B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7979FA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D4D52F" w14:textId="77777777" w:rsidR="00000000" w:rsidRDefault="001D0688">
            <w:pPr>
              <w:rPr>
                <w:rFonts w:eastAsia="Times New Roman"/>
                <w:sz w:val="20"/>
                <w:szCs w:val="20"/>
              </w:rPr>
            </w:pPr>
          </w:p>
        </w:tc>
      </w:tr>
      <w:tr w:rsidR="00000000" w14:paraId="1058547E" w14:textId="77777777">
        <w:trPr>
          <w:divId w:val="636178643"/>
        </w:trPr>
        <w:tc>
          <w:tcPr>
            <w:tcW w:w="0" w:type="auto"/>
            <w:gridSpan w:val="3"/>
            <w:shd w:val="clear" w:color="auto" w:fill="FFFFFF"/>
            <w:tcMar>
              <w:top w:w="30" w:type="dxa"/>
              <w:left w:w="155" w:type="dxa"/>
              <w:bottom w:w="30" w:type="dxa"/>
              <w:right w:w="20" w:type="dxa"/>
            </w:tcMar>
            <w:vAlign w:val="bottom"/>
            <w:hideMark/>
          </w:tcPr>
          <w:p w14:paraId="47DA2574" w14:textId="77777777" w:rsidR="00000000" w:rsidRDefault="001D0688">
            <w:pPr>
              <w:rPr>
                <w:rFonts w:eastAsia="Times New Roman"/>
              </w:rPr>
            </w:pPr>
            <w:r>
              <w:rPr>
                <w:rFonts w:ascii="Arial" w:eastAsia="Times New Roman" w:hAnsi="Arial" w:cs="Arial"/>
                <w:color w:val="000000"/>
                <w:sz w:val="20"/>
                <w:szCs w:val="20"/>
              </w:rPr>
              <w:t>Federal</w:t>
            </w:r>
          </w:p>
        </w:tc>
        <w:tc>
          <w:tcPr>
            <w:tcW w:w="0" w:type="auto"/>
            <w:gridSpan w:val="2"/>
            <w:shd w:val="clear" w:color="auto" w:fill="FFFFFF"/>
            <w:tcMar>
              <w:top w:w="30" w:type="dxa"/>
              <w:left w:w="20" w:type="dxa"/>
              <w:bottom w:w="30" w:type="dxa"/>
              <w:right w:w="0" w:type="dxa"/>
            </w:tcMar>
            <w:vAlign w:val="bottom"/>
            <w:hideMark/>
          </w:tcPr>
          <w:p w14:paraId="16DBB394" w14:textId="77777777" w:rsidR="00000000" w:rsidRDefault="001D0688">
            <w:pPr>
              <w:jc w:val="right"/>
              <w:rPr>
                <w:rFonts w:eastAsia="Times New Roman"/>
              </w:rPr>
            </w:pPr>
            <w:r>
              <w:rPr>
                <w:rFonts w:ascii="Arial" w:eastAsia="Times New Roman" w:hAnsi="Arial" w:cs="Arial"/>
                <w:color w:val="000000"/>
                <w:sz w:val="20"/>
                <w:szCs w:val="20"/>
              </w:rPr>
              <w:t>23.2 </w:t>
            </w:r>
          </w:p>
        </w:tc>
        <w:tc>
          <w:tcPr>
            <w:tcW w:w="0" w:type="auto"/>
            <w:shd w:val="clear" w:color="auto" w:fill="FFFFFF"/>
            <w:tcMar>
              <w:top w:w="30" w:type="dxa"/>
              <w:left w:w="0" w:type="dxa"/>
              <w:bottom w:w="30" w:type="dxa"/>
              <w:right w:w="20" w:type="dxa"/>
            </w:tcMar>
            <w:vAlign w:val="bottom"/>
            <w:hideMark/>
          </w:tcPr>
          <w:p w14:paraId="0584DF7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E135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B84658" w14:textId="77777777" w:rsidR="00000000" w:rsidRDefault="001D0688">
            <w:pPr>
              <w:jc w:val="right"/>
              <w:rPr>
                <w:rFonts w:eastAsia="Times New Roman"/>
              </w:rPr>
            </w:pPr>
            <w:r>
              <w:rPr>
                <w:rFonts w:ascii="Arial" w:eastAsia="Times New Roman" w:hAnsi="Arial" w:cs="Arial"/>
                <w:color w:val="000000"/>
                <w:sz w:val="20"/>
                <w:szCs w:val="20"/>
              </w:rPr>
              <w:t>(8.5)</w:t>
            </w:r>
          </w:p>
        </w:tc>
        <w:tc>
          <w:tcPr>
            <w:tcW w:w="0" w:type="auto"/>
            <w:shd w:val="clear" w:color="auto" w:fill="FFFFFF"/>
            <w:tcMar>
              <w:top w:w="30" w:type="dxa"/>
              <w:left w:w="0" w:type="dxa"/>
              <w:bottom w:w="30" w:type="dxa"/>
              <w:right w:w="20" w:type="dxa"/>
            </w:tcMar>
            <w:vAlign w:val="bottom"/>
            <w:hideMark/>
          </w:tcPr>
          <w:p w14:paraId="186F8D1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46D2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BEA5A" w14:textId="77777777" w:rsidR="00000000" w:rsidRDefault="001D0688">
            <w:pPr>
              <w:jc w:val="right"/>
              <w:rPr>
                <w:rFonts w:eastAsia="Times New Roman"/>
              </w:rPr>
            </w:pPr>
            <w:r>
              <w:rPr>
                <w:rFonts w:ascii="Arial" w:eastAsia="Times New Roman" w:hAnsi="Arial" w:cs="Arial"/>
                <w:color w:val="000000"/>
                <w:sz w:val="20"/>
                <w:szCs w:val="20"/>
              </w:rPr>
              <w:t>21.8 </w:t>
            </w:r>
          </w:p>
        </w:tc>
        <w:tc>
          <w:tcPr>
            <w:tcW w:w="0" w:type="auto"/>
            <w:shd w:val="clear" w:color="auto" w:fill="FFFFFF"/>
            <w:tcMar>
              <w:top w:w="30" w:type="dxa"/>
              <w:left w:w="0" w:type="dxa"/>
              <w:bottom w:w="30" w:type="dxa"/>
              <w:right w:w="20" w:type="dxa"/>
            </w:tcMar>
            <w:vAlign w:val="bottom"/>
            <w:hideMark/>
          </w:tcPr>
          <w:p w14:paraId="023A443C" w14:textId="77777777" w:rsidR="00000000" w:rsidRDefault="001D0688">
            <w:pPr>
              <w:jc w:val="right"/>
              <w:rPr>
                <w:rFonts w:eastAsia="Times New Roman"/>
              </w:rPr>
            </w:pPr>
          </w:p>
        </w:tc>
      </w:tr>
      <w:tr w:rsidR="00000000" w14:paraId="0F15B8DA" w14:textId="77777777">
        <w:trPr>
          <w:divId w:val="636178643"/>
        </w:trPr>
        <w:tc>
          <w:tcPr>
            <w:tcW w:w="0" w:type="auto"/>
            <w:gridSpan w:val="3"/>
            <w:shd w:val="clear" w:color="auto" w:fill="DCE2EF"/>
            <w:tcMar>
              <w:top w:w="30" w:type="dxa"/>
              <w:left w:w="155" w:type="dxa"/>
              <w:bottom w:w="30" w:type="dxa"/>
              <w:right w:w="20" w:type="dxa"/>
            </w:tcMar>
            <w:vAlign w:val="bottom"/>
            <w:hideMark/>
          </w:tcPr>
          <w:p w14:paraId="27AE1D13" w14:textId="77777777" w:rsidR="00000000" w:rsidRDefault="001D0688">
            <w:pPr>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14:paraId="5D9E2E54" w14:textId="77777777" w:rsidR="00000000" w:rsidRDefault="001D0688">
            <w:pPr>
              <w:jc w:val="right"/>
              <w:rPr>
                <w:rFonts w:eastAsia="Times New Roman"/>
              </w:rPr>
            </w:pPr>
            <w:r>
              <w:rPr>
                <w:rFonts w:ascii="Arial" w:eastAsia="Times New Roman" w:hAnsi="Arial" w:cs="Arial"/>
                <w:color w:val="000000"/>
                <w:sz w:val="20"/>
                <w:szCs w:val="20"/>
              </w:rPr>
              <w:t>12.5 </w:t>
            </w:r>
          </w:p>
        </w:tc>
        <w:tc>
          <w:tcPr>
            <w:tcW w:w="0" w:type="auto"/>
            <w:shd w:val="clear" w:color="auto" w:fill="DCE2EF"/>
            <w:tcMar>
              <w:top w:w="30" w:type="dxa"/>
              <w:left w:w="0" w:type="dxa"/>
              <w:bottom w:w="30" w:type="dxa"/>
              <w:right w:w="20" w:type="dxa"/>
            </w:tcMar>
            <w:vAlign w:val="bottom"/>
            <w:hideMark/>
          </w:tcPr>
          <w:p w14:paraId="186430D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B2B0A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2EC205" w14:textId="77777777" w:rsidR="00000000" w:rsidRDefault="001D0688">
            <w:pPr>
              <w:jc w:val="right"/>
              <w:rPr>
                <w:rFonts w:eastAsia="Times New Roman"/>
              </w:rPr>
            </w:pPr>
            <w:r>
              <w:rPr>
                <w:rFonts w:ascii="Arial" w:eastAsia="Times New Roman" w:hAnsi="Arial" w:cs="Arial"/>
                <w:color w:val="000000"/>
                <w:sz w:val="20"/>
                <w:szCs w:val="20"/>
              </w:rPr>
              <w:t>(1.6)</w:t>
            </w:r>
          </w:p>
        </w:tc>
        <w:tc>
          <w:tcPr>
            <w:tcW w:w="0" w:type="auto"/>
            <w:shd w:val="clear" w:color="auto" w:fill="DCE2EF"/>
            <w:tcMar>
              <w:top w:w="30" w:type="dxa"/>
              <w:left w:w="0" w:type="dxa"/>
              <w:bottom w:w="30" w:type="dxa"/>
              <w:right w:w="20" w:type="dxa"/>
            </w:tcMar>
            <w:vAlign w:val="bottom"/>
            <w:hideMark/>
          </w:tcPr>
          <w:p w14:paraId="3CD5EFC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5C03A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304E227"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14:paraId="2D64CCE8" w14:textId="77777777" w:rsidR="00000000" w:rsidRDefault="001D0688">
            <w:pPr>
              <w:jc w:val="right"/>
              <w:rPr>
                <w:rFonts w:eastAsia="Times New Roman"/>
              </w:rPr>
            </w:pPr>
          </w:p>
        </w:tc>
      </w:tr>
      <w:tr w:rsidR="00000000" w14:paraId="43D7FCD1" w14:textId="77777777">
        <w:trPr>
          <w:divId w:val="636178643"/>
        </w:trPr>
        <w:tc>
          <w:tcPr>
            <w:tcW w:w="0" w:type="auto"/>
            <w:gridSpan w:val="3"/>
            <w:shd w:val="clear" w:color="auto" w:fill="FFFFFF"/>
            <w:tcMar>
              <w:top w:w="30" w:type="dxa"/>
              <w:left w:w="155" w:type="dxa"/>
              <w:bottom w:w="30" w:type="dxa"/>
              <w:right w:w="20" w:type="dxa"/>
            </w:tcMar>
            <w:vAlign w:val="bottom"/>
            <w:hideMark/>
          </w:tcPr>
          <w:p w14:paraId="4F612B22" w14:textId="77777777" w:rsidR="00000000" w:rsidRDefault="001D0688">
            <w:pPr>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14:paraId="5DC08A12" w14:textId="77777777" w:rsidR="00000000" w:rsidRDefault="001D0688">
            <w:pPr>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14:paraId="3E7DC2C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56DB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6F964B" w14:textId="77777777" w:rsidR="00000000" w:rsidRDefault="001D0688">
            <w:pPr>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14:paraId="05E5A2B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0672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12140" w14:textId="77777777" w:rsidR="00000000" w:rsidRDefault="001D0688">
            <w:pPr>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14:paraId="118559F0" w14:textId="77777777" w:rsidR="00000000" w:rsidRDefault="001D0688">
            <w:pPr>
              <w:jc w:val="right"/>
              <w:rPr>
                <w:rFonts w:eastAsia="Times New Roman"/>
              </w:rPr>
            </w:pPr>
          </w:p>
        </w:tc>
      </w:tr>
      <w:tr w:rsidR="00000000" w14:paraId="7BC78C94" w14:textId="77777777">
        <w:trPr>
          <w:divId w:val="636178643"/>
        </w:trPr>
        <w:tc>
          <w:tcPr>
            <w:tcW w:w="0" w:type="auto"/>
            <w:gridSpan w:val="3"/>
            <w:shd w:val="clear" w:color="auto" w:fill="DCE2EF"/>
            <w:tcMar>
              <w:top w:w="30" w:type="dxa"/>
              <w:left w:w="20" w:type="dxa"/>
              <w:bottom w:w="30" w:type="dxa"/>
              <w:right w:w="20" w:type="dxa"/>
            </w:tcMar>
            <w:vAlign w:val="bottom"/>
            <w:hideMark/>
          </w:tcPr>
          <w:p w14:paraId="500AB358" w14:textId="77777777" w:rsidR="00000000" w:rsidRDefault="001D0688">
            <w:pPr>
              <w:rPr>
                <w:rFonts w:eastAsia="Times New Roman"/>
              </w:rPr>
            </w:pPr>
            <w:r>
              <w:rPr>
                <w:rFonts w:ascii="Arial" w:eastAsia="Times New Roman" w:hAnsi="Arial" w:cs="Arial"/>
                <w:b/>
                <w:bCs/>
                <w:color w:val="000000"/>
                <w:sz w:val="20"/>
                <w:szCs w:val="20"/>
              </w:rPr>
              <w:t xml:space="preserve">Income tax (provision) benefit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58F1381"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CEC2238" w14:textId="77777777" w:rsidR="00000000" w:rsidRDefault="001D0688">
            <w:pPr>
              <w:jc w:val="right"/>
              <w:rPr>
                <w:rFonts w:eastAsia="Times New Roman"/>
              </w:rPr>
            </w:pPr>
            <w:r>
              <w:rPr>
                <w:rFonts w:ascii="Arial" w:eastAsia="Times New Roman" w:hAnsi="Arial" w:cs="Arial"/>
                <w:color w:val="000000"/>
                <w:sz w:val="20"/>
                <w:szCs w:val="20"/>
              </w:rPr>
              <w:t>(53.1)</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9E976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728EF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1E299F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D39F158" w14:textId="77777777" w:rsidR="00000000" w:rsidRDefault="001D0688">
            <w:pPr>
              <w:jc w:val="right"/>
              <w:rPr>
                <w:rFonts w:eastAsia="Times New Roman"/>
              </w:rPr>
            </w:pPr>
            <w:r>
              <w:rPr>
                <w:rFonts w:ascii="Arial" w:eastAsia="Times New Roman" w:hAnsi="Arial" w:cs="Arial"/>
                <w:color w:val="000000"/>
                <w:sz w:val="20"/>
                <w:szCs w:val="20"/>
              </w:rPr>
              <w:t>(32.7)</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2ECC1E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D72AA9"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C8C5F4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02FDE03" w14:textId="77777777" w:rsidR="00000000" w:rsidRDefault="001D0688">
            <w:pPr>
              <w:jc w:val="right"/>
              <w:rPr>
                <w:rFonts w:eastAsia="Times New Roman"/>
              </w:rPr>
            </w:pPr>
            <w:r>
              <w:rPr>
                <w:rFonts w:ascii="Arial" w:eastAsia="Times New Roman" w:hAnsi="Arial" w:cs="Arial"/>
                <w:color w:val="000000"/>
                <w:sz w:val="20"/>
                <w:szCs w:val="20"/>
              </w:rPr>
              <w:t>8.2 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7651445" w14:textId="77777777" w:rsidR="00000000" w:rsidRDefault="001D0688">
            <w:pPr>
              <w:jc w:val="right"/>
              <w:rPr>
                <w:rFonts w:eastAsia="Times New Roman"/>
              </w:rPr>
            </w:pPr>
          </w:p>
        </w:tc>
      </w:tr>
    </w:tbl>
    <w:p w14:paraId="3169112A" w14:textId="77777777" w:rsidR="00000000" w:rsidRDefault="001D0688">
      <w:pPr>
        <w:divId w:val="1057509560"/>
        <w:rPr>
          <w:rFonts w:eastAsia="Times New Roman"/>
        </w:rPr>
      </w:pPr>
      <w:r>
        <w:rPr>
          <w:rFonts w:ascii="Arial" w:eastAsia="Times New Roman" w:hAnsi="Arial" w:cs="Arial"/>
          <w:b/>
          <w:bCs/>
          <w:color w:val="0046AD"/>
          <w:sz w:val="20"/>
          <w:szCs w:val="20"/>
        </w:rPr>
        <w:t>Reconciliation of the U.S. Statutory Tax Rate to Annual Effective Tax Rate</w:t>
      </w:r>
    </w:p>
    <w:tbl>
      <w:tblPr>
        <w:tblW w:w="5000" w:type="pct"/>
        <w:tblCellMar>
          <w:top w:w="15" w:type="dxa"/>
          <w:left w:w="15" w:type="dxa"/>
          <w:bottom w:w="15" w:type="dxa"/>
          <w:right w:w="15" w:type="dxa"/>
        </w:tblCellMar>
        <w:tblLook w:val="04A0" w:firstRow="1" w:lastRow="0" w:firstColumn="1" w:lastColumn="0" w:noHBand="0" w:noVBand="1"/>
      </w:tblPr>
      <w:tblGrid>
        <w:gridCol w:w="40"/>
        <w:gridCol w:w="4644"/>
        <w:gridCol w:w="39"/>
        <w:gridCol w:w="37"/>
        <w:gridCol w:w="929"/>
        <w:gridCol w:w="199"/>
        <w:gridCol w:w="36"/>
        <w:gridCol w:w="36"/>
        <w:gridCol w:w="36"/>
        <w:gridCol w:w="37"/>
        <w:gridCol w:w="865"/>
        <w:gridCol w:w="199"/>
        <w:gridCol w:w="36"/>
        <w:gridCol w:w="36"/>
        <w:gridCol w:w="36"/>
        <w:gridCol w:w="41"/>
        <w:gridCol w:w="861"/>
        <w:gridCol w:w="199"/>
      </w:tblGrid>
      <w:tr w:rsidR="00000000" w14:paraId="300FD9B5" w14:textId="77777777">
        <w:trPr>
          <w:divId w:val="1461806252"/>
        </w:trPr>
        <w:tc>
          <w:tcPr>
            <w:tcW w:w="50" w:type="pct"/>
            <w:vAlign w:val="center"/>
            <w:hideMark/>
          </w:tcPr>
          <w:p w14:paraId="26C4346D" w14:textId="77777777" w:rsidR="00000000" w:rsidRDefault="001D0688">
            <w:pPr>
              <w:rPr>
                <w:rFonts w:eastAsia="Times New Roman"/>
              </w:rPr>
            </w:pPr>
          </w:p>
        </w:tc>
        <w:tc>
          <w:tcPr>
            <w:tcW w:w="2854" w:type="pct"/>
            <w:vAlign w:val="center"/>
            <w:hideMark/>
          </w:tcPr>
          <w:p w14:paraId="501C0DF7" w14:textId="77777777" w:rsidR="00000000" w:rsidRDefault="001D0688">
            <w:pPr>
              <w:rPr>
                <w:rFonts w:eastAsia="Times New Roman"/>
                <w:sz w:val="20"/>
                <w:szCs w:val="20"/>
              </w:rPr>
            </w:pPr>
          </w:p>
        </w:tc>
        <w:tc>
          <w:tcPr>
            <w:tcW w:w="5" w:type="pct"/>
            <w:vAlign w:val="center"/>
            <w:hideMark/>
          </w:tcPr>
          <w:p w14:paraId="5F50AACC" w14:textId="77777777" w:rsidR="00000000" w:rsidRDefault="001D0688">
            <w:pPr>
              <w:rPr>
                <w:rFonts w:eastAsia="Times New Roman"/>
                <w:sz w:val="20"/>
                <w:szCs w:val="20"/>
              </w:rPr>
            </w:pPr>
          </w:p>
        </w:tc>
        <w:tc>
          <w:tcPr>
            <w:tcW w:w="50" w:type="pct"/>
            <w:vAlign w:val="center"/>
            <w:hideMark/>
          </w:tcPr>
          <w:p w14:paraId="34B54DCB" w14:textId="77777777" w:rsidR="00000000" w:rsidRDefault="001D0688">
            <w:pPr>
              <w:rPr>
                <w:rFonts w:eastAsia="Times New Roman"/>
                <w:sz w:val="20"/>
                <w:szCs w:val="20"/>
              </w:rPr>
            </w:pPr>
          </w:p>
        </w:tc>
        <w:tc>
          <w:tcPr>
            <w:tcW w:w="617" w:type="pct"/>
            <w:vAlign w:val="center"/>
            <w:hideMark/>
          </w:tcPr>
          <w:p w14:paraId="2A763DFD" w14:textId="77777777" w:rsidR="00000000" w:rsidRDefault="001D0688">
            <w:pPr>
              <w:rPr>
                <w:rFonts w:eastAsia="Times New Roman"/>
                <w:sz w:val="20"/>
                <w:szCs w:val="20"/>
              </w:rPr>
            </w:pPr>
          </w:p>
        </w:tc>
        <w:tc>
          <w:tcPr>
            <w:tcW w:w="5" w:type="pct"/>
            <w:vAlign w:val="center"/>
            <w:hideMark/>
          </w:tcPr>
          <w:p w14:paraId="1534D334" w14:textId="77777777" w:rsidR="00000000" w:rsidRDefault="001D0688">
            <w:pPr>
              <w:rPr>
                <w:rFonts w:eastAsia="Times New Roman"/>
                <w:sz w:val="20"/>
                <w:szCs w:val="20"/>
              </w:rPr>
            </w:pPr>
          </w:p>
        </w:tc>
        <w:tc>
          <w:tcPr>
            <w:tcW w:w="5" w:type="pct"/>
            <w:vAlign w:val="center"/>
            <w:hideMark/>
          </w:tcPr>
          <w:p w14:paraId="26971F86" w14:textId="77777777" w:rsidR="00000000" w:rsidRDefault="001D0688">
            <w:pPr>
              <w:rPr>
                <w:rFonts w:eastAsia="Times New Roman"/>
                <w:sz w:val="20"/>
                <w:szCs w:val="20"/>
              </w:rPr>
            </w:pPr>
          </w:p>
        </w:tc>
        <w:tc>
          <w:tcPr>
            <w:tcW w:w="26" w:type="pct"/>
            <w:vAlign w:val="center"/>
            <w:hideMark/>
          </w:tcPr>
          <w:p w14:paraId="0EA122E9" w14:textId="77777777" w:rsidR="00000000" w:rsidRDefault="001D0688">
            <w:pPr>
              <w:rPr>
                <w:rFonts w:eastAsia="Times New Roman"/>
                <w:sz w:val="20"/>
                <w:szCs w:val="20"/>
              </w:rPr>
            </w:pPr>
          </w:p>
        </w:tc>
        <w:tc>
          <w:tcPr>
            <w:tcW w:w="5" w:type="pct"/>
            <w:vAlign w:val="center"/>
            <w:hideMark/>
          </w:tcPr>
          <w:p w14:paraId="56C50635" w14:textId="77777777" w:rsidR="00000000" w:rsidRDefault="001D0688">
            <w:pPr>
              <w:rPr>
                <w:rFonts w:eastAsia="Times New Roman"/>
                <w:sz w:val="20"/>
                <w:szCs w:val="20"/>
              </w:rPr>
            </w:pPr>
          </w:p>
        </w:tc>
        <w:tc>
          <w:tcPr>
            <w:tcW w:w="50" w:type="pct"/>
            <w:vAlign w:val="center"/>
            <w:hideMark/>
          </w:tcPr>
          <w:p w14:paraId="5F8BF69E" w14:textId="77777777" w:rsidR="00000000" w:rsidRDefault="001D0688">
            <w:pPr>
              <w:rPr>
                <w:rFonts w:eastAsia="Times New Roman"/>
                <w:sz w:val="20"/>
                <w:szCs w:val="20"/>
              </w:rPr>
            </w:pPr>
          </w:p>
        </w:tc>
        <w:tc>
          <w:tcPr>
            <w:tcW w:w="617" w:type="pct"/>
            <w:vAlign w:val="center"/>
            <w:hideMark/>
          </w:tcPr>
          <w:p w14:paraId="178103A9" w14:textId="77777777" w:rsidR="00000000" w:rsidRDefault="001D0688">
            <w:pPr>
              <w:rPr>
                <w:rFonts w:eastAsia="Times New Roman"/>
                <w:sz w:val="20"/>
                <w:szCs w:val="20"/>
              </w:rPr>
            </w:pPr>
          </w:p>
        </w:tc>
        <w:tc>
          <w:tcPr>
            <w:tcW w:w="5" w:type="pct"/>
            <w:vAlign w:val="center"/>
            <w:hideMark/>
          </w:tcPr>
          <w:p w14:paraId="4B763253" w14:textId="77777777" w:rsidR="00000000" w:rsidRDefault="001D0688">
            <w:pPr>
              <w:rPr>
                <w:rFonts w:eastAsia="Times New Roman"/>
                <w:sz w:val="20"/>
                <w:szCs w:val="20"/>
              </w:rPr>
            </w:pPr>
          </w:p>
        </w:tc>
        <w:tc>
          <w:tcPr>
            <w:tcW w:w="5" w:type="pct"/>
            <w:vAlign w:val="center"/>
            <w:hideMark/>
          </w:tcPr>
          <w:p w14:paraId="10758261" w14:textId="77777777" w:rsidR="00000000" w:rsidRDefault="001D0688">
            <w:pPr>
              <w:rPr>
                <w:rFonts w:eastAsia="Times New Roman"/>
                <w:sz w:val="20"/>
                <w:szCs w:val="20"/>
              </w:rPr>
            </w:pPr>
          </w:p>
        </w:tc>
        <w:tc>
          <w:tcPr>
            <w:tcW w:w="26" w:type="pct"/>
            <w:vAlign w:val="center"/>
            <w:hideMark/>
          </w:tcPr>
          <w:p w14:paraId="0717901E" w14:textId="77777777" w:rsidR="00000000" w:rsidRDefault="001D0688">
            <w:pPr>
              <w:rPr>
                <w:rFonts w:eastAsia="Times New Roman"/>
                <w:sz w:val="20"/>
                <w:szCs w:val="20"/>
              </w:rPr>
            </w:pPr>
          </w:p>
        </w:tc>
        <w:tc>
          <w:tcPr>
            <w:tcW w:w="5" w:type="pct"/>
            <w:vAlign w:val="center"/>
            <w:hideMark/>
          </w:tcPr>
          <w:p w14:paraId="2E009050" w14:textId="77777777" w:rsidR="00000000" w:rsidRDefault="001D0688">
            <w:pPr>
              <w:rPr>
                <w:rFonts w:eastAsia="Times New Roman"/>
                <w:sz w:val="20"/>
                <w:szCs w:val="20"/>
              </w:rPr>
            </w:pPr>
          </w:p>
        </w:tc>
        <w:tc>
          <w:tcPr>
            <w:tcW w:w="50" w:type="pct"/>
            <w:vAlign w:val="center"/>
            <w:hideMark/>
          </w:tcPr>
          <w:p w14:paraId="66AD167D" w14:textId="77777777" w:rsidR="00000000" w:rsidRDefault="001D0688">
            <w:pPr>
              <w:rPr>
                <w:rFonts w:eastAsia="Times New Roman"/>
                <w:sz w:val="20"/>
                <w:szCs w:val="20"/>
              </w:rPr>
            </w:pPr>
          </w:p>
        </w:tc>
        <w:tc>
          <w:tcPr>
            <w:tcW w:w="617" w:type="pct"/>
            <w:vAlign w:val="center"/>
            <w:hideMark/>
          </w:tcPr>
          <w:p w14:paraId="1944B9EA" w14:textId="77777777" w:rsidR="00000000" w:rsidRDefault="001D0688">
            <w:pPr>
              <w:rPr>
                <w:rFonts w:eastAsia="Times New Roman"/>
                <w:sz w:val="20"/>
                <w:szCs w:val="20"/>
              </w:rPr>
            </w:pPr>
          </w:p>
        </w:tc>
        <w:tc>
          <w:tcPr>
            <w:tcW w:w="5" w:type="pct"/>
            <w:vAlign w:val="center"/>
            <w:hideMark/>
          </w:tcPr>
          <w:p w14:paraId="7C9D0D30" w14:textId="77777777" w:rsidR="00000000" w:rsidRDefault="001D0688">
            <w:pPr>
              <w:rPr>
                <w:rFonts w:eastAsia="Times New Roman"/>
                <w:sz w:val="20"/>
                <w:szCs w:val="20"/>
              </w:rPr>
            </w:pPr>
          </w:p>
        </w:tc>
      </w:tr>
      <w:tr w:rsidR="00000000" w14:paraId="4FE08CDE" w14:textId="77777777">
        <w:trPr>
          <w:divId w:val="1461806252"/>
        </w:trPr>
        <w:tc>
          <w:tcPr>
            <w:tcW w:w="0" w:type="auto"/>
            <w:gridSpan w:val="3"/>
            <w:tcMar>
              <w:top w:w="0" w:type="dxa"/>
              <w:left w:w="20" w:type="dxa"/>
              <w:bottom w:w="0" w:type="dxa"/>
              <w:right w:w="20" w:type="dxa"/>
            </w:tcMar>
            <w:vAlign w:val="center"/>
            <w:hideMark/>
          </w:tcPr>
          <w:p w14:paraId="6B1FC48D"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3CC44039"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4EDE8ED9" w14:textId="77777777">
        <w:trPr>
          <w:divId w:val="1461806252"/>
        </w:trPr>
        <w:tc>
          <w:tcPr>
            <w:tcW w:w="0" w:type="auto"/>
            <w:gridSpan w:val="3"/>
            <w:tcMar>
              <w:top w:w="0" w:type="dxa"/>
              <w:left w:w="20" w:type="dxa"/>
              <w:bottom w:w="0" w:type="dxa"/>
              <w:right w:w="20" w:type="dxa"/>
            </w:tcMar>
            <w:vAlign w:val="center"/>
            <w:hideMark/>
          </w:tcPr>
          <w:p w14:paraId="7489096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3A6559"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34ED257"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E80044"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3C5EEE1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E01050"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2128699D" w14:textId="77777777">
        <w:trPr>
          <w:divId w:val="1461806252"/>
        </w:trPr>
        <w:tc>
          <w:tcPr>
            <w:tcW w:w="0" w:type="auto"/>
            <w:gridSpan w:val="3"/>
            <w:shd w:val="clear" w:color="auto" w:fill="DCE2EF"/>
            <w:tcMar>
              <w:top w:w="30" w:type="dxa"/>
              <w:left w:w="20" w:type="dxa"/>
              <w:bottom w:w="30" w:type="dxa"/>
              <w:right w:w="20" w:type="dxa"/>
            </w:tcMar>
            <w:vAlign w:val="bottom"/>
            <w:hideMark/>
          </w:tcPr>
          <w:p w14:paraId="4B1B071A" w14:textId="77777777" w:rsidR="00000000" w:rsidRDefault="001D0688">
            <w:pPr>
              <w:rPr>
                <w:rFonts w:eastAsia="Times New Roman"/>
              </w:rPr>
            </w:pPr>
            <w:r>
              <w:rPr>
                <w:rFonts w:ascii="Arial" w:eastAsia="Times New Roman" w:hAnsi="Arial" w:cs="Arial"/>
                <w:b/>
                <w:bCs/>
                <w:color w:val="000000"/>
                <w:sz w:val="20"/>
                <w:szCs w:val="20"/>
              </w:rPr>
              <w:t>U.S. statutory rate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6EC5C57" w14:textId="77777777" w:rsidR="00000000" w:rsidRDefault="001D0688">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49F6507" w14:textId="77777777" w:rsidR="00000000" w:rsidRDefault="001D0688">
            <w:pPr>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41F374D7" w14:textId="77777777" w:rsidR="00000000" w:rsidRDefault="001D0688">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3D637E5" w14:textId="77777777" w:rsidR="00000000" w:rsidRDefault="001D0688">
            <w:pPr>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C2B1339" w14:textId="77777777" w:rsidR="00000000" w:rsidRDefault="001D0688">
            <w:pPr>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5B8D530A" w14:textId="77777777" w:rsidR="00000000" w:rsidRDefault="001D0688">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7B77E99" w14:textId="77777777" w:rsidR="00000000" w:rsidRDefault="001D0688">
            <w:pPr>
              <w:jc w:val="right"/>
              <w:rPr>
                <w:rFonts w:eastAsia="Times New Roman"/>
              </w:rPr>
            </w:pPr>
            <w:r>
              <w:rPr>
                <w:rFonts w:ascii="Arial" w:eastAsia="Times New Roman" w:hAnsi="Arial" w:cs="Arial"/>
                <w:color w:val="000000"/>
                <w:sz w:val="20"/>
                <w:szCs w:val="20"/>
              </w:rPr>
              <w:t>23.3 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8096DD" w14:textId="77777777" w:rsidR="00000000" w:rsidRDefault="001D0688">
            <w:pPr>
              <w:rPr>
                <w:rFonts w:eastAsia="Times New Roman"/>
              </w:rPr>
            </w:pPr>
            <w:r>
              <w:rPr>
                <w:rFonts w:ascii="Arial" w:eastAsia="Times New Roman" w:hAnsi="Arial" w:cs="Arial"/>
                <w:color w:val="000000"/>
                <w:sz w:val="20"/>
                <w:szCs w:val="20"/>
              </w:rPr>
              <w:t>%</w:t>
            </w:r>
          </w:p>
        </w:tc>
      </w:tr>
      <w:tr w:rsidR="00000000" w14:paraId="58CA3582" w14:textId="77777777">
        <w:trPr>
          <w:divId w:val="1461806252"/>
        </w:trPr>
        <w:tc>
          <w:tcPr>
            <w:tcW w:w="0" w:type="auto"/>
            <w:gridSpan w:val="3"/>
            <w:tcMar>
              <w:top w:w="30" w:type="dxa"/>
              <w:left w:w="155" w:type="dxa"/>
              <w:bottom w:w="30" w:type="dxa"/>
              <w:right w:w="20" w:type="dxa"/>
            </w:tcMar>
            <w:vAlign w:val="bottom"/>
            <w:hideMark/>
          </w:tcPr>
          <w:p w14:paraId="266870E5" w14:textId="77777777" w:rsidR="00000000" w:rsidRDefault="001D0688">
            <w:pPr>
              <w:rPr>
                <w:rFonts w:eastAsia="Times New Roman"/>
              </w:rPr>
            </w:pPr>
            <w:r>
              <w:rPr>
                <w:rFonts w:ascii="Arial" w:eastAsia="Times New Roman" w:hAnsi="Arial" w:cs="Arial"/>
                <w:color w:val="000000"/>
                <w:sz w:val="20"/>
                <w:szCs w:val="20"/>
              </w:rPr>
              <w:t>State and local income taxes, net of federal tax benefit</w:t>
            </w:r>
          </w:p>
        </w:tc>
        <w:tc>
          <w:tcPr>
            <w:tcW w:w="0" w:type="auto"/>
            <w:gridSpan w:val="2"/>
            <w:shd w:val="clear" w:color="auto" w:fill="FFFFFF"/>
            <w:tcMar>
              <w:top w:w="30" w:type="dxa"/>
              <w:left w:w="20" w:type="dxa"/>
              <w:bottom w:w="30" w:type="dxa"/>
              <w:right w:w="0" w:type="dxa"/>
            </w:tcMar>
            <w:vAlign w:val="bottom"/>
            <w:hideMark/>
          </w:tcPr>
          <w:p w14:paraId="0FBFD843" w14:textId="77777777" w:rsidR="00000000" w:rsidRDefault="001D0688">
            <w:pPr>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bottom"/>
            <w:hideMark/>
          </w:tcPr>
          <w:p w14:paraId="4DD8385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7203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B2B40" w14:textId="77777777" w:rsidR="00000000" w:rsidRDefault="001D0688">
            <w:pPr>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14:paraId="5CD737A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ECFD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F77012" w14:textId="77777777" w:rsidR="00000000" w:rsidRDefault="001D0688">
            <w:pPr>
              <w:jc w:val="right"/>
              <w:rPr>
                <w:rFonts w:eastAsia="Times New Roman"/>
              </w:rPr>
            </w:pPr>
            <w:r>
              <w:rPr>
                <w:rFonts w:ascii="Arial" w:eastAsia="Times New Roman" w:hAnsi="Arial" w:cs="Arial"/>
                <w:color w:val="000000"/>
                <w:sz w:val="20"/>
                <w:szCs w:val="20"/>
              </w:rPr>
              <w:t>6.9 </w:t>
            </w:r>
          </w:p>
        </w:tc>
        <w:tc>
          <w:tcPr>
            <w:tcW w:w="0" w:type="auto"/>
            <w:shd w:val="clear" w:color="auto" w:fill="FFFFFF"/>
            <w:tcMar>
              <w:top w:w="30" w:type="dxa"/>
              <w:left w:w="0" w:type="dxa"/>
              <w:bottom w:w="30" w:type="dxa"/>
              <w:right w:w="20" w:type="dxa"/>
            </w:tcMar>
            <w:vAlign w:val="bottom"/>
            <w:hideMark/>
          </w:tcPr>
          <w:p w14:paraId="3D935900" w14:textId="77777777" w:rsidR="00000000" w:rsidRDefault="001D0688">
            <w:pPr>
              <w:jc w:val="right"/>
              <w:rPr>
                <w:rFonts w:eastAsia="Times New Roman"/>
              </w:rPr>
            </w:pPr>
          </w:p>
        </w:tc>
      </w:tr>
      <w:tr w:rsidR="00000000" w14:paraId="53888791" w14:textId="77777777">
        <w:trPr>
          <w:divId w:val="1461806252"/>
        </w:trPr>
        <w:tc>
          <w:tcPr>
            <w:tcW w:w="0" w:type="auto"/>
            <w:gridSpan w:val="3"/>
            <w:shd w:val="clear" w:color="auto" w:fill="DCE2EF"/>
            <w:tcMar>
              <w:top w:w="30" w:type="dxa"/>
              <w:left w:w="155" w:type="dxa"/>
              <w:bottom w:w="30" w:type="dxa"/>
              <w:right w:w="20" w:type="dxa"/>
            </w:tcMar>
            <w:vAlign w:val="bottom"/>
            <w:hideMark/>
          </w:tcPr>
          <w:p w14:paraId="60739444" w14:textId="77777777" w:rsidR="00000000" w:rsidRDefault="001D0688">
            <w:pPr>
              <w:rPr>
                <w:rFonts w:eastAsia="Times New Roman"/>
              </w:rPr>
            </w:pPr>
            <w:r>
              <w:rPr>
                <w:rFonts w:ascii="Arial" w:eastAsia="Times New Roman" w:hAnsi="Arial" w:cs="Arial"/>
                <w:color w:val="000000"/>
                <w:sz w:val="20"/>
                <w:szCs w:val="20"/>
              </w:rPr>
              <w:t>Federal and state tax credits</w:t>
            </w:r>
          </w:p>
        </w:tc>
        <w:tc>
          <w:tcPr>
            <w:tcW w:w="0" w:type="auto"/>
            <w:gridSpan w:val="2"/>
            <w:shd w:val="clear" w:color="auto" w:fill="DCE2EF"/>
            <w:tcMar>
              <w:top w:w="30" w:type="dxa"/>
              <w:left w:w="20" w:type="dxa"/>
              <w:bottom w:w="30" w:type="dxa"/>
              <w:right w:w="0" w:type="dxa"/>
            </w:tcMar>
            <w:vAlign w:val="bottom"/>
            <w:hideMark/>
          </w:tcPr>
          <w:p w14:paraId="4D0BDEF3" w14:textId="77777777" w:rsidR="00000000" w:rsidRDefault="001D0688">
            <w:pPr>
              <w:jc w:val="right"/>
              <w:rPr>
                <w:rFonts w:eastAsia="Times New Roman"/>
              </w:rPr>
            </w:pPr>
            <w:r>
              <w:rPr>
                <w:rFonts w:ascii="Arial" w:eastAsia="Times New Roman" w:hAnsi="Arial" w:cs="Arial"/>
                <w:color w:val="000000"/>
                <w:sz w:val="20"/>
                <w:szCs w:val="20"/>
              </w:rPr>
              <w:t>(4.7)</w:t>
            </w:r>
          </w:p>
        </w:tc>
        <w:tc>
          <w:tcPr>
            <w:tcW w:w="0" w:type="auto"/>
            <w:shd w:val="clear" w:color="auto" w:fill="DCE2EF"/>
            <w:tcMar>
              <w:top w:w="30" w:type="dxa"/>
              <w:left w:w="0" w:type="dxa"/>
              <w:bottom w:w="30" w:type="dxa"/>
              <w:right w:w="20" w:type="dxa"/>
            </w:tcMar>
            <w:vAlign w:val="bottom"/>
            <w:hideMark/>
          </w:tcPr>
          <w:p w14:paraId="5B74FFD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87ED1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39E78B9" w14:textId="77777777" w:rsidR="00000000" w:rsidRDefault="001D0688">
            <w:pPr>
              <w:jc w:val="right"/>
              <w:rPr>
                <w:rFonts w:eastAsia="Times New Roman"/>
              </w:rPr>
            </w:pPr>
            <w:r>
              <w:rPr>
                <w:rFonts w:ascii="Arial" w:eastAsia="Times New Roman" w:hAnsi="Arial" w:cs="Arial"/>
                <w:color w:val="000000"/>
                <w:sz w:val="20"/>
                <w:szCs w:val="20"/>
              </w:rPr>
              <w:t>(3.9)</w:t>
            </w:r>
          </w:p>
        </w:tc>
        <w:tc>
          <w:tcPr>
            <w:tcW w:w="0" w:type="auto"/>
            <w:shd w:val="clear" w:color="auto" w:fill="DCE2EF"/>
            <w:tcMar>
              <w:top w:w="30" w:type="dxa"/>
              <w:left w:w="0" w:type="dxa"/>
              <w:bottom w:w="30" w:type="dxa"/>
              <w:right w:w="20" w:type="dxa"/>
            </w:tcMar>
            <w:vAlign w:val="bottom"/>
            <w:hideMark/>
          </w:tcPr>
          <w:p w14:paraId="118A18F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ED7C3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C285A6" w14:textId="77777777" w:rsidR="00000000" w:rsidRDefault="001D0688">
            <w:pPr>
              <w:jc w:val="right"/>
              <w:rPr>
                <w:rFonts w:eastAsia="Times New Roman"/>
              </w:rPr>
            </w:pPr>
            <w:r>
              <w:rPr>
                <w:rFonts w:ascii="Arial" w:eastAsia="Times New Roman" w:hAnsi="Arial" w:cs="Arial"/>
                <w:color w:val="000000"/>
                <w:sz w:val="20"/>
                <w:szCs w:val="20"/>
              </w:rPr>
              <w:t>(7.8)</w:t>
            </w:r>
          </w:p>
        </w:tc>
        <w:tc>
          <w:tcPr>
            <w:tcW w:w="0" w:type="auto"/>
            <w:shd w:val="clear" w:color="auto" w:fill="DCE2EF"/>
            <w:tcMar>
              <w:top w:w="30" w:type="dxa"/>
              <w:left w:w="0" w:type="dxa"/>
              <w:bottom w:w="30" w:type="dxa"/>
              <w:right w:w="20" w:type="dxa"/>
            </w:tcMar>
            <w:vAlign w:val="bottom"/>
            <w:hideMark/>
          </w:tcPr>
          <w:p w14:paraId="0F8DF1F9" w14:textId="77777777" w:rsidR="00000000" w:rsidRDefault="001D0688">
            <w:pPr>
              <w:jc w:val="right"/>
              <w:rPr>
                <w:rFonts w:eastAsia="Times New Roman"/>
              </w:rPr>
            </w:pPr>
          </w:p>
        </w:tc>
      </w:tr>
      <w:tr w:rsidR="00000000" w14:paraId="72586DDB" w14:textId="77777777">
        <w:trPr>
          <w:divId w:val="1461806252"/>
        </w:trPr>
        <w:tc>
          <w:tcPr>
            <w:tcW w:w="0" w:type="auto"/>
            <w:gridSpan w:val="3"/>
            <w:tcMar>
              <w:top w:w="30" w:type="dxa"/>
              <w:left w:w="155" w:type="dxa"/>
              <w:bottom w:w="30" w:type="dxa"/>
              <w:right w:w="20" w:type="dxa"/>
            </w:tcMar>
            <w:vAlign w:val="bottom"/>
            <w:hideMark/>
          </w:tcPr>
          <w:p w14:paraId="37C5A2AA" w14:textId="77777777" w:rsidR="00000000" w:rsidRDefault="001D0688">
            <w:pPr>
              <w:rPr>
                <w:rFonts w:eastAsia="Times New Roman"/>
              </w:rPr>
            </w:pPr>
            <w:r>
              <w:rPr>
                <w:rFonts w:ascii="Arial" w:eastAsia="Times New Roman" w:hAnsi="Arial" w:cs="Arial"/>
                <w:color w:val="000000"/>
                <w:sz w:val="20"/>
                <w:szCs w:val="20"/>
              </w:rPr>
              <w:t xml:space="preserve">Impact of foreign operations </w:t>
            </w:r>
          </w:p>
        </w:tc>
        <w:tc>
          <w:tcPr>
            <w:tcW w:w="0" w:type="auto"/>
            <w:gridSpan w:val="2"/>
            <w:shd w:val="clear" w:color="auto" w:fill="FFFFFF"/>
            <w:tcMar>
              <w:top w:w="30" w:type="dxa"/>
              <w:left w:w="20" w:type="dxa"/>
              <w:bottom w:w="30" w:type="dxa"/>
              <w:right w:w="0" w:type="dxa"/>
            </w:tcMar>
            <w:vAlign w:val="bottom"/>
            <w:hideMark/>
          </w:tcPr>
          <w:p w14:paraId="33FE1732" w14:textId="77777777" w:rsidR="00000000" w:rsidRDefault="001D0688">
            <w:pPr>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14:paraId="35CC9EE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9A1B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BCFAF6" w14:textId="77777777" w:rsidR="00000000" w:rsidRDefault="001D0688">
            <w:pPr>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14:paraId="70F48C4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6629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F25E15" w14:textId="77777777" w:rsidR="00000000" w:rsidRDefault="001D0688">
            <w:pPr>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14:paraId="301009E5" w14:textId="77777777" w:rsidR="00000000" w:rsidRDefault="001D0688">
            <w:pPr>
              <w:jc w:val="right"/>
              <w:rPr>
                <w:rFonts w:eastAsia="Times New Roman"/>
              </w:rPr>
            </w:pPr>
          </w:p>
        </w:tc>
      </w:tr>
      <w:tr w:rsidR="00000000" w14:paraId="561C397E" w14:textId="77777777">
        <w:trPr>
          <w:divId w:val="1461806252"/>
        </w:trPr>
        <w:tc>
          <w:tcPr>
            <w:tcW w:w="0" w:type="auto"/>
            <w:gridSpan w:val="3"/>
            <w:shd w:val="clear" w:color="auto" w:fill="DCE2EF"/>
            <w:tcMar>
              <w:top w:w="30" w:type="dxa"/>
              <w:left w:w="155" w:type="dxa"/>
              <w:bottom w:w="30" w:type="dxa"/>
              <w:right w:w="20" w:type="dxa"/>
            </w:tcMar>
            <w:vAlign w:val="bottom"/>
            <w:hideMark/>
          </w:tcPr>
          <w:p w14:paraId="457B5854" w14:textId="77777777" w:rsidR="00000000" w:rsidRDefault="001D0688">
            <w:pPr>
              <w:rPr>
                <w:rFonts w:eastAsia="Times New Roman"/>
              </w:rPr>
            </w:pPr>
            <w:r>
              <w:rPr>
                <w:rFonts w:ascii="Arial" w:eastAsia="Times New Roman" w:hAnsi="Arial" w:cs="Arial"/>
                <w:color w:val="000000"/>
                <w:sz w:val="20"/>
                <w:szCs w:val="20"/>
              </w:rPr>
              <w:t>Changes in uncertain tax positions</w:t>
            </w:r>
          </w:p>
        </w:tc>
        <w:tc>
          <w:tcPr>
            <w:tcW w:w="0" w:type="auto"/>
            <w:gridSpan w:val="2"/>
            <w:shd w:val="clear" w:color="auto" w:fill="DCE2EF"/>
            <w:tcMar>
              <w:top w:w="30" w:type="dxa"/>
              <w:left w:w="20" w:type="dxa"/>
              <w:bottom w:w="30" w:type="dxa"/>
              <w:right w:w="0" w:type="dxa"/>
            </w:tcMar>
            <w:vAlign w:val="bottom"/>
            <w:hideMark/>
          </w:tcPr>
          <w:p w14:paraId="27F86C67" w14:textId="77777777" w:rsidR="00000000" w:rsidRDefault="001D0688">
            <w:pPr>
              <w:jc w:val="right"/>
              <w:rPr>
                <w:rFonts w:eastAsia="Times New Roman"/>
              </w:rPr>
            </w:pPr>
            <w:r>
              <w:rPr>
                <w:rFonts w:ascii="Arial" w:eastAsia="Times New Roman" w:hAnsi="Arial" w:cs="Arial"/>
                <w:color w:val="000000"/>
                <w:sz w:val="20"/>
                <w:szCs w:val="20"/>
              </w:rPr>
              <w:t>(2.0)</w:t>
            </w:r>
          </w:p>
        </w:tc>
        <w:tc>
          <w:tcPr>
            <w:tcW w:w="0" w:type="auto"/>
            <w:shd w:val="clear" w:color="auto" w:fill="DCE2EF"/>
            <w:tcMar>
              <w:top w:w="30" w:type="dxa"/>
              <w:left w:w="0" w:type="dxa"/>
              <w:bottom w:w="30" w:type="dxa"/>
              <w:right w:w="20" w:type="dxa"/>
            </w:tcMar>
            <w:vAlign w:val="bottom"/>
            <w:hideMark/>
          </w:tcPr>
          <w:p w14:paraId="006375C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A9016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8A84855" w14:textId="77777777" w:rsidR="00000000" w:rsidRDefault="001D0688">
            <w:pPr>
              <w:jc w:val="right"/>
              <w:rPr>
                <w:rFonts w:eastAsia="Times New Roman"/>
              </w:rPr>
            </w:pPr>
            <w:r>
              <w:rPr>
                <w:rFonts w:ascii="Arial" w:eastAsia="Times New Roman" w:hAnsi="Arial" w:cs="Arial"/>
                <w:color w:val="000000"/>
                <w:sz w:val="20"/>
                <w:szCs w:val="20"/>
              </w:rPr>
              <w:t>(0.8)</w:t>
            </w:r>
          </w:p>
        </w:tc>
        <w:tc>
          <w:tcPr>
            <w:tcW w:w="0" w:type="auto"/>
            <w:shd w:val="clear" w:color="auto" w:fill="DCE2EF"/>
            <w:tcMar>
              <w:top w:w="30" w:type="dxa"/>
              <w:left w:w="0" w:type="dxa"/>
              <w:bottom w:w="30" w:type="dxa"/>
              <w:right w:w="20" w:type="dxa"/>
            </w:tcMar>
            <w:vAlign w:val="bottom"/>
            <w:hideMark/>
          </w:tcPr>
          <w:p w14:paraId="5AEB9A4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8AF66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1B32E5" w14:textId="77777777" w:rsidR="00000000" w:rsidRDefault="001D0688">
            <w:pPr>
              <w:jc w:val="right"/>
              <w:rPr>
                <w:rFonts w:eastAsia="Times New Roman"/>
              </w:rPr>
            </w:pPr>
            <w:r>
              <w:rPr>
                <w:rFonts w:ascii="Arial" w:eastAsia="Times New Roman" w:hAnsi="Arial" w:cs="Arial"/>
                <w:color w:val="000000"/>
                <w:sz w:val="20"/>
                <w:szCs w:val="20"/>
              </w:rPr>
              <w:t>(6.7)</w:t>
            </w:r>
          </w:p>
        </w:tc>
        <w:tc>
          <w:tcPr>
            <w:tcW w:w="0" w:type="auto"/>
            <w:shd w:val="clear" w:color="auto" w:fill="DCE2EF"/>
            <w:tcMar>
              <w:top w:w="30" w:type="dxa"/>
              <w:left w:w="0" w:type="dxa"/>
              <w:bottom w:w="30" w:type="dxa"/>
              <w:right w:w="20" w:type="dxa"/>
            </w:tcMar>
            <w:vAlign w:val="bottom"/>
            <w:hideMark/>
          </w:tcPr>
          <w:p w14:paraId="577C497E" w14:textId="77777777" w:rsidR="00000000" w:rsidRDefault="001D0688">
            <w:pPr>
              <w:jc w:val="right"/>
              <w:rPr>
                <w:rFonts w:eastAsia="Times New Roman"/>
              </w:rPr>
            </w:pPr>
          </w:p>
        </w:tc>
      </w:tr>
      <w:tr w:rsidR="00000000" w14:paraId="1259A205" w14:textId="77777777">
        <w:trPr>
          <w:divId w:val="1461806252"/>
        </w:trPr>
        <w:tc>
          <w:tcPr>
            <w:tcW w:w="0" w:type="auto"/>
            <w:gridSpan w:val="3"/>
            <w:shd w:val="clear" w:color="auto" w:fill="FFFFFF"/>
            <w:tcMar>
              <w:top w:w="30" w:type="dxa"/>
              <w:left w:w="155" w:type="dxa"/>
              <w:bottom w:w="30" w:type="dxa"/>
              <w:right w:w="20" w:type="dxa"/>
            </w:tcMar>
            <w:vAlign w:val="bottom"/>
            <w:hideMark/>
          </w:tcPr>
          <w:p w14:paraId="13D684FF" w14:textId="77777777" w:rsidR="00000000" w:rsidRDefault="001D0688">
            <w:pPr>
              <w:rPr>
                <w:rFonts w:eastAsia="Times New Roman"/>
              </w:rPr>
            </w:pPr>
            <w:r>
              <w:rPr>
                <w:rFonts w:ascii="Arial" w:eastAsia="Times New Roman" w:hAnsi="Arial" w:cs="Arial"/>
                <w:color w:val="000000"/>
                <w:sz w:val="20"/>
                <w:szCs w:val="20"/>
              </w:rPr>
              <w:t>Incremental tax benefit from share-based compensation awards</w:t>
            </w:r>
          </w:p>
        </w:tc>
        <w:tc>
          <w:tcPr>
            <w:tcW w:w="0" w:type="auto"/>
            <w:gridSpan w:val="2"/>
            <w:shd w:val="clear" w:color="auto" w:fill="FFFFFF"/>
            <w:tcMar>
              <w:top w:w="30" w:type="dxa"/>
              <w:left w:w="20" w:type="dxa"/>
              <w:bottom w:w="30" w:type="dxa"/>
              <w:right w:w="0" w:type="dxa"/>
            </w:tcMar>
            <w:vAlign w:val="bottom"/>
            <w:hideMark/>
          </w:tcPr>
          <w:p w14:paraId="27B8E588" w14:textId="77777777" w:rsidR="00000000" w:rsidRDefault="001D0688">
            <w:pPr>
              <w:jc w:val="right"/>
              <w:rPr>
                <w:rFonts w:eastAsia="Times New Roman"/>
              </w:rPr>
            </w:pPr>
            <w:r>
              <w:rPr>
                <w:rFonts w:ascii="Arial" w:eastAsia="Times New Roman" w:hAnsi="Arial" w:cs="Arial"/>
                <w:color w:val="000000"/>
                <w:sz w:val="20"/>
                <w:szCs w:val="20"/>
              </w:rPr>
              <w:t>(1.6)</w:t>
            </w:r>
          </w:p>
        </w:tc>
        <w:tc>
          <w:tcPr>
            <w:tcW w:w="0" w:type="auto"/>
            <w:shd w:val="clear" w:color="auto" w:fill="FFFFFF"/>
            <w:tcMar>
              <w:top w:w="30" w:type="dxa"/>
              <w:left w:w="0" w:type="dxa"/>
              <w:bottom w:w="30" w:type="dxa"/>
              <w:right w:w="20" w:type="dxa"/>
            </w:tcMar>
            <w:vAlign w:val="bottom"/>
            <w:hideMark/>
          </w:tcPr>
          <w:p w14:paraId="7B4A636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44DD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A3E3E" w14:textId="77777777" w:rsidR="00000000" w:rsidRDefault="001D0688">
            <w:pPr>
              <w:jc w:val="right"/>
              <w:rPr>
                <w:rFonts w:eastAsia="Times New Roman"/>
              </w:rPr>
            </w:pPr>
            <w:r>
              <w:rPr>
                <w:rFonts w:ascii="Arial" w:eastAsia="Times New Roman" w:hAnsi="Arial" w:cs="Arial"/>
                <w:color w:val="000000"/>
                <w:sz w:val="20"/>
                <w:szCs w:val="20"/>
              </w:rPr>
              <w:t>(0.7)</w:t>
            </w:r>
          </w:p>
        </w:tc>
        <w:tc>
          <w:tcPr>
            <w:tcW w:w="0" w:type="auto"/>
            <w:shd w:val="clear" w:color="auto" w:fill="FFFFFF"/>
            <w:tcMar>
              <w:top w:w="30" w:type="dxa"/>
              <w:left w:w="0" w:type="dxa"/>
              <w:bottom w:w="30" w:type="dxa"/>
              <w:right w:w="20" w:type="dxa"/>
            </w:tcMar>
            <w:vAlign w:val="bottom"/>
            <w:hideMark/>
          </w:tcPr>
          <w:p w14:paraId="09F298F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3A17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60242" w14:textId="77777777" w:rsidR="00000000" w:rsidRDefault="001D0688">
            <w:pPr>
              <w:jc w:val="right"/>
              <w:rPr>
                <w:rFonts w:eastAsia="Times New Roman"/>
              </w:rPr>
            </w:pPr>
            <w:r>
              <w:rPr>
                <w:rFonts w:ascii="Arial" w:eastAsia="Times New Roman" w:hAnsi="Arial" w:cs="Arial"/>
                <w:color w:val="000000"/>
                <w:sz w:val="20"/>
                <w:szCs w:val="20"/>
              </w:rPr>
              <w:t>(3.9)</w:t>
            </w:r>
          </w:p>
        </w:tc>
        <w:tc>
          <w:tcPr>
            <w:tcW w:w="0" w:type="auto"/>
            <w:shd w:val="clear" w:color="auto" w:fill="FFFFFF"/>
            <w:tcMar>
              <w:top w:w="30" w:type="dxa"/>
              <w:left w:w="0" w:type="dxa"/>
              <w:bottom w:w="30" w:type="dxa"/>
              <w:right w:w="20" w:type="dxa"/>
            </w:tcMar>
            <w:vAlign w:val="bottom"/>
            <w:hideMark/>
          </w:tcPr>
          <w:p w14:paraId="6681885F" w14:textId="77777777" w:rsidR="00000000" w:rsidRDefault="001D0688">
            <w:pPr>
              <w:jc w:val="right"/>
              <w:rPr>
                <w:rFonts w:eastAsia="Times New Roman"/>
              </w:rPr>
            </w:pPr>
          </w:p>
        </w:tc>
      </w:tr>
      <w:tr w:rsidR="00000000" w14:paraId="187D5AE1" w14:textId="77777777">
        <w:trPr>
          <w:divId w:val="1461806252"/>
        </w:trPr>
        <w:tc>
          <w:tcPr>
            <w:tcW w:w="0" w:type="auto"/>
            <w:gridSpan w:val="3"/>
            <w:shd w:val="clear" w:color="auto" w:fill="DCE2EF"/>
            <w:tcMar>
              <w:top w:w="30" w:type="dxa"/>
              <w:left w:w="155" w:type="dxa"/>
              <w:bottom w:w="30" w:type="dxa"/>
              <w:right w:w="20" w:type="dxa"/>
            </w:tcMar>
            <w:vAlign w:val="bottom"/>
            <w:hideMark/>
          </w:tcPr>
          <w:p w14:paraId="13A956D0" w14:textId="77777777" w:rsidR="00000000" w:rsidRDefault="001D0688">
            <w:pPr>
              <w:rPr>
                <w:rFonts w:eastAsia="Times New Roman"/>
              </w:rPr>
            </w:pPr>
            <w:r>
              <w:rPr>
                <w:rFonts w:ascii="Arial" w:eastAsia="Times New Roman" w:hAnsi="Arial" w:cs="Arial"/>
                <w:color w:val="000000"/>
                <w:sz w:val="20"/>
                <w:szCs w:val="20"/>
              </w:rPr>
              <w:t>Energy efficiency incentives</w:t>
            </w:r>
          </w:p>
        </w:tc>
        <w:tc>
          <w:tcPr>
            <w:tcW w:w="0" w:type="auto"/>
            <w:gridSpan w:val="2"/>
            <w:shd w:val="clear" w:color="auto" w:fill="DCE2EF"/>
            <w:tcMar>
              <w:top w:w="30" w:type="dxa"/>
              <w:left w:w="20" w:type="dxa"/>
              <w:bottom w:w="30" w:type="dxa"/>
              <w:right w:w="0" w:type="dxa"/>
            </w:tcMar>
            <w:vAlign w:val="bottom"/>
            <w:hideMark/>
          </w:tcPr>
          <w:p w14:paraId="6274177E" w14:textId="77777777" w:rsidR="00000000" w:rsidRDefault="001D0688">
            <w:pPr>
              <w:jc w:val="right"/>
              <w:rPr>
                <w:rFonts w:eastAsia="Times New Roman"/>
              </w:rPr>
            </w:pPr>
            <w:r>
              <w:rPr>
                <w:rFonts w:ascii="Arial" w:eastAsia="Times New Roman" w:hAnsi="Arial" w:cs="Arial"/>
                <w:color w:val="000000"/>
                <w:sz w:val="20"/>
                <w:szCs w:val="20"/>
              </w:rPr>
              <w:t>(3.8)</w:t>
            </w:r>
          </w:p>
        </w:tc>
        <w:tc>
          <w:tcPr>
            <w:tcW w:w="0" w:type="auto"/>
            <w:shd w:val="clear" w:color="auto" w:fill="DCE2EF"/>
            <w:tcMar>
              <w:top w:w="30" w:type="dxa"/>
              <w:left w:w="0" w:type="dxa"/>
              <w:bottom w:w="30" w:type="dxa"/>
              <w:right w:w="20" w:type="dxa"/>
            </w:tcMar>
            <w:vAlign w:val="bottom"/>
            <w:hideMark/>
          </w:tcPr>
          <w:p w14:paraId="1AB623E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8B1FD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C506DCA"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6490C88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6AD84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AF752AA" w14:textId="77777777" w:rsidR="00000000" w:rsidRDefault="001D0688">
            <w:pPr>
              <w:jc w:val="right"/>
              <w:rPr>
                <w:rFonts w:eastAsia="Times New Roman"/>
              </w:rPr>
            </w:pPr>
            <w:r>
              <w:rPr>
                <w:rFonts w:ascii="Arial" w:eastAsia="Times New Roman" w:hAnsi="Arial" w:cs="Arial"/>
                <w:color w:val="000000"/>
                <w:sz w:val="20"/>
                <w:szCs w:val="20"/>
              </w:rPr>
              <w:t>(3.2)</w:t>
            </w:r>
          </w:p>
        </w:tc>
        <w:tc>
          <w:tcPr>
            <w:tcW w:w="0" w:type="auto"/>
            <w:shd w:val="clear" w:color="auto" w:fill="DCE2EF"/>
            <w:tcMar>
              <w:top w:w="30" w:type="dxa"/>
              <w:left w:w="0" w:type="dxa"/>
              <w:bottom w:w="30" w:type="dxa"/>
              <w:right w:w="20" w:type="dxa"/>
            </w:tcMar>
            <w:vAlign w:val="bottom"/>
            <w:hideMark/>
          </w:tcPr>
          <w:p w14:paraId="1D2B12CF" w14:textId="77777777" w:rsidR="00000000" w:rsidRDefault="001D0688">
            <w:pPr>
              <w:jc w:val="right"/>
              <w:rPr>
                <w:rFonts w:eastAsia="Times New Roman"/>
              </w:rPr>
            </w:pPr>
          </w:p>
        </w:tc>
      </w:tr>
      <w:tr w:rsidR="00000000" w14:paraId="05CF27C8" w14:textId="77777777">
        <w:trPr>
          <w:divId w:val="1461806252"/>
        </w:trPr>
        <w:tc>
          <w:tcPr>
            <w:tcW w:w="0" w:type="auto"/>
            <w:gridSpan w:val="3"/>
            <w:shd w:val="clear" w:color="auto" w:fill="FFFFFF"/>
            <w:tcMar>
              <w:top w:w="30" w:type="dxa"/>
              <w:left w:w="155" w:type="dxa"/>
              <w:bottom w:w="30" w:type="dxa"/>
              <w:right w:w="20" w:type="dxa"/>
            </w:tcMar>
            <w:vAlign w:val="bottom"/>
            <w:hideMark/>
          </w:tcPr>
          <w:p w14:paraId="1C142EC0" w14:textId="77777777" w:rsidR="00000000" w:rsidRDefault="001D0688">
            <w:pPr>
              <w:rPr>
                <w:rFonts w:eastAsia="Times New Roman"/>
              </w:rPr>
            </w:pPr>
            <w:r>
              <w:rPr>
                <w:rFonts w:ascii="Arial" w:eastAsia="Times New Roman" w:hAnsi="Arial" w:cs="Arial"/>
                <w:color w:val="000000"/>
                <w:sz w:val="20"/>
                <w:szCs w:val="20"/>
              </w:rPr>
              <w:t>Impact from goodwill impairment</w:t>
            </w:r>
          </w:p>
        </w:tc>
        <w:tc>
          <w:tcPr>
            <w:tcW w:w="0" w:type="auto"/>
            <w:gridSpan w:val="2"/>
            <w:shd w:val="clear" w:color="auto" w:fill="FFFFFF"/>
            <w:tcMar>
              <w:top w:w="30" w:type="dxa"/>
              <w:left w:w="20" w:type="dxa"/>
              <w:bottom w:w="30" w:type="dxa"/>
              <w:right w:w="0" w:type="dxa"/>
            </w:tcMar>
            <w:vAlign w:val="bottom"/>
            <w:hideMark/>
          </w:tcPr>
          <w:p w14:paraId="4D523A64" w14:textId="77777777" w:rsidR="00000000" w:rsidRDefault="001D0688">
            <w:pPr>
              <w:jc w:val="right"/>
              <w:rPr>
                <w:rFonts w:eastAsia="Times New Roman"/>
              </w:rPr>
            </w:pPr>
            <w:r>
              <w:rPr>
                <w:rFonts w:ascii="Arial" w:eastAsia="Times New Roman" w:hAnsi="Arial" w:cs="Arial"/>
                <w:color w:val="000000"/>
                <w:sz w:val="20"/>
                <w:szCs w:val="20"/>
              </w:rPr>
              <w:t>81.7 </w:t>
            </w:r>
          </w:p>
        </w:tc>
        <w:tc>
          <w:tcPr>
            <w:tcW w:w="0" w:type="auto"/>
            <w:shd w:val="clear" w:color="auto" w:fill="FFFFFF"/>
            <w:tcMar>
              <w:top w:w="30" w:type="dxa"/>
              <w:left w:w="0" w:type="dxa"/>
              <w:bottom w:w="30" w:type="dxa"/>
              <w:right w:w="20" w:type="dxa"/>
            </w:tcMar>
            <w:vAlign w:val="bottom"/>
            <w:hideMark/>
          </w:tcPr>
          <w:p w14:paraId="6696E27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B151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625F3"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14A8D0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136C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E9BEC" w14:textId="77777777" w:rsidR="00000000" w:rsidRDefault="001D0688">
            <w:pPr>
              <w:jc w:val="right"/>
              <w:rPr>
                <w:rFonts w:eastAsia="Times New Roman"/>
              </w:rPr>
            </w:pPr>
            <w:r>
              <w:rPr>
                <w:rFonts w:ascii="Arial" w:eastAsia="Times New Roman" w:hAnsi="Arial" w:cs="Arial"/>
                <w:color w:val="000000"/>
                <w:sz w:val="20"/>
                <w:szCs w:val="20"/>
              </w:rPr>
              <w:t>4.4 </w:t>
            </w:r>
          </w:p>
        </w:tc>
        <w:tc>
          <w:tcPr>
            <w:tcW w:w="0" w:type="auto"/>
            <w:shd w:val="clear" w:color="auto" w:fill="FFFFFF"/>
            <w:tcMar>
              <w:top w:w="30" w:type="dxa"/>
              <w:left w:w="0" w:type="dxa"/>
              <w:bottom w:w="30" w:type="dxa"/>
              <w:right w:w="20" w:type="dxa"/>
            </w:tcMar>
            <w:vAlign w:val="bottom"/>
            <w:hideMark/>
          </w:tcPr>
          <w:p w14:paraId="256098B5" w14:textId="77777777" w:rsidR="00000000" w:rsidRDefault="001D0688">
            <w:pPr>
              <w:jc w:val="right"/>
              <w:rPr>
                <w:rFonts w:eastAsia="Times New Roman"/>
              </w:rPr>
            </w:pPr>
          </w:p>
        </w:tc>
      </w:tr>
      <w:tr w:rsidR="00000000" w14:paraId="0BCAB83A" w14:textId="77777777">
        <w:trPr>
          <w:divId w:val="1461806252"/>
        </w:trPr>
        <w:tc>
          <w:tcPr>
            <w:tcW w:w="0" w:type="auto"/>
            <w:gridSpan w:val="3"/>
            <w:shd w:val="clear" w:color="auto" w:fill="DCE2EF"/>
            <w:tcMar>
              <w:top w:w="30" w:type="dxa"/>
              <w:left w:w="155" w:type="dxa"/>
              <w:bottom w:w="30" w:type="dxa"/>
              <w:right w:w="20" w:type="dxa"/>
            </w:tcMar>
            <w:vAlign w:val="bottom"/>
            <w:hideMark/>
          </w:tcPr>
          <w:p w14:paraId="7735D6D4" w14:textId="77777777" w:rsidR="00000000" w:rsidRDefault="001D0688">
            <w:pPr>
              <w:rPr>
                <w:rFonts w:eastAsia="Times New Roman"/>
              </w:rPr>
            </w:pPr>
            <w:r>
              <w:rPr>
                <w:rFonts w:ascii="Arial" w:eastAsia="Times New Roman" w:hAnsi="Arial" w:cs="Arial"/>
                <w:color w:val="000000"/>
                <w:sz w:val="20"/>
                <w:szCs w:val="20"/>
              </w:rPr>
              <w:t xml:space="preserve">Transition tax on foreign earnings </w:t>
            </w:r>
          </w:p>
        </w:tc>
        <w:tc>
          <w:tcPr>
            <w:tcW w:w="0" w:type="auto"/>
            <w:gridSpan w:val="2"/>
            <w:shd w:val="clear" w:color="auto" w:fill="DCE2EF"/>
            <w:tcMar>
              <w:top w:w="30" w:type="dxa"/>
              <w:left w:w="20" w:type="dxa"/>
              <w:bottom w:w="30" w:type="dxa"/>
              <w:right w:w="0" w:type="dxa"/>
            </w:tcMar>
            <w:vAlign w:val="bottom"/>
            <w:hideMark/>
          </w:tcPr>
          <w:p w14:paraId="677F858A"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2232E92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6277E33"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42115C4" w14:textId="77777777" w:rsidR="00000000" w:rsidRDefault="001D0688">
            <w:pPr>
              <w:jc w:val="right"/>
              <w:rPr>
                <w:rFonts w:eastAsia="Times New Roman"/>
              </w:rPr>
            </w:pPr>
            <w:r>
              <w:rPr>
                <w:rFonts w:ascii="Arial" w:eastAsia="Times New Roman" w:hAnsi="Arial" w:cs="Arial"/>
                <w:color w:val="000000"/>
                <w:sz w:val="20"/>
                <w:szCs w:val="20"/>
              </w:rPr>
              <w:t>(1.1)</w:t>
            </w:r>
          </w:p>
        </w:tc>
        <w:tc>
          <w:tcPr>
            <w:tcW w:w="0" w:type="auto"/>
            <w:shd w:val="clear" w:color="auto" w:fill="DCE2EF"/>
            <w:tcMar>
              <w:top w:w="30" w:type="dxa"/>
              <w:left w:w="0" w:type="dxa"/>
              <w:bottom w:w="30" w:type="dxa"/>
              <w:right w:w="20" w:type="dxa"/>
            </w:tcMar>
            <w:vAlign w:val="bottom"/>
            <w:hideMark/>
          </w:tcPr>
          <w:p w14:paraId="044CAC4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7958B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64C2351" w14:textId="77777777" w:rsidR="00000000" w:rsidRDefault="001D0688">
            <w:pPr>
              <w:jc w:val="right"/>
              <w:rPr>
                <w:rFonts w:eastAsia="Times New Roman"/>
              </w:rPr>
            </w:pPr>
            <w:r>
              <w:rPr>
                <w:rFonts w:ascii="Arial" w:eastAsia="Times New Roman" w:hAnsi="Arial" w:cs="Arial"/>
                <w:color w:val="000000"/>
                <w:sz w:val="20"/>
                <w:szCs w:val="20"/>
              </w:rPr>
              <w:t>5.1 </w:t>
            </w:r>
          </w:p>
        </w:tc>
        <w:tc>
          <w:tcPr>
            <w:tcW w:w="0" w:type="auto"/>
            <w:shd w:val="clear" w:color="auto" w:fill="DCE2EF"/>
            <w:tcMar>
              <w:top w:w="30" w:type="dxa"/>
              <w:left w:w="0" w:type="dxa"/>
              <w:bottom w:w="30" w:type="dxa"/>
              <w:right w:w="20" w:type="dxa"/>
            </w:tcMar>
            <w:vAlign w:val="bottom"/>
            <w:hideMark/>
          </w:tcPr>
          <w:p w14:paraId="51F3A9ED" w14:textId="77777777" w:rsidR="00000000" w:rsidRDefault="001D0688">
            <w:pPr>
              <w:jc w:val="right"/>
              <w:rPr>
                <w:rFonts w:eastAsia="Times New Roman"/>
              </w:rPr>
            </w:pPr>
          </w:p>
        </w:tc>
      </w:tr>
      <w:tr w:rsidR="00000000" w14:paraId="2F6B687C" w14:textId="77777777">
        <w:trPr>
          <w:divId w:val="1461806252"/>
        </w:trPr>
        <w:tc>
          <w:tcPr>
            <w:tcW w:w="0" w:type="auto"/>
            <w:gridSpan w:val="3"/>
            <w:shd w:val="clear" w:color="auto" w:fill="FFFFFF"/>
            <w:tcMar>
              <w:top w:w="30" w:type="dxa"/>
              <w:left w:w="155" w:type="dxa"/>
              <w:bottom w:w="30" w:type="dxa"/>
              <w:right w:w="20" w:type="dxa"/>
            </w:tcMar>
            <w:vAlign w:val="bottom"/>
            <w:hideMark/>
          </w:tcPr>
          <w:p w14:paraId="7B0A355A" w14:textId="77777777" w:rsidR="00000000" w:rsidRDefault="001D0688">
            <w:pPr>
              <w:rPr>
                <w:rFonts w:eastAsia="Times New Roman"/>
              </w:rPr>
            </w:pPr>
            <w:r>
              <w:rPr>
                <w:rFonts w:ascii="Arial" w:eastAsia="Times New Roman" w:hAnsi="Arial" w:cs="Arial"/>
                <w:color w:val="000000"/>
                <w:sz w:val="20"/>
                <w:szCs w:val="20"/>
              </w:rPr>
              <w:t>Remeasurement of U.S. deferred taxes</w:t>
            </w:r>
          </w:p>
        </w:tc>
        <w:tc>
          <w:tcPr>
            <w:tcW w:w="0" w:type="auto"/>
            <w:gridSpan w:val="2"/>
            <w:shd w:val="clear" w:color="auto" w:fill="FFFFFF"/>
            <w:tcMar>
              <w:top w:w="30" w:type="dxa"/>
              <w:left w:w="20" w:type="dxa"/>
              <w:bottom w:w="30" w:type="dxa"/>
              <w:right w:w="0" w:type="dxa"/>
            </w:tcMar>
            <w:vAlign w:val="bottom"/>
            <w:hideMark/>
          </w:tcPr>
          <w:p w14:paraId="51ADA4F2"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D9DBD7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9769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8215B" w14:textId="77777777" w:rsidR="00000000" w:rsidRDefault="001D0688">
            <w:pPr>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5DB45C1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D31B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86FFA" w14:textId="77777777" w:rsidR="00000000" w:rsidRDefault="001D0688">
            <w:pPr>
              <w:jc w:val="right"/>
              <w:rPr>
                <w:rFonts w:eastAsia="Times New Roman"/>
              </w:rPr>
            </w:pPr>
            <w:r>
              <w:rPr>
                <w:rFonts w:ascii="Arial" w:eastAsia="Times New Roman" w:hAnsi="Arial" w:cs="Arial"/>
                <w:color w:val="000000"/>
                <w:sz w:val="20"/>
                <w:szCs w:val="20"/>
              </w:rPr>
              <w:t>(31.5)</w:t>
            </w:r>
          </w:p>
        </w:tc>
        <w:tc>
          <w:tcPr>
            <w:tcW w:w="0" w:type="auto"/>
            <w:shd w:val="clear" w:color="auto" w:fill="FFFFFF"/>
            <w:tcMar>
              <w:top w:w="30" w:type="dxa"/>
              <w:left w:w="0" w:type="dxa"/>
              <w:bottom w:w="30" w:type="dxa"/>
              <w:right w:w="20" w:type="dxa"/>
            </w:tcMar>
            <w:vAlign w:val="bottom"/>
            <w:hideMark/>
          </w:tcPr>
          <w:p w14:paraId="49DC9C77" w14:textId="77777777" w:rsidR="00000000" w:rsidRDefault="001D0688">
            <w:pPr>
              <w:jc w:val="right"/>
              <w:rPr>
                <w:rFonts w:eastAsia="Times New Roman"/>
              </w:rPr>
            </w:pPr>
          </w:p>
        </w:tc>
      </w:tr>
      <w:tr w:rsidR="00000000" w14:paraId="10B4F752" w14:textId="77777777">
        <w:trPr>
          <w:divId w:val="1461806252"/>
        </w:trPr>
        <w:tc>
          <w:tcPr>
            <w:tcW w:w="0" w:type="auto"/>
            <w:gridSpan w:val="3"/>
            <w:shd w:val="clear" w:color="auto" w:fill="DCE2EF"/>
            <w:tcMar>
              <w:top w:w="30" w:type="dxa"/>
              <w:left w:w="155" w:type="dxa"/>
              <w:bottom w:w="30" w:type="dxa"/>
              <w:right w:w="20" w:type="dxa"/>
            </w:tcMar>
            <w:vAlign w:val="bottom"/>
            <w:hideMark/>
          </w:tcPr>
          <w:p w14:paraId="46941C10" w14:textId="77777777" w:rsidR="00000000" w:rsidRDefault="001D0688">
            <w:pPr>
              <w:rPr>
                <w:rFonts w:eastAsia="Times New Roman"/>
              </w:rPr>
            </w:pPr>
            <w:r>
              <w:rPr>
                <w:rFonts w:ascii="Arial" w:eastAsia="Times New Roman" w:hAnsi="Arial" w:cs="Arial"/>
                <w:color w:val="000000"/>
                <w:sz w:val="20"/>
                <w:szCs w:val="20"/>
              </w:rPr>
              <w:t>Nondeductible expenses</w:t>
            </w:r>
          </w:p>
        </w:tc>
        <w:tc>
          <w:tcPr>
            <w:tcW w:w="0" w:type="auto"/>
            <w:gridSpan w:val="2"/>
            <w:shd w:val="clear" w:color="auto" w:fill="DCE2EF"/>
            <w:tcMar>
              <w:top w:w="30" w:type="dxa"/>
              <w:left w:w="20" w:type="dxa"/>
              <w:bottom w:w="30" w:type="dxa"/>
              <w:right w:w="0" w:type="dxa"/>
            </w:tcMar>
            <w:vAlign w:val="bottom"/>
            <w:hideMark/>
          </w:tcPr>
          <w:p w14:paraId="3B056270" w14:textId="77777777" w:rsidR="00000000" w:rsidRDefault="001D0688">
            <w:pPr>
              <w:jc w:val="right"/>
              <w:rPr>
                <w:rFonts w:eastAsia="Times New Roman"/>
              </w:rPr>
            </w:pPr>
            <w:r>
              <w:rPr>
                <w:rFonts w:ascii="Arial" w:eastAsia="Times New Roman" w:hAnsi="Arial" w:cs="Arial"/>
                <w:color w:val="000000"/>
                <w:sz w:val="20"/>
                <w:szCs w:val="20"/>
              </w:rPr>
              <w:t>4.4 </w:t>
            </w:r>
          </w:p>
        </w:tc>
        <w:tc>
          <w:tcPr>
            <w:tcW w:w="0" w:type="auto"/>
            <w:shd w:val="clear" w:color="auto" w:fill="DCE2EF"/>
            <w:tcMar>
              <w:top w:w="30" w:type="dxa"/>
              <w:left w:w="0" w:type="dxa"/>
              <w:bottom w:w="30" w:type="dxa"/>
              <w:right w:w="20" w:type="dxa"/>
            </w:tcMar>
            <w:vAlign w:val="bottom"/>
            <w:hideMark/>
          </w:tcPr>
          <w:p w14:paraId="589E273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547D7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5D44EC" w14:textId="77777777" w:rsidR="00000000" w:rsidRDefault="001D0688">
            <w:pPr>
              <w:jc w:val="right"/>
              <w:rPr>
                <w:rFonts w:eastAsia="Times New Roman"/>
              </w:rPr>
            </w:pPr>
            <w:r>
              <w:rPr>
                <w:rFonts w:ascii="Arial" w:eastAsia="Times New Roman" w:hAnsi="Arial" w:cs="Arial"/>
                <w:color w:val="000000"/>
                <w:sz w:val="20"/>
                <w:szCs w:val="20"/>
              </w:rPr>
              <w:t>2.1 </w:t>
            </w:r>
          </w:p>
        </w:tc>
        <w:tc>
          <w:tcPr>
            <w:tcW w:w="0" w:type="auto"/>
            <w:shd w:val="clear" w:color="auto" w:fill="DCE2EF"/>
            <w:tcMar>
              <w:top w:w="30" w:type="dxa"/>
              <w:left w:w="0" w:type="dxa"/>
              <w:bottom w:w="30" w:type="dxa"/>
              <w:right w:w="20" w:type="dxa"/>
            </w:tcMar>
            <w:vAlign w:val="bottom"/>
            <w:hideMark/>
          </w:tcPr>
          <w:p w14:paraId="3F29E8A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CF1D1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59CE88F" w14:textId="77777777" w:rsidR="00000000" w:rsidRDefault="001D0688">
            <w:pPr>
              <w:jc w:val="right"/>
              <w:rPr>
                <w:rFonts w:eastAsia="Times New Roman"/>
              </w:rPr>
            </w:pPr>
            <w:r>
              <w:rPr>
                <w:rFonts w:ascii="Arial" w:eastAsia="Times New Roman" w:hAnsi="Arial" w:cs="Arial"/>
                <w:color w:val="000000"/>
                <w:sz w:val="20"/>
                <w:szCs w:val="20"/>
              </w:rPr>
              <w:t>2.4 </w:t>
            </w:r>
          </w:p>
        </w:tc>
        <w:tc>
          <w:tcPr>
            <w:tcW w:w="0" w:type="auto"/>
            <w:shd w:val="clear" w:color="auto" w:fill="DCE2EF"/>
            <w:tcMar>
              <w:top w:w="30" w:type="dxa"/>
              <w:left w:w="0" w:type="dxa"/>
              <w:bottom w:w="30" w:type="dxa"/>
              <w:right w:w="20" w:type="dxa"/>
            </w:tcMar>
            <w:vAlign w:val="bottom"/>
            <w:hideMark/>
          </w:tcPr>
          <w:p w14:paraId="5F927590" w14:textId="77777777" w:rsidR="00000000" w:rsidRDefault="001D0688">
            <w:pPr>
              <w:jc w:val="right"/>
              <w:rPr>
                <w:rFonts w:eastAsia="Times New Roman"/>
              </w:rPr>
            </w:pPr>
          </w:p>
        </w:tc>
      </w:tr>
      <w:tr w:rsidR="00000000" w14:paraId="7EB0CAF3" w14:textId="77777777">
        <w:trPr>
          <w:divId w:val="1461806252"/>
        </w:trPr>
        <w:tc>
          <w:tcPr>
            <w:tcW w:w="0" w:type="auto"/>
            <w:gridSpan w:val="3"/>
            <w:shd w:val="clear" w:color="auto" w:fill="FFFFFF"/>
            <w:tcMar>
              <w:top w:w="30" w:type="dxa"/>
              <w:left w:w="155" w:type="dxa"/>
              <w:bottom w:w="30" w:type="dxa"/>
              <w:right w:w="20" w:type="dxa"/>
            </w:tcMar>
            <w:vAlign w:val="bottom"/>
            <w:hideMark/>
          </w:tcPr>
          <w:p w14:paraId="0980CEBF" w14:textId="77777777" w:rsidR="00000000" w:rsidRDefault="001D0688">
            <w:pPr>
              <w:rPr>
                <w:rFonts w:eastAsia="Times New Roman"/>
              </w:rPr>
            </w:pPr>
            <w:r>
              <w:rPr>
                <w:rFonts w:ascii="Arial" w:eastAsia="Times New Roman" w:hAnsi="Arial" w:cs="Arial"/>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14:paraId="2D883394" w14:textId="77777777" w:rsidR="00000000" w:rsidRDefault="001D0688">
            <w:pPr>
              <w:jc w:val="right"/>
              <w:rPr>
                <w:rFonts w:eastAsia="Times New Roman"/>
              </w:rPr>
            </w:pPr>
            <w:r>
              <w:rPr>
                <w:rFonts w:ascii="Arial" w:eastAsia="Times New Roman" w:hAnsi="Arial" w:cs="Arial"/>
                <w:color w:val="000000"/>
                <w:sz w:val="20"/>
                <w:szCs w:val="20"/>
              </w:rPr>
              <w:t>3.9 </w:t>
            </w:r>
          </w:p>
        </w:tc>
        <w:tc>
          <w:tcPr>
            <w:tcW w:w="0" w:type="auto"/>
            <w:shd w:val="clear" w:color="auto" w:fill="FFFFFF"/>
            <w:tcMar>
              <w:top w:w="30" w:type="dxa"/>
              <w:left w:w="0" w:type="dxa"/>
              <w:bottom w:w="30" w:type="dxa"/>
              <w:right w:w="20" w:type="dxa"/>
            </w:tcMar>
            <w:vAlign w:val="bottom"/>
            <w:hideMark/>
          </w:tcPr>
          <w:p w14:paraId="5D2F857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FF1C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A7CE9" w14:textId="77777777" w:rsidR="00000000" w:rsidRDefault="001D0688">
            <w:pPr>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14:paraId="0AE6E3E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18C4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04415" w14:textId="77777777" w:rsidR="00000000" w:rsidRDefault="001D0688">
            <w:pPr>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14:paraId="08B0B8DE" w14:textId="77777777" w:rsidR="00000000" w:rsidRDefault="001D0688">
            <w:pPr>
              <w:jc w:val="right"/>
              <w:rPr>
                <w:rFonts w:eastAsia="Times New Roman"/>
              </w:rPr>
            </w:pPr>
          </w:p>
        </w:tc>
      </w:tr>
      <w:tr w:rsidR="00000000" w14:paraId="307E9F13" w14:textId="77777777">
        <w:trPr>
          <w:divId w:val="1461806252"/>
        </w:trPr>
        <w:tc>
          <w:tcPr>
            <w:tcW w:w="0" w:type="auto"/>
            <w:gridSpan w:val="3"/>
            <w:shd w:val="clear" w:color="auto" w:fill="DCE2EF"/>
            <w:tcMar>
              <w:top w:w="30" w:type="dxa"/>
              <w:left w:w="20" w:type="dxa"/>
              <w:bottom w:w="30" w:type="dxa"/>
              <w:right w:w="20" w:type="dxa"/>
            </w:tcMar>
            <w:vAlign w:val="bottom"/>
            <w:hideMark/>
          </w:tcPr>
          <w:p w14:paraId="5F66D638" w14:textId="77777777" w:rsidR="00000000" w:rsidRDefault="001D0688">
            <w:pPr>
              <w:rPr>
                <w:rFonts w:eastAsia="Times New Roman"/>
              </w:rPr>
            </w:pPr>
            <w:r>
              <w:rPr>
                <w:rFonts w:ascii="Arial" w:eastAsia="Times New Roman" w:hAnsi="Arial" w:cs="Arial"/>
                <w:b/>
                <w:bCs/>
                <w:color w:val="000000"/>
                <w:sz w:val="20"/>
                <w:szCs w:val="20"/>
              </w:rPr>
              <w:t xml:space="preserve">Effective tax rate </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7350B9F" w14:textId="77777777" w:rsidR="00000000" w:rsidRDefault="001D0688">
            <w:pPr>
              <w:jc w:val="right"/>
              <w:rPr>
                <w:rFonts w:eastAsia="Times New Roman"/>
              </w:rPr>
            </w:pPr>
            <w:r>
              <w:rPr>
                <w:rFonts w:ascii="Arial" w:eastAsia="Times New Roman" w:hAnsi="Arial" w:cs="Arial"/>
                <w:color w:val="000000"/>
                <w:sz w:val="20"/>
                <w:szCs w:val="20"/>
              </w:rPr>
              <w:t>99.6 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90B8E1C" w14:textId="77777777" w:rsidR="00000000" w:rsidRDefault="001D0688">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6B577640" w14:textId="77777777" w:rsidR="00000000" w:rsidRDefault="001D0688">
            <w:pPr>
              <w:jc w:val="right"/>
              <w:rPr>
                <w:rFonts w:eastAsia="Times New Roman"/>
              </w:rPr>
            </w:pP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5606A4A" w14:textId="77777777" w:rsidR="00000000" w:rsidRDefault="001D0688">
            <w:pPr>
              <w:jc w:val="right"/>
              <w:rPr>
                <w:rFonts w:eastAsia="Times New Roman"/>
              </w:rPr>
            </w:pPr>
            <w:r>
              <w:rPr>
                <w:rFonts w:ascii="Arial" w:eastAsia="Times New Roman" w:hAnsi="Arial" w:cs="Arial"/>
                <w:color w:val="000000"/>
                <w:sz w:val="20"/>
                <w:szCs w:val="20"/>
              </w:rPr>
              <w:t>20.4 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EDA683C" w14:textId="77777777" w:rsidR="00000000" w:rsidRDefault="001D0688">
            <w:pPr>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14:paraId="0BDD86FD" w14:textId="77777777" w:rsidR="00000000" w:rsidRDefault="001D0688">
            <w:pPr>
              <w:jc w:val="right"/>
              <w:rPr>
                <w:rFonts w:eastAsia="Times New Roman"/>
              </w:rPr>
            </w:pP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C904C6F" w14:textId="77777777" w:rsidR="00000000" w:rsidRDefault="001D0688">
            <w:pPr>
              <w:jc w:val="right"/>
              <w:rPr>
                <w:rFonts w:eastAsia="Times New Roman"/>
              </w:rPr>
            </w:pPr>
            <w:r>
              <w:rPr>
                <w:rFonts w:ascii="Arial" w:eastAsia="Times New Roman" w:hAnsi="Arial" w:cs="Arial"/>
                <w:color w:val="000000"/>
                <w:sz w:val="20"/>
                <w:szCs w:val="20"/>
              </w:rPr>
              <w:t>(9.4)</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6D124D3" w14:textId="77777777" w:rsidR="00000000" w:rsidRDefault="001D0688">
            <w:pPr>
              <w:jc w:val="right"/>
              <w:rPr>
                <w:rFonts w:eastAsia="Times New Roman"/>
              </w:rPr>
            </w:pPr>
            <w:r>
              <w:rPr>
                <w:rFonts w:ascii="Arial" w:eastAsia="Times New Roman" w:hAnsi="Arial" w:cs="Arial"/>
                <w:color w:val="000000"/>
                <w:sz w:val="20"/>
                <w:szCs w:val="20"/>
              </w:rPr>
              <w:t>%</w:t>
            </w:r>
          </w:p>
        </w:tc>
      </w:tr>
    </w:tbl>
    <w:p w14:paraId="04A96F60" w14:textId="77777777" w:rsidR="00000000" w:rsidRDefault="001D0688">
      <w:pPr>
        <w:jc w:val="center"/>
        <w:divId w:val="894900567"/>
        <w:rPr>
          <w:rFonts w:eastAsia="Times New Roman"/>
        </w:rPr>
      </w:pPr>
      <w:r>
        <w:rPr>
          <w:rFonts w:ascii="Arial" w:eastAsia="Times New Roman" w:hAnsi="Arial" w:cs="Arial"/>
          <w:color w:val="000000"/>
          <w:sz w:val="20"/>
          <w:szCs w:val="20"/>
        </w:rPr>
        <w:t>90</w:t>
      </w:r>
    </w:p>
    <w:p w14:paraId="732276AF" w14:textId="77777777" w:rsidR="00000000" w:rsidRDefault="001D0688">
      <w:pPr>
        <w:rPr>
          <w:rFonts w:eastAsia="Times New Roman"/>
        </w:rPr>
      </w:pPr>
      <w:r>
        <w:rPr>
          <w:rFonts w:eastAsia="Times New Roman"/>
        </w:rPr>
        <w:pict w14:anchorId="145BFA34">
          <v:rect id="_x0000_i1127" style="width:0;height:1.5pt" o:hralign="center" o:hrstd="t" o:hr="t" fillcolor="#a0a0a0" stroked="f"/>
        </w:pict>
      </w:r>
    </w:p>
    <w:p w14:paraId="0C301C5A" w14:textId="77777777" w:rsidR="00000000" w:rsidRDefault="001D0688">
      <w:pPr>
        <w:divId w:val="1296526559"/>
        <w:rPr>
          <w:rFonts w:eastAsia="Times New Roman"/>
        </w:rPr>
      </w:pPr>
    </w:p>
    <w:p w14:paraId="2CBC5714" w14:textId="77777777" w:rsidR="00000000" w:rsidRDefault="001D0688">
      <w:pPr>
        <w:ind w:firstLine="720"/>
        <w:jc w:val="both"/>
        <w:divId w:val="520781148"/>
        <w:rPr>
          <w:rFonts w:eastAsia="Times New Roman"/>
        </w:rPr>
      </w:pPr>
      <w:r>
        <w:rPr>
          <w:rFonts w:ascii="Arial" w:eastAsia="Times New Roman" w:hAnsi="Arial" w:cs="Arial"/>
          <w:color w:val="000000"/>
          <w:sz w:val="20"/>
          <w:szCs w:val="20"/>
        </w:rPr>
        <w:t>On December 22, 2017, the Tax Act was enacted into law. Among other provisions, it reduced the federal corporate income tax rate from 35% to 21% and required companies to pay a one-time transition tax on the deemed rep</w:t>
      </w:r>
      <w:r>
        <w:rPr>
          <w:rFonts w:ascii="Arial" w:eastAsia="Times New Roman" w:hAnsi="Arial" w:cs="Arial"/>
          <w:color w:val="000000"/>
          <w:sz w:val="20"/>
          <w:szCs w:val="20"/>
        </w:rPr>
        <w:t>atriation of indefinitely reinvested earnings of international subsidiaries. Our U.S. statutory federal tax rate for fiscal 2019 and future years was reduced to 21% from our blended rate of 23.3% in fiscal 2018. Other provisions under the Tax Act became ef</w:t>
      </w:r>
      <w:r>
        <w:rPr>
          <w:rFonts w:ascii="Arial" w:eastAsia="Times New Roman" w:hAnsi="Arial" w:cs="Arial"/>
          <w:color w:val="000000"/>
          <w:sz w:val="20"/>
          <w:szCs w:val="20"/>
        </w:rPr>
        <w:t xml:space="preserve">fective for us in fiscal 2019, including limitations on deductibility of interest and executive compensation, as well as a new minimum tax on Global Intangible Low-Taxed Income (“GILTI”), which we have elected to account for as a period cost. </w:t>
      </w:r>
    </w:p>
    <w:p w14:paraId="50655E73" w14:textId="77777777" w:rsidR="00000000" w:rsidRDefault="001D0688">
      <w:pPr>
        <w:ind w:firstLine="720"/>
        <w:jc w:val="both"/>
        <w:divId w:val="1406032315"/>
        <w:rPr>
          <w:rFonts w:eastAsia="Times New Roman"/>
        </w:rPr>
      </w:pPr>
      <w:r>
        <w:rPr>
          <w:rFonts w:ascii="Arial" w:eastAsia="Times New Roman" w:hAnsi="Arial" w:cs="Arial"/>
          <w:color w:val="000000"/>
          <w:sz w:val="20"/>
          <w:szCs w:val="20"/>
        </w:rPr>
        <w:t>During 2018,</w:t>
      </w:r>
      <w:r>
        <w:rPr>
          <w:rFonts w:ascii="Arial" w:eastAsia="Times New Roman" w:hAnsi="Arial" w:cs="Arial"/>
          <w:color w:val="000000"/>
          <w:sz w:val="20"/>
          <w:szCs w:val="20"/>
        </w:rPr>
        <w:t xml:space="preserve"> we finalized our analysis of the transitional impacts of the Tax Act. As a result, we recorded a one-time tax benefit of $29.6 million from the remeasurement of certain deferred tax assets and liabilities based on the new tax rates at which they are expec</w:t>
      </w:r>
      <w:r>
        <w:rPr>
          <w:rFonts w:ascii="Arial" w:eastAsia="Times New Roman" w:hAnsi="Arial" w:cs="Arial"/>
          <w:color w:val="000000"/>
          <w:sz w:val="20"/>
          <w:szCs w:val="20"/>
        </w:rPr>
        <w:t xml:space="preserve">ted to reverse in the future. In addition, we recorded an expense of $4.5 million for the one-time transition tax on the deemed repatriation of indefinitely reinvested earnings of our international subsidiaries. Upon finalizing our tax filings, the impact </w:t>
      </w:r>
      <w:r>
        <w:rPr>
          <w:rFonts w:ascii="Arial" w:eastAsia="Times New Roman" w:hAnsi="Arial" w:cs="Arial"/>
          <w:color w:val="000000"/>
          <w:sz w:val="20"/>
          <w:szCs w:val="20"/>
        </w:rPr>
        <w:t xml:space="preserve">of the transition tax was ultimately an expense of </w:t>
      </w:r>
      <w:r>
        <w:rPr>
          <w:rFonts w:ascii="Arial" w:eastAsia="Times New Roman" w:hAnsi="Arial" w:cs="Arial"/>
          <w:color w:val="000000"/>
          <w:sz w:val="20"/>
          <w:szCs w:val="20"/>
          <w:shd w:val="clear" w:color="auto" w:fill="FFFFFF"/>
        </w:rPr>
        <w:t>$2.7 million</w:t>
      </w:r>
      <w:r>
        <w:rPr>
          <w:rFonts w:ascii="Arial" w:eastAsia="Times New Roman" w:hAnsi="Arial" w:cs="Arial"/>
          <w:color w:val="000000"/>
          <w:sz w:val="20"/>
          <w:szCs w:val="20"/>
        </w:rPr>
        <w:t>, which resulted in a benefit of $1.8 million that was recorded in the fourth quarter of 2019.</w:t>
      </w:r>
      <w:r>
        <w:rPr>
          <w:rFonts w:ascii="Arial" w:eastAsia="Times New Roman" w:hAnsi="Arial" w:cs="Arial"/>
          <w:color w:val="000000"/>
          <w:sz w:val="20"/>
          <w:szCs w:val="20"/>
          <w:shd w:val="clear" w:color="auto" w:fill="FFFFFF"/>
        </w:rPr>
        <w:t xml:space="preserve"> We continue planning to reinvest our foreign earnings to fund future non-U.S. growth and expansion</w:t>
      </w:r>
      <w:r>
        <w:rPr>
          <w:rFonts w:ascii="Arial" w:eastAsia="Times New Roman" w:hAnsi="Arial" w:cs="Arial"/>
          <w:color w:val="000000"/>
          <w:sz w:val="20"/>
          <w:szCs w:val="20"/>
          <w:shd w:val="clear" w:color="auto" w:fill="FFFFFF"/>
        </w:rPr>
        <w:t xml:space="preserve">, and we do not anticipate remitting such earnings to the United States. While U.S. federal tax expense has been recognized as a result of the Tax Act, no deferred tax liabilities with respect to federal and state income taxes or foreign withholding taxes </w:t>
      </w:r>
      <w:r>
        <w:rPr>
          <w:rFonts w:ascii="Arial" w:eastAsia="Times New Roman" w:hAnsi="Arial" w:cs="Arial"/>
          <w:color w:val="000000"/>
          <w:sz w:val="20"/>
          <w:szCs w:val="20"/>
          <w:shd w:val="clear" w:color="auto" w:fill="FFFFFF"/>
        </w:rPr>
        <w:t xml:space="preserve">have been recognized. </w:t>
      </w:r>
    </w:p>
    <w:p w14:paraId="5BE546DB" w14:textId="77777777" w:rsidR="00000000" w:rsidRDefault="001D0688">
      <w:pPr>
        <w:ind w:firstLine="720"/>
        <w:jc w:val="both"/>
        <w:divId w:val="2038583088"/>
        <w:rPr>
          <w:rFonts w:eastAsia="Times New Roman"/>
        </w:rPr>
      </w:pPr>
      <w:r>
        <w:rPr>
          <w:rFonts w:ascii="Arial" w:eastAsia="Times New Roman" w:hAnsi="Arial" w:cs="Arial"/>
          <w:color w:val="000000"/>
          <w:sz w:val="20"/>
          <w:szCs w:val="20"/>
        </w:rPr>
        <w:t>During 2020 and 2019, we had effective tax rates of 99.6% and 20.4%, respectively, resulting in a provision for tax of $53.1 million and $32.7 million, respectively. The effective tax rate for the year ended October 31, 2020, excludi</w:t>
      </w:r>
      <w:r>
        <w:rPr>
          <w:rFonts w:ascii="Arial" w:eastAsia="Times New Roman" w:hAnsi="Arial" w:cs="Arial"/>
          <w:color w:val="000000"/>
          <w:sz w:val="20"/>
          <w:szCs w:val="20"/>
        </w:rPr>
        <w:t xml:space="preserve">ng a nondeductible impairment loss of $163.8 million, was 24.4%. Our effective tax rate for 2020 was also impacted by the following discrete items: a $5.7 million benefit from true-ups; a $2.3 million provision related to WOTC; a $2.1 million benefit from </w:t>
      </w:r>
      <w:r>
        <w:rPr>
          <w:rFonts w:ascii="Arial" w:eastAsia="Times New Roman" w:hAnsi="Arial" w:cs="Arial"/>
          <w:color w:val="000000"/>
          <w:sz w:val="20"/>
          <w:szCs w:val="20"/>
        </w:rPr>
        <w:t>energy efficiency incentives; and a $1.1 million benefit from change of tax reserves. Our effective tax rate for 2019 was impacted by the following discrete items: a $1.8 million benefit from the transition tax (including foreign tax credits); a $1.7 milli</w:t>
      </w:r>
      <w:r>
        <w:rPr>
          <w:rFonts w:ascii="Arial" w:eastAsia="Times New Roman" w:hAnsi="Arial" w:cs="Arial"/>
          <w:color w:val="000000"/>
          <w:sz w:val="20"/>
          <w:szCs w:val="20"/>
        </w:rPr>
        <w:t>on benefit from state true-ups; a $1.6 million benefit from federal true-ups; a $1.3 million provision related to WOTC; a $1.3 million benefit from expiring statutes of limitations; a $1.1 million benefit from the vesting of share-based compensation awards</w:t>
      </w:r>
      <w:r>
        <w:rPr>
          <w:rFonts w:ascii="Arial" w:eastAsia="Times New Roman" w:hAnsi="Arial" w:cs="Arial"/>
          <w:color w:val="000000"/>
          <w:sz w:val="20"/>
          <w:szCs w:val="20"/>
        </w:rPr>
        <w:t>; and a $0.9 million benefit from research and development credits.</w:t>
      </w:r>
    </w:p>
    <w:p w14:paraId="05DC1AAD" w14:textId="77777777" w:rsidR="00000000" w:rsidRDefault="001D0688">
      <w:pPr>
        <w:jc w:val="center"/>
        <w:divId w:val="206838594"/>
        <w:rPr>
          <w:rFonts w:eastAsia="Times New Roman"/>
        </w:rPr>
      </w:pPr>
      <w:r>
        <w:rPr>
          <w:rFonts w:ascii="Arial" w:eastAsia="Times New Roman" w:hAnsi="Arial" w:cs="Arial"/>
          <w:color w:val="000000"/>
          <w:sz w:val="20"/>
          <w:szCs w:val="20"/>
        </w:rPr>
        <w:t>91</w:t>
      </w:r>
    </w:p>
    <w:p w14:paraId="67F80D87" w14:textId="77777777" w:rsidR="00000000" w:rsidRDefault="001D0688">
      <w:pPr>
        <w:rPr>
          <w:rFonts w:eastAsia="Times New Roman"/>
        </w:rPr>
      </w:pPr>
      <w:r>
        <w:rPr>
          <w:rFonts w:eastAsia="Times New Roman"/>
        </w:rPr>
        <w:pict w14:anchorId="279A498D">
          <v:rect id="_x0000_i1128" style="width:0;height:1.5pt" o:hralign="center" o:hrstd="t" o:hr="t" fillcolor="#a0a0a0" stroked="f"/>
        </w:pict>
      </w:r>
    </w:p>
    <w:p w14:paraId="322BD41A" w14:textId="77777777" w:rsidR="00000000" w:rsidRDefault="001D0688">
      <w:pPr>
        <w:divId w:val="588075618"/>
        <w:rPr>
          <w:rFonts w:eastAsia="Times New Roman"/>
        </w:rPr>
      </w:pPr>
    </w:p>
    <w:p w14:paraId="5674BE0A" w14:textId="77777777" w:rsidR="00000000" w:rsidRDefault="001D0688">
      <w:pPr>
        <w:jc w:val="both"/>
        <w:divId w:val="1721392736"/>
        <w:rPr>
          <w:rFonts w:eastAsia="Times New Roman"/>
        </w:rPr>
      </w:pPr>
      <w:r>
        <w:rPr>
          <w:rFonts w:ascii="Arial" w:eastAsia="Times New Roman" w:hAnsi="Arial" w:cs="Arial"/>
          <w:b/>
          <w:bCs/>
          <w:color w:val="0046AD"/>
          <w:sz w:val="20"/>
          <w:szCs w:val="20"/>
        </w:rPr>
        <w:t>Components of Deferred Tax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678"/>
        <w:gridCol w:w="38"/>
        <w:gridCol w:w="132"/>
        <w:gridCol w:w="1573"/>
        <w:gridCol w:w="36"/>
        <w:gridCol w:w="36"/>
        <w:gridCol w:w="36"/>
        <w:gridCol w:w="36"/>
        <w:gridCol w:w="132"/>
        <w:gridCol w:w="1533"/>
        <w:gridCol w:w="36"/>
      </w:tblGrid>
      <w:tr w:rsidR="00000000" w14:paraId="0F438A19" w14:textId="77777777">
        <w:trPr>
          <w:divId w:val="607588092"/>
        </w:trPr>
        <w:tc>
          <w:tcPr>
            <w:tcW w:w="50" w:type="pct"/>
            <w:vAlign w:val="center"/>
            <w:hideMark/>
          </w:tcPr>
          <w:p w14:paraId="57AB623E" w14:textId="77777777" w:rsidR="00000000" w:rsidRDefault="001D0688">
            <w:pPr>
              <w:jc w:val="both"/>
              <w:rPr>
                <w:rFonts w:eastAsia="Times New Roman"/>
              </w:rPr>
            </w:pPr>
          </w:p>
        </w:tc>
        <w:tc>
          <w:tcPr>
            <w:tcW w:w="2847" w:type="pct"/>
            <w:vAlign w:val="center"/>
            <w:hideMark/>
          </w:tcPr>
          <w:p w14:paraId="64E4D1D8" w14:textId="77777777" w:rsidR="00000000" w:rsidRDefault="001D0688">
            <w:pPr>
              <w:rPr>
                <w:rFonts w:eastAsia="Times New Roman"/>
                <w:sz w:val="20"/>
                <w:szCs w:val="20"/>
              </w:rPr>
            </w:pPr>
          </w:p>
        </w:tc>
        <w:tc>
          <w:tcPr>
            <w:tcW w:w="5" w:type="pct"/>
            <w:vAlign w:val="center"/>
            <w:hideMark/>
          </w:tcPr>
          <w:p w14:paraId="395325D5" w14:textId="77777777" w:rsidR="00000000" w:rsidRDefault="001D0688">
            <w:pPr>
              <w:rPr>
                <w:rFonts w:eastAsia="Times New Roman"/>
                <w:sz w:val="20"/>
                <w:szCs w:val="20"/>
              </w:rPr>
            </w:pPr>
          </w:p>
        </w:tc>
        <w:tc>
          <w:tcPr>
            <w:tcW w:w="50" w:type="pct"/>
            <w:vAlign w:val="center"/>
            <w:hideMark/>
          </w:tcPr>
          <w:p w14:paraId="45DF3877" w14:textId="77777777" w:rsidR="00000000" w:rsidRDefault="001D0688">
            <w:pPr>
              <w:rPr>
                <w:rFonts w:eastAsia="Times New Roman"/>
                <w:sz w:val="20"/>
                <w:szCs w:val="20"/>
              </w:rPr>
            </w:pPr>
          </w:p>
        </w:tc>
        <w:tc>
          <w:tcPr>
            <w:tcW w:w="975" w:type="pct"/>
            <w:vAlign w:val="center"/>
            <w:hideMark/>
          </w:tcPr>
          <w:p w14:paraId="1F861023" w14:textId="77777777" w:rsidR="00000000" w:rsidRDefault="001D0688">
            <w:pPr>
              <w:rPr>
                <w:rFonts w:eastAsia="Times New Roman"/>
                <w:sz w:val="20"/>
                <w:szCs w:val="20"/>
              </w:rPr>
            </w:pPr>
          </w:p>
        </w:tc>
        <w:tc>
          <w:tcPr>
            <w:tcW w:w="5" w:type="pct"/>
            <w:vAlign w:val="center"/>
            <w:hideMark/>
          </w:tcPr>
          <w:p w14:paraId="7525DF8F" w14:textId="77777777" w:rsidR="00000000" w:rsidRDefault="001D0688">
            <w:pPr>
              <w:rPr>
                <w:rFonts w:eastAsia="Times New Roman"/>
                <w:sz w:val="20"/>
                <w:szCs w:val="20"/>
              </w:rPr>
            </w:pPr>
          </w:p>
        </w:tc>
        <w:tc>
          <w:tcPr>
            <w:tcW w:w="5" w:type="pct"/>
            <w:vAlign w:val="center"/>
            <w:hideMark/>
          </w:tcPr>
          <w:p w14:paraId="48FE70C7" w14:textId="77777777" w:rsidR="00000000" w:rsidRDefault="001D0688">
            <w:pPr>
              <w:rPr>
                <w:rFonts w:eastAsia="Times New Roman"/>
                <w:sz w:val="20"/>
                <w:szCs w:val="20"/>
              </w:rPr>
            </w:pPr>
          </w:p>
        </w:tc>
        <w:tc>
          <w:tcPr>
            <w:tcW w:w="26" w:type="pct"/>
            <w:vAlign w:val="center"/>
            <w:hideMark/>
          </w:tcPr>
          <w:p w14:paraId="643957A2" w14:textId="77777777" w:rsidR="00000000" w:rsidRDefault="001D0688">
            <w:pPr>
              <w:rPr>
                <w:rFonts w:eastAsia="Times New Roman"/>
                <w:sz w:val="20"/>
                <w:szCs w:val="20"/>
              </w:rPr>
            </w:pPr>
          </w:p>
        </w:tc>
        <w:tc>
          <w:tcPr>
            <w:tcW w:w="5" w:type="pct"/>
            <w:vAlign w:val="center"/>
            <w:hideMark/>
          </w:tcPr>
          <w:p w14:paraId="06E3DDC9" w14:textId="77777777" w:rsidR="00000000" w:rsidRDefault="001D0688">
            <w:pPr>
              <w:rPr>
                <w:rFonts w:eastAsia="Times New Roman"/>
                <w:sz w:val="20"/>
                <w:szCs w:val="20"/>
              </w:rPr>
            </w:pPr>
          </w:p>
        </w:tc>
        <w:tc>
          <w:tcPr>
            <w:tcW w:w="50" w:type="pct"/>
            <w:vAlign w:val="center"/>
            <w:hideMark/>
          </w:tcPr>
          <w:p w14:paraId="6EC02C20" w14:textId="77777777" w:rsidR="00000000" w:rsidRDefault="001D0688">
            <w:pPr>
              <w:rPr>
                <w:rFonts w:eastAsia="Times New Roman"/>
                <w:sz w:val="20"/>
                <w:szCs w:val="20"/>
              </w:rPr>
            </w:pPr>
          </w:p>
        </w:tc>
        <w:tc>
          <w:tcPr>
            <w:tcW w:w="975" w:type="pct"/>
            <w:vAlign w:val="center"/>
            <w:hideMark/>
          </w:tcPr>
          <w:p w14:paraId="5D69CC19" w14:textId="77777777" w:rsidR="00000000" w:rsidRDefault="001D0688">
            <w:pPr>
              <w:rPr>
                <w:rFonts w:eastAsia="Times New Roman"/>
                <w:sz w:val="20"/>
                <w:szCs w:val="20"/>
              </w:rPr>
            </w:pPr>
          </w:p>
        </w:tc>
        <w:tc>
          <w:tcPr>
            <w:tcW w:w="5" w:type="pct"/>
            <w:vAlign w:val="center"/>
            <w:hideMark/>
          </w:tcPr>
          <w:p w14:paraId="3EC7BA51" w14:textId="77777777" w:rsidR="00000000" w:rsidRDefault="001D0688">
            <w:pPr>
              <w:rPr>
                <w:rFonts w:eastAsia="Times New Roman"/>
                <w:sz w:val="20"/>
                <w:szCs w:val="20"/>
              </w:rPr>
            </w:pPr>
          </w:p>
        </w:tc>
      </w:tr>
      <w:tr w:rsidR="00000000" w14:paraId="4BE689F0" w14:textId="77777777">
        <w:trPr>
          <w:divId w:val="607588092"/>
        </w:trPr>
        <w:tc>
          <w:tcPr>
            <w:tcW w:w="0" w:type="auto"/>
            <w:gridSpan w:val="3"/>
            <w:tcMar>
              <w:top w:w="0" w:type="dxa"/>
              <w:left w:w="20" w:type="dxa"/>
              <w:bottom w:w="0" w:type="dxa"/>
              <w:right w:w="20" w:type="dxa"/>
            </w:tcMar>
            <w:vAlign w:val="center"/>
            <w:hideMark/>
          </w:tcPr>
          <w:p w14:paraId="2D159E4D" w14:textId="77777777" w:rsidR="00000000" w:rsidRDefault="001D0688">
            <w:pPr>
              <w:rPr>
                <w:rFonts w:eastAsia="Times New Roman"/>
                <w:sz w:val="20"/>
                <w:szCs w:val="20"/>
              </w:rPr>
            </w:pPr>
          </w:p>
        </w:tc>
        <w:tc>
          <w:tcPr>
            <w:tcW w:w="0" w:type="auto"/>
            <w:gridSpan w:val="9"/>
            <w:tcMar>
              <w:top w:w="30" w:type="dxa"/>
              <w:left w:w="20" w:type="dxa"/>
              <w:bottom w:w="30" w:type="dxa"/>
              <w:right w:w="20" w:type="dxa"/>
            </w:tcMar>
            <w:vAlign w:val="bottom"/>
            <w:hideMark/>
          </w:tcPr>
          <w:p w14:paraId="3166B2CF" w14:textId="77777777" w:rsidR="00000000" w:rsidRDefault="001D0688">
            <w:pPr>
              <w:jc w:val="center"/>
              <w:rPr>
                <w:rFonts w:eastAsia="Times New Roman"/>
              </w:rPr>
            </w:pPr>
            <w:r>
              <w:rPr>
                <w:rFonts w:ascii="Arial" w:eastAsia="Times New Roman" w:hAnsi="Arial" w:cs="Arial"/>
                <w:b/>
                <w:bCs/>
                <w:color w:val="000000"/>
                <w:sz w:val="20"/>
                <w:szCs w:val="20"/>
              </w:rPr>
              <w:t>As of October 31,</w:t>
            </w:r>
          </w:p>
        </w:tc>
      </w:tr>
      <w:tr w:rsidR="00000000" w14:paraId="02034E38" w14:textId="77777777">
        <w:trPr>
          <w:divId w:val="607588092"/>
        </w:trPr>
        <w:tc>
          <w:tcPr>
            <w:tcW w:w="0" w:type="auto"/>
            <w:gridSpan w:val="3"/>
            <w:tcMar>
              <w:top w:w="30" w:type="dxa"/>
              <w:left w:w="20" w:type="dxa"/>
              <w:bottom w:w="30" w:type="dxa"/>
              <w:right w:w="20" w:type="dxa"/>
            </w:tcMar>
            <w:vAlign w:val="bottom"/>
            <w:hideMark/>
          </w:tcPr>
          <w:p w14:paraId="664694C0"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CC57E6A"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F8F7B3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774E4A" w14:textId="77777777" w:rsidR="00000000" w:rsidRDefault="001D0688">
            <w:pPr>
              <w:jc w:val="center"/>
              <w:rPr>
                <w:rFonts w:eastAsia="Times New Roman"/>
              </w:rPr>
            </w:pPr>
            <w:r>
              <w:rPr>
                <w:rFonts w:ascii="Arial" w:eastAsia="Times New Roman" w:hAnsi="Arial" w:cs="Arial"/>
                <w:b/>
                <w:bCs/>
                <w:color w:val="000000"/>
                <w:sz w:val="20"/>
                <w:szCs w:val="20"/>
              </w:rPr>
              <w:t>2019</w:t>
            </w:r>
          </w:p>
        </w:tc>
      </w:tr>
      <w:tr w:rsidR="00000000" w14:paraId="3375695A" w14:textId="77777777">
        <w:trPr>
          <w:divId w:val="607588092"/>
        </w:trPr>
        <w:tc>
          <w:tcPr>
            <w:tcW w:w="0" w:type="auto"/>
            <w:gridSpan w:val="3"/>
            <w:shd w:val="clear" w:color="auto" w:fill="DCE2EF"/>
            <w:tcMar>
              <w:top w:w="30" w:type="dxa"/>
              <w:left w:w="20" w:type="dxa"/>
              <w:bottom w:w="30" w:type="dxa"/>
              <w:right w:w="20" w:type="dxa"/>
            </w:tcMar>
            <w:vAlign w:val="bottom"/>
            <w:hideMark/>
          </w:tcPr>
          <w:p w14:paraId="53DC6BF2" w14:textId="77777777" w:rsidR="00000000" w:rsidRDefault="001D0688">
            <w:pPr>
              <w:rPr>
                <w:rFonts w:eastAsia="Times New Roman"/>
              </w:rPr>
            </w:pPr>
            <w:r>
              <w:rPr>
                <w:rFonts w:ascii="Arial" w:eastAsia="Times New Roman" w:hAnsi="Arial" w:cs="Arial"/>
                <w:b/>
                <w:bCs/>
                <w:i/>
                <w:iCs/>
                <w:color w:val="000000"/>
                <w:sz w:val="20"/>
                <w:szCs w:val="20"/>
              </w:rPr>
              <w:t>Deferred tax assets attributable to:</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A260632"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C8907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C5C13EE" w14:textId="77777777" w:rsidR="00000000" w:rsidRDefault="001D0688">
            <w:pPr>
              <w:rPr>
                <w:rFonts w:eastAsia="Times New Roman"/>
                <w:sz w:val="20"/>
                <w:szCs w:val="20"/>
              </w:rPr>
            </w:pPr>
          </w:p>
        </w:tc>
      </w:tr>
      <w:tr w:rsidR="00000000" w14:paraId="1CE5ACEA" w14:textId="77777777">
        <w:trPr>
          <w:divId w:val="607588092"/>
        </w:trPr>
        <w:tc>
          <w:tcPr>
            <w:tcW w:w="0" w:type="auto"/>
            <w:gridSpan w:val="3"/>
            <w:shd w:val="clear" w:color="auto" w:fill="FFFFFF"/>
            <w:tcMar>
              <w:top w:w="30" w:type="dxa"/>
              <w:left w:w="155" w:type="dxa"/>
              <w:bottom w:w="30" w:type="dxa"/>
              <w:right w:w="20" w:type="dxa"/>
            </w:tcMar>
            <w:vAlign w:val="bottom"/>
            <w:hideMark/>
          </w:tcPr>
          <w:p w14:paraId="3A577E02" w14:textId="77777777" w:rsidR="00000000" w:rsidRDefault="001D0688">
            <w:pPr>
              <w:rPr>
                <w:rFonts w:eastAsia="Times New Roman"/>
              </w:rPr>
            </w:pPr>
            <w:r>
              <w:rPr>
                <w:rFonts w:ascii="Arial" w:eastAsia="Times New Roman" w:hAnsi="Arial" w:cs="Arial"/>
                <w:color w:val="000000"/>
                <w:sz w:val="20"/>
                <w:szCs w:val="20"/>
              </w:rPr>
              <w:t>Self-insurance claims (net of recoverables)</w:t>
            </w:r>
          </w:p>
        </w:tc>
        <w:tc>
          <w:tcPr>
            <w:tcW w:w="0" w:type="auto"/>
            <w:shd w:val="clear" w:color="auto" w:fill="FFFFFF"/>
            <w:tcMar>
              <w:top w:w="30" w:type="dxa"/>
              <w:left w:w="20" w:type="dxa"/>
              <w:bottom w:w="30" w:type="dxa"/>
              <w:right w:w="0" w:type="dxa"/>
            </w:tcMar>
            <w:vAlign w:val="bottom"/>
            <w:hideMark/>
          </w:tcPr>
          <w:p w14:paraId="4989E42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A0356D5" w14:textId="77777777" w:rsidR="00000000" w:rsidRDefault="001D0688">
            <w:pPr>
              <w:jc w:val="right"/>
              <w:rPr>
                <w:rFonts w:eastAsia="Times New Roman"/>
              </w:rPr>
            </w:pPr>
            <w:r>
              <w:rPr>
                <w:rFonts w:ascii="Arial" w:eastAsia="Times New Roman" w:hAnsi="Arial" w:cs="Arial"/>
                <w:color w:val="000000"/>
                <w:sz w:val="20"/>
                <w:szCs w:val="20"/>
              </w:rPr>
              <w:t>74.7 </w:t>
            </w:r>
          </w:p>
        </w:tc>
        <w:tc>
          <w:tcPr>
            <w:tcW w:w="0" w:type="auto"/>
            <w:shd w:val="clear" w:color="auto" w:fill="FFFFFF"/>
            <w:tcMar>
              <w:top w:w="30" w:type="dxa"/>
              <w:left w:w="0" w:type="dxa"/>
              <w:bottom w:w="30" w:type="dxa"/>
              <w:right w:w="20" w:type="dxa"/>
            </w:tcMar>
            <w:vAlign w:val="bottom"/>
            <w:hideMark/>
          </w:tcPr>
          <w:p w14:paraId="7D2703F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00BB9"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5E8EC0"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A972DB9" w14:textId="77777777" w:rsidR="00000000" w:rsidRDefault="001D0688">
            <w:pPr>
              <w:jc w:val="right"/>
              <w:rPr>
                <w:rFonts w:eastAsia="Times New Roman"/>
              </w:rPr>
            </w:pPr>
            <w:r>
              <w:rPr>
                <w:rFonts w:ascii="Arial" w:eastAsia="Times New Roman" w:hAnsi="Arial" w:cs="Arial"/>
                <w:color w:val="000000"/>
                <w:sz w:val="20"/>
                <w:szCs w:val="20"/>
              </w:rPr>
              <w:t>83.6 </w:t>
            </w:r>
          </w:p>
        </w:tc>
        <w:tc>
          <w:tcPr>
            <w:tcW w:w="0" w:type="auto"/>
            <w:shd w:val="clear" w:color="auto" w:fill="FFFFFF"/>
            <w:tcMar>
              <w:top w:w="30" w:type="dxa"/>
              <w:left w:w="0" w:type="dxa"/>
              <w:bottom w:w="30" w:type="dxa"/>
              <w:right w:w="20" w:type="dxa"/>
            </w:tcMar>
            <w:vAlign w:val="bottom"/>
            <w:hideMark/>
          </w:tcPr>
          <w:p w14:paraId="04C1E11C" w14:textId="77777777" w:rsidR="00000000" w:rsidRDefault="001D0688">
            <w:pPr>
              <w:jc w:val="right"/>
              <w:rPr>
                <w:rFonts w:eastAsia="Times New Roman"/>
              </w:rPr>
            </w:pPr>
          </w:p>
        </w:tc>
      </w:tr>
      <w:tr w:rsidR="00000000" w14:paraId="2A5B497D" w14:textId="77777777">
        <w:trPr>
          <w:divId w:val="607588092"/>
        </w:trPr>
        <w:tc>
          <w:tcPr>
            <w:tcW w:w="0" w:type="auto"/>
            <w:gridSpan w:val="3"/>
            <w:shd w:val="clear" w:color="auto" w:fill="DCE2EF"/>
            <w:tcMar>
              <w:top w:w="30" w:type="dxa"/>
              <w:left w:w="155" w:type="dxa"/>
              <w:bottom w:w="30" w:type="dxa"/>
              <w:right w:w="20" w:type="dxa"/>
            </w:tcMar>
            <w:vAlign w:val="bottom"/>
            <w:hideMark/>
          </w:tcPr>
          <w:p w14:paraId="32275A43" w14:textId="77777777" w:rsidR="00000000" w:rsidRDefault="001D0688">
            <w:pPr>
              <w:rPr>
                <w:rFonts w:eastAsia="Times New Roman"/>
              </w:rPr>
            </w:pPr>
            <w:r>
              <w:rPr>
                <w:rFonts w:ascii="Arial" w:eastAsia="Times New Roman" w:hAnsi="Arial" w:cs="Arial"/>
                <w:color w:val="000000"/>
                <w:sz w:val="20"/>
                <w:szCs w:val="20"/>
              </w:rPr>
              <w:t>Deferred and other compensation</w:t>
            </w:r>
          </w:p>
        </w:tc>
        <w:tc>
          <w:tcPr>
            <w:tcW w:w="0" w:type="auto"/>
            <w:gridSpan w:val="2"/>
            <w:shd w:val="clear" w:color="auto" w:fill="DCE2EF"/>
            <w:tcMar>
              <w:top w:w="30" w:type="dxa"/>
              <w:left w:w="20" w:type="dxa"/>
              <w:bottom w:w="30" w:type="dxa"/>
              <w:right w:w="0" w:type="dxa"/>
            </w:tcMar>
            <w:vAlign w:val="bottom"/>
            <w:hideMark/>
          </w:tcPr>
          <w:p w14:paraId="2ABE7A3B" w14:textId="77777777" w:rsidR="00000000" w:rsidRDefault="001D0688">
            <w:pPr>
              <w:jc w:val="right"/>
              <w:rPr>
                <w:rFonts w:eastAsia="Times New Roman"/>
              </w:rPr>
            </w:pPr>
            <w:r>
              <w:rPr>
                <w:rFonts w:ascii="Arial" w:eastAsia="Times New Roman" w:hAnsi="Arial" w:cs="Arial"/>
                <w:color w:val="000000"/>
                <w:sz w:val="20"/>
                <w:szCs w:val="20"/>
              </w:rPr>
              <w:t>28.6 </w:t>
            </w:r>
          </w:p>
        </w:tc>
        <w:tc>
          <w:tcPr>
            <w:tcW w:w="0" w:type="auto"/>
            <w:shd w:val="clear" w:color="auto" w:fill="DCE2EF"/>
            <w:tcMar>
              <w:top w:w="30" w:type="dxa"/>
              <w:left w:w="0" w:type="dxa"/>
              <w:bottom w:w="30" w:type="dxa"/>
              <w:right w:w="20" w:type="dxa"/>
            </w:tcMar>
            <w:vAlign w:val="bottom"/>
            <w:hideMark/>
          </w:tcPr>
          <w:p w14:paraId="6864049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1223C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F33EDE" w14:textId="77777777" w:rsidR="00000000" w:rsidRDefault="001D0688">
            <w:pPr>
              <w:jc w:val="right"/>
              <w:rPr>
                <w:rFonts w:eastAsia="Times New Roman"/>
              </w:rPr>
            </w:pPr>
            <w:r>
              <w:rPr>
                <w:rFonts w:ascii="Arial" w:eastAsia="Times New Roman" w:hAnsi="Arial" w:cs="Arial"/>
                <w:color w:val="000000"/>
                <w:sz w:val="20"/>
                <w:szCs w:val="20"/>
              </w:rPr>
              <w:t>25.6 </w:t>
            </w:r>
          </w:p>
        </w:tc>
        <w:tc>
          <w:tcPr>
            <w:tcW w:w="0" w:type="auto"/>
            <w:shd w:val="clear" w:color="auto" w:fill="DCE2EF"/>
            <w:tcMar>
              <w:top w:w="30" w:type="dxa"/>
              <w:left w:w="0" w:type="dxa"/>
              <w:bottom w:w="30" w:type="dxa"/>
              <w:right w:w="20" w:type="dxa"/>
            </w:tcMar>
            <w:vAlign w:val="bottom"/>
            <w:hideMark/>
          </w:tcPr>
          <w:p w14:paraId="38BF9F9E" w14:textId="77777777" w:rsidR="00000000" w:rsidRDefault="001D0688">
            <w:pPr>
              <w:jc w:val="right"/>
              <w:rPr>
                <w:rFonts w:eastAsia="Times New Roman"/>
              </w:rPr>
            </w:pPr>
          </w:p>
        </w:tc>
      </w:tr>
      <w:tr w:rsidR="00000000" w14:paraId="7439562D" w14:textId="77777777">
        <w:trPr>
          <w:divId w:val="607588092"/>
        </w:trPr>
        <w:tc>
          <w:tcPr>
            <w:tcW w:w="0" w:type="auto"/>
            <w:gridSpan w:val="3"/>
            <w:shd w:val="clear" w:color="auto" w:fill="FFFFFF"/>
            <w:tcMar>
              <w:top w:w="30" w:type="dxa"/>
              <w:left w:w="155" w:type="dxa"/>
              <w:bottom w:w="30" w:type="dxa"/>
              <w:right w:w="20" w:type="dxa"/>
            </w:tcMar>
            <w:vAlign w:val="bottom"/>
            <w:hideMark/>
          </w:tcPr>
          <w:p w14:paraId="0B1F1921" w14:textId="77777777" w:rsidR="00000000" w:rsidRDefault="001D0688">
            <w:pPr>
              <w:rPr>
                <w:rFonts w:eastAsia="Times New Roman"/>
              </w:rPr>
            </w:pPr>
            <w:r>
              <w:rPr>
                <w:rFonts w:ascii="Arial" w:eastAsia="Times New Roman" w:hAnsi="Arial" w:cs="Arial"/>
                <w:color w:val="000000"/>
                <w:sz w:val="20"/>
                <w:szCs w:val="20"/>
              </w:rPr>
              <w:t>Accounts receivable allowances</w:t>
            </w:r>
          </w:p>
        </w:tc>
        <w:tc>
          <w:tcPr>
            <w:tcW w:w="0" w:type="auto"/>
            <w:gridSpan w:val="2"/>
            <w:shd w:val="clear" w:color="auto" w:fill="FFFFFF"/>
            <w:tcMar>
              <w:top w:w="30" w:type="dxa"/>
              <w:left w:w="20" w:type="dxa"/>
              <w:bottom w:w="30" w:type="dxa"/>
              <w:right w:w="0" w:type="dxa"/>
            </w:tcMar>
            <w:vAlign w:val="bottom"/>
            <w:hideMark/>
          </w:tcPr>
          <w:p w14:paraId="4313BCDD" w14:textId="77777777" w:rsidR="00000000" w:rsidRDefault="001D0688">
            <w:pPr>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14:paraId="674134C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20BC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BDE6A" w14:textId="77777777" w:rsidR="00000000" w:rsidRDefault="001D0688">
            <w:pPr>
              <w:jc w:val="right"/>
              <w:rPr>
                <w:rFonts w:eastAsia="Times New Roman"/>
              </w:rPr>
            </w:pPr>
            <w:r>
              <w:rPr>
                <w:rFonts w:ascii="Arial" w:eastAsia="Times New Roman" w:hAnsi="Arial" w:cs="Arial"/>
                <w:color w:val="000000"/>
                <w:sz w:val="20"/>
                <w:szCs w:val="20"/>
              </w:rPr>
              <w:t>5.6 </w:t>
            </w:r>
          </w:p>
        </w:tc>
        <w:tc>
          <w:tcPr>
            <w:tcW w:w="0" w:type="auto"/>
            <w:shd w:val="clear" w:color="auto" w:fill="FFFFFF"/>
            <w:tcMar>
              <w:top w:w="30" w:type="dxa"/>
              <w:left w:w="0" w:type="dxa"/>
              <w:bottom w:w="30" w:type="dxa"/>
              <w:right w:w="20" w:type="dxa"/>
            </w:tcMar>
            <w:vAlign w:val="bottom"/>
            <w:hideMark/>
          </w:tcPr>
          <w:p w14:paraId="59F056A8" w14:textId="77777777" w:rsidR="00000000" w:rsidRDefault="001D0688">
            <w:pPr>
              <w:jc w:val="right"/>
              <w:rPr>
                <w:rFonts w:eastAsia="Times New Roman"/>
              </w:rPr>
            </w:pPr>
          </w:p>
        </w:tc>
      </w:tr>
      <w:tr w:rsidR="00000000" w14:paraId="38EEF0D8" w14:textId="77777777">
        <w:trPr>
          <w:divId w:val="607588092"/>
        </w:trPr>
        <w:tc>
          <w:tcPr>
            <w:tcW w:w="0" w:type="auto"/>
            <w:gridSpan w:val="3"/>
            <w:shd w:val="clear" w:color="auto" w:fill="DCE2EF"/>
            <w:tcMar>
              <w:top w:w="30" w:type="dxa"/>
              <w:left w:w="155" w:type="dxa"/>
              <w:bottom w:w="30" w:type="dxa"/>
              <w:right w:w="20" w:type="dxa"/>
            </w:tcMar>
            <w:vAlign w:val="bottom"/>
            <w:hideMark/>
          </w:tcPr>
          <w:p w14:paraId="56ABF2CF" w14:textId="77777777" w:rsidR="00000000" w:rsidRDefault="001D0688">
            <w:pPr>
              <w:rPr>
                <w:rFonts w:eastAsia="Times New Roman"/>
              </w:rPr>
            </w:pPr>
            <w:r>
              <w:rPr>
                <w:rFonts w:ascii="Arial" w:eastAsia="Times New Roman" w:hAnsi="Arial" w:cs="Arial"/>
                <w:color w:val="000000"/>
                <w:sz w:val="20"/>
                <w:szCs w:val="20"/>
              </w:rPr>
              <w:t>Settlement liabilities</w:t>
            </w:r>
          </w:p>
        </w:tc>
        <w:tc>
          <w:tcPr>
            <w:tcW w:w="0" w:type="auto"/>
            <w:gridSpan w:val="2"/>
            <w:shd w:val="clear" w:color="auto" w:fill="DCE2EF"/>
            <w:tcMar>
              <w:top w:w="30" w:type="dxa"/>
              <w:left w:w="20" w:type="dxa"/>
              <w:bottom w:w="30" w:type="dxa"/>
              <w:right w:w="0" w:type="dxa"/>
            </w:tcMar>
            <w:vAlign w:val="bottom"/>
            <w:hideMark/>
          </w:tcPr>
          <w:p w14:paraId="1D8ECFC9" w14:textId="77777777" w:rsidR="00000000" w:rsidRDefault="001D0688">
            <w:pPr>
              <w:jc w:val="right"/>
              <w:rPr>
                <w:rFonts w:eastAsia="Times New Roman"/>
              </w:rPr>
            </w:pPr>
            <w:r>
              <w:rPr>
                <w:rFonts w:ascii="Arial" w:eastAsia="Times New Roman" w:hAnsi="Arial" w:cs="Arial"/>
                <w:color w:val="000000"/>
                <w:sz w:val="20"/>
                <w:szCs w:val="20"/>
              </w:rPr>
              <w:t>5.0 </w:t>
            </w:r>
          </w:p>
        </w:tc>
        <w:tc>
          <w:tcPr>
            <w:tcW w:w="0" w:type="auto"/>
            <w:shd w:val="clear" w:color="auto" w:fill="DCE2EF"/>
            <w:tcMar>
              <w:top w:w="30" w:type="dxa"/>
              <w:left w:w="0" w:type="dxa"/>
              <w:bottom w:w="30" w:type="dxa"/>
              <w:right w:w="20" w:type="dxa"/>
            </w:tcMar>
            <w:vAlign w:val="bottom"/>
            <w:hideMark/>
          </w:tcPr>
          <w:p w14:paraId="0AC60A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9401E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192B0B" w14:textId="77777777" w:rsidR="00000000" w:rsidRDefault="001D0688">
            <w:pPr>
              <w:jc w:val="right"/>
              <w:rPr>
                <w:rFonts w:eastAsia="Times New Roman"/>
              </w:rPr>
            </w:pPr>
            <w:r>
              <w:rPr>
                <w:rFonts w:ascii="Arial" w:eastAsia="Times New Roman" w:hAnsi="Arial" w:cs="Arial"/>
                <w:color w:val="000000"/>
                <w:sz w:val="20"/>
                <w:szCs w:val="20"/>
              </w:rPr>
              <w:t>3.1 </w:t>
            </w:r>
          </w:p>
        </w:tc>
        <w:tc>
          <w:tcPr>
            <w:tcW w:w="0" w:type="auto"/>
            <w:shd w:val="clear" w:color="auto" w:fill="DCE2EF"/>
            <w:tcMar>
              <w:top w:w="30" w:type="dxa"/>
              <w:left w:w="0" w:type="dxa"/>
              <w:bottom w:w="30" w:type="dxa"/>
              <w:right w:w="20" w:type="dxa"/>
            </w:tcMar>
            <w:vAlign w:val="bottom"/>
            <w:hideMark/>
          </w:tcPr>
          <w:p w14:paraId="1F952D13" w14:textId="77777777" w:rsidR="00000000" w:rsidRDefault="001D0688">
            <w:pPr>
              <w:jc w:val="right"/>
              <w:rPr>
                <w:rFonts w:eastAsia="Times New Roman"/>
              </w:rPr>
            </w:pPr>
          </w:p>
        </w:tc>
      </w:tr>
      <w:tr w:rsidR="00000000" w14:paraId="54304699" w14:textId="77777777">
        <w:trPr>
          <w:divId w:val="607588092"/>
        </w:trPr>
        <w:tc>
          <w:tcPr>
            <w:tcW w:w="0" w:type="auto"/>
            <w:gridSpan w:val="3"/>
            <w:shd w:val="clear" w:color="auto" w:fill="FFFFFF"/>
            <w:tcMar>
              <w:top w:w="30" w:type="dxa"/>
              <w:left w:w="155" w:type="dxa"/>
              <w:bottom w:w="30" w:type="dxa"/>
              <w:right w:w="20" w:type="dxa"/>
            </w:tcMar>
            <w:vAlign w:val="bottom"/>
            <w:hideMark/>
          </w:tcPr>
          <w:p w14:paraId="419A5820" w14:textId="77777777" w:rsidR="00000000" w:rsidRDefault="001D0688">
            <w:pPr>
              <w:rPr>
                <w:rFonts w:eastAsia="Times New Roman"/>
              </w:rPr>
            </w:pPr>
            <w:r>
              <w:rPr>
                <w:rFonts w:ascii="Arial" w:eastAsia="Times New Roman" w:hAnsi="Arial" w:cs="Arial"/>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14:paraId="59338C4E" w14:textId="77777777" w:rsidR="00000000" w:rsidRDefault="001D0688">
            <w:pPr>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14:paraId="299A6D8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8515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05887D" w14:textId="77777777" w:rsidR="00000000" w:rsidRDefault="001D0688">
            <w:pPr>
              <w:jc w:val="right"/>
              <w:rPr>
                <w:rFonts w:eastAsia="Times New Roman"/>
              </w:rPr>
            </w:pPr>
            <w:r>
              <w:rPr>
                <w:rFonts w:ascii="Arial" w:eastAsia="Times New Roman" w:hAnsi="Arial" w:cs="Arial"/>
                <w:color w:val="000000"/>
                <w:sz w:val="20"/>
                <w:szCs w:val="20"/>
              </w:rPr>
              <w:t>1.8 </w:t>
            </w:r>
          </w:p>
        </w:tc>
        <w:tc>
          <w:tcPr>
            <w:tcW w:w="0" w:type="auto"/>
            <w:shd w:val="clear" w:color="auto" w:fill="FFFFFF"/>
            <w:tcMar>
              <w:top w:w="30" w:type="dxa"/>
              <w:left w:w="0" w:type="dxa"/>
              <w:bottom w:w="30" w:type="dxa"/>
              <w:right w:w="20" w:type="dxa"/>
            </w:tcMar>
            <w:vAlign w:val="bottom"/>
            <w:hideMark/>
          </w:tcPr>
          <w:p w14:paraId="5C521659" w14:textId="77777777" w:rsidR="00000000" w:rsidRDefault="001D0688">
            <w:pPr>
              <w:jc w:val="right"/>
              <w:rPr>
                <w:rFonts w:eastAsia="Times New Roman"/>
              </w:rPr>
            </w:pPr>
          </w:p>
        </w:tc>
      </w:tr>
      <w:tr w:rsidR="00000000" w14:paraId="466029D6" w14:textId="77777777">
        <w:trPr>
          <w:divId w:val="607588092"/>
        </w:trPr>
        <w:tc>
          <w:tcPr>
            <w:tcW w:w="0" w:type="auto"/>
            <w:gridSpan w:val="3"/>
            <w:shd w:val="clear" w:color="auto" w:fill="DCE2EF"/>
            <w:tcMar>
              <w:top w:w="30" w:type="dxa"/>
              <w:left w:w="155" w:type="dxa"/>
              <w:bottom w:w="30" w:type="dxa"/>
              <w:right w:w="20" w:type="dxa"/>
            </w:tcMar>
            <w:vAlign w:val="bottom"/>
            <w:hideMark/>
          </w:tcPr>
          <w:p w14:paraId="5B11357F" w14:textId="77777777" w:rsidR="00000000" w:rsidRDefault="001D0688">
            <w:pPr>
              <w:rPr>
                <w:rFonts w:eastAsia="Times New Roman"/>
              </w:rPr>
            </w:pPr>
            <w:r>
              <w:rPr>
                <w:rFonts w:ascii="Arial" w:eastAsia="Times New Roman" w:hAnsi="Arial" w:cs="Arial"/>
                <w:color w:val="000000"/>
                <w:sz w:val="20"/>
                <w:szCs w:val="20"/>
              </w:rPr>
              <w:t>Other comprehensive income</w:t>
            </w:r>
          </w:p>
        </w:tc>
        <w:tc>
          <w:tcPr>
            <w:tcW w:w="0" w:type="auto"/>
            <w:gridSpan w:val="2"/>
            <w:shd w:val="clear" w:color="auto" w:fill="DCE2EF"/>
            <w:tcMar>
              <w:top w:w="30" w:type="dxa"/>
              <w:left w:w="20" w:type="dxa"/>
              <w:bottom w:w="30" w:type="dxa"/>
              <w:right w:w="0" w:type="dxa"/>
            </w:tcMar>
            <w:vAlign w:val="bottom"/>
            <w:hideMark/>
          </w:tcPr>
          <w:p w14:paraId="3E3E21C7" w14:textId="77777777" w:rsidR="00000000" w:rsidRDefault="001D0688">
            <w:pPr>
              <w:jc w:val="right"/>
              <w:rPr>
                <w:rFonts w:eastAsia="Times New Roman"/>
              </w:rPr>
            </w:pPr>
            <w:r>
              <w:rPr>
                <w:rFonts w:ascii="Arial" w:eastAsia="Times New Roman" w:hAnsi="Arial" w:cs="Arial"/>
                <w:color w:val="000000"/>
                <w:sz w:val="20"/>
                <w:szCs w:val="20"/>
              </w:rPr>
              <w:t>2.7 </w:t>
            </w:r>
          </w:p>
        </w:tc>
        <w:tc>
          <w:tcPr>
            <w:tcW w:w="0" w:type="auto"/>
            <w:shd w:val="clear" w:color="auto" w:fill="DCE2EF"/>
            <w:tcMar>
              <w:top w:w="30" w:type="dxa"/>
              <w:left w:w="0" w:type="dxa"/>
              <w:bottom w:w="30" w:type="dxa"/>
              <w:right w:w="20" w:type="dxa"/>
            </w:tcMar>
            <w:vAlign w:val="bottom"/>
            <w:hideMark/>
          </w:tcPr>
          <w:p w14:paraId="70A2A48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8FF6E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003750" w14:textId="77777777" w:rsidR="00000000" w:rsidRDefault="001D0688">
            <w:pPr>
              <w:jc w:val="right"/>
              <w:rPr>
                <w:rFonts w:eastAsia="Times New Roman"/>
              </w:rPr>
            </w:pPr>
            <w:r>
              <w:rPr>
                <w:rFonts w:ascii="Arial" w:eastAsia="Times New Roman" w:hAnsi="Arial" w:cs="Arial"/>
                <w:color w:val="000000"/>
                <w:sz w:val="20"/>
                <w:szCs w:val="20"/>
              </w:rPr>
              <w:t>0.5 </w:t>
            </w:r>
          </w:p>
        </w:tc>
        <w:tc>
          <w:tcPr>
            <w:tcW w:w="0" w:type="auto"/>
            <w:shd w:val="clear" w:color="auto" w:fill="DCE2EF"/>
            <w:tcMar>
              <w:top w:w="30" w:type="dxa"/>
              <w:left w:w="0" w:type="dxa"/>
              <w:bottom w:w="30" w:type="dxa"/>
              <w:right w:w="20" w:type="dxa"/>
            </w:tcMar>
            <w:vAlign w:val="bottom"/>
            <w:hideMark/>
          </w:tcPr>
          <w:p w14:paraId="5356DCC4" w14:textId="77777777" w:rsidR="00000000" w:rsidRDefault="001D0688">
            <w:pPr>
              <w:jc w:val="right"/>
              <w:rPr>
                <w:rFonts w:eastAsia="Times New Roman"/>
              </w:rPr>
            </w:pPr>
          </w:p>
        </w:tc>
      </w:tr>
      <w:tr w:rsidR="00000000" w14:paraId="6199FEF5" w14:textId="77777777">
        <w:trPr>
          <w:divId w:val="607588092"/>
        </w:trPr>
        <w:tc>
          <w:tcPr>
            <w:tcW w:w="0" w:type="auto"/>
            <w:gridSpan w:val="3"/>
            <w:shd w:val="clear" w:color="auto" w:fill="FFFFFF"/>
            <w:tcMar>
              <w:top w:w="30" w:type="dxa"/>
              <w:left w:w="155" w:type="dxa"/>
              <w:bottom w:w="30" w:type="dxa"/>
              <w:right w:w="20" w:type="dxa"/>
            </w:tcMar>
            <w:vAlign w:val="bottom"/>
            <w:hideMark/>
          </w:tcPr>
          <w:p w14:paraId="7231E063" w14:textId="77777777" w:rsidR="00000000" w:rsidRDefault="001D0688">
            <w:pPr>
              <w:rPr>
                <w:rFonts w:eastAsia="Times New Roman"/>
              </w:rPr>
            </w:pPr>
            <w:r>
              <w:rPr>
                <w:rFonts w:ascii="Arial" w:eastAsia="Times New Roman" w:hAnsi="Arial" w:cs="Arial"/>
                <w:color w:val="000000"/>
                <w:sz w:val="20"/>
                <w:szCs w:val="20"/>
              </w:rPr>
              <w:t>State taxes</w:t>
            </w:r>
          </w:p>
        </w:tc>
        <w:tc>
          <w:tcPr>
            <w:tcW w:w="0" w:type="auto"/>
            <w:gridSpan w:val="2"/>
            <w:shd w:val="clear" w:color="auto" w:fill="FFFFFF"/>
            <w:tcMar>
              <w:top w:w="30" w:type="dxa"/>
              <w:left w:w="20" w:type="dxa"/>
              <w:bottom w:w="30" w:type="dxa"/>
              <w:right w:w="0" w:type="dxa"/>
            </w:tcMar>
            <w:vAlign w:val="bottom"/>
            <w:hideMark/>
          </w:tcPr>
          <w:p w14:paraId="7E7A3A82" w14:textId="77777777" w:rsidR="00000000" w:rsidRDefault="001D0688">
            <w:pPr>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14:paraId="322399D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2B13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657F7" w14:textId="77777777" w:rsidR="00000000" w:rsidRDefault="001D0688">
            <w:pPr>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14:paraId="62C95A4C" w14:textId="77777777" w:rsidR="00000000" w:rsidRDefault="001D0688">
            <w:pPr>
              <w:jc w:val="right"/>
              <w:rPr>
                <w:rFonts w:eastAsia="Times New Roman"/>
              </w:rPr>
            </w:pPr>
          </w:p>
        </w:tc>
      </w:tr>
      <w:tr w:rsidR="00000000" w14:paraId="0F2EF5B5" w14:textId="77777777">
        <w:trPr>
          <w:divId w:val="607588092"/>
        </w:trPr>
        <w:tc>
          <w:tcPr>
            <w:tcW w:w="0" w:type="auto"/>
            <w:gridSpan w:val="3"/>
            <w:shd w:val="clear" w:color="auto" w:fill="DCE2EF"/>
            <w:tcMar>
              <w:top w:w="30" w:type="dxa"/>
              <w:left w:w="155" w:type="dxa"/>
              <w:bottom w:w="30" w:type="dxa"/>
              <w:right w:w="20" w:type="dxa"/>
            </w:tcMar>
            <w:vAlign w:val="bottom"/>
            <w:hideMark/>
          </w:tcPr>
          <w:p w14:paraId="6BD6E5AD" w14:textId="77777777" w:rsidR="00000000" w:rsidRDefault="001D0688">
            <w:pPr>
              <w:rPr>
                <w:rFonts w:eastAsia="Times New Roman"/>
              </w:rPr>
            </w:pPr>
            <w:r>
              <w:rPr>
                <w:rFonts w:ascii="Arial" w:eastAsia="Times New Roman" w:hAnsi="Arial" w:cs="Arial"/>
                <w:color w:val="000000"/>
                <w:sz w:val="20"/>
                <w:szCs w:val="20"/>
              </w:rPr>
              <w:t>State net operating loss carryforwards</w:t>
            </w:r>
          </w:p>
        </w:tc>
        <w:tc>
          <w:tcPr>
            <w:tcW w:w="0" w:type="auto"/>
            <w:gridSpan w:val="2"/>
            <w:shd w:val="clear" w:color="auto" w:fill="DCE2EF"/>
            <w:tcMar>
              <w:top w:w="30" w:type="dxa"/>
              <w:left w:w="20" w:type="dxa"/>
              <w:bottom w:w="30" w:type="dxa"/>
              <w:right w:w="0" w:type="dxa"/>
            </w:tcMar>
            <w:vAlign w:val="bottom"/>
            <w:hideMark/>
          </w:tcPr>
          <w:p w14:paraId="2E361489" w14:textId="77777777" w:rsidR="00000000" w:rsidRDefault="001D0688">
            <w:pPr>
              <w:jc w:val="right"/>
              <w:rPr>
                <w:rFonts w:eastAsia="Times New Roman"/>
              </w:rPr>
            </w:pPr>
            <w:r>
              <w:rPr>
                <w:rFonts w:ascii="Arial" w:eastAsia="Times New Roman" w:hAnsi="Arial" w:cs="Arial"/>
                <w:color w:val="000000"/>
                <w:sz w:val="20"/>
                <w:szCs w:val="20"/>
              </w:rPr>
              <w:t>5.9 </w:t>
            </w:r>
          </w:p>
        </w:tc>
        <w:tc>
          <w:tcPr>
            <w:tcW w:w="0" w:type="auto"/>
            <w:shd w:val="clear" w:color="auto" w:fill="DCE2EF"/>
            <w:tcMar>
              <w:top w:w="30" w:type="dxa"/>
              <w:left w:w="0" w:type="dxa"/>
              <w:bottom w:w="30" w:type="dxa"/>
              <w:right w:w="20" w:type="dxa"/>
            </w:tcMar>
            <w:vAlign w:val="bottom"/>
            <w:hideMark/>
          </w:tcPr>
          <w:p w14:paraId="6BBE9AD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4635F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913041" w14:textId="77777777" w:rsidR="00000000" w:rsidRDefault="001D0688">
            <w:pPr>
              <w:jc w:val="right"/>
              <w:rPr>
                <w:rFonts w:eastAsia="Times New Roman"/>
              </w:rPr>
            </w:pPr>
            <w:r>
              <w:rPr>
                <w:rFonts w:ascii="Arial" w:eastAsia="Times New Roman" w:hAnsi="Arial" w:cs="Arial"/>
                <w:color w:val="000000"/>
                <w:sz w:val="20"/>
                <w:szCs w:val="20"/>
              </w:rPr>
              <w:t>11.2 </w:t>
            </w:r>
          </w:p>
        </w:tc>
        <w:tc>
          <w:tcPr>
            <w:tcW w:w="0" w:type="auto"/>
            <w:shd w:val="clear" w:color="auto" w:fill="DCE2EF"/>
            <w:tcMar>
              <w:top w:w="30" w:type="dxa"/>
              <w:left w:w="0" w:type="dxa"/>
              <w:bottom w:w="30" w:type="dxa"/>
              <w:right w:w="20" w:type="dxa"/>
            </w:tcMar>
            <w:vAlign w:val="bottom"/>
            <w:hideMark/>
          </w:tcPr>
          <w:p w14:paraId="56F4FA30" w14:textId="77777777" w:rsidR="00000000" w:rsidRDefault="001D0688">
            <w:pPr>
              <w:jc w:val="right"/>
              <w:rPr>
                <w:rFonts w:eastAsia="Times New Roman"/>
              </w:rPr>
            </w:pPr>
          </w:p>
        </w:tc>
      </w:tr>
      <w:tr w:rsidR="00000000" w14:paraId="75BA273B" w14:textId="77777777">
        <w:trPr>
          <w:divId w:val="607588092"/>
        </w:trPr>
        <w:tc>
          <w:tcPr>
            <w:tcW w:w="0" w:type="auto"/>
            <w:gridSpan w:val="3"/>
            <w:vAlign w:val="center"/>
            <w:hideMark/>
          </w:tcPr>
          <w:p w14:paraId="1794D44F" w14:textId="77777777" w:rsidR="00000000" w:rsidRDefault="001D0688">
            <w:pPr>
              <w:jc w:val="right"/>
              <w:rPr>
                <w:rFonts w:eastAsia="Times New Roman"/>
                <w:sz w:val="20"/>
                <w:szCs w:val="20"/>
              </w:rPr>
            </w:pPr>
          </w:p>
        </w:tc>
        <w:tc>
          <w:tcPr>
            <w:tcW w:w="0" w:type="auto"/>
            <w:gridSpan w:val="3"/>
            <w:vAlign w:val="center"/>
            <w:hideMark/>
          </w:tcPr>
          <w:p w14:paraId="43A18CFA" w14:textId="77777777" w:rsidR="00000000" w:rsidRDefault="001D0688">
            <w:pPr>
              <w:rPr>
                <w:rFonts w:eastAsia="Times New Roman"/>
                <w:sz w:val="20"/>
                <w:szCs w:val="20"/>
              </w:rPr>
            </w:pPr>
          </w:p>
        </w:tc>
        <w:tc>
          <w:tcPr>
            <w:tcW w:w="0" w:type="auto"/>
            <w:gridSpan w:val="3"/>
            <w:vAlign w:val="center"/>
            <w:hideMark/>
          </w:tcPr>
          <w:p w14:paraId="27AA2817" w14:textId="77777777" w:rsidR="00000000" w:rsidRDefault="001D0688">
            <w:pPr>
              <w:rPr>
                <w:rFonts w:eastAsia="Times New Roman"/>
                <w:sz w:val="20"/>
                <w:szCs w:val="20"/>
              </w:rPr>
            </w:pPr>
          </w:p>
        </w:tc>
        <w:tc>
          <w:tcPr>
            <w:tcW w:w="0" w:type="auto"/>
            <w:gridSpan w:val="3"/>
            <w:vAlign w:val="center"/>
            <w:hideMark/>
          </w:tcPr>
          <w:p w14:paraId="45D0C8F5" w14:textId="77777777" w:rsidR="00000000" w:rsidRDefault="001D0688">
            <w:pPr>
              <w:rPr>
                <w:rFonts w:eastAsia="Times New Roman"/>
                <w:sz w:val="20"/>
                <w:szCs w:val="20"/>
              </w:rPr>
            </w:pPr>
          </w:p>
        </w:tc>
      </w:tr>
      <w:tr w:rsidR="00000000" w14:paraId="1904AC4B" w14:textId="77777777">
        <w:trPr>
          <w:divId w:val="607588092"/>
        </w:trPr>
        <w:tc>
          <w:tcPr>
            <w:tcW w:w="0" w:type="auto"/>
            <w:gridSpan w:val="3"/>
            <w:shd w:val="clear" w:color="auto" w:fill="FFFFFF"/>
            <w:tcMar>
              <w:top w:w="30" w:type="dxa"/>
              <w:left w:w="155" w:type="dxa"/>
              <w:bottom w:w="30" w:type="dxa"/>
              <w:right w:w="20" w:type="dxa"/>
            </w:tcMar>
            <w:vAlign w:val="bottom"/>
            <w:hideMark/>
          </w:tcPr>
          <w:p w14:paraId="01800689" w14:textId="77777777" w:rsidR="00000000" w:rsidRDefault="001D0688">
            <w:pPr>
              <w:rPr>
                <w:rFonts w:eastAsia="Times New Roman"/>
              </w:rPr>
            </w:pPr>
            <w:r>
              <w:rPr>
                <w:rFonts w:ascii="Arial" w:eastAsia="Times New Roman" w:hAnsi="Arial" w:cs="Arial"/>
                <w:color w:val="000000"/>
                <w:sz w:val="20"/>
                <w:szCs w:val="20"/>
              </w:rPr>
              <w:t>Tax credits</w:t>
            </w:r>
          </w:p>
        </w:tc>
        <w:tc>
          <w:tcPr>
            <w:tcW w:w="0" w:type="auto"/>
            <w:gridSpan w:val="2"/>
            <w:shd w:val="clear" w:color="auto" w:fill="FFFFFF"/>
            <w:tcMar>
              <w:top w:w="30" w:type="dxa"/>
              <w:left w:w="20" w:type="dxa"/>
              <w:bottom w:w="30" w:type="dxa"/>
              <w:right w:w="0" w:type="dxa"/>
            </w:tcMar>
            <w:vAlign w:val="bottom"/>
            <w:hideMark/>
          </w:tcPr>
          <w:p w14:paraId="2787723D" w14:textId="77777777" w:rsidR="00000000" w:rsidRDefault="001D0688">
            <w:pPr>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14:paraId="1236580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C60B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775650" w14:textId="77777777" w:rsidR="00000000" w:rsidRDefault="001D0688">
            <w:pPr>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14:paraId="4B370697" w14:textId="77777777" w:rsidR="00000000" w:rsidRDefault="001D0688">
            <w:pPr>
              <w:jc w:val="right"/>
              <w:rPr>
                <w:rFonts w:eastAsia="Times New Roman"/>
              </w:rPr>
            </w:pPr>
          </w:p>
        </w:tc>
      </w:tr>
      <w:tr w:rsidR="00000000" w14:paraId="3397C835" w14:textId="77777777">
        <w:trPr>
          <w:divId w:val="607588092"/>
        </w:trPr>
        <w:tc>
          <w:tcPr>
            <w:tcW w:w="0" w:type="auto"/>
            <w:gridSpan w:val="3"/>
            <w:shd w:val="clear" w:color="auto" w:fill="DCE2EF"/>
            <w:tcMar>
              <w:top w:w="30" w:type="dxa"/>
              <w:left w:w="155" w:type="dxa"/>
              <w:bottom w:w="30" w:type="dxa"/>
              <w:right w:w="20" w:type="dxa"/>
            </w:tcMar>
            <w:vAlign w:val="bottom"/>
            <w:hideMark/>
          </w:tcPr>
          <w:p w14:paraId="63528020" w14:textId="77777777" w:rsidR="00000000" w:rsidRDefault="001D0688">
            <w:pPr>
              <w:rPr>
                <w:rFonts w:eastAsia="Times New Roman"/>
              </w:rPr>
            </w:pPr>
            <w:r>
              <w:rPr>
                <w:rFonts w:ascii="Arial" w:eastAsia="Times New Roman" w:hAnsi="Arial" w:cs="Arial"/>
                <w:color w:val="000000"/>
                <w:sz w:val="20"/>
                <w:szCs w:val="20"/>
              </w:rPr>
              <w:t>Unrecognized tax benefits</w:t>
            </w:r>
          </w:p>
        </w:tc>
        <w:tc>
          <w:tcPr>
            <w:tcW w:w="0" w:type="auto"/>
            <w:gridSpan w:val="2"/>
            <w:shd w:val="clear" w:color="auto" w:fill="DCE2EF"/>
            <w:tcMar>
              <w:top w:w="30" w:type="dxa"/>
              <w:left w:w="20" w:type="dxa"/>
              <w:bottom w:w="30" w:type="dxa"/>
              <w:right w:w="0" w:type="dxa"/>
            </w:tcMar>
            <w:vAlign w:val="bottom"/>
            <w:hideMark/>
          </w:tcPr>
          <w:p w14:paraId="6F0A4562" w14:textId="77777777" w:rsidR="00000000" w:rsidRDefault="001D0688">
            <w:pPr>
              <w:jc w:val="right"/>
              <w:rPr>
                <w:rFonts w:eastAsia="Times New Roman"/>
              </w:rPr>
            </w:pPr>
            <w:r>
              <w:rPr>
                <w:rFonts w:ascii="Arial" w:eastAsia="Times New Roman" w:hAnsi="Arial" w:cs="Arial"/>
                <w:color w:val="000000"/>
                <w:sz w:val="20"/>
                <w:szCs w:val="20"/>
              </w:rPr>
              <w:t>3.2 </w:t>
            </w:r>
          </w:p>
        </w:tc>
        <w:tc>
          <w:tcPr>
            <w:tcW w:w="0" w:type="auto"/>
            <w:shd w:val="clear" w:color="auto" w:fill="DCE2EF"/>
            <w:tcMar>
              <w:top w:w="30" w:type="dxa"/>
              <w:left w:w="0" w:type="dxa"/>
              <w:bottom w:w="30" w:type="dxa"/>
              <w:right w:w="20" w:type="dxa"/>
            </w:tcMar>
            <w:vAlign w:val="bottom"/>
            <w:hideMark/>
          </w:tcPr>
          <w:p w14:paraId="7814A0C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6A07B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0B76560" w14:textId="77777777" w:rsidR="00000000" w:rsidRDefault="001D0688">
            <w:pPr>
              <w:jc w:val="right"/>
              <w:rPr>
                <w:rFonts w:eastAsia="Times New Roman"/>
              </w:rPr>
            </w:pPr>
            <w:r>
              <w:rPr>
                <w:rFonts w:ascii="Arial" w:eastAsia="Times New Roman" w:hAnsi="Arial" w:cs="Arial"/>
                <w:color w:val="000000"/>
                <w:sz w:val="20"/>
                <w:szCs w:val="20"/>
              </w:rPr>
              <w:t>3.0 </w:t>
            </w:r>
          </w:p>
        </w:tc>
        <w:tc>
          <w:tcPr>
            <w:tcW w:w="0" w:type="auto"/>
            <w:shd w:val="clear" w:color="auto" w:fill="DCE2EF"/>
            <w:tcMar>
              <w:top w:w="30" w:type="dxa"/>
              <w:left w:w="0" w:type="dxa"/>
              <w:bottom w:w="30" w:type="dxa"/>
              <w:right w:w="20" w:type="dxa"/>
            </w:tcMar>
            <w:vAlign w:val="bottom"/>
            <w:hideMark/>
          </w:tcPr>
          <w:p w14:paraId="76B908E9" w14:textId="77777777" w:rsidR="00000000" w:rsidRDefault="001D0688">
            <w:pPr>
              <w:jc w:val="right"/>
              <w:rPr>
                <w:rFonts w:eastAsia="Times New Roman"/>
              </w:rPr>
            </w:pPr>
          </w:p>
        </w:tc>
      </w:tr>
      <w:tr w:rsidR="00000000" w14:paraId="66273E8D" w14:textId="77777777">
        <w:trPr>
          <w:divId w:val="607588092"/>
        </w:trPr>
        <w:tc>
          <w:tcPr>
            <w:tcW w:w="0" w:type="auto"/>
            <w:gridSpan w:val="3"/>
            <w:vAlign w:val="center"/>
            <w:hideMark/>
          </w:tcPr>
          <w:p w14:paraId="60E872F1" w14:textId="77777777" w:rsidR="00000000" w:rsidRDefault="001D0688">
            <w:pPr>
              <w:jc w:val="right"/>
              <w:rPr>
                <w:rFonts w:eastAsia="Times New Roman"/>
                <w:sz w:val="20"/>
                <w:szCs w:val="20"/>
              </w:rPr>
            </w:pPr>
          </w:p>
        </w:tc>
        <w:tc>
          <w:tcPr>
            <w:tcW w:w="0" w:type="auto"/>
            <w:gridSpan w:val="3"/>
            <w:vAlign w:val="center"/>
            <w:hideMark/>
          </w:tcPr>
          <w:p w14:paraId="508E71A6" w14:textId="77777777" w:rsidR="00000000" w:rsidRDefault="001D0688">
            <w:pPr>
              <w:rPr>
                <w:rFonts w:eastAsia="Times New Roman"/>
                <w:sz w:val="20"/>
                <w:szCs w:val="20"/>
              </w:rPr>
            </w:pPr>
          </w:p>
        </w:tc>
        <w:tc>
          <w:tcPr>
            <w:tcW w:w="0" w:type="auto"/>
            <w:gridSpan w:val="3"/>
            <w:vAlign w:val="center"/>
            <w:hideMark/>
          </w:tcPr>
          <w:p w14:paraId="03AACEF1" w14:textId="77777777" w:rsidR="00000000" w:rsidRDefault="001D0688">
            <w:pPr>
              <w:rPr>
                <w:rFonts w:eastAsia="Times New Roman"/>
                <w:sz w:val="20"/>
                <w:szCs w:val="20"/>
              </w:rPr>
            </w:pPr>
          </w:p>
        </w:tc>
        <w:tc>
          <w:tcPr>
            <w:tcW w:w="0" w:type="auto"/>
            <w:gridSpan w:val="3"/>
            <w:vAlign w:val="center"/>
            <w:hideMark/>
          </w:tcPr>
          <w:p w14:paraId="4AD19AAA" w14:textId="77777777" w:rsidR="00000000" w:rsidRDefault="001D0688">
            <w:pPr>
              <w:rPr>
                <w:rFonts w:eastAsia="Times New Roman"/>
                <w:sz w:val="20"/>
                <w:szCs w:val="20"/>
              </w:rPr>
            </w:pPr>
          </w:p>
        </w:tc>
      </w:tr>
      <w:tr w:rsidR="00000000" w14:paraId="1DFA3B98" w14:textId="77777777">
        <w:trPr>
          <w:divId w:val="607588092"/>
        </w:trPr>
        <w:tc>
          <w:tcPr>
            <w:tcW w:w="0" w:type="auto"/>
            <w:gridSpan w:val="3"/>
            <w:shd w:val="clear" w:color="auto" w:fill="FFFFFF"/>
            <w:tcMar>
              <w:top w:w="30" w:type="dxa"/>
              <w:left w:w="140" w:type="dxa"/>
              <w:bottom w:w="30" w:type="dxa"/>
              <w:right w:w="20" w:type="dxa"/>
            </w:tcMar>
            <w:vAlign w:val="bottom"/>
            <w:hideMark/>
          </w:tcPr>
          <w:p w14:paraId="0A979C6A" w14:textId="77777777" w:rsidR="00000000" w:rsidRDefault="001D0688">
            <w:pPr>
              <w:rPr>
                <w:rFonts w:eastAsia="Times New Roman"/>
              </w:rPr>
            </w:pPr>
            <w:r>
              <w:rPr>
                <w:rFonts w:ascii="Arial" w:eastAsia="Times New Roman" w:hAnsi="Arial" w:cs="Arial"/>
                <w:color w:val="000000"/>
                <w:sz w:val="20"/>
                <w:szCs w:val="20"/>
              </w:rPr>
              <w:t>Deferred payroll taxes</w:t>
            </w:r>
          </w:p>
        </w:tc>
        <w:tc>
          <w:tcPr>
            <w:tcW w:w="0" w:type="auto"/>
            <w:gridSpan w:val="2"/>
            <w:shd w:val="clear" w:color="auto" w:fill="FFFFFF"/>
            <w:tcMar>
              <w:top w:w="30" w:type="dxa"/>
              <w:left w:w="20" w:type="dxa"/>
              <w:bottom w:w="30" w:type="dxa"/>
              <w:right w:w="0" w:type="dxa"/>
            </w:tcMar>
            <w:vAlign w:val="bottom"/>
            <w:hideMark/>
          </w:tcPr>
          <w:p w14:paraId="75584547" w14:textId="77777777" w:rsidR="00000000" w:rsidRDefault="001D0688">
            <w:pPr>
              <w:jc w:val="right"/>
              <w:rPr>
                <w:rFonts w:eastAsia="Times New Roman"/>
              </w:rPr>
            </w:pPr>
            <w:r>
              <w:rPr>
                <w:rFonts w:ascii="Arial" w:eastAsia="Times New Roman" w:hAnsi="Arial" w:cs="Arial"/>
                <w:color w:val="000000"/>
                <w:sz w:val="20"/>
                <w:szCs w:val="20"/>
              </w:rPr>
              <w:t>26.9 </w:t>
            </w:r>
          </w:p>
        </w:tc>
        <w:tc>
          <w:tcPr>
            <w:tcW w:w="0" w:type="auto"/>
            <w:shd w:val="clear" w:color="auto" w:fill="FFFFFF"/>
            <w:tcMar>
              <w:top w:w="30" w:type="dxa"/>
              <w:left w:w="0" w:type="dxa"/>
              <w:bottom w:w="30" w:type="dxa"/>
              <w:right w:w="20" w:type="dxa"/>
            </w:tcMar>
            <w:vAlign w:val="bottom"/>
            <w:hideMark/>
          </w:tcPr>
          <w:p w14:paraId="5666AC8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59B1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4AEE2F"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4DA06973" w14:textId="77777777" w:rsidR="00000000" w:rsidRDefault="001D0688">
            <w:pPr>
              <w:jc w:val="right"/>
              <w:rPr>
                <w:rFonts w:eastAsia="Times New Roman"/>
              </w:rPr>
            </w:pPr>
          </w:p>
        </w:tc>
      </w:tr>
      <w:tr w:rsidR="00000000" w14:paraId="7459865D" w14:textId="77777777">
        <w:trPr>
          <w:divId w:val="607588092"/>
        </w:trPr>
        <w:tc>
          <w:tcPr>
            <w:tcW w:w="0" w:type="auto"/>
            <w:gridSpan w:val="3"/>
            <w:shd w:val="clear" w:color="auto" w:fill="DCE2EF"/>
            <w:tcMar>
              <w:top w:w="30" w:type="dxa"/>
              <w:left w:w="140" w:type="dxa"/>
              <w:bottom w:w="30" w:type="dxa"/>
              <w:right w:w="20" w:type="dxa"/>
            </w:tcMar>
            <w:vAlign w:val="bottom"/>
            <w:hideMark/>
          </w:tcPr>
          <w:p w14:paraId="23CCEF64" w14:textId="77777777" w:rsidR="00000000" w:rsidRDefault="001D0688">
            <w:pPr>
              <w:rPr>
                <w:rFonts w:eastAsia="Times New Roman"/>
              </w:rPr>
            </w:pPr>
            <w:r>
              <w:rPr>
                <w:rFonts w:ascii="Arial" w:eastAsia="Times New Roman" w:hAnsi="Arial" w:cs="Arial"/>
                <w:color w:val="000000"/>
                <w:sz w:val="20"/>
                <w:szCs w:val="20"/>
              </w:rPr>
              <w:t>Operating lease liabilities</w:t>
            </w:r>
          </w:p>
        </w:tc>
        <w:tc>
          <w:tcPr>
            <w:tcW w:w="0" w:type="auto"/>
            <w:gridSpan w:val="2"/>
            <w:shd w:val="clear" w:color="auto" w:fill="DCE2EF"/>
            <w:tcMar>
              <w:top w:w="30" w:type="dxa"/>
              <w:left w:w="20" w:type="dxa"/>
              <w:bottom w:w="30" w:type="dxa"/>
              <w:right w:w="0" w:type="dxa"/>
            </w:tcMar>
            <w:vAlign w:val="bottom"/>
            <w:hideMark/>
          </w:tcPr>
          <w:p w14:paraId="08089983" w14:textId="77777777" w:rsidR="00000000" w:rsidRDefault="001D0688">
            <w:pPr>
              <w:jc w:val="right"/>
              <w:rPr>
                <w:rFonts w:eastAsia="Times New Roman"/>
              </w:rPr>
            </w:pPr>
            <w:r>
              <w:rPr>
                <w:rFonts w:ascii="Arial" w:eastAsia="Times New Roman" w:hAnsi="Arial" w:cs="Arial"/>
                <w:color w:val="000000"/>
                <w:sz w:val="20"/>
                <w:szCs w:val="20"/>
              </w:rPr>
              <w:t>38.2 </w:t>
            </w:r>
          </w:p>
        </w:tc>
        <w:tc>
          <w:tcPr>
            <w:tcW w:w="0" w:type="auto"/>
            <w:shd w:val="clear" w:color="auto" w:fill="DCE2EF"/>
            <w:tcMar>
              <w:top w:w="30" w:type="dxa"/>
              <w:left w:w="0" w:type="dxa"/>
              <w:bottom w:w="30" w:type="dxa"/>
              <w:right w:w="20" w:type="dxa"/>
            </w:tcMar>
            <w:vAlign w:val="bottom"/>
            <w:hideMark/>
          </w:tcPr>
          <w:p w14:paraId="4CF5E35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1EAB7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A5A711"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0506E3B0" w14:textId="77777777" w:rsidR="00000000" w:rsidRDefault="001D0688">
            <w:pPr>
              <w:jc w:val="right"/>
              <w:rPr>
                <w:rFonts w:eastAsia="Times New Roman"/>
              </w:rPr>
            </w:pPr>
          </w:p>
        </w:tc>
      </w:tr>
      <w:tr w:rsidR="00000000" w14:paraId="4EF72E25" w14:textId="77777777">
        <w:trPr>
          <w:divId w:val="607588092"/>
        </w:trPr>
        <w:tc>
          <w:tcPr>
            <w:tcW w:w="0" w:type="auto"/>
            <w:gridSpan w:val="3"/>
            <w:shd w:val="clear" w:color="auto" w:fill="FFFFFF"/>
            <w:tcMar>
              <w:top w:w="30" w:type="dxa"/>
              <w:left w:w="20" w:type="dxa"/>
              <w:bottom w:w="30" w:type="dxa"/>
              <w:right w:w="20" w:type="dxa"/>
            </w:tcMar>
            <w:vAlign w:val="bottom"/>
            <w:hideMark/>
          </w:tcPr>
          <w:p w14:paraId="29849D2A" w14:textId="77777777" w:rsidR="00000000" w:rsidRDefault="001D0688">
            <w:pPr>
              <w:rPr>
                <w:rFonts w:eastAsia="Times New Roman"/>
              </w:rPr>
            </w:pPr>
            <w:r>
              <w:rPr>
                <w:rFonts w:ascii="Arial" w:eastAsia="Times New Roman" w:hAnsi="Arial" w:cs="Arial"/>
                <w:b/>
                <w:bCs/>
                <w:color w:val="000000"/>
                <w:sz w:val="20"/>
                <w:szCs w:val="20"/>
              </w:rPr>
              <w:t>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8E2601" w14:textId="77777777" w:rsidR="00000000" w:rsidRDefault="001D0688">
            <w:pPr>
              <w:jc w:val="right"/>
              <w:rPr>
                <w:rFonts w:eastAsia="Times New Roman"/>
              </w:rPr>
            </w:pPr>
            <w:r>
              <w:rPr>
                <w:rFonts w:ascii="Arial" w:eastAsia="Times New Roman" w:hAnsi="Arial" w:cs="Arial"/>
                <w:color w:val="000000"/>
                <w:sz w:val="20"/>
                <w:szCs w:val="20"/>
              </w:rPr>
              <w:t>200.6 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54D4B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18750"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60D445" w14:textId="77777777" w:rsidR="00000000" w:rsidRDefault="001D0688">
            <w:pPr>
              <w:jc w:val="right"/>
              <w:rPr>
                <w:rFonts w:eastAsia="Times New Roman"/>
              </w:rPr>
            </w:pPr>
            <w:r>
              <w:rPr>
                <w:rFonts w:ascii="Arial" w:eastAsia="Times New Roman" w:hAnsi="Arial" w:cs="Arial"/>
                <w:color w:val="000000"/>
                <w:sz w:val="20"/>
                <w:szCs w:val="20"/>
              </w:rPr>
              <w:t>141.2 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BC0421" w14:textId="77777777" w:rsidR="00000000" w:rsidRDefault="001D0688">
            <w:pPr>
              <w:jc w:val="right"/>
              <w:rPr>
                <w:rFonts w:eastAsia="Times New Roman"/>
              </w:rPr>
            </w:pPr>
          </w:p>
        </w:tc>
      </w:tr>
      <w:tr w:rsidR="00000000" w14:paraId="56649397" w14:textId="77777777">
        <w:trPr>
          <w:divId w:val="607588092"/>
        </w:trPr>
        <w:tc>
          <w:tcPr>
            <w:tcW w:w="0" w:type="auto"/>
            <w:gridSpan w:val="3"/>
            <w:shd w:val="clear" w:color="auto" w:fill="DCE2EF"/>
            <w:tcMar>
              <w:top w:w="30" w:type="dxa"/>
              <w:left w:w="20" w:type="dxa"/>
              <w:bottom w:w="30" w:type="dxa"/>
              <w:right w:w="20" w:type="dxa"/>
            </w:tcMar>
            <w:vAlign w:val="bottom"/>
            <w:hideMark/>
          </w:tcPr>
          <w:p w14:paraId="7BB21834" w14:textId="77777777" w:rsidR="00000000" w:rsidRDefault="001D0688">
            <w:pPr>
              <w:rPr>
                <w:rFonts w:eastAsia="Times New Roman"/>
              </w:rPr>
            </w:pPr>
            <w:r>
              <w:rPr>
                <w:rFonts w:ascii="Arial" w:eastAsia="Times New Roman" w:hAnsi="Arial" w:cs="Arial"/>
                <w:b/>
                <w:bCs/>
                <w:color w:val="000000"/>
                <w:sz w:val="20"/>
                <w:szCs w:val="20"/>
              </w:rPr>
              <w:t>Valuation allowance</w:t>
            </w:r>
          </w:p>
        </w:tc>
        <w:tc>
          <w:tcPr>
            <w:tcW w:w="0" w:type="auto"/>
            <w:gridSpan w:val="2"/>
            <w:shd w:val="clear" w:color="auto" w:fill="DCE2EF"/>
            <w:tcMar>
              <w:top w:w="30" w:type="dxa"/>
              <w:left w:w="20" w:type="dxa"/>
              <w:bottom w:w="30" w:type="dxa"/>
              <w:right w:w="0" w:type="dxa"/>
            </w:tcMar>
            <w:vAlign w:val="bottom"/>
            <w:hideMark/>
          </w:tcPr>
          <w:p w14:paraId="7A579021" w14:textId="77777777" w:rsidR="00000000" w:rsidRDefault="001D0688">
            <w:pPr>
              <w:jc w:val="right"/>
              <w:rPr>
                <w:rFonts w:eastAsia="Times New Roman"/>
              </w:rPr>
            </w:pPr>
            <w:r>
              <w:rPr>
                <w:rFonts w:ascii="Arial" w:eastAsia="Times New Roman" w:hAnsi="Arial" w:cs="Arial"/>
                <w:color w:val="000000"/>
                <w:sz w:val="20"/>
                <w:szCs w:val="20"/>
              </w:rPr>
              <w:t>(4.1)</w:t>
            </w:r>
          </w:p>
        </w:tc>
        <w:tc>
          <w:tcPr>
            <w:tcW w:w="0" w:type="auto"/>
            <w:shd w:val="clear" w:color="auto" w:fill="DCE2EF"/>
            <w:tcMar>
              <w:top w:w="30" w:type="dxa"/>
              <w:left w:w="0" w:type="dxa"/>
              <w:bottom w:w="30" w:type="dxa"/>
              <w:right w:w="20" w:type="dxa"/>
            </w:tcMar>
            <w:vAlign w:val="bottom"/>
            <w:hideMark/>
          </w:tcPr>
          <w:p w14:paraId="0C412AF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1A0BA4"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13D581C" w14:textId="77777777" w:rsidR="00000000" w:rsidRDefault="001D0688">
            <w:pPr>
              <w:jc w:val="right"/>
              <w:rPr>
                <w:rFonts w:eastAsia="Times New Roman"/>
              </w:rPr>
            </w:pPr>
            <w:r>
              <w:rPr>
                <w:rFonts w:ascii="Arial" w:eastAsia="Times New Roman" w:hAnsi="Arial" w:cs="Arial"/>
                <w:color w:val="000000"/>
                <w:sz w:val="20"/>
                <w:szCs w:val="20"/>
              </w:rPr>
              <w:t>(8.4)</w:t>
            </w:r>
          </w:p>
        </w:tc>
        <w:tc>
          <w:tcPr>
            <w:tcW w:w="0" w:type="auto"/>
            <w:shd w:val="clear" w:color="auto" w:fill="DCE2EF"/>
            <w:tcMar>
              <w:top w:w="30" w:type="dxa"/>
              <w:left w:w="0" w:type="dxa"/>
              <w:bottom w:w="30" w:type="dxa"/>
              <w:right w:w="20" w:type="dxa"/>
            </w:tcMar>
            <w:vAlign w:val="bottom"/>
            <w:hideMark/>
          </w:tcPr>
          <w:p w14:paraId="596A1997" w14:textId="77777777" w:rsidR="00000000" w:rsidRDefault="001D0688">
            <w:pPr>
              <w:jc w:val="right"/>
              <w:rPr>
                <w:rFonts w:eastAsia="Times New Roman"/>
              </w:rPr>
            </w:pPr>
          </w:p>
        </w:tc>
      </w:tr>
      <w:tr w:rsidR="00000000" w14:paraId="1CA42C95" w14:textId="77777777">
        <w:trPr>
          <w:divId w:val="607588092"/>
        </w:trPr>
        <w:tc>
          <w:tcPr>
            <w:tcW w:w="0" w:type="auto"/>
            <w:gridSpan w:val="3"/>
            <w:shd w:val="clear" w:color="auto" w:fill="FFFFFF"/>
            <w:tcMar>
              <w:top w:w="30" w:type="dxa"/>
              <w:left w:w="20" w:type="dxa"/>
              <w:bottom w:w="30" w:type="dxa"/>
              <w:right w:w="20" w:type="dxa"/>
            </w:tcMar>
            <w:vAlign w:val="bottom"/>
            <w:hideMark/>
          </w:tcPr>
          <w:p w14:paraId="6B7EEA9C" w14:textId="77777777" w:rsidR="00000000" w:rsidRDefault="001D0688">
            <w:pPr>
              <w:rPr>
                <w:rFonts w:eastAsia="Times New Roman"/>
              </w:rPr>
            </w:pPr>
            <w:r>
              <w:rPr>
                <w:rFonts w:ascii="Arial" w:eastAsia="Times New Roman" w:hAnsi="Arial" w:cs="Arial"/>
                <w:b/>
                <w:bCs/>
                <w:color w:val="000000"/>
                <w:sz w:val="20"/>
                <w:szCs w:val="20"/>
              </w:rPr>
              <w:t>Total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FB4BF1" w14:textId="77777777" w:rsidR="00000000" w:rsidRDefault="001D0688">
            <w:pPr>
              <w:jc w:val="right"/>
              <w:rPr>
                <w:rFonts w:eastAsia="Times New Roman"/>
              </w:rPr>
            </w:pPr>
            <w:r>
              <w:rPr>
                <w:rFonts w:ascii="Arial" w:eastAsia="Times New Roman" w:hAnsi="Arial" w:cs="Arial"/>
                <w:color w:val="000000"/>
                <w:sz w:val="20"/>
                <w:szCs w:val="20"/>
              </w:rPr>
              <w:t>196.5 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9D64B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CDC2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0695B1" w14:textId="77777777" w:rsidR="00000000" w:rsidRDefault="001D0688">
            <w:pPr>
              <w:jc w:val="right"/>
              <w:rPr>
                <w:rFonts w:eastAsia="Times New Roman"/>
              </w:rPr>
            </w:pPr>
            <w:r>
              <w:rPr>
                <w:rFonts w:ascii="Arial" w:eastAsia="Times New Roman" w:hAnsi="Arial" w:cs="Arial"/>
                <w:color w:val="000000"/>
                <w:sz w:val="20"/>
                <w:szCs w:val="20"/>
              </w:rPr>
              <w:t>132.8 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A972C1" w14:textId="77777777" w:rsidR="00000000" w:rsidRDefault="001D0688">
            <w:pPr>
              <w:jc w:val="right"/>
              <w:rPr>
                <w:rFonts w:eastAsia="Times New Roman"/>
              </w:rPr>
            </w:pPr>
          </w:p>
        </w:tc>
      </w:tr>
      <w:tr w:rsidR="00000000" w14:paraId="4671C71B" w14:textId="77777777">
        <w:trPr>
          <w:divId w:val="607588092"/>
          <w:trHeight w:val="280"/>
        </w:trPr>
        <w:tc>
          <w:tcPr>
            <w:tcW w:w="0" w:type="auto"/>
            <w:gridSpan w:val="3"/>
            <w:shd w:val="clear" w:color="auto" w:fill="DCE2EF"/>
            <w:tcMar>
              <w:top w:w="0" w:type="dxa"/>
              <w:left w:w="20" w:type="dxa"/>
              <w:bottom w:w="0" w:type="dxa"/>
              <w:right w:w="20" w:type="dxa"/>
            </w:tcMar>
            <w:vAlign w:val="center"/>
            <w:hideMark/>
          </w:tcPr>
          <w:p w14:paraId="614F1B21"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2D0BA6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C8AB23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FE4C54C" w14:textId="77777777" w:rsidR="00000000" w:rsidRDefault="001D0688">
            <w:pPr>
              <w:rPr>
                <w:rFonts w:eastAsia="Times New Roman"/>
                <w:sz w:val="20"/>
                <w:szCs w:val="20"/>
              </w:rPr>
            </w:pPr>
          </w:p>
        </w:tc>
      </w:tr>
      <w:tr w:rsidR="00000000" w14:paraId="7658ECA3" w14:textId="77777777">
        <w:trPr>
          <w:divId w:val="607588092"/>
        </w:trPr>
        <w:tc>
          <w:tcPr>
            <w:tcW w:w="0" w:type="auto"/>
            <w:gridSpan w:val="3"/>
            <w:shd w:val="clear" w:color="auto" w:fill="FFFFFF"/>
            <w:tcMar>
              <w:top w:w="30" w:type="dxa"/>
              <w:left w:w="20" w:type="dxa"/>
              <w:bottom w:w="30" w:type="dxa"/>
              <w:right w:w="20" w:type="dxa"/>
            </w:tcMar>
            <w:vAlign w:val="bottom"/>
            <w:hideMark/>
          </w:tcPr>
          <w:p w14:paraId="15F03020" w14:textId="77777777" w:rsidR="00000000" w:rsidRDefault="001D0688">
            <w:pPr>
              <w:rPr>
                <w:rFonts w:eastAsia="Times New Roman"/>
              </w:rPr>
            </w:pPr>
            <w:r>
              <w:rPr>
                <w:rFonts w:ascii="Arial" w:eastAsia="Times New Roman" w:hAnsi="Arial" w:cs="Arial"/>
                <w:b/>
                <w:bCs/>
                <w:i/>
                <w:iCs/>
                <w:color w:val="000000"/>
                <w:sz w:val="20"/>
                <w:szCs w:val="20"/>
              </w:rPr>
              <w:t>Deferred tax liabilities attributable to:</w:t>
            </w:r>
          </w:p>
        </w:tc>
        <w:tc>
          <w:tcPr>
            <w:tcW w:w="0" w:type="auto"/>
            <w:gridSpan w:val="3"/>
            <w:shd w:val="clear" w:color="auto" w:fill="FFFFFF"/>
            <w:tcMar>
              <w:top w:w="0" w:type="dxa"/>
              <w:left w:w="20" w:type="dxa"/>
              <w:bottom w:w="0" w:type="dxa"/>
              <w:right w:w="20" w:type="dxa"/>
            </w:tcMar>
            <w:vAlign w:val="center"/>
            <w:hideMark/>
          </w:tcPr>
          <w:p w14:paraId="3A7302E2"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267F9"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9BAD6D" w14:textId="77777777" w:rsidR="00000000" w:rsidRDefault="001D0688">
            <w:pPr>
              <w:rPr>
                <w:rFonts w:eastAsia="Times New Roman"/>
                <w:sz w:val="20"/>
                <w:szCs w:val="20"/>
              </w:rPr>
            </w:pPr>
          </w:p>
        </w:tc>
      </w:tr>
      <w:tr w:rsidR="00000000" w14:paraId="31871708" w14:textId="77777777">
        <w:trPr>
          <w:divId w:val="607588092"/>
        </w:trPr>
        <w:tc>
          <w:tcPr>
            <w:tcW w:w="0" w:type="auto"/>
            <w:gridSpan w:val="3"/>
            <w:shd w:val="clear" w:color="auto" w:fill="DCE2EF"/>
            <w:tcMar>
              <w:top w:w="30" w:type="dxa"/>
              <w:left w:w="155" w:type="dxa"/>
              <w:bottom w:w="30" w:type="dxa"/>
              <w:right w:w="20" w:type="dxa"/>
            </w:tcMar>
            <w:vAlign w:val="bottom"/>
            <w:hideMark/>
          </w:tcPr>
          <w:p w14:paraId="4C7B1257" w14:textId="77777777" w:rsidR="00000000" w:rsidRDefault="001D0688">
            <w:pPr>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CE2EF"/>
            <w:tcMar>
              <w:top w:w="30" w:type="dxa"/>
              <w:left w:w="20" w:type="dxa"/>
              <w:bottom w:w="30" w:type="dxa"/>
              <w:right w:w="0" w:type="dxa"/>
            </w:tcMar>
            <w:vAlign w:val="bottom"/>
            <w:hideMark/>
          </w:tcPr>
          <w:p w14:paraId="287B6774" w14:textId="77777777" w:rsidR="00000000" w:rsidRDefault="001D0688">
            <w:pPr>
              <w:jc w:val="right"/>
              <w:rPr>
                <w:rFonts w:eastAsia="Times New Roman"/>
              </w:rPr>
            </w:pPr>
            <w:r>
              <w:rPr>
                <w:rFonts w:ascii="Arial" w:eastAsia="Times New Roman" w:hAnsi="Arial" w:cs="Arial"/>
                <w:color w:val="000000"/>
                <w:sz w:val="20"/>
                <w:szCs w:val="20"/>
              </w:rPr>
              <w:t>(1.2)</w:t>
            </w:r>
          </w:p>
        </w:tc>
        <w:tc>
          <w:tcPr>
            <w:tcW w:w="0" w:type="auto"/>
            <w:shd w:val="clear" w:color="auto" w:fill="DCE2EF"/>
            <w:tcMar>
              <w:top w:w="30" w:type="dxa"/>
              <w:left w:w="0" w:type="dxa"/>
              <w:bottom w:w="30" w:type="dxa"/>
              <w:right w:w="20" w:type="dxa"/>
            </w:tcMar>
            <w:vAlign w:val="bottom"/>
            <w:hideMark/>
          </w:tcPr>
          <w:p w14:paraId="213C8A6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978E2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3345E9C" w14:textId="77777777" w:rsidR="00000000" w:rsidRDefault="001D0688">
            <w:pPr>
              <w:jc w:val="right"/>
              <w:rPr>
                <w:rFonts w:eastAsia="Times New Roman"/>
              </w:rPr>
            </w:pPr>
            <w:r>
              <w:rPr>
                <w:rFonts w:ascii="Arial" w:eastAsia="Times New Roman" w:hAnsi="Arial" w:cs="Arial"/>
                <w:color w:val="000000"/>
                <w:sz w:val="20"/>
                <w:szCs w:val="20"/>
              </w:rPr>
              <w:t>(4.8)</w:t>
            </w:r>
          </w:p>
        </w:tc>
        <w:tc>
          <w:tcPr>
            <w:tcW w:w="0" w:type="auto"/>
            <w:shd w:val="clear" w:color="auto" w:fill="DCE2EF"/>
            <w:tcMar>
              <w:top w:w="30" w:type="dxa"/>
              <w:left w:w="0" w:type="dxa"/>
              <w:bottom w:w="30" w:type="dxa"/>
              <w:right w:w="20" w:type="dxa"/>
            </w:tcMar>
            <w:vAlign w:val="bottom"/>
            <w:hideMark/>
          </w:tcPr>
          <w:p w14:paraId="5B1E393F" w14:textId="77777777" w:rsidR="00000000" w:rsidRDefault="001D0688">
            <w:pPr>
              <w:jc w:val="right"/>
              <w:rPr>
                <w:rFonts w:eastAsia="Times New Roman"/>
              </w:rPr>
            </w:pPr>
          </w:p>
        </w:tc>
      </w:tr>
      <w:tr w:rsidR="00000000" w14:paraId="69F8A0BF" w14:textId="77777777">
        <w:trPr>
          <w:divId w:val="607588092"/>
        </w:trPr>
        <w:tc>
          <w:tcPr>
            <w:tcW w:w="0" w:type="auto"/>
            <w:gridSpan w:val="3"/>
            <w:shd w:val="clear" w:color="auto" w:fill="FFFFFF"/>
            <w:tcMar>
              <w:top w:w="30" w:type="dxa"/>
              <w:left w:w="155" w:type="dxa"/>
              <w:bottom w:w="30" w:type="dxa"/>
              <w:right w:w="20" w:type="dxa"/>
            </w:tcMar>
            <w:vAlign w:val="bottom"/>
            <w:hideMark/>
          </w:tcPr>
          <w:p w14:paraId="268B4C06" w14:textId="77777777" w:rsidR="00000000" w:rsidRDefault="001D0688">
            <w:pPr>
              <w:rPr>
                <w:rFonts w:eastAsia="Times New Roman"/>
              </w:rPr>
            </w:pPr>
            <w:r>
              <w:rPr>
                <w:rFonts w:ascii="Arial" w:eastAsia="Times New Roman" w:hAnsi="Arial" w:cs="Arial"/>
                <w:color w:val="000000"/>
                <w:sz w:val="20"/>
                <w:szCs w:val="20"/>
              </w:rPr>
              <w:t>Goodwill and other acquired intangibles</w:t>
            </w:r>
          </w:p>
        </w:tc>
        <w:tc>
          <w:tcPr>
            <w:tcW w:w="0" w:type="auto"/>
            <w:gridSpan w:val="2"/>
            <w:shd w:val="clear" w:color="auto" w:fill="FFFFFF"/>
            <w:tcMar>
              <w:top w:w="30" w:type="dxa"/>
              <w:left w:w="20" w:type="dxa"/>
              <w:bottom w:w="30" w:type="dxa"/>
              <w:right w:w="0" w:type="dxa"/>
            </w:tcMar>
            <w:vAlign w:val="bottom"/>
            <w:hideMark/>
          </w:tcPr>
          <w:p w14:paraId="48F04BE9" w14:textId="77777777" w:rsidR="00000000" w:rsidRDefault="001D0688">
            <w:pPr>
              <w:jc w:val="right"/>
              <w:rPr>
                <w:rFonts w:eastAsia="Times New Roman"/>
              </w:rPr>
            </w:pPr>
            <w:r>
              <w:rPr>
                <w:rFonts w:ascii="Arial" w:eastAsia="Times New Roman" w:hAnsi="Arial" w:cs="Arial"/>
                <w:color w:val="000000"/>
                <w:sz w:val="20"/>
                <w:szCs w:val="20"/>
              </w:rPr>
              <w:t>(159.4)</w:t>
            </w:r>
          </w:p>
        </w:tc>
        <w:tc>
          <w:tcPr>
            <w:tcW w:w="0" w:type="auto"/>
            <w:shd w:val="clear" w:color="auto" w:fill="FFFFFF"/>
            <w:tcMar>
              <w:top w:w="30" w:type="dxa"/>
              <w:left w:w="0" w:type="dxa"/>
              <w:bottom w:w="30" w:type="dxa"/>
              <w:right w:w="20" w:type="dxa"/>
            </w:tcMar>
            <w:vAlign w:val="bottom"/>
            <w:hideMark/>
          </w:tcPr>
          <w:p w14:paraId="459CF94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48F4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A941A" w14:textId="77777777" w:rsidR="00000000" w:rsidRDefault="001D0688">
            <w:pPr>
              <w:jc w:val="right"/>
              <w:rPr>
                <w:rFonts w:eastAsia="Times New Roman"/>
              </w:rPr>
            </w:pPr>
            <w:r>
              <w:rPr>
                <w:rFonts w:ascii="Arial" w:eastAsia="Times New Roman" w:hAnsi="Arial" w:cs="Arial"/>
                <w:color w:val="000000"/>
                <w:sz w:val="20"/>
                <w:szCs w:val="20"/>
              </w:rPr>
              <w:t>(170.6)</w:t>
            </w:r>
          </w:p>
        </w:tc>
        <w:tc>
          <w:tcPr>
            <w:tcW w:w="0" w:type="auto"/>
            <w:shd w:val="clear" w:color="auto" w:fill="FFFFFF"/>
            <w:tcMar>
              <w:top w:w="30" w:type="dxa"/>
              <w:left w:w="0" w:type="dxa"/>
              <w:bottom w:w="30" w:type="dxa"/>
              <w:right w:w="20" w:type="dxa"/>
            </w:tcMar>
            <w:vAlign w:val="bottom"/>
            <w:hideMark/>
          </w:tcPr>
          <w:p w14:paraId="4BA09172" w14:textId="77777777" w:rsidR="00000000" w:rsidRDefault="001D0688">
            <w:pPr>
              <w:jc w:val="right"/>
              <w:rPr>
                <w:rFonts w:eastAsia="Times New Roman"/>
              </w:rPr>
            </w:pPr>
          </w:p>
        </w:tc>
      </w:tr>
      <w:tr w:rsidR="00000000" w14:paraId="5940A33E" w14:textId="77777777">
        <w:trPr>
          <w:divId w:val="607588092"/>
        </w:trPr>
        <w:tc>
          <w:tcPr>
            <w:tcW w:w="0" w:type="auto"/>
            <w:gridSpan w:val="3"/>
            <w:shd w:val="clear" w:color="auto" w:fill="DCE2EF"/>
            <w:tcMar>
              <w:top w:w="30" w:type="dxa"/>
              <w:left w:w="155" w:type="dxa"/>
              <w:bottom w:w="30" w:type="dxa"/>
              <w:right w:w="20" w:type="dxa"/>
            </w:tcMar>
            <w:vAlign w:val="bottom"/>
            <w:hideMark/>
          </w:tcPr>
          <w:p w14:paraId="023BB388" w14:textId="77777777" w:rsidR="00000000" w:rsidRDefault="001D0688">
            <w:pPr>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14:paraId="47630A59" w14:textId="77777777" w:rsidR="00000000" w:rsidRDefault="001D0688">
            <w:pPr>
              <w:jc w:val="right"/>
              <w:rPr>
                <w:rFonts w:eastAsia="Times New Roman"/>
              </w:rPr>
            </w:pPr>
            <w:r>
              <w:rPr>
                <w:rFonts w:ascii="Arial" w:eastAsia="Times New Roman" w:hAnsi="Arial" w:cs="Arial"/>
                <w:color w:val="000000"/>
                <w:sz w:val="20"/>
                <w:szCs w:val="20"/>
              </w:rPr>
              <w:t>(38.2)</w:t>
            </w:r>
          </w:p>
        </w:tc>
        <w:tc>
          <w:tcPr>
            <w:tcW w:w="0" w:type="auto"/>
            <w:shd w:val="clear" w:color="auto" w:fill="DCE2EF"/>
            <w:tcMar>
              <w:top w:w="30" w:type="dxa"/>
              <w:left w:w="0" w:type="dxa"/>
              <w:bottom w:w="30" w:type="dxa"/>
              <w:right w:w="20" w:type="dxa"/>
            </w:tcMar>
            <w:vAlign w:val="bottom"/>
            <w:hideMark/>
          </w:tcPr>
          <w:p w14:paraId="3D90DD0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7C97E7"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DC7FDD"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1522205F" w14:textId="77777777" w:rsidR="00000000" w:rsidRDefault="001D0688">
            <w:pPr>
              <w:jc w:val="right"/>
              <w:rPr>
                <w:rFonts w:eastAsia="Times New Roman"/>
              </w:rPr>
            </w:pPr>
          </w:p>
        </w:tc>
      </w:tr>
      <w:tr w:rsidR="00000000" w14:paraId="76E7A965" w14:textId="77777777">
        <w:trPr>
          <w:divId w:val="607588092"/>
        </w:trPr>
        <w:tc>
          <w:tcPr>
            <w:tcW w:w="0" w:type="auto"/>
            <w:gridSpan w:val="3"/>
            <w:shd w:val="clear" w:color="auto" w:fill="FFFFFF"/>
            <w:tcMar>
              <w:top w:w="30" w:type="dxa"/>
              <w:left w:w="155" w:type="dxa"/>
              <w:bottom w:w="30" w:type="dxa"/>
              <w:right w:w="20" w:type="dxa"/>
            </w:tcMar>
            <w:vAlign w:val="bottom"/>
            <w:hideMark/>
          </w:tcPr>
          <w:p w14:paraId="1FC36D59" w14:textId="77777777" w:rsidR="00000000" w:rsidRDefault="001D0688">
            <w:pPr>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2746B16C" w14:textId="77777777" w:rsidR="00000000" w:rsidRDefault="001D0688">
            <w:pPr>
              <w:jc w:val="right"/>
              <w:rPr>
                <w:rFonts w:eastAsia="Times New Roman"/>
              </w:rPr>
            </w:pPr>
            <w:r>
              <w:rPr>
                <w:rFonts w:ascii="Arial" w:eastAsia="Times New Roman" w:hAnsi="Arial" w:cs="Arial"/>
                <w:color w:val="000000"/>
                <w:sz w:val="20"/>
                <w:szCs w:val="20"/>
              </w:rPr>
              <w:t>(8.5)</w:t>
            </w:r>
          </w:p>
        </w:tc>
        <w:tc>
          <w:tcPr>
            <w:tcW w:w="0" w:type="auto"/>
            <w:shd w:val="clear" w:color="auto" w:fill="FFFFFF"/>
            <w:tcMar>
              <w:top w:w="30" w:type="dxa"/>
              <w:left w:w="0" w:type="dxa"/>
              <w:bottom w:w="30" w:type="dxa"/>
              <w:right w:w="20" w:type="dxa"/>
            </w:tcMar>
            <w:vAlign w:val="bottom"/>
            <w:hideMark/>
          </w:tcPr>
          <w:p w14:paraId="5E1137A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0DD1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E392F" w14:textId="77777777" w:rsidR="00000000" w:rsidRDefault="001D0688">
            <w:pPr>
              <w:jc w:val="right"/>
              <w:rPr>
                <w:rFonts w:eastAsia="Times New Roman"/>
              </w:rPr>
            </w:pPr>
            <w:r>
              <w:rPr>
                <w:rFonts w:ascii="Arial" w:eastAsia="Times New Roman" w:hAnsi="Arial" w:cs="Arial"/>
                <w:color w:val="000000"/>
                <w:sz w:val="20"/>
                <w:szCs w:val="20"/>
              </w:rPr>
              <w:t>(5.2)</w:t>
            </w:r>
          </w:p>
        </w:tc>
        <w:tc>
          <w:tcPr>
            <w:tcW w:w="0" w:type="auto"/>
            <w:shd w:val="clear" w:color="auto" w:fill="FFFFFF"/>
            <w:tcMar>
              <w:top w:w="30" w:type="dxa"/>
              <w:left w:w="0" w:type="dxa"/>
              <w:bottom w:w="30" w:type="dxa"/>
              <w:right w:w="20" w:type="dxa"/>
            </w:tcMar>
            <w:vAlign w:val="bottom"/>
            <w:hideMark/>
          </w:tcPr>
          <w:p w14:paraId="52648FA6" w14:textId="77777777" w:rsidR="00000000" w:rsidRDefault="001D0688">
            <w:pPr>
              <w:jc w:val="right"/>
              <w:rPr>
                <w:rFonts w:eastAsia="Times New Roman"/>
              </w:rPr>
            </w:pPr>
          </w:p>
        </w:tc>
      </w:tr>
      <w:tr w:rsidR="00000000" w14:paraId="052B5B04" w14:textId="77777777">
        <w:trPr>
          <w:divId w:val="607588092"/>
        </w:trPr>
        <w:tc>
          <w:tcPr>
            <w:tcW w:w="0" w:type="auto"/>
            <w:gridSpan w:val="3"/>
            <w:vAlign w:val="center"/>
            <w:hideMark/>
          </w:tcPr>
          <w:p w14:paraId="305A7C95" w14:textId="77777777" w:rsidR="00000000" w:rsidRDefault="001D0688">
            <w:pPr>
              <w:jc w:val="right"/>
              <w:rPr>
                <w:rFonts w:eastAsia="Times New Roman"/>
                <w:sz w:val="20"/>
                <w:szCs w:val="20"/>
              </w:rPr>
            </w:pPr>
          </w:p>
        </w:tc>
        <w:tc>
          <w:tcPr>
            <w:tcW w:w="0" w:type="auto"/>
            <w:gridSpan w:val="3"/>
            <w:vAlign w:val="center"/>
            <w:hideMark/>
          </w:tcPr>
          <w:p w14:paraId="1A6A2165" w14:textId="77777777" w:rsidR="00000000" w:rsidRDefault="001D0688">
            <w:pPr>
              <w:rPr>
                <w:rFonts w:eastAsia="Times New Roman"/>
                <w:sz w:val="20"/>
                <w:szCs w:val="20"/>
              </w:rPr>
            </w:pPr>
          </w:p>
        </w:tc>
        <w:tc>
          <w:tcPr>
            <w:tcW w:w="0" w:type="auto"/>
            <w:gridSpan w:val="3"/>
            <w:vAlign w:val="center"/>
            <w:hideMark/>
          </w:tcPr>
          <w:p w14:paraId="748FDB2E" w14:textId="77777777" w:rsidR="00000000" w:rsidRDefault="001D0688">
            <w:pPr>
              <w:rPr>
                <w:rFonts w:eastAsia="Times New Roman"/>
                <w:sz w:val="20"/>
                <w:szCs w:val="20"/>
              </w:rPr>
            </w:pPr>
          </w:p>
        </w:tc>
        <w:tc>
          <w:tcPr>
            <w:tcW w:w="0" w:type="auto"/>
            <w:gridSpan w:val="3"/>
            <w:vAlign w:val="center"/>
            <w:hideMark/>
          </w:tcPr>
          <w:p w14:paraId="4DD87C74" w14:textId="77777777" w:rsidR="00000000" w:rsidRDefault="001D0688">
            <w:pPr>
              <w:rPr>
                <w:rFonts w:eastAsia="Times New Roman"/>
                <w:sz w:val="20"/>
                <w:szCs w:val="20"/>
              </w:rPr>
            </w:pPr>
          </w:p>
        </w:tc>
      </w:tr>
      <w:tr w:rsidR="00000000" w14:paraId="5261F3D5" w14:textId="77777777">
        <w:trPr>
          <w:divId w:val="607588092"/>
        </w:trPr>
        <w:tc>
          <w:tcPr>
            <w:tcW w:w="0" w:type="auto"/>
            <w:gridSpan w:val="3"/>
            <w:shd w:val="clear" w:color="auto" w:fill="DCE2EF"/>
            <w:tcMar>
              <w:top w:w="30" w:type="dxa"/>
              <w:left w:w="20" w:type="dxa"/>
              <w:bottom w:w="30" w:type="dxa"/>
              <w:right w:w="20" w:type="dxa"/>
            </w:tcMar>
            <w:vAlign w:val="bottom"/>
            <w:hideMark/>
          </w:tcPr>
          <w:p w14:paraId="6B4F5901" w14:textId="77777777" w:rsidR="00000000" w:rsidRDefault="001D0688">
            <w:pPr>
              <w:rPr>
                <w:rFonts w:eastAsia="Times New Roman"/>
              </w:rPr>
            </w:pPr>
            <w:r>
              <w:rPr>
                <w:rFonts w:ascii="Arial" w:eastAsia="Times New Roman" w:hAnsi="Arial" w:cs="Arial"/>
                <w:b/>
                <w:bCs/>
                <w:color w:val="000000"/>
                <w:sz w:val="20"/>
                <w:szCs w:val="20"/>
              </w:rPr>
              <w:t>Total deferred tax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E16702D" w14:textId="77777777" w:rsidR="00000000" w:rsidRDefault="001D0688">
            <w:pPr>
              <w:jc w:val="right"/>
              <w:rPr>
                <w:rFonts w:eastAsia="Times New Roman"/>
              </w:rPr>
            </w:pPr>
            <w:r>
              <w:rPr>
                <w:rFonts w:ascii="Arial" w:eastAsia="Times New Roman" w:hAnsi="Arial" w:cs="Arial"/>
                <w:color w:val="000000"/>
                <w:sz w:val="20"/>
                <w:szCs w:val="20"/>
              </w:rPr>
              <w:t>(207.3)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DDA4F1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189F36"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AA0B880" w14:textId="77777777" w:rsidR="00000000" w:rsidRDefault="001D0688">
            <w:pPr>
              <w:jc w:val="right"/>
              <w:rPr>
                <w:rFonts w:eastAsia="Times New Roman"/>
              </w:rPr>
            </w:pPr>
            <w:r>
              <w:rPr>
                <w:rFonts w:ascii="Arial" w:eastAsia="Times New Roman" w:hAnsi="Arial" w:cs="Arial"/>
                <w:color w:val="000000"/>
                <w:sz w:val="20"/>
                <w:szCs w:val="20"/>
              </w:rPr>
              <w:t>(180.6)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2D2F731" w14:textId="77777777" w:rsidR="00000000" w:rsidRDefault="001D0688">
            <w:pPr>
              <w:jc w:val="right"/>
              <w:rPr>
                <w:rFonts w:eastAsia="Times New Roman"/>
              </w:rPr>
            </w:pPr>
          </w:p>
        </w:tc>
      </w:tr>
      <w:tr w:rsidR="00000000" w14:paraId="2D9D8FDA" w14:textId="77777777">
        <w:trPr>
          <w:divId w:val="607588092"/>
          <w:trHeight w:val="280"/>
        </w:trPr>
        <w:tc>
          <w:tcPr>
            <w:tcW w:w="0" w:type="auto"/>
            <w:gridSpan w:val="3"/>
            <w:shd w:val="clear" w:color="auto" w:fill="FFFFFF"/>
            <w:tcMar>
              <w:top w:w="0" w:type="dxa"/>
              <w:left w:w="20" w:type="dxa"/>
              <w:bottom w:w="0" w:type="dxa"/>
              <w:right w:w="20" w:type="dxa"/>
            </w:tcMar>
            <w:vAlign w:val="center"/>
            <w:hideMark/>
          </w:tcPr>
          <w:p w14:paraId="12D414D6" w14:textId="77777777" w:rsidR="00000000" w:rsidRDefault="001D0688">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30232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C10E44"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4D4004" w14:textId="77777777" w:rsidR="00000000" w:rsidRDefault="001D0688">
            <w:pPr>
              <w:rPr>
                <w:rFonts w:eastAsia="Times New Roman"/>
                <w:sz w:val="20"/>
                <w:szCs w:val="20"/>
              </w:rPr>
            </w:pPr>
          </w:p>
        </w:tc>
      </w:tr>
      <w:tr w:rsidR="00000000" w14:paraId="34EF9B6E" w14:textId="77777777">
        <w:trPr>
          <w:divId w:val="607588092"/>
        </w:trPr>
        <w:tc>
          <w:tcPr>
            <w:tcW w:w="0" w:type="auto"/>
            <w:gridSpan w:val="3"/>
            <w:shd w:val="clear" w:color="auto" w:fill="DCE2EF"/>
            <w:tcMar>
              <w:top w:w="30" w:type="dxa"/>
              <w:left w:w="20" w:type="dxa"/>
              <w:bottom w:w="30" w:type="dxa"/>
              <w:right w:w="20" w:type="dxa"/>
            </w:tcMar>
            <w:vAlign w:val="bottom"/>
            <w:hideMark/>
          </w:tcPr>
          <w:p w14:paraId="10A47318" w14:textId="77777777" w:rsidR="00000000" w:rsidRDefault="001D0688">
            <w:pPr>
              <w:rPr>
                <w:rFonts w:eastAsia="Times New Roman"/>
              </w:rPr>
            </w:pPr>
            <w:r>
              <w:rPr>
                <w:rFonts w:ascii="Arial" w:eastAsia="Times New Roman" w:hAnsi="Arial" w:cs="Arial"/>
                <w:b/>
                <w:bCs/>
                <w:color w:val="000000"/>
                <w:sz w:val="20"/>
                <w:szCs w:val="20"/>
              </w:rPr>
              <w:t>Net deferred tax liabilities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FE00B7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1252429" w14:textId="77777777" w:rsidR="00000000" w:rsidRDefault="001D0688">
            <w:pPr>
              <w:jc w:val="right"/>
              <w:rPr>
                <w:rFonts w:eastAsia="Times New Roman"/>
              </w:rPr>
            </w:pPr>
            <w:r>
              <w:rPr>
                <w:rFonts w:ascii="Arial" w:eastAsia="Times New Roman" w:hAnsi="Arial" w:cs="Arial"/>
                <w:color w:val="000000"/>
                <w:sz w:val="20"/>
                <w:szCs w:val="20"/>
              </w:rPr>
              <w:t>(10.8)</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8E8EE6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0E66B2"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286718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ABD86EE" w14:textId="77777777" w:rsidR="00000000" w:rsidRDefault="001D0688">
            <w:pPr>
              <w:jc w:val="right"/>
              <w:rPr>
                <w:rFonts w:eastAsia="Times New Roman"/>
              </w:rPr>
            </w:pPr>
            <w:r>
              <w:rPr>
                <w:rFonts w:ascii="Arial" w:eastAsia="Times New Roman" w:hAnsi="Arial" w:cs="Arial"/>
                <w:color w:val="000000"/>
                <w:sz w:val="20"/>
                <w:szCs w:val="20"/>
              </w:rPr>
              <w:t>(47.7)</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3EE3839" w14:textId="77777777" w:rsidR="00000000" w:rsidRDefault="001D0688">
            <w:pPr>
              <w:jc w:val="right"/>
              <w:rPr>
                <w:rFonts w:eastAsia="Times New Roman"/>
              </w:rPr>
            </w:pPr>
          </w:p>
        </w:tc>
      </w:tr>
    </w:tbl>
    <w:p w14:paraId="672A91B1" w14:textId="77777777" w:rsidR="00000000" w:rsidRDefault="001D0688">
      <w:pPr>
        <w:divId w:val="1451514408"/>
        <w:rPr>
          <w:rFonts w:eastAsia="Times New Roman"/>
        </w:rPr>
      </w:pPr>
      <w:r>
        <w:rPr>
          <w:rFonts w:ascii="Arial" w:eastAsia="Times New Roman" w:hAnsi="Arial" w:cs="Arial"/>
          <w:b/>
          <w:bCs/>
          <w:color w:val="0046AD"/>
          <w:sz w:val="20"/>
          <w:szCs w:val="20"/>
        </w:rPr>
        <w:t>Net Operating Loss Carryforwards and Credits</w:t>
      </w:r>
    </w:p>
    <w:p w14:paraId="67241F1F" w14:textId="77777777" w:rsidR="00000000" w:rsidRDefault="001D0688">
      <w:pPr>
        <w:ind w:firstLine="720"/>
        <w:jc w:val="both"/>
        <w:divId w:val="1223909354"/>
        <w:rPr>
          <w:rFonts w:eastAsia="Times New Roman"/>
        </w:rPr>
      </w:pPr>
      <w:r>
        <w:rPr>
          <w:rFonts w:ascii="Arial" w:eastAsia="Times New Roman" w:hAnsi="Arial" w:cs="Arial"/>
          <w:color w:val="000000"/>
          <w:sz w:val="20"/>
          <w:szCs w:val="20"/>
        </w:rPr>
        <w:t xml:space="preserve">State net operating loss carryforwards totaling $102.3 million at October 31, 2020, are being carried forward in several state jurisdictions where we are permitted to use net operating losses from prior periods </w:t>
      </w:r>
      <w:r>
        <w:rPr>
          <w:rFonts w:ascii="Arial" w:eastAsia="Times New Roman" w:hAnsi="Arial" w:cs="Arial"/>
          <w:color w:val="000000"/>
          <w:sz w:val="20"/>
          <w:szCs w:val="20"/>
        </w:rPr>
        <w:t xml:space="preserve">to reduce future taxable income. These losses will expire between 2021 and 2040. Federal net operating loss carryforwards were fully utilized during 2020. Federal and state tax credit carryforwards totaling $4.4 million are available to reduce future cash </w:t>
      </w:r>
      <w:r>
        <w:rPr>
          <w:rFonts w:ascii="Arial" w:eastAsia="Times New Roman" w:hAnsi="Arial" w:cs="Arial"/>
          <w:color w:val="000000"/>
          <w:sz w:val="20"/>
          <w:szCs w:val="20"/>
        </w:rPr>
        <w:t>taxes and will expire between 2021 and 2040.</w:t>
      </w:r>
    </w:p>
    <w:p w14:paraId="6FCAD0B6" w14:textId="77777777" w:rsidR="00000000" w:rsidRDefault="001D0688">
      <w:pPr>
        <w:ind w:firstLine="720"/>
        <w:jc w:val="both"/>
        <w:divId w:val="1051921617"/>
        <w:rPr>
          <w:rFonts w:eastAsia="Times New Roman"/>
        </w:rPr>
      </w:pPr>
      <w:r>
        <w:rPr>
          <w:rFonts w:ascii="Arial" w:eastAsia="Times New Roman" w:hAnsi="Arial" w:cs="Arial"/>
          <w:color w:val="000000"/>
          <w:sz w:val="20"/>
          <w:szCs w:val="20"/>
        </w:rPr>
        <w:t>The valuation allowance represents the amount of tax benefits related to state net operating loss carryforwards that are not likely to be realized. We believe the remaining deferred tax assets are more likely than not to be realizable based on estimates of</w:t>
      </w:r>
      <w:r>
        <w:rPr>
          <w:rFonts w:ascii="Arial" w:eastAsia="Times New Roman" w:hAnsi="Arial" w:cs="Arial"/>
          <w:color w:val="000000"/>
          <w:sz w:val="20"/>
          <w:szCs w:val="20"/>
        </w:rPr>
        <w:t xml:space="preserve"> future taxable income. </w:t>
      </w:r>
    </w:p>
    <w:p w14:paraId="52B5B7E6" w14:textId="77777777" w:rsidR="00000000" w:rsidRDefault="001D0688">
      <w:pPr>
        <w:jc w:val="both"/>
        <w:divId w:val="654603294"/>
        <w:rPr>
          <w:rFonts w:eastAsia="Times New Roman"/>
        </w:rPr>
      </w:pPr>
      <w:r>
        <w:rPr>
          <w:rFonts w:ascii="Arial" w:eastAsia="Times New Roman" w:hAnsi="Arial" w:cs="Arial"/>
          <w:b/>
          <w:bCs/>
          <w:i/>
          <w:iCs/>
          <w:color w:val="0046AD"/>
          <w:sz w:val="20"/>
          <w:szCs w:val="20"/>
        </w:rPr>
        <w:t>Changes to the Valuation Allowance</w:t>
      </w:r>
    </w:p>
    <w:tbl>
      <w:tblPr>
        <w:tblW w:w="5000" w:type="pct"/>
        <w:tblCellMar>
          <w:top w:w="15" w:type="dxa"/>
          <w:left w:w="15" w:type="dxa"/>
          <w:bottom w:w="15" w:type="dxa"/>
          <w:right w:w="15" w:type="dxa"/>
        </w:tblCellMar>
        <w:tblLook w:val="04A0" w:firstRow="1" w:lastRow="0" w:firstColumn="1" w:lastColumn="0" w:noHBand="0" w:noVBand="1"/>
      </w:tblPr>
      <w:tblGrid>
        <w:gridCol w:w="39"/>
        <w:gridCol w:w="4646"/>
        <w:gridCol w:w="37"/>
        <w:gridCol w:w="132"/>
        <w:gridCol w:w="984"/>
        <w:gridCol w:w="36"/>
        <w:gridCol w:w="36"/>
        <w:gridCol w:w="36"/>
        <w:gridCol w:w="36"/>
        <w:gridCol w:w="132"/>
        <w:gridCol w:w="939"/>
        <w:gridCol w:w="36"/>
        <w:gridCol w:w="36"/>
        <w:gridCol w:w="36"/>
        <w:gridCol w:w="36"/>
        <w:gridCol w:w="132"/>
        <w:gridCol w:w="941"/>
        <w:gridCol w:w="36"/>
      </w:tblGrid>
      <w:tr w:rsidR="00000000" w14:paraId="04B1C534" w14:textId="77777777">
        <w:trPr>
          <w:divId w:val="67895368"/>
        </w:trPr>
        <w:tc>
          <w:tcPr>
            <w:tcW w:w="50" w:type="pct"/>
            <w:vAlign w:val="center"/>
            <w:hideMark/>
          </w:tcPr>
          <w:p w14:paraId="205CCE0B" w14:textId="77777777" w:rsidR="00000000" w:rsidRDefault="001D0688">
            <w:pPr>
              <w:jc w:val="both"/>
              <w:rPr>
                <w:rFonts w:eastAsia="Times New Roman"/>
              </w:rPr>
            </w:pPr>
          </w:p>
        </w:tc>
        <w:tc>
          <w:tcPr>
            <w:tcW w:w="2832" w:type="pct"/>
            <w:vAlign w:val="center"/>
            <w:hideMark/>
          </w:tcPr>
          <w:p w14:paraId="23594D85" w14:textId="77777777" w:rsidR="00000000" w:rsidRDefault="001D0688">
            <w:pPr>
              <w:rPr>
                <w:rFonts w:eastAsia="Times New Roman"/>
                <w:sz w:val="20"/>
                <w:szCs w:val="20"/>
              </w:rPr>
            </w:pPr>
          </w:p>
        </w:tc>
        <w:tc>
          <w:tcPr>
            <w:tcW w:w="5" w:type="pct"/>
            <w:vAlign w:val="center"/>
            <w:hideMark/>
          </w:tcPr>
          <w:p w14:paraId="33FFB2C5" w14:textId="77777777" w:rsidR="00000000" w:rsidRDefault="001D0688">
            <w:pPr>
              <w:rPr>
                <w:rFonts w:eastAsia="Times New Roman"/>
                <w:sz w:val="20"/>
                <w:szCs w:val="20"/>
              </w:rPr>
            </w:pPr>
          </w:p>
        </w:tc>
        <w:tc>
          <w:tcPr>
            <w:tcW w:w="50" w:type="pct"/>
            <w:vAlign w:val="center"/>
            <w:hideMark/>
          </w:tcPr>
          <w:p w14:paraId="737A0608" w14:textId="77777777" w:rsidR="00000000" w:rsidRDefault="001D0688">
            <w:pPr>
              <w:rPr>
                <w:rFonts w:eastAsia="Times New Roman"/>
                <w:sz w:val="20"/>
                <w:szCs w:val="20"/>
              </w:rPr>
            </w:pPr>
          </w:p>
        </w:tc>
        <w:tc>
          <w:tcPr>
            <w:tcW w:w="624" w:type="pct"/>
            <w:vAlign w:val="center"/>
            <w:hideMark/>
          </w:tcPr>
          <w:p w14:paraId="2B465246" w14:textId="77777777" w:rsidR="00000000" w:rsidRDefault="001D0688">
            <w:pPr>
              <w:rPr>
                <w:rFonts w:eastAsia="Times New Roman"/>
                <w:sz w:val="20"/>
                <w:szCs w:val="20"/>
              </w:rPr>
            </w:pPr>
          </w:p>
        </w:tc>
        <w:tc>
          <w:tcPr>
            <w:tcW w:w="5" w:type="pct"/>
            <w:vAlign w:val="center"/>
            <w:hideMark/>
          </w:tcPr>
          <w:p w14:paraId="43CF1A86" w14:textId="77777777" w:rsidR="00000000" w:rsidRDefault="001D0688">
            <w:pPr>
              <w:rPr>
                <w:rFonts w:eastAsia="Times New Roman"/>
                <w:sz w:val="20"/>
                <w:szCs w:val="20"/>
              </w:rPr>
            </w:pPr>
          </w:p>
        </w:tc>
        <w:tc>
          <w:tcPr>
            <w:tcW w:w="5" w:type="pct"/>
            <w:vAlign w:val="center"/>
            <w:hideMark/>
          </w:tcPr>
          <w:p w14:paraId="7B397160" w14:textId="77777777" w:rsidR="00000000" w:rsidRDefault="001D0688">
            <w:pPr>
              <w:rPr>
                <w:rFonts w:eastAsia="Times New Roman"/>
                <w:sz w:val="20"/>
                <w:szCs w:val="20"/>
              </w:rPr>
            </w:pPr>
          </w:p>
        </w:tc>
        <w:tc>
          <w:tcPr>
            <w:tcW w:w="26" w:type="pct"/>
            <w:vAlign w:val="center"/>
            <w:hideMark/>
          </w:tcPr>
          <w:p w14:paraId="65BF62E3" w14:textId="77777777" w:rsidR="00000000" w:rsidRDefault="001D0688">
            <w:pPr>
              <w:rPr>
                <w:rFonts w:eastAsia="Times New Roman"/>
                <w:sz w:val="20"/>
                <w:szCs w:val="20"/>
              </w:rPr>
            </w:pPr>
          </w:p>
        </w:tc>
        <w:tc>
          <w:tcPr>
            <w:tcW w:w="5" w:type="pct"/>
            <w:vAlign w:val="center"/>
            <w:hideMark/>
          </w:tcPr>
          <w:p w14:paraId="7A4197C5" w14:textId="77777777" w:rsidR="00000000" w:rsidRDefault="001D0688">
            <w:pPr>
              <w:rPr>
                <w:rFonts w:eastAsia="Times New Roman"/>
                <w:sz w:val="20"/>
                <w:szCs w:val="20"/>
              </w:rPr>
            </w:pPr>
          </w:p>
        </w:tc>
        <w:tc>
          <w:tcPr>
            <w:tcW w:w="50" w:type="pct"/>
            <w:vAlign w:val="center"/>
            <w:hideMark/>
          </w:tcPr>
          <w:p w14:paraId="416863B1" w14:textId="77777777" w:rsidR="00000000" w:rsidRDefault="001D0688">
            <w:pPr>
              <w:rPr>
                <w:rFonts w:eastAsia="Times New Roman"/>
                <w:sz w:val="20"/>
                <w:szCs w:val="20"/>
              </w:rPr>
            </w:pPr>
          </w:p>
        </w:tc>
        <w:tc>
          <w:tcPr>
            <w:tcW w:w="624" w:type="pct"/>
            <w:vAlign w:val="center"/>
            <w:hideMark/>
          </w:tcPr>
          <w:p w14:paraId="5CC55258" w14:textId="77777777" w:rsidR="00000000" w:rsidRDefault="001D0688">
            <w:pPr>
              <w:rPr>
                <w:rFonts w:eastAsia="Times New Roman"/>
                <w:sz w:val="20"/>
                <w:szCs w:val="20"/>
              </w:rPr>
            </w:pPr>
          </w:p>
        </w:tc>
        <w:tc>
          <w:tcPr>
            <w:tcW w:w="5" w:type="pct"/>
            <w:vAlign w:val="center"/>
            <w:hideMark/>
          </w:tcPr>
          <w:p w14:paraId="18F4DA08" w14:textId="77777777" w:rsidR="00000000" w:rsidRDefault="001D0688">
            <w:pPr>
              <w:rPr>
                <w:rFonts w:eastAsia="Times New Roman"/>
                <w:sz w:val="20"/>
                <w:szCs w:val="20"/>
              </w:rPr>
            </w:pPr>
          </w:p>
        </w:tc>
        <w:tc>
          <w:tcPr>
            <w:tcW w:w="5" w:type="pct"/>
            <w:vAlign w:val="center"/>
            <w:hideMark/>
          </w:tcPr>
          <w:p w14:paraId="045D1324" w14:textId="77777777" w:rsidR="00000000" w:rsidRDefault="001D0688">
            <w:pPr>
              <w:rPr>
                <w:rFonts w:eastAsia="Times New Roman"/>
                <w:sz w:val="20"/>
                <w:szCs w:val="20"/>
              </w:rPr>
            </w:pPr>
          </w:p>
        </w:tc>
        <w:tc>
          <w:tcPr>
            <w:tcW w:w="26" w:type="pct"/>
            <w:vAlign w:val="center"/>
            <w:hideMark/>
          </w:tcPr>
          <w:p w14:paraId="01B40255" w14:textId="77777777" w:rsidR="00000000" w:rsidRDefault="001D0688">
            <w:pPr>
              <w:rPr>
                <w:rFonts w:eastAsia="Times New Roman"/>
                <w:sz w:val="20"/>
                <w:szCs w:val="20"/>
              </w:rPr>
            </w:pPr>
          </w:p>
        </w:tc>
        <w:tc>
          <w:tcPr>
            <w:tcW w:w="5" w:type="pct"/>
            <w:vAlign w:val="center"/>
            <w:hideMark/>
          </w:tcPr>
          <w:p w14:paraId="71CA1778" w14:textId="77777777" w:rsidR="00000000" w:rsidRDefault="001D0688">
            <w:pPr>
              <w:rPr>
                <w:rFonts w:eastAsia="Times New Roman"/>
                <w:sz w:val="20"/>
                <w:szCs w:val="20"/>
              </w:rPr>
            </w:pPr>
          </w:p>
        </w:tc>
        <w:tc>
          <w:tcPr>
            <w:tcW w:w="50" w:type="pct"/>
            <w:vAlign w:val="center"/>
            <w:hideMark/>
          </w:tcPr>
          <w:p w14:paraId="70F35752" w14:textId="77777777" w:rsidR="00000000" w:rsidRDefault="001D0688">
            <w:pPr>
              <w:rPr>
                <w:rFonts w:eastAsia="Times New Roman"/>
                <w:sz w:val="20"/>
                <w:szCs w:val="20"/>
              </w:rPr>
            </w:pPr>
          </w:p>
        </w:tc>
        <w:tc>
          <w:tcPr>
            <w:tcW w:w="625" w:type="pct"/>
            <w:vAlign w:val="center"/>
            <w:hideMark/>
          </w:tcPr>
          <w:p w14:paraId="4269D7F4" w14:textId="77777777" w:rsidR="00000000" w:rsidRDefault="001D0688">
            <w:pPr>
              <w:rPr>
                <w:rFonts w:eastAsia="Times New Roman"/>
                <w:sz w:val="20"/>
                <w:szCs w:val="20"/>
              </w:rPr>
            </w:pPr>
          </w:p>
        </w:tc>
        <w:tc>
          <w:tcPr>
            <w:tcW w:w="5" w:type="pct"/>
            <w:vAlign w:val="center"/>
            <w:hideMark/>
          </w:tcPr>
          <w:p w14:paraId="718E8C85" w14:textId="77777777" w:rsidR="00000000" w:rsidRDefault="001D0688">
            <w:pPr>
              <w:rPr>
                <w:rFonts w:eastAsia="Times New Roman"/>
                <w:sz w:val="20"/>
                <w:szCs w:val="20"/>
              </w:rPr>
            </w:pPr>
          </w:p>
        </w:tc>
      </w:tr>
      <w:tr w:rsidR="00000000" w14:paraId="1152D9CE" w14:textId="77777777">
        <w:trPr>
          <w:divId w:val="67895368"/>
        </w:trPr>
        <w:tc>
          <w:tcPr>
            <w:tcW w:w="0" w:type="auto"/>
            <w:gridSpan w:val="3"/>
            <w:tcMar>
              <w:top w:w="0" w:type="dxa"/>
              <w:left w:w="20" w:type="dxa"/>
              <w:bottom w:w="0" w:type="dxa"/>
              <w:right w:w="20" w:type="dxa"/>
            </w:tcMar>
            <w:vAlign w:val="center"/>
            <w:hideMark/>
          </w:tcPr>
          <w:p w14:paraId="32E70B2C"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64A46210"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7F85EAF3" w14:textId="77777777">
        <w:trPr>
          <w:divId w:val="67895368"/>
        </w:trPr>
        <w:tc>
          <w:tcPr>
            <w:tcW w:w="0" w:type="auto"/>
            <w:gridSpan w:val="3"/>
            <w:shd w:val="clear" w:color="auto" w:fill="FFFFFF"/>
            <w:tcMar>
              <w:top w:w="30" w:type="dxa"/>
              <w:left w:w="20" w:type="dxa"/>
              <w:bottom w:w="30" w:type="dxa"/>
              <w:right w:w="20" w:type="dxa"/>
            </w:tcMar>
            <w:vAlign w:val="bottom"/>
            <w:hideMark/>
          </w:tcPr>
          <w:p w14:paraId="327A6D15"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DB78FC7"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139445"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2BDFC6"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349E6D" w14:textId="77777777" w:rsidR="00000000" w:rsidRDefault="001D0688">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BAE79DD"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6F23AA7C" w14:textId="77777777">
        <w:trPr>
          <w:divId w:val="67895368"/>
        </w:trPr>
        <w:tc>
          <w:tcPr>
            <w:tcW w:w="0" w:type="auto"/>
            <w:gridSpan w:val="3"/>
            <w:shd w:val="clear" w:color="auto" w:fill="DCE2EF"/>
            <w:tcMar>
              <w:top w:w="30" w:type="dxa"/>
              <w:left w:w="20" w:type="dxa"/>
              <w:bottom w:w="30" w:type="dxa"/>
              <w:right w:w="20" w:type="dxa"/>
            </w:tcMar>
            <w:vAlign w:val="bottom"/>
            <w:hideMark/>
          </w:tcPr>
          <w:p w14:paraId="4F935A0C" w14:textId="77777777" w:rsidR="00000000" w:rsidRDefault="001D0688">
            <w:pPr>
              <w:rPr>
                <w:rFonts w:eastAsia="Times New Roman"/>
              </w:rPr>
            </w:pPr>
            <w:r>
              <w:rPr>
                <w:rFonts w:ascii="Arial" w:eastAsia="Times New Roman" w:hAnsi="Arial" w:cs="Arial"/>
                <w:b/>
                <w:bCs/>
                <w:color w:val="000000"/>
                <w:sz w:val="20"/>
                <w:szCs w:val="20"/>
              </w:rPr>
              <w:t>Valuation allowance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2F25C3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6C9A738" w14:textId="77777777" w:rsidR="00000000" w:rsidRDefault="001D0688">
            <w:pPr>
              <w:jc w:val="right"/>
              <w:rPr>
                <w:rFonts w:eastAsia="Times New Roman"/>
              </w:rPr>
            </w:pPr>
            <w:r>
              <w:rPr>
                <w:rFonts w:ascii="Arial" w:eastAsia="Times New Roman" w:hAnsi="Arial" w:cs="Arial"/>
                <w:color w:val="000000"/>
                <w:sz w:val="20"/>
                <w:szCs w:val="20"/>
              </w:rPr>
              <w:t>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120CA0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F2B78B"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778434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BB938A2" w14:textId="77777777" w:rsidR="00000000" w:rsidRDefault="001D0688">
            <w:pPr>
              <w:jc w:val="right"/>
              <w:rPr>
                <w:rFonts w:eastAsia="Times New Roman"/>
              </w:rPr>
            </w:pPr>
            <w:r>
              <w:rPr>
                <w:rFonts w:ascii="Arial" w:eastAsia="Times New Roman" w:hAnsi="Arial" w:cs="Arial"/>
                <w:color w:val="000000"/>
                <w:sz w:val="20"/>
                <w:szCs w:val="20"/>
              </w:rPr>
              <w:t>12.0 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BE69C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ECE9B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5CEAC9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4C086B5" w14:textId="77777777" w:rsidR="00000000" w:rsidRDefault="001D0688">
            <w:pPr>
              <w:jc w:val="right"/>
              <w:rPr>
                <w:rFonts w:eastAsia="Times New Roman"/>
              </w:rPr>
            </w:pPr>
            <w:r>
              <w:rPr>
                <w:rFonts w:ascii="Arial" w:eastAsia="Times New Roman" w:hAnsi="Arial" w:cs="Arial"/>
                <w:color w:val="000000"/>
                <w:sz w:val="20"/>
                <w:szCs w:val="20"/>
              </w:rPr>
              <w:t>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8FCA3C5" w14:textId="77777777" w:rsidR="00000000" w:rsidRDefault="001D0688">
            <w:pPr>
              <w:jc w:val="right"/>
              <w:rPr>
                <w:rFonts w:eastAsia="Times New Roman"/>
              </w:rPr>
            </w:pPr>
          </w:p>
        </w:tc>
      </w:tr>
      <w:tr w:rsidR="00000000" w14:paraId="1A3E8C9C" w14:textId="77777777">
        <w:trPr>
          <w:divId w:val="67895368"/>
        </w:trPr>
        <w:tc>
          <w:tcPr>
            <w:tcW w:w="0" w:type="auto"/>
            <w:gridSpan w:val="3"/>
            <w:shd w:val="clear" w:color="auto" w:fill="FFFFFF"/>
            <w:tcMar>
              <w:top w:w="30" w:type="dxa"/>
              <w:left w:w="155" w:type="dxa"/>
              <w:bottom w:w="30" w:type="dxa"/>
              <w:right w:w="20" w:type="dxa"/>
            </w:tcMar>
            <w:vAlign w:val="bottom"/>
            <w:hideMark/>
          </w:tcPr>
          <w:p w14:paraId="465042CB" w14:textId="77777777" w:rsidR="00000000" w:rsidRDefault="001D0688">
            <w:pPr>
              <w:rPr>
                <w:rFonts w:eastAsia="Times New Roman"/>
              </w:rPr>
            </w:pPr>
            <w:r>
              <w:rPr>
                <w:rFonts w:ascii="Arial" w:eastAsia="Times New Roman" w:hAnsi="Arial" w:cs="Arial"/>
                <w:color w:val="000000"/>
                <w:sz w:val="20"/>
                <w:szCs w:val="20"/>
              </w:rPr>
              <w:t>GCA acquisition</w:t>
            </w:r>
          </w:p>
        </w:tc>
        <w:tc>
          <w:tcPr>
            <w:tcW w:w="0" w:type="auto"/>
            <w:gridSpan w:val="2"/>
            <w:shd w:val="clear" w:color="auto" w:fill="FFFFFF"/>
            <w:tcMar>
              <w:top w:w="30" w:type="dxa"/>
              <w:left w:w="20" w:type="dxa"/>
              <w:bottom w:w="30" w:type="dxa"/>
              <w:right w:w="0" w:type="dxa"/>
            </w:tcMar>
            <w:vAlign w:val="bottom"/>
            <w:hideMark/>
          </w:tcPr>
          <w:p w14:paraId="101F4762"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B0221B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43C4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93E9E"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B84108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B292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E62DF5" w14:textId="77777777" w:rsidR="00000000" w:rsidRDefault="001D0688">
            <w:pPr>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14:paraId="207DEECA" w14:textId="77777777" w:rsidR="00000000" w:rsidRDefault="001D0688">
            <w:pPr>
              <w:jc w:val="right"/>
              <w:rPr>
                <w:rFonts w:eastAsia="Times New Roman"/>
              </w:rPr>
            </w:pPr>
          </w:p>
        </w:tc>
      </w:tr>
      <w:tr w:rsidR="00000000" w14:paraId="6BA67E2A" w14:textId="77777777">
        <w:trPr>
          <w:divId w:val="67895368"/>
        </w:trPr>
        <w:tc>
          <w:tcPr>
            <w:tcW w:w="0" w:type="auto"/>
            <w:gridSpan w:val="3"/>
            <w:shd w:val="clear" w:color="auto" w:fill="DCE2EF"/>
            <w:tcMar>
              <w:top w:w="30" w:type="dxa"/>
              <w:left w:w="155" w:type="dxa"/>
              <w:bottom w:w="30" w:type="dxa"/>
              <w:right w:w="20" w:type="dxa"/>
            </w:tcMar>
            <w:vAlign w:val="bottom"/>
            <w:hideMark/>
          </w:tcPr>
          <w:p w14:paraId="6CA4EC40" w14:textId="77777777" w:rsidR="00000000" w:rsidRDefault="001D0688">
            <w:pPr>
              <w:rPr>
                <w:rFonts w:eastAsia="Times New Roman"/>
              </w:rPr>
            </w:pPr>
            <w:r>
              <w:rPr>
                <w:rFonts w:ascii="Arial" w:eastAsia="Times New Roman" w:hAnsi="Arial" w:cs="Arial"/>
                <w:color w:val="000000"/>
                <w:sz w:val="20"/>
                <w:szCs w:val="20"/>
              </w:rPr>
              <w:t>Other, net</w:t>
            </w:r>
          </w:p>
        </w:tc>
        <w:tc>
          <w:tcPr>
            <w:tcW w:w="0" w:type="auto"/>
            <w:gridSpan w:val="2"/>
            <w:shd w:val="clear" w:color="auto" w:fill="DCE2EF"/>
            <w:tcMar>
              <w:top w:w="30" w:type="dxa"/>
              <w:left w:w="20" w:type="dxa"/>
              <w:bottom w:w="30" w:type="dxa"/>
              <w:right w:w="0" w:type="dxa"/>
            </w:tcMar>
            <w:vAlign w:val="bottom"/>
            <w:hideMark/>
          </w:tcPr>
          <w:p w14:paraId="0E083A34" w14:textId="77777777" w:rsidR="00000000" w:rsidRDefault="001D0688">
            <w:pPr>
              <w:jc w:val="right"/>
              <w:rPr>
                <w:rFonts w:eastAsia="Times New Roman"/>
              </w:rPr>
            </w:pPr>
            <w:r>
              <w:rPr>
                <w:rFonts w:ascii="Arial" w:eastAsia="Times New Roman" w:hAnsi="Arial" w:cs="Arial"/>
                <w:color w:val="000000"/>
                <w:sz w:val="20"/>
                <w:szCs w:val="20"/>
              </w:rPr>
              <w:t>(4.3)</w:t>
            </w:r>
          </w:p>
        </w:tc>
        <w:tc>
          <w:tcPr>
            <w:tcW w:w="0" w:type="auto"/>
            <w:shd w:val="clear" w:color="auto" w:fill="DCE2EF"/>
            <w:tcMar>
              <w:top w:w="30" w:type="dxa"/>
              <w:left w:w="0" w:type="dxa"/>
              <w:bottom w:w="30" w:type="dxa"/>
              <w:right w:w="20" w:type="dxa"/>
            </w:tcMar>
            <w:vAlign w:val="bottom"/>
            <w:hideMark/>
          </w:tcPr>
          <w:p w14:paraId="6CADA68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DB118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B3CBC77" w14:textId="77777777" w:rsidR="00000000" w:rsidRDefault="001D0688">
            <w:pPr>
              <w:jc w:val="right"/>
              <w:rPr>
                <w:rFonts w:eastAsia="Times New Roman"/>
              </w:rPr>
            </w:pPr>
            <w:r>
              <w:rPr>
                <w:rFonts w:ascii="Arial" w:eastAsia="Times New Roman" w:hAnsi="Arial" w:cs="Arial"/>
                <w:color w:val="000000"/>
                <w:sz w:val="20"/>
                <w:szCs w:val="20"/>
              </w:rPr>
              <w:t>(3.6)</w:t>
            </w:r>
          </w:p>
        </w:tc>
        <w:tc>
          <w:tcPr>
            <w:tcW w:w="0" w:type="auto"/>
            <w:shd w:val="clear" w:color="auto" w:fill="DCE2EF"/>
            <w:tcMar>
              <w:top w:w="30" w:type="dxa"/>
              <w:left w:w="0" w:type="dxa"/>
              <w:bottom w:w="30" w:type="dxa"/>
              <w:right w:w="20" w:type="dxa"/>
            </w:tcMar>
            <w:vAlign w:val="bottom"/>
            <w:hideMark/>
          </w:tcPr>
          <w:p w14:paraId="4416F93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62D67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AC9A0BE" w14:textId="77777777" w:rsidR="00000000" w:rsidRDefault="001D0688">
            <w:pPr>
              <w:jc w:val="right"/>
              <w:rPr>
                <w:rFonts w:eastAsia="Times New Roman"/>
              </w:rPr>
            </w:pPr>
            <w:r>
              <w:rPr>
                <w:rFonts w:ascii="Arial" w:eastAsia="Times New Roman" w:hAnsi="Arial" w:cs="Arial"/>
                <w:color w:val="000000"/>
                <w:sz w:val="20"/>
                <w:szCs w:val="20"/>
              </w:rPr>
              <w:t>1.8 </w:t>
            </w:r>
          </w:p>
        </w:tc>
        <w:tc>
          <w:tcPr>
            <w:tcW w:w="0" w:type="auto"/>
            <w:shd w:val="clear" w:color="auto" w:fill="DCE2EF"/>
            <w:tcMar>
              <w:top w:w="30" w:type="dxa"/>
              <w:left w:w="0" w:type="dxa"/>
              <w:bottom w:w="30" w:type="dxa"/>
              <w:right w:w="20" w:type="dxa"/>
            </w:tcMar>
            <w:vAlign w:val="bottom"/>
            <w:hideMark/>
          </w:tcPr>
          <w:p w14:paraId="14285DE3" w14:textId="77777777" w:rsidR="00000000" w:rsidRDefault="001D0688">
            <w:pPr>
              <w:jc w:val="right"/>
              <w:rPr>
                <w:rFonts w:eastAsia="Times New Roman"/>
              </w:rPr>
            </w:pPr>
          </w:p>
        </w:tc>
      </w:tr>
      <w:tr w:rsidR="00000000" w14:paraId="1B8A0E9B" w14:textId="77777777">
        <w:trPr>
          <w:divId w:val="67895368"/>
        </w:trPr>
        <w:tc>
          <w:tcPr>
            <w:tcW w:w="0" w:type="auto"/>
            <w:gridSpan w:val="3"/>
            <w:shd w:val="clear" w:color="auto" w:fill="FFFFFF"/>
            <w:tcMar>
              <w:top w:w="30" w:type="dxa"/>
              <w:left w:w="20" w:type="dxa"/>
              <w:bottom w:w="30" w:type="dxa"/>
              <w:right w:w="20" w:type="dxa"/>
            </w:tcMar>
            <w:vAlign w:val="bottom"/>
            <w:hideMark/>
          </w:tcPr>
          <w:p w14:paraId="6D431401" w14:textId="77777777" w:rsidR="00000000" w:rsidRDefault="001D0688">
            <w:pPr>
              <w:rPr>
                <w:rFonts w:eastAsia="Times New Roman"/>
              </w:rPr>
            </w:pPr>
            <w:r>
              <w:rPr>
                <w:rFonts w:ascii="Arial" w:eastAsia="Times New Roman" w:hAnsi="Arial" w:cs="Arial"/>
                <w:b/>
                <w:bCs/>
                <w:color w:val="000000"/>
                <w:sz w:val="20"/>
                <w:szCs w:val="20"/>
              </w:rPr>
              <w:t xml:space="preserve">Valuation allowance at end of year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63693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C850C1" w14:textId="77777777" w:rsidR="00000000" w:rsidRDefault="001D0688">
            <w:pPr>
              <w:jc w:val="right"/>
              <w:rPr>
                <w:rFonts w:eastAsia="Times New Roman"/>
              </w:rPr>
            </w:pPr>
            <w:r>
              <w:rPr>
                <w:rFonts w:ascii="Arial" w:eastAsia="Times New Roman" w:hAnsi="Arial" w:cs="Arial"/>
                <w:color w:val="00000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CEB39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B5EAD"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FBD1A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A63C4C" w14:textId="77777777" w:rsidR="00000000" w:rsidRDefault="001D0688">
            <w:pPr>
              <w:jc w:val="right"/>
              <w:rPr>
                <w:rFonts w:eastAsia="Times New Roman"/>
              </w:rPr>
            </w:pPr>
            <w:r>
              <w:rPr>
                <w:rFonts w:ascii="Arial" w:eastAsia="Times New Roman" w:hAnsi="Arial" w:cs="Arial"/>
                <w:color w:val="000000"/>
                <w:sz w:val="20"/>
                <w:szCs w:val="20"/>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64008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541D7"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6BA62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D2FAB7" w14:textId="77777777" w:rsidR="00000000" w:rsidRDefault="001D0688">
            <w:pPr>
              <w:jc w:val="right"/>
              <w:rPr>
                <w:rFonts w:eastAsia="Times New Roman"/>
              </w:rPr>
            </w:pPr>
            <w:r>
              <w:rPr>
                <w:rFonts w:ascii="Arial" w:eastAsia="Times New Roman" w:hAnsi="Arial" w:cs="Arial"/>
                <w:color w:val="000000"/>
                <w:sz w:val="20"/>
                <w:szCs w:val="20"/>
              </w:rPr>
              <w:t>12.0 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E92DAC" w14:textId="77777777" w:rsidR="00000000" w:rsidRDefault="001D0688">
            <w:pPr>
              <w:jc w:val="right"/>
              <w:rPr>
                <w:rFonts w:eastAsia="Times New Roman"/>
              </w:rPr>
            </w:pPr>
          </w:p>
        </w:tc>
      </w:tr>
    </w:tbl>
    <w:p w14:paraId="1A5F1219" w14:textId="77777777" w:rsidR="00000000" w:rsidRDefault="001D0688">
      <w:pPr>
        <w:divId w:val="1675842801"/>
        <w:rPr>
          <w:rFonts w:eastAsia="Times New Roman"/>
        </w:rPr>
      </w:pPr>
    </w:p>
    <w:p w14:paraId="4C460EFD" w14:textId="77777777" w:rsidR="00000000" w:rsidRDefault="001D0688">
      <w:pPr>
        <w:jc w:val="center"/>
        <w:divId w:val="978535463"/>
        <w:rPr>
          <w:rFonts w:eastAsia="Times New Roman"/>
        </w:rPr>
      </w:pPr>
      <w:r>
        <w:rPr>
          <w:rFonts w:ascii="Arial" w:eastAsia="Times New Roman" w:hAnsi="Arial" w:cs="Arial"/>
          <w:color w:val="000000"/>
          <w:sz w:val="20"/>
          <w:szCs w:val="20"/>
        </w:rPr>
        <w:t>92</w:t>
      </w:r>
    </w:p>
    <w:p w14:paraId="36B9EBCF" w14:textId="77777777" w:rsidR="00000000" w:rsidRDefault="001D0688">
      <w:pPr>
        <w:rPr>
          <w:rFonts w:eastAsia="Times New Roman"/>
        </w:rPr>
      </w:pPr>
      <w:r>
        <w:rPr>
          <w:rFonts w:eastAsia="Times New Roman"/>
        </w:rPr>
        <w:pict w14:anchorId="65046396">
          <v:rect id="_x0000_i1129" style="width:0;height:1.5pt" o:hralign="center" o:hrstd="t" o:hr="t" fillcolor="#a0a0a0" stroked="f"/>
        </w:pict>
      </w:r>
    </w:p>
    <w:p w14:paraId="15982D42" w14:textId="77777777" w:rsidR="00000000" w:rsidRDefault="001D0688">
      <w:pPr>
        <w:divId w:val="1463621504"/>
        <w:rPr>
          <w:rFonts w:eastAsia="Times New Roman"/>
        </w:rPr>
      </w:pPr>
    </w:p>
    <w:p w14:paraId="0A0CF447" w14:textId="77777777" w:rsidR="00000000" w:rsidRDefault="001D0688">
      <w:pPr>
        <w:divId w:val="526799888"/>
        <w:rPr>
          <w:rFonts w:eastAsia="Times New Roman"/>
        </w:rPr>
      </w:pPr>
      <w:r>
        <w:rPr>
          <w:rFonts w:ascii="Arial" w:eastAsia="Times New Roman" w:hAnsi="Arial" w:cs="Arial"/>
          <w:b/>
          <w:bCs/>
          <w:color w:val="0046AD"/>
          <w:sz w:val="20"/>
          <w:szCs w:val="20"/>
        </w:rPr>
        <w:t>Unrecognized Tax Benefits</w:t>
      </w:r>
    </w:p>
    <w:p w14:paraId="2E03FD38" w14:textId="77777777" w:rsidR="00000000" w:rsidRDefault="001D0688">
      <w:pPr>
        <w:ind w:firstLine="720"/>
        <w:jc w:val="both"/>
        <w:divId w:val="198785404"/>
        <w:rPr>
          <w:rFonts w:eastAsia="Times New Roman"/>
        </w:rPr>
      </w:pPr>
      <w:r>
        <w:rPr>
          <w:rFonts w:ascii="Arial" w:eastAsia="Times New Roman" w:hAnsi="Arial" w:cs="Arial"/>
          <w:color w:val="000000"/>
          <w:sz w:val="20"/>
          <w:szCs w:val="20"/>
        </w:rPr>
        <w:t>At October 31, 2020, 2019, and 2018, there were $35.5 million, $35.3 million, and $35.8 million, respectively, of unrecognized tax benefits that if recognized in the future would impact our ef</w:t>
      </w:r>
      <w:r>
        <w:rPr>
          <w:rFonts w:ascii="Arial" w:eastAsia="Times New Roman" w:hAnsi="Arial" w:cs="Arial"/>
          <w:color w:val="000000"/>
          <w:sz w:val="20"/>
          <w:szCs w:val="20"/>
        </w:rPr>
        <w:t>fective tax rate. We estimate that a decrease in unrecognized tax benefits of up to approximately $0.6 million is reasonably possible over the next twelve months due to lapses of applicable statutes of limitations. At October 31, 2020 and 2019, accrued int</w:t>
      </w:r>
      <w:r>
        <w:rPr>
          <w:rFonts w:ascii="Arial" w:eastAsia="Times New Roman" w:hAnsi="Arial" w:cs="Arial"/>
          <w:color w:val="000000"/>
          <w:sz w:val="20"/>
          <w:szCs w:val="20"/>
        </w:rPr>
        <w:t xml:space="preserve">erest and penalties were $1.5 million and $1.2 million, respectively. For interest and penalties, we recognized an expense of $0.4 million and $0.2 million in 2020 and 2019, respectively, and a benefit of $1.0 million in 2018. </w:t>
      </w:r>
    </w:p>
    <w:p w14:paraId="6A161460" w14:textId="77777777" w:rsidR="00000000" w:rsidRDefault="001D0688">
      <w:pPr>
        <w:jc w:val="both"/>
        <w:divId w:val="1912544561"/>
        <w:rPr>
          <w:rFonts w:eastAsia="Times New Roman"/>
        </w:rPr>
      </w:pPr>
      <w:r>
        <w:rPr>
          <w:rFonts w:ascii="Arial" w:eastAsia="Times New Roman" w:hAnsi="Arial" w:cs="Arial"/>
          <w:b/>
          <w:bCs/>
          <w:i/>
          <w:iCs/>
          <w:color w:val="0046AD"/>
          <w:sz w:val="20"/>
          <w:szCs w:val="20"/>
        </w:rPr>
        <w:t>Reconciliation of Total Unre</w:t>
      </w:r>
      <w:r>
        <w:rPr>
          <w:rFonts w:ascii="Arial" w:eastAsia="Times New Roman" w:hAnsi="Arial" w:cs="Arial"/>
          <w:b/>
          <w:bCs/>
          <w:i/>
          <w:iCs/>
          <w:color w:val="0046AD"/>
          <w:sz w:val="20"/>
          <w:szCs w:val="20"/>
        </w:rPr>
        <w:t>cognized Tax Benefits</w:t>
      </w:r>
    </w:p>
    <w:tbl>
      <w:tblPr>
        <w:tblW w:w="4978" w:type="pct"/>
        <w:tblCellMar>
          <w:top w:w="15" w:type="dxa"/>
          <w:left w:w="15" w:type="dxa"/>
          <w:bottom w:w="15" w:type="dxa"/>
          <w:right w:w="15" w:type="dxa"/>
        </w:tblCellMar>
        <w:tblLook w:val="04A0" w:firstRow="1" w:lastRow="0" w:firstColumn="1" w:lastColumn="0" w:noHBand="0" w:noVBand="1"/>
      </w:tblPr>
      <w:tblGrid>
        <w:gridCol w:w="40"/>
        <w:gridCol w:w="4607"/>
        <w:gridCol w:w="38"/>
        <w:gridCol w:w="132"/>
        <w:gridCol w:w="985"/>
        <w:gridCol w:w="36"/>
        <w:gridCol w:w="36"/>
        <w:gridCol w:w="36"/>
        <w:gridCol w:w="36"/>
        <w:gridCol w:w="132"/>
        <w:gridCol w:w="939"/>
        <w:gridCol w:w="36"/>
        <w:gridCol w:w="36"/>
        <w:gridCol w:w="36"/>
        <w:gridCol w:w="36"/>
        <w:gridCol w:w="132"/>
        <w:gridCol w:w="940"/>
        <w:gridCol w:w="36"/>
      </w:tblGrid>
      <w:tr w:rsidR="00000000" w14:paraId="177C42B5" w14:textId="77777777">
        <w:trPr>
          <w:divId w:val="2104256877"/>
        </w:trPr>
        <w:tc>
          <w:tcPr>
            <w:tcW w:w="50" w:type="pct"/>
            <w:vAlign w:val="center"/>
            <w:hideMark/>
          </w:tcPr>
          <w:p w14:paraId="6C188834" w14:textId="77777777" w:rsidR="00000000" w:rsidRDefault="001D0688">
            <w:pPr>
              <w:jc w:val="both"/>
              <w:rPr>
                <w:rFonts w:eastAsia="Times New Roman"/>
              </w:rPr>
            </w:pPr>
          </w:p>
        </w:tc>
        <w:tc>
          <w:tcPr>
            <w:tcW w:w="2823" w:type="pct"/>
            <w:vAlign w:val="center"/>
            <w:hideMark/>
          </w:tcPr>
          <w:p w14:paraId="042E3139" w14:textId="77777777" w:rsidR="00000000" w:rsidRDefault="001D0688">
            <w:pPr>
              <w:rPr>
                <w:rFonts w:eastAsia="Times New Roman"/>
                <w:sz w:val="20"/>
                <w:szCs w:val="20"/>
              </w:rPr>
            </w:pPr>
          </w:p>
        </w:tc>
        <w:tc>
          <w:tcPr>
            <w:tcW w:w="5" w:type="pct"/>
            <w:vAlign w:val="center"/>
            <w:hideMark/>
          </w:tcPr>
          <w:p w14:paraId="7B2314C5" w14:textId="77777777" w:rsidR="00000000" w:rsidRDefault="001D0688">
            <w:pPr>
              <w:rPr>
                <w:rFonts w:eastAsia="Times New Roman"/>
                <w:sz w:val="20"/>
                <w:szCs w:val="20"/>
              </w:rPr>
            </w:pPr>
          </w:p>
        </w:tc>
        <w:tc>
          <w:tcPr>
            <w:tcW w:w="50" w:type="pct"/>
            <w:vAlign w:val="center"/>
            <w:hideMark/>
          </w:tcPr>
          <w:p w14:paraId="0BE0CB32" w14:textId="77777777" w:rsidR="00000000" w:rsidRDefault="001D0688">
            <w:pPr>
              <w:rPr>
                <w:rFonts w:eastAsia="Times New Roman"/>
                <w:sz w:val="20"/>
                <w:szCs w:val="20"/>
              </w:rPr>
            </w:pPr>
          </w:p>
        </w:tc>
        <w:tc>
          <w:tcPr>
            <w:tcW w:w="627" w:type="pct"/>
            <w:vAlign w:val="center"/>
            <w:hideMark/>
          </w:tcPr>
          <w:p w14:paraId="49DFF9EE" w14:textId="77777777" w:rsidR="00000000" w:rsidRDefault="001D0688">
            <w:pPr>
              <w:rPr>
                <w:rFonts w:eastAsia="Times New Roman"/>
                <w:sz w:val="20"/>
                <w:szCs w:val="20"/>
              </w:rPr>
            </w:pPr>
          </w:p>
        </w:tc>
        <w:tc>
          <w:tcPr>
            <w:tcW w:w="5" w:type="pct"/>
            <w:vAlign w:val="center"/>
            <w:hideMark/>
          </w:tcPr>
          <w:p w14:paraId="30840537" w14:textId="77777777" w:rsidR="00000000" w:rsidRDefault="001D0688">
            <w:pPr>
              <w:rPr>
                <w:rFonts w:eastAsia="Times New Roman"/>
                <w:sz w:val="20"/>
                <w:szCs w:val="20"/>
              </w:rPr>
            </w:pPr>
          </w:p>
        </w:tc>
        <w:tc>
          <w:tcPr>
            <w:tcW w:w="5" w:type="pct"/>
            <w:vAlign w:val="center"/>
            <w:hideMark/>
          </w:tcPr>
          <w:p w14:paraId="53C8DC15" w14:textId="77777777" w:rsidR="00000000" w:rsidRDefault="001D0688">
            <w:pPr>
              <w:rPr>
                <w:rFonts w:eastAsia="Times New Roman"/>
                <w:sz w:val="20"/>
                <w:szCs w:val="20"/>
              </w:rPr>
            </w:pPr>
          </w:p>
        </w:tc>
        <w:tc>
          <w:tcPr>
            <w:tcW w:w="26" w:type="pct"/>
            <w:vAlign w:val="center"/>
            <w:hideMark/>
          </w:tcPr>
          <w:p w14:paraId="5BAFE7F2" w14:textId="77777777" w:rsidR="00000000" w:rsidRDefault="001D0688">
            <w:pPr>
              <w:rPr>
                <w:rFonts w:eastAsia="Times New Roman"/>
                <w:sz w:val="20"/>
                <w:szCs w:val="20"/>
              </w:rPr>
            </w:pPr>
          </w:p>
        </w:tc>
        <w:tc>
          <w:tcPr>
            <w:tcW w:w="5" w:type="pct"/>
            <w:vAlign w:val="center"/>
            <w:hideMark/>
          </w:tcPr>
          <w:p w14:paraId="06621259" w14:textId="77777777" w:rsidR="00000000" w:rsidRDefault="001D0688">
            <w:pPr>
              <w:rPr>
                <w:rFonts w:eastAsia="Times New Roman"/>
                <w:sz w:val="20"/>
                <w:szCs w:val="20"/>
              </w:rPr>
            </w:pPr>
          </w:p>
        </w:tc>
        <w:tc>
          <w:tcPr>
            <w:tcW w:w="50" w:type="pct"/>
            <w:vAlign w:val="center"/>
            <w:hideMark/>
          </w:tcPr>
          <w:p w14:paraId="7B66953A" w14:textId="77777777" w:rsidR="00000000" w:rsidRDefault="001D0688">
            <w:pPr>
              <w:rPr>
                <w:rFonts w:eastAsia="Times New Roman"/>
                <w:sz w:val="20"/>
                <w:szCs w:val="20"/>
              </w:rPr>
            </w:pPr>
          </w:p>
        </w:tc>
        <w:tc>
          <w:tcPr>
            <w:tcW w:w="627" w:type="pct"/>
            <w:vAlign w:val="center"/>
            <w:hideMark/>
          </w:tcPr>
          <w:p w14:paraId="2977DB6A" w14:textId="77777777" w:rsidR="00000000" w:rsidRDefault="001D0688">
            <w:pPr>
              <w:rPr>
                <w:rFonts w:eastAsia="Times New Roman"/>
                <w:sz w:val="20"/>
                <w:szCs w:val="20"/>
              </w:rPr>
            </w:pPr>
          </w:p>
        </w:tc>
        <w:tc>
          <w:tcPr>
            <w:tcW w:w="5" w:type="pct"/>
            <w:vAlign w:val="center"/>
            <w:hideMark/>
          </w:tcPr>
          <w:p w14:paraId="76294965" w14:textId="77777777" w:rsidR="00000000" w:rsidRDefault="001D0688">
            <w:pPr>
              <w:rPr>
                <w:rFonts w:eastAsia="Times New Roman"/>
                <w:sz w:val="20"/>
                <w:szCs w:val="20"/>
              </w:rPr>
            </w:pPr>
          </w:p>
        </w:tc>
        <w:tc>
          <w:tcPr>
            <w:tcW w:w="5" w:type="pct"/>
            <w:vAlign w:val="center"/>
            <w:hideMark/>
          </w:tcPr>
          <w:p w14:paraId="28F1AA5E" w14:textId="77777777" w:rsidR="00000000" w:rsidRDefault="001D0688">
            <w:pPr>
              <w:rPr>
                <w:rFonts w:eastAsia="Times New Roman"/>
                <w:sz w:val="20"/>
                <w:szCs w:val="20"/>
              </w:rPr>
            </w:pPr>
          </w:p>
        </w:tc>
        <w:tc>
          <w:tcPr>
            <w:tcW w:w="26" w:type="pct"/>
            <w:vAlign w:val="center"/>
            <w:hideMark/>
          </w:tcPr>
          <w:p w14:paraId="5A21A998" w14:textId="77777777" w:rsidR="00000000" w:rsidRDefault="001D0688">
            <w:pPr>
              <w:rPr>
                <w:rFonts w:eastAsia="Times New Roman"/>
                <w:sz w:val="20"/>
                <w:szCs w:val="20"/>
              </w:rPr>
            </w:pPr>
          </w:p>
        </w:tc>
        <w:tc>
          <w:tcPr>
            <w:tcW w:w="5" w:type="pct"/>
            <w:vAlign w:val="center"/>
            <w:hideMark/>
          </w:tcPr>
          <w:p w14:paraId="58741711" w14:textId="77777777" w:rsidR="00000000" w:rsidRDefault="001D0688">
            <w:pPr>
              <w:rPr>
                <w:rFonts w:eastAsia="Times New Roman"/>
                <w:sz w:val="20"/>
                <w:szCs w:val="20"/>
              </w:rPr>
            </w:pPr>
          </w:p>
        </w:tc>
        <w:tc>
          <w:tcPr>
            <w:tcW w:w="50" w:type="pct"/>
            <w:vAlign w:val="center"/>
            <w:hideMark/>
          </w:tcPr>
          <w:p w14:paraId="78A5C1C3" w14:textId="77777777" w:rsidR="00000000" w:rsidRDefault="001D0688">
            <w:pPr>
              <w:rPr>
                <w:rFonts w:eastAsia="Times New Roman"/>
                <w:sz w:val="20"/>
                <w:szCs w:val="20"/>
              </w:rPr>
            </w:pPr>
          </w:p>
        </w:tc>
        <w:tc>
          <w:tcPr>
            <w:tcW w:w="627" w:type="pct"/>
            <w:vAlign w:val="center"/>
            <w:hideMark/>
          </w:tcPr>
          <w:p w14:paraId="0A0746D6" w14:textId="77777777" w:rsidR="00000000" w:rsidRDefault="001D0688">
            <w:pPr>
              <w:rPr>
                <w:rFonts w:eastAsia="Times New Roman"/>
                <w:sz w:val="20"/>
                <w:szCs w:val="20"/>
              </w:rPr>
            </w:pPr>
          </w:p>
        </w:tc>
        <w:tc>
          <w:tcPr>
            <w:tcW w:w="5" w:type="pct"/>
            <w:vAlign w:val="center"/>
            <w:hideMark/>
          </w:tcPr>
          <w:p w14:paraId="54352FEC" w14:textId="77777777" w:rsidR="00000000" w:rsidRDefault="001D0688">
            <w:pPr>
              <w:rPr>
                <w:rFonts w:eastAsia="Times New Roman"/>
                <w:sz w:val="20"/>
                <w:szCs w:val="20"/>
              </w:rPr>
            </w:pPr>
          </w:p>
        </w:tc>
      </w:tr>
      <w:tr w:rsidR="00000000" w14:paraId="66B9A32E" w14:textId="77777777">
        <w:trPr>
          <w:divId w:val="2104256877"/>
        </w:trPr>
        <w:tc>
          <w:tcPr>
            <w:tcW w:w="0" w:type="auto"/>
            <w:gridSpan w:val="3"/>
            <w:tcMar>
              <w:top w:w="0" w:type="dxa"/>
              <w:left w:w="20" w:type="dxa"/>
              <w:bottom w:w="0" w:type="dxa"/>
              <w:right w:w="20" w:type="dxa"/>
            </w:tcMar>
            <w:vAlign w:val="center"/>
            <w:hideMark/>
          </w:tcPr>
          <w:p w14:paraId="1517E8A8"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514532C5"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4840BFDA" w14:textId="77777777">
        <w:trPr>
          <w:divId w:val="2104256877"/>
        </w:trPr>
        <w:tc>
          <w:tcPr>
            <w:tcW w:w="0" w:type="auto"/>
            <w:gridSpan w:val="3"/>
            <w:tcMar>
              <w:top w:w="30" w:type="dxa"/>
              <w:left w:w="20" w:type="dxa"/>
              <w:bottom w:w="30" w:type="dxa"/>
              <w:right w:w="20" w:type="dxa"/>
            </w:tcMar>
            <w:vAlign w:val="bottom"/>
            <w:hideMark/>
          </w:tcPr>
          <w:p w14:paraId="7AB5FFF6"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32981EB"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A69F07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3A9B69"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3C68DBFE"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CC78BD"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0BB21D3D" w14:textId="77777777">
        <w:trPr>
          <w:divId w:val="2104256877"/>
        </w:trPr>
        <w:tc>
          <w:tcPr>
            <w:tcW w:w="0" w:type="auto"/>
            <w:gridSpan w:val="3"/>
            <w:shd w:val="clear" w:color="auto" w:fill="DCE2EF"/>
            <w:tcMar>
              <w:top w:w="30" w:type="dxa"/>
              <w:left w:w="20" w:type="dxa"/>
              <w:bottom w:w="30" w:type="dxa"/>
              <w:right w:w="20" w:type="dxa"/>
            </w:tcMar>
            <w:vAlign w:val="bottom"/>
            <w:hideMark/>
          </w:tcPr>
          <w:p w14:paraId="770CFC30" w14:textId="77777777" w:rsidR="00000000" w:rsidRDefault="001D0688">
            <w:pPr>
              <w:rPr>
                <w:rFonts w:eastAsia="Times New Roman"/>
              </w:rPr>
            </w:pPr>
            <w:r>
              <w:rPr>
                <w:rFonts w:ascii="Arial" w:eastAsia="Times New Roman" w:hAnsi="Arial" w:cs="Arial"/>
                <w:b/>
                <w:bCs/>
                <w:color w:val="000000"/>
                <w:sz w:val="20"/>
                <w:szCs w:val="20"/>
              </w:rPr>
              <w:t>Balance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833B02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1F9A59C" w14:textId="77777777" w:rsidR="00000000" w:rsidRDefault="001D0688">
            <w:pPr>
              <w:jc w:val="right"/>
              <w:rPr>
                <w:rFonts w:eastAsia="Times New Roman"/>
              </w:rPr>
            </w:pPr>
            <w:r>
              <w:rPr>
                <w:rFonts w:ascii="Arial" w:eastAsia="Times New Roman" w:hAnsi="Arial" w:cs="Arial"/>
                <w:color w:val="000000"/>
                <w:sz w:val="20"/>
                <w:szCs w:val="20"/>
              </w:rPr>
              <w:t>35.3 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152F23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221533"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4941661"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02B3A56" w14:textId="77777777" w:rsidR="00000000" w:rsidRDefault="001D0688">
            <w:pPr>
              <w:jc w:val="right"/>
              <w:rPr>
                <w:rFonts w:eastAsia="Times New Roman"/>
              </w:rPr>
            </w:pPr>
            <w:r>
              <w:rPr>
                <w:rFonts w:ascii="Arial" w:eastAsia="Times New Roman" w:hAnsi="Arial" w:cs="Arial"/>
                <w:color w:val="000000"/>
                <w:sz w:val="20"/>
                <w:szCs w:val="20"/>
              </w:rPr>
              <w:t>35.8 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69F0C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47B01A"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53BC82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17AAA55" w14:textId="77777777" w:rsidR="00000000" w:rsidRDefault="001D0688">
            <w:pPr>
              <w:jc w:val="right"/>
              <w:rPr>
                <w:rFonts w:eastAsia="Times New Roman"/>
              </w:rPr>
            </w:pPr>
            <w:r>
              <w:rPr>
                <w:rFonts w:ascii="Arial" w:eastAsia="Times New Roman" w:hAnsi="Arial" w:cs="Arial"/>
                <w:color w:val="000000"/>
                <w:sz w:val="20"/>
                <w:szCs w:val="20"/>
              </w:rPr>
              <w:t>53.4 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9E545C4" w14:textId="77777777" w:rsidR="00000000" w:rsidRDefault="001D0688">
            <w:pPr>
              <w:jc w:val="right"/>
              <w:rPr>
                <w:rFonts w:eastAsia="Times New Roman"/>
              </w:rPr>
            </w:pPr>
          </w:p>
        </w:tc>
      </w:tr>
      <w:tr w:rsidR="00000000" w14:paraId="79446CF3" w14:textId="77777777">
        <w:trPr>
          <w:divId w:val="2104256877"/>
        </w:trPr>
        <w:tc>
          <w:tcPr>
            <w:tcW w:w="0" w:type="auto"/>
            <w:gridSpan w:val="3"/>
            <w:tcMar>
              <w:top w:w="30" w:type="dxa"/>
              <w:left w:w="155" w:type="dxa"/>
              <w:bottom w:w="30" w:type="dxa"/>
              <w:right w:w="20" w:type="dxa"/>
            </w:tcMar>
            <w:vAlign w:val="bottom"/>
            <w:hideMark/>
          </w:tcPr>
          <w:p w14:paraId="4B186701" w14:textId="77777777" w:rsidR="00000000" w:rsidRDefault="001D0688">
            <w:pPr>
              <w:rPr>
                <w:rFonts w:eastAsia="Times New Roman"/>
              </w:rPr>
            </w:pPr>
            <w:r>
              <w:rPr>
                <w:rFonts w:ascii="Arial" w:eastAsia="Times New Roman" w:hAnsi="Arial" w:cs="Arial"/>
                <w:color w:val="000000"/>
                <w:sz w:val="20"/>
                <w:szCs w:val="20"/>
              </w:rPr>
              <w:t>Additions for tax positions related to the current year</w:t>
            </w:r>
          </w:p>
        </w:tc>
        <w:tc>
          <w:tcPr>
            <w:tcW w:w="0" w:type="auto"/>
            <w:gridSpan w:val="2"/>
            <w:shd w:val="clear" w:color="auto" w:fill="FFFFFF"/>
            <w:tcMar>
              <w:top w:w="30" w:type="dxa"/>
              <w:left w:w="20" w:type="dxa"/>
              <w:bottom w:w="30" w:type="dxa"/>
              <w:right w:w="0" w:type="dxa"/>
            </w:tcMar>
            <w:vAlign w:val="bottom"/>
            <w:hideMark/>
          </w:tcPr>
          <w:p w14:paraId="023473E6" w14:textId="77777777" w:rsidR="00000000" w:rsidRDefault="001D0688">
            <w:pPr>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14:paraId="314EEC9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61806"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46224"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6915CF4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CB1B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B007D"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194EA609" w14:textId="77777777" w:rsidR="00000000" w:rsidRDefault="001D0688">
            <w:pPr>
              <w:jc w:val="right"/>
              <w:rPr>
                <w:rFonts w:eastAsia="Times New Roman"/>
              </w:rPr>
            </w:pPr>
          </w:p>
        </w:tc>
      </w:tr>
      <w:tr w:rsidR="00000000" w14:paraId="03594CBF" w14:textId="77777777">
        <w:trPr>
          <w:divId w:val="2104256877"/>
        </w:trPr>
        <w:tc>
          <w:tcPr>
            <w:tcW w:w="0" w:type="auto"/>
            <w:gridSpan w:val="3"/>
            <w:shd w:val="clear" w:color="auto" w:fill="DCE2EF"/>
            <w:tcMar>
              <w:top w:w="30" w:type="dxa"/>
              <w:left w:w="155" w:type="dxa"/>
              <w:bottom w:w="30" w:type="dxa"/>
              <w:right w:w="20" w:type="dxa"/>
            </w:tcMar>
            <w:vAlign w:val="bottom"/>
            <w:hideMark/>
          </w:tcPr>
          <w:p w14:paraId="5114A3A2" w14:textId="77777777" w:rsidR="00000000" w:rsidRDefault="001D0688">
            <w:pPr>
              <w:rPr>
                <w:rFonts w:eastAsia="Times New Roman"/>
              </w:rPr>
            </w:pPr>
            <w:r>
              <w:rPr>
                <w:rFonts w:ascii="Arial" w:eastAsia="Times New Roman" w:hAnsi="Arial" w:cs="Arial"/>
                <w:color w:val="000000"/>
                <w:sz w:val="20"/>
                <w:szCs w:val="20"/>
              </w:rPr>
              <w:t>Additions for tax positions related to prior years</w:t>
            </w:r>
          </w:p>
        </w:tc>
        <w:tc>
          <w:tcPr>
            <w:tcW w:w="0" w:type="auto"/>
            <w:gridSpan w:val="2"/>
            <w:shd w:val="clear" w:color="auto" w:fill="DCE2EF"/>
            <w:tcMar>
              <w:top w:w="30" w:type="dxa"/>
              <w:left w:w="20" w:type="dxa"/>
              <w:bottom w:w="30" w:type="dxa"/>
              <w:right w:w="0" w:type="dxa"/>
            </w:tcMar>
            <w:vAlign w:val="bottom"/>
            <w:hideMark/>
          </w:tcPr>
          <w:p w14:paraId="1FD65359" w14:textId="77777777" w:rsidR="00000000" w:rsidRDefault="001D0688">
            <w:pPr>
              <w:jc w:val="right"/>
              <w:rPr>
                <w:rFonts w:eastAsia="Times New Roman"/>
              </w:rPr>
            </w:pPr>
            <w:r>
              <w:rPr>
                <w:rFonts w:ascii="Arial" w:eastAsia="Times New Roman" w:hAnsi="Arial" w:cs="Arial"/>
                <w:color w:val="000000"/>
                <w:sz w:val="20"/>
                <w:szCs w:val="20"/>
              </w:rPr>
              <w:t>1.6 </w:t>
            </w:r>
          </w:p>
        </w:tc>
        <w:tc>
          <w:tcPr>
            <w:tcW w:w="0" w:type="auto"/>
            <w:shd w:val="clear" w:color="auto" w:fill="DCE2EF"/>
            <w:tcMar>
              <w:top w:w="30" w:type="dxa"/>
              <w:left w:w="0" w:type="dxa"/>
              <w:bottom w:w="30" w:type="dxa"/>
              <w:right w:w="20" w:type="dxa"/>
            </w:tcMar>
            <w:vAlign w:val="bottom"/>
            <w:hideMark/>
          </w:tcPr>
          <w:p w14:paraId="7C483A7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9F8162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780E5F" w14:textId="77777777" w:rsidR="00000000" w:rsidRDefault="001D0688">
            <w:pPr>
              <w:jc w:val="right"/>
              <w:rPr>
                <w:rFonts w:eastAsia="Times New Roman"/>
              </w:rPr>
            </w:pPr>
            <w:r>
              <w:rPr>
                <w:rFonts w:ascii="Arial" w:eastAsia="Times New Roman" w:hAnsi="Arial" w:cs="Arial"/>
                <w:color w:val="000000"/>
                <w:sz w:val="20"/>
                <w:szCs w:val="20"/>
              </w:rPr>
              <w:t>3.6 </w:t>
            </w:r>
          </w:p>
        </w:tc>
        <w:tc>
          <w:tcPr>
            <w:tcW w:w="0" w:type="auto"/>
            <w:shd w:val="clear" w:color="auto" w:fill="DCE2EF"/>
            <w:tcMar>
              <w:top w:w="30" w:type="dxa"/>
              <w:left w:w="0" w:type="dxa"/>
              <w:bottom w:w="30" w:type="dxa"/>
              <w:right w:w="20" w:type="dxa"/>
            </w:tcMar>
            <w:vAlign w:val="bottom"/>
            <w:hideMark/>
          </w:tcPr>
          <w:p w14:paraId="41CC31B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9D410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D599AB"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5574F7F5" w14:textId="77777777" w:rsidR="00000000" w:rsidRDefault="001D0688">
            <w:pPr>
              <w:jc w:val="right"/>
              <w:rPr>
                <w:rFonts w:eastAsia="Times New Roman"/>
              </w:rPr>
            </w:pPr>
          </w:p>
        </w:tc>
      </w:tr>
      <w:tr w:rsidR="00000000" w14:paraId="0E4FDD6A" w14:textId="77777777">
        <w:trPr>
          <w:divId w:val="2104256877"/>
        </w:trPr>
        <w:tc>
          <w:tcPr>
            <w:tcW w:w="0" w:type="auto"/>
            <w:gridSpan w:val="3"/>
            <w:tcMar>
              <w:top w:w="30" w:type="dxa"/>
              <w:left w:w="155" w:type="dxa"/>
              <w:bottom w:w="30" w:type="dxa"/>
              <w:right w:w="20" w:type="dxa"/>
            </w:tcMar>
            <w:vAlign w:val="bottom"/>
            <w:hideMark/>
          </w:tcPr>
          <w:p w14:paraId="13E1ED97" w14:textId="77777777" w:rsidR="00000000" w:rsidRDefault="001D0688">
            <w:pPr>
              <w:rPr>
                <w:rFonts w:eastAsia="Times New Roman"/>
              </w:rPr>
            </w:pPr>
            <w:r>
              <w:rPr>
                <w:rFonts w:ascii="Arial" w:eastAsia="Times New Roman" w:hAnsi="Arial" w:cs="Arial"/>
                <w:color w:val="000000"/>
                <w:sz w:val="20"/>
                <w:szCs w:val="20"/>
              </w:rPr>
              <w:t>Reductions for tax positions related to prior years</w:t>
            </w:r>
          </w:p>
        </w:tc>
        <w:tc>
          <w:tcPr>
            <w:tcW w:w="0" w:type="auto"/>
            <w:gridSpan w:val="2"/>
            <w:shd w:val="clear" w:color="auto" w:fill="FFFFFF"/>
            <w:tcMar>
              <w:top w:w="30" w:type="dxa"/>
              <w:left w:w="20" w:type="dxa"/>
              <w:bottom w:w="30" w:type="dxa"/>
              <w:right w:w="0" w:type="dxa"/>
            </w:tcMar>
            <w:vAlign w:val="bottom"/>
            <w:hideMark/>
          </w:tcPr>
          <w:p w14:paraId="5D648827"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4C8394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93A7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54EEED"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595ED21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D931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F0CD0C" w14:textId="77777777" w:rsidR="00000000" w:rsidRDefault="001D0688">
            <w:pPr>
              <w:jc w:val="right"/>
              <w:rPr>
                <w:rFonts w:eastAsia="Times New Roman"/>
              </w:rPr>
            </w:pPr>
            <w:r>
              <w:rPr>
                <w:rFonts w:ascii="Arial" w:eastAsia="Times New Roman" w:hAnsi="Arial" w:cs="Arial"/>
                <w:color w:val="000000"/>
                <w:sz w:val="20"/>
                <w:szCs w:val="20"/>
              </w:rPr>
              <w:t>(9.0)</w:t>
            </w:r>
          </w:p>
        </w:tc>
        <w:tc>
          <w:tcPr>
            <w:tcW w:w="0" w:type="auto"/>
            <w:shd w:val="clear" w:color="auto" w:fill="FFFFFF"/>
            <w:tcMar>
              <w:top w:w="30" w:type="dxa"/>
              <w:left w:w="0" w:type="dxa"/>
              <w:bottom w:w="30" w:type="dxa"/>
              <w:right w:w="20" w:type="dxa"/>
            </w:tcMar>
            <w:vAlign w:val="bottom"/>
            <w:hideMark/>
          </w:tcPr>
          <w:p w14:paraId="46F70A38" w14:textId="77777777" w:rsidR="00000000" w:rsidRDefault="001D0688">
            <w:pPr>
              <w:jc w:val="right"/>
              <w:rPr>
                <w:rFonts w:eastAsia="Times New Roman"/>
              </w:rPr>
            </w:pPr>
          </w:p>
        </w:tc>
      </w:tr>
      <w:tr w:rsidR="00000000" w14:paraId="0C360C16" w14:textId="77777777">
        <w:trPr>
          <w:divId w:val="2104256877"/>
        </w:trPr>
        <w:tc>
          <w:tcPr>
            <w:tcW w:w="0" w:type="auto"/>
            <w:gridSpan w:val="3"/>
            <w:shd w:val="clear" w:color="auto" w:fill="DCE2EF"/>
            <w:tcMar>
              <w:top w:w="30" w:type="dxa"/>
              <w:left w:w="155" w:type="dxa"/>
              <w:bottom w:w="30" w:type="dxa"/>
              <w:right w:w="20" w:type="dxa"/>
            </w:tcMar>
            <w:vAlign w:val="bottom"/>
            <w:hideMark/>
          </w:tcPr>
          <w:p w14:paraId="28EDE188" w14:textId="77777777" w:rsidR="00000000" w:rsidRDefault="001D0688">
            <w:pPr>
              <w:rPr>
                <w:rFonts w:eastAsia="Times New Roman"/>
              </w:rPr>
            </w:pPr>
            <w:r>
              <w:rPr>
                <w:rFonts w:ascii="Arial" w:eastAsia="Times New Roman" w:hAnsi="Arial" w:cs="Arial"/>
                <w:color w:val="000000"/>
                <w:sz w:val="20"/>
                <w:szCs w:val="20"/>
              </w:rPr>
              <w:t>Reductions for lapse of statute of limitations</w:t>
            </w:r>
          </w:p>
        </w:tc>
        <w:tc>
          <w:tcPr>
            <w:tcW w:w="0" w:type="auto"/>
            <w:gridSpan w:val="2"/>
            <w:shd w:val="clear" w:color="auto" w:fill="DCE2EF"/>
            <w:tcMar>
              <w:top w:w="30" w:type="dxa"/>
              <w:left w:w="20" w:type="dxa"/>
              <w:bottom w:w="30" w:type="dxa"/>
              <w:right w:w="0" w:type="dxa"/>
            </w:tcMar>
            <w:vAlign w:val="bottom"/>
            <w:hideMark/>
          </w:tcPr>
          <w:p w14:paraId="48F1F6D2" w14:textId="77777777" w:rsidR="00000000" w:rsidRDefault="001D0688">
            <w:pPr>
              <w:jc w:val="right"/>
              <w:rPr>
                <w:rFonts w:eastAsia="Times New Roman"/>
              </w:rPr>
            </w:pPr>
            <w:r>
              <w:rPr>
                <w:rFonts w:ascii="Arial" w:eastAsia="Times New Roman" w:hAnsi="Arial" w:cs="Arial"/>
                <w:color w:val="000000"/>
                <w:sz w:val="20"/>
                <w:szCs w:val="20"/>
              </w:rPr>
              <w:t>(3.0)</w:t>
            </w:r>
          </w:p>
        </w:tc>
        <w:tc>
          <w:tcPr>
            <w:tcW w:w="0" w:type="auto"/>
            <w:shd w:val="clear" w:color="auto" w:fill="DCE2EF"/>
            <w:tcMar>
              <w:top w:w="30" w:type="dxa"/>
              <w:left w:w="0" w:type="dxa"/>
              <w:bottom w:w="30" w:type="dxa"/>
              <w:right w:w="20" w:type="dxa"/>
            </w:tcMar>
            <w:vAlign w:val="bottom"/>
            <w:hideMark/>
          </w:tcPr>
          <w:p w14:paraId="0596BD0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DE1D6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E1B58FB" w14:textId="77777777" w:rsidR="00000000" w:rsidRDefault="001D0688">
            <w:pPr>
              <w:jc w:val="right"/>
              <w:rPr>
                <w:rFonts w:eastAsia="Times New Roman"/>
              </w:rPr>
            </w:pPr>
            <w:r>
              <w:rPr>
                <w:rFonts w:ascii="Arial" w:eastAsia="Times New Roman" w:hAnsi="Arial" w:cs="Arial"/>
                <w:color w:val="000000"/>
                <w:sz w:val="20"/>
                <w:szCs w:val="20"/>
              </w:rPr>
              <w:t>(3.9)</w:t>
            </w:r>
          </w:p>
        </w:tc>
        <w:tc>
          <w:tcPr>
            <w:tcW w:w="0" w:type="auto"/>
            <w:shd w:val="clear" w:color="auto" w:fill="DCE2EF"/>
            <w:tcMar>
              <w:top w:w="30" w:type="dxa"/>
              <w:left w:w="0" w:type="dxa"/>
              <w:bottom w:w="30" w:type="dxa"/>
              <w:right w:w="20" w:type="dxa"/>
            </w:tcMar>
            <w:vAlign w:val="bottom"/>
            <w:hideMark/>
          </w:tcPr>
          <w:p w14:paraId="1A31572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E82B1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2CAABC2" w14:textId="77777777" w:rsidR="00000000" w:rsidRDefault="001D0688">
            <w:pPr>
              <w:jc w:val="right"/>
              <w:rPr>
                <w:rFonts w:eastAsia="Times New Roman"/>
              </w:rPr>
            </w:pPr>
            <w:r>
              <w:rPr>
                <w:rFonts w:ascii="Arial" w:eastAsia="Times New Roman" w:hAnsi="Arial" w:cs="Arial"/>
                <w:color w:val="000000"/>
                <w:sz w:val="20"/>
                <w:szCs w:val="20"/>
              </w:rPr>
              <w:t>(8.7)</w:t>
            </w:r>
          </w:p>
        </w:tc>
        <w:tc>
          <w:tcPr>
            <w:tcW w:w="0" w:type="auto"/>
            <w:shd w:val="clear" w:color="auto" w:fill="DCE2EF"/>
            <w:tcMar>
              <w:top w:w="30" w:type="dxa"/>
              <w:left w:w="0" w:type="dxa"/>
              <w:bottom w:w="30" w:type="dxa"/>
              <w:right w:w="20" w:type="dxa"/>
            </w:tcMar>
            <w:vAlign w:val="bottom"/>
            <w:hideMark/>
          </w:tcPr>
          <w:p w14:paraId="642C228B" w14:textId="77777777" w:rsidR="00000000" w:rsidRDefault="001D0688">
            <w:pPr>
              <w:jc w:val="right"/>
              <w:rPr>
                <w:rFonts w:eastAsia="Times New Roman"/>
              </w:rPr>
            </w:pPr>
          </w:p>
        </w:tc>
      </w:tr>
      <w:tr w:rsidR="00000000" w14:paraId="411A0A9F" w14:textId="77777777">
        <w:trPr>
          <w:divId w:val="2104256877"/>
        </w:trPr>
        <w:tc>
          <w:tcPr>
            <w:tcW w:w="0" w:type="auto"/>
            <w:gridSpan w:val="3"/>
            <w:tcMar>
              <w:top w:w="30" w:type="dxa"/>
              <w:left w:w="155" w:type="dxa"/>
              <w:bottom w:w="30" w:type="dxa"/>
              <w:right w:w="20" w:type="dxa"/>
            </w:tcMar>
            <w:vAlign w:val="bottom"/>
            <w:hideMark/>
          </w:tcPr>
          <w:p w14:paraId="107A5673" w14:textId="77777777" w:rsidR="00000000" w:rsidRDefault="001D0688">
            <w:pPr>
              <w:rPr>
                <w:rFonts w:eastAsia="Times New Roman"/>
              </w:rPr>
            </w:pPr>
            <w:r>
              <w:rPr>
                <w:rFonts w:ascii="Arial" w:eastAsia="Times New Roman" w:hAnsi="Arial" w:cs="Arial"/>
                <w:color w:val="000000"/>
                <w:sz w:val="20"/>
                <w:szCs w:val="20"/>
              </w:rPr>
              <w:t>Settlements</w:t>
            </w:r>
          </w:p>
        </w:tc>
        <w:tc>
          <w:tcPr>
            <w:tcW w:w="0" w:type="auto"/>
            <w:gridSpan w:val="2"/>
            <w:shd w:val="clear" w:color="auto" w:fill="FFFFFF"/>
            <w:tcMar>
              <w:top w:w="30" w:type="dxa"/>
              <w:left w:w="20" w:type="dxa"/>
              <w:bottom w:w="30" w:type="dxa"/>
              <w:right w:w="0" w:type="dxa"/>
            </w:tcMar>
            <w:vAlign w:val="bottom"/>
            <w:hideMark/>
          </w:tcPr>
          <w:p w14:paraId="405344EE" w14:textId="77777777" w:rsidR="00000000" w:rsidRDefault="001D0688">
            <w:pPr>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14:paraId="55883F6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5C75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DE5F1" w14:textId="77777777" w:rsidR="00000000" w:rsidRDefault="001D0688">
            <w:pPr>
              <w:jc w:val="right"/>
              <w:rPr>
                <w:rFonts w:eastAsia="Times New Roman"/>
              </w:rPr>
            </w:pPr>
            <w:r>
              <w:rPr>
                <w:rFonts w:ascii="Arial" w:eastAsia="Times New Roman" w:hAnsi="Arial" w:cs="Arial"/>
                <w:color w:val="000000"/>
                <w:sz w:val="20"/>
                <w:szCs w:val="20"/>
              </w:rPr>
              <w:t>(0.3)</w:t>
            </w:r>
          </w:p>
        </w:tc>
        <w:tc>
          <w:tcPr>
            <w:tcW w:w="0" w:type="auto"/>
            <w:shd w:val="clear" w:color="auto" w:fill="FFFFFF"/>
            <w:tcMar>
              <w:top w:w="30" w:type="dxa"/>
              <w:left w:w="0" w:type="dxa"/>
              <w:bottom w:w="30" w:type="dxa"/>
              <w:right w:w="20" w:type="dxa"/>
            </w:tcMar>
            <w:vAlign w:val="bottom"/>
            <w:hideMark/>
          </w:tcPr>
          <w:p w14:paraId="2A9B405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12CB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C5446"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6AD9D054" w14:textId="77777777" w:rsidR="00000000" w:rsidRDefault="001D0688">
            <w:pPr>
              <w:jc w:val="right"/>
              <w:rPr>
                <w:rFonts w:eastAsia="Times New Roman"/>
              </w:rPr>
            </w:pPr>
          </w:p>
        </w:tc>
      </w:tr>
      <w:tr w:rsidR="00000000" w14:paraId="06A345CC" w14:textId="77777777">
        <w:trPr>
          <w:divId w:val="2104256877"/>
        </w:trPr>
        <w:tc>
          <w:tcPr>
            <w:tcW w:w="0" w:type="auto"/>
            <w:gridSpan w:val="3"/>
            <w:shd w:val="clear" w:color="auto" w:fill="DCE2EF"/>
            <w:tcMar>
              <w:top w:w="30" w:type="dxa"/>
              <w:left w:w="20" w:type="dxa"/>
              <w:bottom w:w="30" w:type="dxa"/>
              <w:right w:w="20" w:type="dxa"/>
            </w:tcMar>
            <w:vAlign w:val="bottom"/>
            <w:hideMark/>
          </w:tcPr>
          <w:p w14:paraId="1F164304" w14:textId="77777777" w:rsidR="00000000" w:rsidRDefault="001D0688">
            <w:pPr>
              <w:rPr>
                <w:rFonts w:eastAsia="Times New Roman"/>
              </w:rPr>
            </w:pPr>
            <w:r>
              <w:rPr>
                <w:rFonts w:ascii="Arial" w:eastAsia="Times New Roman" w:hAnsi="Arial" w:cs="Arial"/>
                <w:b/>
                <w:bCs/>
                <w:color w:val="000000"/>
                <w:sz w:val="20"/>
                <w:szCs w:val="20"/>
              </w:rPr>
              <w:t>Balance at end of year</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415AE58"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3ECE4128" w14:textId="77777777" w:rsidR="00000000" w:rsidRDefault="001D0688">
            <w:pPr>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09A6778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44EB6F"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908D64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311D457" w14:textId="77777777" w:rsidR="00000000" w:rsidRDefault="001D0688">
            <w:pPr>
              <w:jc w:val="right"/>
              <w:rPr>
                <w:rFonts w:eastAsia="Times New Roman"/>
              </w:rPr>
            </w:pPr>
            <w:r>
              <w:rPr>
                <w:rFonts w:ascii="Arial" w:eastAsia="Times New Roman" w:hAnsi="Arial" w:cs="Arial"/>
                <w:color w:val="000000"/>
                <w:sz w:val="20"/>
                <w:szCs w:val="20"/>
              </w:rPr>
              <w:t>35.3 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E0BBFF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CFF63E"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C26731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A1995D6" w14:textId="77777777" w:rsidR="00000000" w:rsidRDefault="001D0688">
            <w:pPr>
              <w:jc w:val="right"/>
              <w:rPr>
                <w:rFonts w:eastAsia="Times New Roman"/>
              </w:rPr>
            </w:pPr>
            <w:r>
              <w:rPr>
                <w:rFonts w:ascii="Arial" w:eastAsia="Times New Roman" w:hAnsi="Arial" w:cs="Arial"/>
                <w:color w:val="000000"/>
                <w:sz w:val="20"/>
                <w:szCs w:val="20"/>
              </w:rPr>
              <w:t>35.8 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2962F58" w14:textId="77777777" w:rsidR="00000000" w:rsidRDefault="001D0688">
            <w:pPr>
              <w:jc w:val="right"/>
              <w:rPr>
                <w:rFonts w:eastAsia="Times New Roman"/>
              </w:rPr>
            </w:pPr>
          </w:p>
        </w:tc>
      </w:tr>
    </w:tbl>
    <w:p w14:paraId="40B95C48" w14:textId="77777777" w:rsidR="00000000" w:rsidRDefault="001D0688">
      <w:pPr>
        <w:jc w:val="both"/>
        <w:rPr>
          <w:rFonts w:eastAsia="Times New Roman"/>
        </w:rPr>
      </w:pPr>
      <w:r>
        <w:rPr>
          <w:rFonts w:ascii="Arial" w:eastAsia="Times New Roman" w:hAnsi="Arial" w:cs="Arial"/>
          <w:b/>
          <w:bCs/>
          <w:color w:val="0046AD"/>
          <w:sz w:val="20"/>
          <w:szCs w:val="20"/>
        </w:rPr>
        <w:t xml:space="preserve">Jurisdictions </w:t>
      </w:r>
    </w:p>
    <w:p w14:paraId="22160056" w14:textId="77777777" w:rsidR="00000000" w:rsidRDefault="001D0688">
      <w:pPr>
        <w:ind w:firstLine="720"/>
        <w:jc w:val="both"/>
        <w:divId w:val="459610270"/>
        <w:rPr>
          <w:rFonts w:eastAsia="Times New Roman"/>
        </w:rPr>
      </w:pPr>
      <w:r>
        <w:rPr>
          <w:rFonts w:ascii="Arial" w:eastAsia="Times New Roman" w:hAnsi="Arial" w:cs="Arial"/>
          <w:color w:val="000000"/>
          <w:sz w:val="20"/>
          <w:szCs w:val="20"/>
        </w:rPr>
        <w:t xml:space="preserve">We conduct business in all 50 </w:t>
      </w:r>
      <w:r>
        <w:rPr>
          <w:rFonts w:ascii="Arial" w:eastAsia="Times New Roman" w:hAnsi="Arial" w:cs="Arial"/>
          <w:color w:val="000000"/>
          <w:sz w:val="20"/>
          <w:szCs w:val="20"/>
        </w:rPr>
        <w:t>states, significantly in California, Texas, and New York, as well as in various foreign jurisdictions. Our most significant income tax jurisdiction is the United States. Due to expired statutes and closed audits, our federal income tax returns for years pr</w:t>
      </w:r>
      <w:r>
        <w:rPr>
          <w:rFonts w:ascii="Arial" w:eastAsia="Times New Roman" w:hAnsi="Arial" w:cs="Arial"/>
          <w:color w:val="000000"/>
          <w:sz w:val="20"/>
          <w:szCs w:val="20"/>
        </w:rPr>
        <w:t>ior to fiscal 2016 are no longer subject to examination by the U.S. Internal Revenue Service. Generally, for the majority of state and foreign jurisdictions where we do business, periods prior to fiscal 2016 are no longer subject to examination. We are cur</w:t>
      </w:r>
      <w:r>
        <w:rPr>
          <w:rFonts w:ascii="Arial" w:eastAsia="Times New Roman" w:hAnsi="Arial" w:cs="Arial"/>
          <w:color w:val="000000"/>
          <w:sz w:val="20"/>
          <w:szCs w:val="20"/>
        </w:rPr>
        <w:t>rently being examined by the IRS and tax authorities of California, New York City, and Wisconsin.</w:t>
      </w:r>
    </w:p>
    <w:p w14:paraId="4117B657" w14:textId="77777777" w:rsidR="00000000" w:rsidRDefault="001D0688">
      <w:pPr>
        <w:jc w:val="center"/>
        <w:divId w:val="2083865736"/>
        <w:rPr>
          <w:rFonts w:eastAsia="Times New Roman"/>
        </w:rPr>
      </w:pPr>
      <w:r>
        <w:rPr>
          <w:rFonts w:ascii="Arial" w:eastAsia="Times New Roman" w:hAnsi="Arial" w:cs="Arial"/>
          <w:color w:val="000000"/>
          <w:sz w:val="20"/>
          <w:szCs w:val="20"/>
        </w:rPr>
        <w:t>93</w:t>
      </w:r>
    </w:p>
    <w:p w14:paraId="45BAEBF1" w14:textId="77777777" w:rsidR="00000000" w:rsidRDefault="001D0688">
      <w:pPr>
        <w:rPr>
          <w:rFonts w:eastAsia="Times New Roman"/>
        </w:rPr>
      </w:pPr>
      <w:r>
        <w:rPr>
          <w:rFonts w:eastAsia="Times New Roman"/>
        </w:rPr>
        <w:pict w14:anchorId="746D68A0">
          <v:rect id="_x0000_i1130" style="width:0;height:1.5pt" o:hralign="center" o:hrstd="t" o:hr="t" fillcolor="#a0a0a0" stroked="f"/>
        </w:pict>
      </w:r>
    </w:p>
    <w:p w14:paraId="2EFA4934" w14:textId="77777777" w:rsidR="00000000" w:rsidRDefault="001D0688">
      <w:pPr>
        <w:divId w:val="372538887"/>
        <w:rPr>
          <w:rFonts w:eastAsia="Times New Roman"/>
        </w:rPr>
      </w:pPr>
    </w:p>
    <w:p w14:paraId="52D722C3" w14:textId="77777777" w:rsidR="00000000" w:rsidRDefault="001D0688">
      <w:pPr>
        <w:divId w:val="1074089873"/>
        <w:rPr>
          <w:rFonts w:eastAsia="Times New Roman"/>
        </w:rPr>
      </w:pPr>
      <w:r>
        <w:rPr>
          <w:rFonts w:ascii="Arial" w:eastAsia="Times New Roman" w:hAnsi="Arial" w:cs="Arial"/>
          <w:b/>
          <w:bCs/>
          <w:color w:val="0046AD"/>
          <w:sz w:val="20"/>
          <w:szCs w:val="20"/>
        </w:rPr>
        <w:t>17. SEGMENT AND GEOGRAPHIC INFORMATION</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14:paraId="1A91CD1A" w14:textId="77777777">
        <w:trPr>
          <w:divId w:val="1489663313"/>
        </w:trPr>
        <w:tc>
          <w:tcPr>
            <w:tcW w:w="5" w:type="pct"/>
            <w:vAlign w:val="center"/>
            <w:hideMark/>
          </w:tcPr>
          <w:p w14:paraId="225D68A3" w14:textId="77777777" w:rsidR="00000000" w:rsidRDefault="001D0688">
            <w:pPr>
              <w:rPr>
                <w:rFonts w:eastAsia="Times New Roman"/>
              </w:rPr>
            </w:pPr>
          </w:p>
        </w:tc>
        <w:tc>
          <w:tcPr>
            <w:tcW w:w="129" w:type="pct"/>
            <w:vAlign w:val="center"/>
            <w:hideMark/>
          </w:tcPr>
          <w:p w14:paraId="7483E7DD" w14:textId="77777777" w:rsidR="00000000" w:rsidRDefault="001D0688">
            <w:pPr>
              <w:rPr>
                <w:rFonts w:eastAsia="Times New Roman"/>
                <w:sz w:val="20"/>
                <w:szCs w:val="20"/>
              </w:rPr>
            </w:pPr>
          </w:p>
        </w:tc>
        <w:tc>
          <w:tcPr>
            <w:tcW w:w="5" w:type="pct"/>
            <w:vAlign w:val="center"/>
            <w:hideMark/>
          </w:tcPr>
          <w:p w14:paraId="03630166" w14:textId="77777777" w:rsidR="00000000" w:rsidRDefault="001D0688">
            <w:pPr>
              <w:rPr>
                <w:rFonts w:eastAsia="Times New Roman"/>
                <w:sz w:val="20"/>
                <w:szCs w:val="20"/>
              </w:rPr>
            </w:pPr>
          </w:p>
        </w:tc>
        <w:tc>
          <w:tcPr>
            <w:tcW w:w="50" w:type="pct"/>
            <w:vAlign w:val="center"/>
            <w:hideMark/>
          </w:tcPr>
          <w:p w14:paraId="08396021" w14:textId="77777777" w:rsidR="00000000" w:rsidRDefault="001D0688">
            <w:pPr>
              <w:rPr>
                <w:rFonts w:eastAsia="Times New Roman"/>
                <w:sz w:val="20"/>
                <w:szCs w:val="20"/>
              </w:rPr>
            </w:pPr>
          </w:p>
        </w:tc>
        <w:tc>
          <w:tcPr>
            <w:tcW w:w="4805" w:type="pct"/>
            <w:vAlign w:val="center"/>
            <w:hideMark/>
          </w:tcPr>
          <w:p w14:paraId="1C297CB3" w14:textId="77777777" w:rsidR="00000000" w:rsidRDefault="001D0688">
            <w:pPr>
              <w:rPr>
                <w:rFonts w:eastAsia="Times New Roman"/>
                <w:sz w:val="20"/>
                <w:szCs w:val="20"/>
              </w:rPr>
            </w:pPr>
          </w:p>
        </w:tc>
        <w:tc>
          <w:tcPr>
            <w:tcW w:w="5" w:type="pct"/>
            <w:vAlign w:val="center"/>
            <w:hideMark/>
          </w:tcPr>
          <w:p w14:paraId="7EA1A708" w14:textId="77777777" w:rsidR="00000000" w:rsidRDefault="001D0688">
            <w:pPr>
              <w:rPr>
                <w:rFonts w:eastAsia="Times New Roman"/>
                <w:sz w:val="20"/>
                <w:szCs w:val="20"/>
              </w:rPr>
            </w:pPr>
          </w:p>
        </w:tc>
      </w:tr>
      <w:tr w:rsidR="00000000" w14:paraId="44F5541E" w14:textId="77777777">
        <w:trPr>
          <w:divId w:val="1489663313"/>
          <w:trHeight w:val="60"/>
        </w:trPr>
        <w:tc>
          <w:tcPr>
            <w:tcW w:w="0" w:type="auto"/>
            <w:gridSpan w:val="3"/>
            <w:tcBorders>
              <w:top w:val="single" w:sz="8" w:space="0" w:color="E98300"/>
            </w:tcBorders>
            <w:tcMar>
              <w:top w:w="0" w:type="dxa"/>
              <w:left w:w="20" w:type="dxa"/>
              <w:bottom w:w="0" w:type="dxa"/>
              <w:right w:w="20" w:type="dxa"/>
            </w:tcMar>
            <w:vAlign w:val="center"/>
            <w:hideMark/>
          </w:tcPr>
          <w:p w14:paraId="66762733"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5DCAB7AD" w14:textId="77777777" w:rsidR="00000000" w:rsidRDefault="001D0688">
            <w:pPr>
              <w:rPr>
                <w:rFonts w:eastAsia="Times New Roman"/>
                <w:sz w:val="20"/>
                <w:szCs w:val="20"/>
              </w:rPr>
            </w:pPr>
          </w:p>
        </w:tc>
      </w:tr>
    </w:tbl>
    <w:p w14:paraId="12A8EECC" w14:textId="77777777" w:rsidR="00000000" w:rsidRDefault="001D0688">
      <w:pPr>
        <w:divId w:val="1142847963"/>
        <w:rPr>
          <w:rFonts w:eastAsia="Times New Roman"/>
        </w:rPr>
      </w:pPr>
      <w:r>
        <w:rPr>
          <w:rFonts w:ascii="Arial" w:eastAsia="Times New Roman" w:hAnsi="Arial" w:cs="Arial"/>
          <w:b/>
          <w:bCs/>
          <w:color w:val="0046AD"/>
          <w:sz w:val="20"/>
          <w:szCs w:val="20"/>
        </w:rPr>
        <w:t>Segment Information</w:t>
      </w:r>
    </w:p>
    <w:p w14:paraId="75DDD129" w14:textId="77777777" w:rsidR="00000000" w:rsidRDefault="001D0688">
      <w:pPr>
        <w:ind w:firstLine="720"/>
        <w:jc w:val="both"/>
        <w:divId w:val="1978677764"/>
        <w:rPr>
          <w:rFonts w:eastAsia="Times New Roman"/>
        </w:rPr>
      </w:pPr>
      <w:r>
        <w:rPr>
          <w:rFonts w:ascii="Arial" w:eastAsia="Times New Roman" w:hAnsi="Arial" w:cs="Arial"/>
          <w:color w:val="000000"/>
          <w:sz w:val="20"/>
          <w:szCs w:val="20"/>
        </w:rPr>
        <w:t xml:space="preserve">Our current reportable segments consist of B&amp;I, T&amp;M, Education, Aviation, and Technical Solutions, as further described below.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2322"/>
        <w:gridCol w:w="38"/>
        <w:gridCol w:w="68"/>
        <w:gridCol w:w="5759"/>
        <w:gridCol w:w="38"/>
      </w:tblGrid>
      <w:tr w:rsidR="00000000" w14:paraId="4572EA61" w14:textId="77777777">
        <w:trPr>
          <w:divId w:val="1955015550"/>
          <w:jc w:val="center"/>
        </w:trPr>
        <w:tc>
          <w:tcPr>
            <w:tcW w:w="50" w:type="pct"/>
            <w:vAlign w:val="center"/>
            <w:hideMark/>
          </w:tcPr>
          <w:p w14:paraId="59AE15EB" w14:textId="77777777" w:rsidR="00000000" w:rsidRDefault="001D0688">
            <w:pPr>
              <w:ind w:firstLine="720"/>
              <w:jc w:val="both"/>
              <w:rPr>
                <w:rFonts w:eastAsia="Times New Roman"/>
              </w:rPr>
            </w:pPr>
          </w:p>
        </w:tc>
        <w:tc>
          <w:tcPr>
            <w:tcW w:w="1409" w:type="pct"/>
            <w:vAlign w:val="center"/>
            <w:hideMark/>
          </w:tcPr>
          <w:p w14:paraId="068BB450" w14:textId="77777777" w:rsidR="00000000" w:rsidRDefault="001D0688">
            <w:pPr>
              <w:rPr>
                <w:rFonts w:eastAsia="Times New Roman"/>
                <w:sz w:val="20"/>
                <w:szCs w:val="20"/>
              </w:rPr>
            </w:pPr>
          </w:p>
        </w:tc>
        <w:tc>
          <w:tcPr>
            <w:tcW w:w="5" w:type="pct"/>
            <w:vAlign w:val="center"/>
            <w:hideMark/>
          </w:tcPr>
          <w:p w14:paraId="38910FAB" w14:textId="77777777" w:rsidR="00000000" w:rsidRDefault="001D0688">
            <w:pPr>
              <w:rPr>
                <w:rFonts w:eastAsia="Times New Roman"/>
                <w:sz w:val="20"/>
                <w:szCs w:val="20"/>
              </w:rPr>
            </w:pPr>
          </w:p>
        </w:tc>
        <w:tc>
          <w:tcPr>
            <w:tcW w:w="50" w:type="pct"/>
            <w:vAlign w:val="center"/>
            <w:hideMark/>
          </w:tcPr>
          <w:p w14:paraId="3012EC36" w14:textId="77777777" w:rsidR="00000000" w:rsidRDefault="001D0688">
            <w:pPr>
              <w:rPr>
                <w:rFonts w:eastAsia="Times New Roman"/>
                <w:sz w:val="20"/>
                <w:szCs w:val="20"/>
              </w:rPr>
            </w:pPr>
          </w:p>
        </w:tc>
        <w:tc>
          <w:tcPr>
            <w:tcW w:w="3480" w:type="pct"/>
            <w:vAlign w:val="center"/>
            <w:hideMark/>
          </w:tcPr>
          <w:p w14:paraId="60FCAC55" w14:textId="77777777" w:rsidR="00000000" w:rsidRDefault="001D0688">
            <w:pPr>
              <w:rPr>
                <w:rFonts w:eastAsia="Times New Roman"/>
                <w:sz w:val="20"/>
                <w:szCs w:val="20"/>
              </w:rPr>
            </w:pPr>
          </w:p>
        </w:tc>
        <w:tc>
          <w:tcPr>
            <w:tcW w:w="5" w:type="pct"/>
            <w:vAlign w:val="center"/>
            <w:hideMark/>
          </w:tcPr>
          <w:p w14:paraId="586C151D" w14:textId="77777777" w:rsidR="00000000" w:rsidRDefault="001D0688">
            <w:pPr>
              <w:rPr>
                <w:rFonts w:eastAsia="Times New Roman"/>
                <w:sz w:val="20"/>
                <w:szCs w:val="20"/>
              </w:rPr>
            </w:pPr>
          </w:p>
        </w:tc>
      </w:tr>
      <w:tr w:rsidR="00000000" w14:paraId="761B5FAE" w14:textId="77777777">
        <w:trPr>
          <w:divId w:val="1955015550"/>
          <w:jc w:val="center"/>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649653D8" w14:textId="77777777" w:rsidR="00000000" w:rsidRDefault="001D0688">
            <w:pPr>
              <w:jc w:val="center"/>
              <w:rPr>
                <w:rFonts w:eastAsia="Times New Roman"/>
              </w:rPr>
            </w:pPr>
            <w:r>
              <w:rPr>
                <w:rFonts w:ascii="Arial" w:eastAsia="Times New Roman" w:hAnsi="Arial" w:cs="Arial"/>
                <w:b/>
                <w:bCs/>
                <w:color w:val="0046AD"/>
                <w:sz w:val="20"/>
                <w:szCs w:val="20"/>
              </w:rPr>
              <w:t> REPORTABLE SEGMENTS AND DESCRIPTIONS</w:t>
            </w:r>
          </w:p>
        </w:tc>
      </w:tr>
      <w:tr w:rsidR="00000000" w14:paraId="59C94107" w14:textId="77777777">
        <w:trPr>
          <w:divId w:val="1955015550"/>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13328ABA" w14:textId="77777777" w:rsidR="00000000" w:rsidRDefault="001D0688">
            <w:pPr>
              <w:jc w:val="center"/>
              <w:rPr>
                <w:rFonts w:eastAsia="Times New Roman"/>
              </w:rPr>
            </w:pPr>
            <w:r>
              <w:rPr>
                <w:rFonts w:ascii="Arial" w:eastAsia="Times New Roman" w:hAnsi="Arial" w:cs="Arial"/>
                <w:color w:val="000000"/>
                <w:sz w:val="20"/>
                <w:szCs w:val="20"/>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500C66F" w14:textId="77777777" w:rsidR="00000000" w:rsidRDefault="001D0688">
            <w:pPr>
              <w:jc w:val="both"/>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our largest reportable segment, encompasses janitorial, facilities services, and parking services for commercial real estate properties, sports and entertainment venues, and traditional hospitals and non-acute healthcare facilities. B&amp;I also provides ve</w:t>
            </w:r>
            <w:r>
              <w:rPr>
                <w:rFonts w:ascii="Arial" w:eastAsia="Times New Roman" w:hAnsi="Arial" w:cs="Arial"/>
                <w:color w:val="000000"/>
                <w:sz w:val="20"/>
                <w:szCs w:val="20"/>
              </w:rPr>
              <w:t>hicle maintenance and other services to rental car providers.</w:t>
            </w:r>
          </w:p>
        </w:tc>
      </w:tr>
      <w:tr w:rsidR="00000000" w14:paraId="58031F1A" w14:textId="77777777">
        <w:trPr>
          <w:divId w:val="1955015550"/>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18D085EF" w14:textId="77777777" w:rsidR="00000000" w:rsidRDefault="001D0688">
            <w:pPr>
              <w:jc w:val="center"/>
              <w:rPr>
                <w:rFonts w:eastAsia="Times New Roman"/>
              </w:rPr>
            </w:pPr>
            <w:r>
              <w:rPr>
                <w:rFonts w:ascii="Arial" w:eastAsia="Times New Roman" w:hAnsi="Arial" w:cs="Arial"/>
                <w:color w:val="000000"/>
                <w:sz w:val="20"/>
                <w:szCs w:val="20"/>
              </w:rPr>
              <w:t>T&amp;M</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2AED3E1" w14:textId="77777777" w:rsidR="00000000" w:rsidRDefault="001D0688">
            <w:pPr>
              <w:jc w:val="both"/>
              <w:divId w:val="1127622804"/>
              <w:rPr>
                <w:rFonts w:eastAsia="Times New Roman"/>
              </w:rPr>
            </w:pPr>
            <w:r>
              <w:rPr>
                <w:rFonts w:ascii="Arial" w:eastAsia="Times New Roman" w:hAnsi="Arial" w:cs="Arial"/>
                <w:color w:val="000000"/>
                <w:sz w:val="20"/>
                <w:szCs w:val="20"/>
              </w:rPr>
              <w:t>T&amp;M provides janitorial, facilities services, and parking services to industrial and high-tech manufacturing facilities.</w:t>
            </w:r>
          </w:p>
        </w:tc>
      </w:tr>
      <w:tr w:rsidR="00000000" w14:paraId="4312718D" w14:textId="77777777">
        <w:trPr>
          <w:divId w:val="1955015550"/>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0ACD0369" w14:textId="77777777" w:rsidR="00000000" w:rsidRDefault="001D0688">
            <w:pPr>
              <w:jc w:val="center"/>
              <w:rPr>
                <w:rFonts w:eastAsia="Times New Roman"/>
              </w:rPr>
            </w:pPr>
            <w:r>
              <w:rPr>
                <w:rFonts w:ascii="Arial" w:eastAsia="Times New Roman" w:hAnsi="Arial" w:cs="Arial"/>
                <w:color w:val="000000"/>
                <w:sz w:val="20"/>
                <w:szCs w:val="20"/>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6089A40" w14:textId="77777777" w:rsidR="00000000" w:rsidRDefault="001D0688">
            <w:pPr>
              <w:jc w:val="both"/>
              <w:divId w:val="1186097950"/>
              <w:rPr>
                <w:rFonts w:eastAsia="Times New Roman"/>
              </w:rPr>
            </w:pPr>
            <w:r>
              <w:rPr>
                <w:rFonts w:ascii="Arial" w:eastAsia="Times New Roman" w:hAnsi="Arial" w:cs="Arial"/>
                <w:color w:val="000000"/>
                <w:sz w:val="20"/>
                <w:szCs w:val="20"/>
              </w:rPr>
              <w:t>Education delivers janitorial, custodial, landsca</w:t>
            </w:r>
            <w:r>
              <w:rPr>
                <w:rFonts w:ascii="Arial" w:eastAsia="Times New Roman" w:hAnsi="Arial" w:cs="Arial"/>
                <w:color w:val="000000"/>
                <w:sz w:val="20"/>
                <w:szCs w:val="20"/>
              </w:rPr>
              <w:t>ping and grounds, facilities engineering, and parking services for public school districts, private schools, colleges, and universities.</w:t>
            </w:r>
          </w:p>
        </w:tc>
      </w:tr>
      <w:tr w:rsidR="00000000" w14:paraId="3F709A2F" w14:textId="77777777">
        <w:trPr>
          <w:divId w:val="1955015550"/>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359B0212" w14:textId="77777777" w:rsidR="00000000" w:rsidRDefault="001D0688">
            <w:pPr>
              <w:jc w:val="center"/>
              <w:rPr>
                <w:rFonts w:eastAsia="Times New Roman"/>
              </w:rPr>
            </w:pPr>
            <w:r>
              <w:rPr>
                <w:rFonts w:ascii="Arial" w:eastAsia="Times New Roman" w:hAnsi="Arial" w:cs="Arial"/>
                <w:color w:val="000000"/>
                <w:sz w:val="20"/>
                <w:szCs w:val="20"/>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16AB29D5" w14:textId="77777777" w:rsidR="00000000" w:rsidRDefault="001D0688">
            <w:pPr>
              <w:jc w:val="both"/>
              <w:divId w:val="212544274"/>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 air cabin maintenance, and transportation.</w:t>
            </w:r>
          </w:p>
        </w:tc>
      </w:tr>
      <w:tr w:rsidR="00000000" w14:paraId="42B9434D" w14:textId="77777777">
        <w:trPr>
          <w:divId w:val="1955015550"/>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14:paraId="5DD7D3B1" w14:textId="77777777" w:rsidR="00000000" w:rsidRDefault="001D0688">
            <w:pPr>
              <w:jc w:val="center"/>
              <w:rPr>
                <w:rFonts w:eastAsia="Times New Roman"/>
              </w:rPr>
            </w:pPr>
            <w:r>
              <w:rPr>
                <w:rFonts w:ascii="Arial" w:eastAsia="Times New Roman" w:hAnsi="Arial" w:cs="Arial"/>
                <w:color w:val="000000"/>
                <w:sz w:val="20"/>
                <w:szCs w:val="20"/>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3BE1063E" w14:textId="77777777" w:rsidR="00000000" w:rsidRDefault="001D0688">
            <w:pPr>
              <w:jc w:val="both"/>
              <w:divId w:val="1753309493"/>
              <w:rPr>
                <w:rFonts w:eastAsia="Times New Roman"/>
              </w:rPr>
            </w:pPr>
            <w:r>
              <w:rPr>
                <w:rFonts w:ascii="Arial" w:eastAsia="Times New Roman" w:hAnsi="Arial" w:cs="Arial"/>
                <w:color w:val="000000"/>
                <w:sz w:val="20"/>
                <w:szCs w:val="20"/>
              </w:rPr>
              <w:t>Technical Solutions specializes in mechanical and ele</w:t>
            </w:r>
            <w:r>
              <w:rPr>
                <w:rFonts w:ascii="Arial" w:eastAsia="Times New Roman" w:hAnsi="Arial" w:cs="Arial"/>
                <w:color w:val="000000"/>
                <w:sz w:val="20"/>
                <w:szCs w:val="20"/>
              </w:rPr>
              <w:t>ctrical services. These services can also be leveraged for cross-selling across all of our industry groups, both domestically and internationally.</w:t>
            </w:r>
          </w:p>
        </w:tc>
      </w:tr>
    </w:tbl>
    <w:p w14:paraId="5857C573" w14:textId="77777777" w:rsidR="00000000" w:rsidRDefault="001D0688">
      <w:pPr>
        <w:ind w:firstLine="720"/>
        <w:jc w:val="both"/>
        <w:divId w:val="512495913"/>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tion technology costs, share-based compensation, certain legal costs and settlements, restructuring and related costs, certain actuarial adjustments to self-insurance reserves, and direct acquisition costs. Management does not review asset information by s</w:t>
      </w:r>
      <w:r>
        <w:rPr>
          <w:rFonts w:ascii="Arial" w:eastAsia="Times New Roman" w:hAnsi="Arial" w:cs="Arial"/>
          <w:color w:val="000000"/>
          <w:sz w:val="20"/>
          <w:szCs w:val="20"/>
        </w:rPr>
        <w:t xml:space="preserve">egment, therefore we do not present assets in this note. </w:t>
      </w:r>
    </w:p>
    <w:p w14:paraId="3A3EBCDF" w14:textId="77777777" w:rsidR="00000000" w:rsidRDefault="001D0688">
      <w:pPr>
        <w:jc w:val="center"/>
        <w:divId w:val="1273124673"/>
        <w:rPr>
          <w:rFonts w:eastAsia="Times New Roman"/>
        </w:rPr>
      </w:pPr>
      <w:r>
        <w:rPr>
          <w:rFonts w:ascii="Arial" w:eastAsia="Times New Roman" w:hAnsi="Arial" w:cs="Arial"/>
          <w:color w:val="000000"/>
          <w:sz w:val="20"/>
          <w:szCs w:val="20"/>
        </w:rPr>
        <w:t>94</w:t>
      </w:r>
    </w:p>
    <w:p w14:paraId="13E086AA" w14:textId="77777777" w:rsidR="00000000" w:rsidRDefault="001D0688">
      <w:pPr>
        <w:rPr>
          <w:rFonts w:eastAsia="Times New Roman"/>
        </w:rPr>
      </w:pPr>
      <w:r>
        <w:rPr>
          <w:rFonts w:eastAsia="Times New Roman"/>
        </w:rPr>
        <w:pict w14:anchorId="2453BAFD">
          <v:rect id="_x0000_i1131" style="width:0;height:1.5pt" o:hralign="center" o:hrstd="t" o:hr="t" fillcolor="#a0a0a0" stroked="f"/>
        </w:pict>
      </w:r>
    </w:p>
    <w:p w14:paraId="279ADE75" w14:textId="77777777" w:rsidR="00000000" w:rsidRDefault="001D0688">
      <w:pPr>
        <w:divId w:val="425346165"/>
        <w:rPr>
          <w:rFonts w:eastAsia="Times New Roman"/>
        </w:rPr>
      </w:pPr>
    </w:p>
    <w:p w14:paraId="7B54F8E8" w14:textId="77777777" w:rsidR="00000000" w:rsidRDefault="001D0688">
      <w:pPr>
        <w:divId w:val="1233354024"/>
        <w:rPr>
          <w:rFonts w:eastAsia="Times New Roman"/>
        </w:rPr>
      </w:pPr>
      <w:r>
        <w:rPr>
          <w:rFonts w:ascii="Arial" w:eastAsia="Times New Roman" w:hAnsi="Arial" w:cs="Arial"/>
          <w:b/>
          <w:bCs/>
          <w:i/>
          <w:iCs/>
          <w:color w:val="0046AD"/>
          <w:sz w:val="20"/>
          <w:szCs w:val="20"/>
        </w:rPr>
        <w:t>Financial Information by Reportable Segment    </w:t>
      </w:r>
    </w:p>
    <w:tbl>
      <w:tblPr>
        <w:tblW w:w="5000" w:type="pct"/>
        <w:tblCellMar>
          <w:top w:w="15" w:type="dxa"/>
          <w:left w:w="15" w:type="dxa"/>
          <w:bottom w:w="15" w:type="dxa"/>
          <w:right w:w="15" w:type="dxa"/>
        </w:tblCellMar>
        <w:tblLook w:val="04A0" w:firstRow="1" w:lastRow="0" w:firstColumn="1" w:lastColumn="0" w:noHBand="0" w:noVBand="1"/>
      </w:tblPr>
      <w:tblGrid>
        <w:gridCol w:w="40"/>
        <w:gridCol w:w="4645"/>
        <w:gridCol w:w="38"/>
        <w:gridCol w:w="132"/>
        <w:gridCol w:w="984"/>
        <w:gridCol w:w="36"/>
        <w:gridCol w:w="36"/>
        <w:gridCol w:w="36"/>
        <w:gridCol w:w="36"/>
        <w:gridCol w:w="132"/>
        <w:gridCol w:w="938"/>
        <w:gridCol w:w="36"/>
        <w:gridCol w:w="36"/>
        <w:gridCol w:w="36"/>
        <w:gridCol w:w="36"/>
        <w:gridCol w:w="132"/>
        <w:gridCol w:w="941"/>
        <w:gridCol w:w="36"/>
      </w:tblGrid>
      <w:tr w:rsidR="00000000" w14:paraId="132E3EAB" w14:textId="77777777">
        <w:trPr>
          <w:divId w:val="1445537595"/>
        </w:trPr>
        <w:tc>
          <w:tcPr>
            <w:tcW w:w="50" w:type="pct"/>
            <w:vAlign w:val="center"/>
            <w:hideMark/>
          </w:tcPr>
          <w:p w14:paraId="05DDC449" w14:textId="77777777" w:rsidR="00000000" w:rsidRDefault="001D0688">
            <w:pPr>
              <w:rPr>
                <w:rFonts w:eastAsia="Times New Roman"/>
              </w:rPr>
            </w:pPr>
          </w:p>
        </w:tc>
        <w:tc>
          <w:tcPr>
            <w:tcW w:w="2832" w:type="pct"/>
            <w:vAlign w:val="center"/>
            <w:hideMark/>
          </w:tcPr>
          <w:p w14:paraId="27BFDC7E" w14:textId="77777777" w:rsidR="00000000" w:rsidRDefault="001D0688">
            <w:pPr>
              <w:rPr>
                <w:rFonts w:eastAsia="Times New Roman"/>
                <w:sz w:val="20"/>
                <w:szCs w:val="20"/>
              </w:rPr>
            </w:pPr>
          </w:p>
        </w:tc>
        <w:tc>
          <w:tcPr>
            <w:tcW w:w="5" w:type="pct"/>
            <w:vAlign w:val="center"/>
            <w:hideMark/>
          </w:tcPr>
          <w:p w14:paraId="067A9B8E" w14:textId="77777777" w:rsidR="00000000" w:rsidRDefault="001D0688">
            <w:pPr>
              <w:rPr>
                <w:rFonts w:eastAsia="Times New Roman"/>
                <w:sz w:val="20"/>
                <w:szCs w:val="20"/>
              </w:rPr>
            </w:pPr>
          </w:p>
        </w:tc>
        <w:tc>
          <w:tcPr>
            <w:tcW w:w="50" w:type="pct"/>
            <w:vAlign w:val="center"/>
            <w:hideMark/>
          </w:tcPr>
          <w:p w14:paraId="28AE3888" w14:textId="77777777" w:rsidR="00000000" w:rsidRDefault="001D0688">
            <w:pPr>
              <w:rPr>
                <w:rFonts w:eastAsia="Times New Roman"/>
                <w:sz w:val="20"/>
                <w:szCs w:val="20"/>
              </w:rPr>
            </w:pPr>
          </w:p>
        </w:tc>
        <w:tc>
          <w:tcPr>
            <w:tcW w:w="624" w:type="pct"/>
            <w:vAlign w:val="center"/>
            <w:hideMark/>
          </w:tcPr>
          <w:p w14:paraId="3EBB77BF" w14:textId="77777777" w:rsidR="00000000" w:rsidRDefault="001D0688">
            <w:pPr>
              <w:rPr>
                <w:rFonts w:eastAsia="Times New Roman"/>
                <w:sz w:val="20"/>
                <w:szCs w:val="20"/>
              </w:rPr>
            </w:pPr>
          </w:p>
        </w:tc>
        <w:tc>
          <w:tcPr>
            <w:tcW w:w="5" w:type="pct"/>
            <w:vAlign w:val="center"/>
            <w:hideMark/>
          </w:tcPr>
          <w:p w14:paraId="38EDB906" w14:textId="77777777" w:rsidR="00000000" w:rsidRDefault="001D0688">
            <w:pPr>
              <w:rPr>
                <w:rFonts w:eastAsia="Times New Roman"/>
                <w:sz w:val="20"/>
                <w:szCs w:val="20"/>
              </w:rPr>
            </w:pPr>
          </w:p>
        </w:tc>
        <w:tc>
          <w:tcPr>
            <w:tcW w:w="5" w:type="pct"/>
            <w:vAlign w:val="center"/>
            <w:hideMark/>
          </w:tcPr>
          <w:p w14:paraId="12DFDE78" w14:textId="77777777" w:rsidR="00000000" w:rsidRDefault="001D0688">
            <w:pPr>
              <w:rPr>
                <w:rFonts w:eastAsia="Times New Roman"/>
                <w:sz w:val="20"/>
                <w:szCs w:val="20"/>
              </w:rPr>
            </w:pPr>
          </w:p>
        </w:tc>
        <w:tc>
          <w:tcPr>
            <w:tcW w:w="26" w:type="pct"/>
            <w:vAlign w:val="center"/>
            <w:hideMark/>
          </w:tcPr>
          <w:p w14:paraId="3166596B" w14:textId="77777777" w:rsidR="00000000" w:rsidRDefault="001D0688">
            <w:pPr>
              <w:rPr>
                <w:rFonts w:eastAsia="Times New Roman"/>
                <w:sz w:val="20"/>
                <w:szCs w:val="20"/>
              </w:rPr>
            </w:pPr>
          </w:p>
        </w:tc>
        <w:tc>
          <w:tcPr>
            <w:tcW w:w="5" w:type="pct"/>
            <w:vAlign w:val="center"/>
            <w:hideMark/>
          </w:tcPr>
          <w:p w14:paraId="3E811DB6" w14:textId="77777777" w:rsidR="00000000" w:rsidRDefault="001D0688">
            <w:pPr>
              <w:rPr>
                <w:rFonts w:eastAsia="Times New Roman"/>
                <w:sz w:val="20"/>
                <w:szCs w:val="20"/>
              </w:rPr>
            </w:pPr>
          </w:p>
        </w:tc>
        <w:tc>
          <w:tcPr>
            <w:tcW w:w="50" w:type="pct"/>
            <w:vAlign w:val="center"/>
            <w:hideMark/>
          </w:tcPr>
          <w:p w14:paraId="7A5D9FA9" w14:textId="77777777" w:rsidR="00000000" w:rsidRDefault="001D0688">
            <w:pPr>
              <w:rPr>
                <w:rFonts w:eastAsia="Times New Roman"/>
                <w:sz w:val="20"/>
                <w:szCs w:val="20"/>
              </w:rPr>
            </w:pPr>
          </w:p>
        </w:tc>
        <w:tc>
          <w:tcPr>
            <w:tcW w:w="624" w:type="pct"/>
            <w:vAlign w:val="center"/>
            <w:hideMark/>
          </w:tcPr>
          <w:p w14:paraId="74C320B6" w14:textId="77777777" w:rsidR="00000000" w:rsidRDefault="001D0688">
            <w:pPr>
              <w:rPr>
                <w:rFonts w:eastAsia="Times New Roman"/>
                <w:sz w:val="20"/>
                <w:szCs w:val="20"/>
              </w:rPr>
            </w:pPr>
          </w:p>
        </w:tc>
        <w:tc>
          <w:tcPr>
            <w:tcW w:w="5" w:type="pct"/>
            <w:vAlign w:val="center"/>
            <w:hideMark/>
          </w:tcPr>
          <w:p w14:paraId="7CCACBF1" w14:textId="77777777" w:rsidR="00000000" w:rsidRDefault="001D0688">
            <w:pPr>
              <w:rPr>
                <w:rFonts w:eastAsia="Times New Roman"/>
                <w:sz w:val="20"/>
                <w:szCs w:val="20"/>
              </w:rPr>
            </w:pPr>
          </w:p>
        </w:tc>
        <w:tc>
          <w:tcPr>
            <w:tcW w:w="5" w:type="pct"/>
            <w:vAlign w:val="center"/>
            <w:hideMark/>
          </w:tcPr>
          <w:p w14:paraId="0AFED710" w14:textId="77777777" w:rsidR="00000000" w:rsidRDefault="001D0688">
            <w:pPr>
              <w:rPr>
                <w:rFonts w:eastAsia="Times New Roman"/>
                <w:sz w:val="20"/>
                <w:szCs w:val="20"/>
              </w:rPr>
            </w:pPr>
          </w:p>
        </w:tc>
        <w:tc>
          <w:tcPr>
            <w:tcW w:w="26" w:type="pct"/>
            <w:vAlign w:val="center"/>
            <w:hideMark/>
          </w:tcPr>
          <w:p w14:paraId="6D8D33B0" w14:textId="77777777" w:rsidR="00000000" w:rsidRDefault="001D0688">
            <w:pPr>
              <w:rPr>
                <w:rFonts w:eastAsia="Times New Roman"/>
                <w:sz w:val="20"/>
                <w:szCs w:val="20"/>
              </w:rPr>
            </w:pPr>
          </w:p>
        </w:tc>
        <w:tc>
          <w:tcPr>
            <w:tcW w:w="5" w:type="pct"/>
            <w:vAlign w:val="center"/>
            <w:hideMark/>
          </w:tcPr>
          <w:p w14:paraId="5D04CD96" w14:textId="77777777" w:rsidR="00000000" w:rsidRDefault="001D0688">
            <w:pPr>
              <w:rPr>
                <w:rFonts w:eastAsia="Times New Roman"/>
                <w:sz w:val="20"/>
                <w:szCs w:val="20"/>
              </w:rPr>
            </w:pPr>
          </w:p>
        </w:tc>
        <w:tc>
          <w:tcPr>
            <w:tcW w:w="50" w:type="pct"/>
            <w:vAlign w:val="center"/>
            <w:hideMark/>
          </w:tcPr>
          <w:p w14:paraId="1C4FEE01" w14:textId="77777777" w:rsidR="00000000" w:rsidRDefault="001D0688">
            <w:pPr>
              <w:rPr>
                <w:rFonts w:eastAsia="Times New Roman"/>
                <w:sz w:val="20"/>
                <w:szCs w:val="20"/>
              </w:rPr>
            </w:pPr>
          </w:p>
        </w:tc>
        <w:tc>
          <w:tcPr>
            <w:tcW w:w="625" w:type="pct"/>
            <w:vAlign w:val="center"/>
            <w:hideMark/>
          </w:tcPr>
          <w:p w14:paraId="416A4F2A" w14:textId="77777777" w:rsidR="00000000" w:rsidRDefault="001D0688">
            <w:pPr>
              <w:rPr>
                <w:rFonts w:eastAsia="Times New Roman"/>
                <w:sz w:val="20"/>
                <w:szCs w:val="20"/>
              </w:rPr>
            </w:pPr>
          </w:p>
        </w:tc>
        <w:tc>
          <w:tcPr>
            <w:tcW w:w="5" w:type="pct"/>
            <w:vAlign w:val="center"/>
            <w:hideMark/>
          </w:tcPr>
          <w:p w14:paraId="266BDDF1" w14:textId="77777777" w:rsidR="00000000" w:rsidRDefault="001D0688">
            <w:pPr>
              <w:rPr>
                <w:rFonts w:eastAsia="Times New Roman"/>
                <w:sz w:val="20"/>
                <w:szCs w:val="20"/>
              </w:rPr>
            </w:pPr>
          </w:p>
        </w:tc>
      </w:tr>
      <w:tr w:rsidR="00000000" w14:paraId="4EF3690A" w14:textId="77777777">
        <w:trPr>
          <w:divId w:val="1445537595"/>
        </w:trPr>
        <w:tc>
          <w:tcPr>
            <w:tcW w:w="0" w:type="auto"/>
            <w:gridSpan w:val="3"/>
            <w:tcMar>
              <w:top w:w="0" w:type="dxa"/>
              <w:left w:w="20" w:type="dxa"/>
              <w:bottom w:w="0" w:type="dxa"/>
              <w:right w:w="20" w:type="dxa"/>
            </w:tcMar>
            <w:vAlign w:val="center"/>
            <w:hideMark/>
          </w:tcPr>
          <w:p w14:paraId="7026F0F9" w14:textId="77777777" w:rsidR="00000000" w:rsidRDefault="001D0688">
            <w:pPr>
              <w:rPr>
                <w:rFonts w:eastAsia="Times New Roman"/>
                <w:sz w:val="20"/>
                <w:szCs w:val="20"/>
              </w:rPr>
            </w:pPr>
          </w:p>
        </w:tc>
        <w:tc>
          <w:tcPr>
            <w:tcW w:w="0" w:type="auto"/>
            <w:gridSpan w:val="15"/>
            <w:tcMar>
              <w:top w:w="30" w:type="dxa"/>
              <w:left w:w="20" w:type="dxa"/>
              <w:bottom w:w="30" w:type="dxa"/>
              <w:right w:w="20" w:type="dxa"/>
            </w:tcMar>
            <w:vAlign w:val="bottom"/>
            <w:hideMark/>
          </w:tcPr>
          <w:p w14:paraId="20F76BE8"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703DD1EC" w14:textId="77777777">
        <w:trPr>
          <w:divId w:val="1445537595"/>
        </w:trPr>
        <w:tc>
          <w:tcPr>
            <w:tcW w:w="0" w:type="auto"/>
            <w:gridSpan w:val="3"/>
            <w:tcMar>
              <w:top w:w="30" w:type="dxa"/>
              <w:left w:w="20" w:type="dxa"/>
              <w:bottom w:w="30" w:type="dxa"/>
              <w:right w:w="20" w:type="dxa"/>
            </w:tcMar>
            <w:vAlign w:val="bottom"/>
            <w:hideMark/>
          </w:tcPr>
          <w:p w14:paraId="6B118297"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9CBD285"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3B57EEF1"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7656FD"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51F3EDAB"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F19716"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2C732018" w14:textId="77777777">
        <w:trPr>
          <w:divId w:val="1445537595"/>
        </w:trPr>
        <w:tc>
          <w:tcPr>
            <w:tcW w:w="0" w:type="auto"/>
            <w:gridSpan w:val="3"/>
            <w:shd w:val="clear" w:color="auto" w:fill="DCE2EF"/>
            <w:tcMar>
              <w:top w:w="30" w:type="dxa"/>
              <w:left w:w="20" w:type="dxa"/>
              <w:bottom w:w="30" w:type="dxa"/>
              <w:right w:w="20" w:type="dxa"/>
            </w:tcMar>
            <w:vAlign w:val="bottom"/>
            <w:hideMark/>
          </w:tcPr>
          <w:p w14:paraId="0EAB4E03" w14:textId="77777777" w:rsidR="00000000" w:rsidRDefault="001D0688">
            <w:pPr>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CDC858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FC88D5"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D1A0A9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B158AC3"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4794C5B" w14:textId="77777777" w:rsidR="00000000" w:rsidRDefault="001D0688">
            <w:pPr>
              <w:rPr>
                <w:rFonts w:eastAsia="Times New Roman"/>
                <w:sz w:val="20"/>
                <w:szCs w:val="20"/>
              </w:rPr>
            </w:pPr>
          </w:p>
        </w:tc>
      </w:tr>
      <w:tr w:rsidR="00000000" w14:paraId="1A161476" w14:textId="77777777">
        <w:trPr>
          <w:divId w:val="1445537595"/>
        </w:trPr>
        <w:tc>
          <w:tcPr>
            <w:tcW w:w="0" w:type="auto"/>
            <w:gridSpan w:val="3"/>
            <w:shd w:val="clear" w:color="auto" w:fill="FFFFFF"/>
            <w:tcMar>
              <w:top w:w="30" w:type="dxa"/>
              <w:left w:w="20" w:type="dxa"/>
              <w:bottom w:w="30" w:type="dxa"/>
              <w:right w:w="20" w:type="dxa"/>
            </w:tcMar>
            <w:vAlign w:val="bottom"/>
            <w:hideMark/>
          </w:tcPr>
          <w:p w14:paraId="57A2F4CF" w14:textId="77777777" w:rsidR="00000000" w:rsidRDefault="001D0688">
            <w:pPr>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14:paraId="21969CF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A107B8F" w14:textId="77777777" w:rsidR="00000000" w:rsidRDefault="001D0688">
            <w:pPr>
              <w:jc w:val="right"/>
              <w:rPr>
                <w:rFonts w:eastAsia="Times New Roman"/>
              </w:rPr>
            </w:pPr>
            <w:r>
              <w:rPr>
                <w:rFonts w:ascii="Arial" w:eastAsia="Times New Roman" w:hAnsi="Arial" w:cs="Arial"/>
                <w:color w:val="000000"/>
                <w:sz w:val="20"/>
                <w:szCs w:val="20"/>
              </w:rPr>
              <w:t>3,157.8 </w:t>
            </w:r>
          </w:p>
        </w:tc>
        <w:tc>
          <w:tcPr>
            <w:tcW w:w="0" w:type="auto"/>
            <w:shd w:val="clear" w:color="auto" w:fill="FFFFFF"/>
            <w:tcMar>
              <w:top w:w="30" w:type="dxa"/>
              <w:left w:w="0" w:type="dxa"/>
              <w:bottom w:w="30" w:type="dxa"/>
              <w:right w:w="20" w:type="dxa"/>
            </w:tcMar>
            <w:vAlign w:val="bottom"/>
            <w:hideMark/>
          </w:tcPr>
          <w:p w14:paraId="5560EFE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000F5"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91658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F10AE4" w14:textId="77777777" w:rsidR="00000000" w:rsidRDefault="001D0688">
            <w:pPr>
              <w:jc w:val="right"/>
              <w:rPr>
                <w:rFonts w:eastAsia="Times New Roman"/>
              </w:rPr>
            </w:pPr>
            <w:r>
              <w:rPr>
                <w:rFonts w:ascii="Arial" w:eastAsia="Times New Roman" w:hAnsi="Arial" w:cs="Arial"/>
                <w:color w:val="000000"/>
                <w:sz w:val="20"/>
                <w:szCs w:val="20"/>
              </w:rPr>
              <w:t>3,251.4 </w:t>
            </w:r>
          </w:p>
        </w:tc>
        <w:tc>
          <w:tcPr>
            <w:tcW w:w="0" w:type="auto"/>
            <w:shd w:val="clear" w:color="auto" w:fill="FFFFFF"/>
            <w:tcMar>
              <w:top w:w="30" w:type="dxa"/>
              <w:left w:w="0" w:type="dxa"/>
              <w:bottom w:w="30" w:type="dxa"/>
              <w:right w:w="20" w:type="dxa"/>
            </w:tcMar>
            <w:vAlign w:val="bottom"/>
            <w:hideMark/>
          </w:tcPr>
          <w:p w14:paraId="243BC0A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B3312"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C2EFE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D7B9F14" w14:textId="77777777" w:rsidR="00000000" w:rsidRDefault="001D0688">
            <w:pPr>
              <w:jc w:val="right"/>
              <w:rPr>
                <w:rFonts w:eastAsia="Times New Roman"/>
              </w:rPr>
            </w:pPr>
            <w:r>
              <w:rPr>
                <w:rFonts w:ascii="Arial" w:eastAsia="Times New Roman" w:hAnsi="Arial" w:cs="Arial"/>
                <w:color w:val="000000"/>
                <w:sz w:val="20"/>
                <w:szCs w:val="20"/>
              </w:rPr>
              <w:t>3,268.4 </w:t>
            </w:r>
          </w:p>
        </w:tc>
        <w:tc>
          <w:tcPr>
            <w:tcW w:w="0" w:type="auto"/>
            <w:shd w:val="clear" w:color="auto" w:fill="FFFFFF"/>
            <w:tcMar>
              <w:top w:w="30" w:type="dxa"/>
              <w:left w:w="0" w:type="dxa"/>
              <w:bottom w:w="30" w:type="dxa"/>
              <w:right w:w="20" w:type="dxa"/>
            </w:tcMar>
            <w:vAlign w:val="bottom"/>
            <w:hideMark/>
          </w:tcPr>
          <w:p w14:paraId="6A92BAD3" w14:textId="77777777" w:rsidR="00000000" w:rsidRDefault="001D0688">
            <w:pPr>
              <w:jc w:val="right"/>
              <w:rPr>
                <w:rFonts w:eastAsia="Times New Roman"/>
              </w:rPr>
            </w:pPr>
          </w:p>
        </w:tc>
      </w:tr>
      <w:tr w:rsidR="00000000" w14:paraId="1AFF7AC8" w14:textId="77777777">
        <w:trPr>
          <w:divId w:val="1445537595"/>
        </w:trPr>
        <w:tc>
          <w:tcPr>
            <w:tcW w:w="0" w:type="auto"/>
            <w:gridSpan w:val="3"/>
            <w:shd w:val="clear" w:color="auto" w:fill="DCE2EF"/>
            <w:tcMar>
              <w:top w:w="30" w:type="dxa"/>
              <w:left w:w="20" w:type="dxa"/>
              <w:bottom w:w="30" w:type="dxa"/>
              <w:right w:w="20" w:type="dxa"/>
            </w:tcMar>
            <w:vAlign w:val="bottom"/>
            <w:hideMark/>
          </w:tcPr>
          <w:p w14:paraId="5C1BA43E" w14:textId="77777777" w:rsidR="00000000" w:rsidRDefault="001D0688">
            <w:pPr>
              <w:rPr>
                <w:rFonts w:eastAsia="Times New Roman"/>
              </w:rPr>
            </w:pPr>
            <w:r>
              <w:rPr>
                <w:rFonts w:ascii="Arial" w:eastAsia="Times New Roman" w:hAnsi="Arial" w:cs="Arial"/>
                <w:color w:val="000000"/>
                <w:sz w:val="20"/>
                <w:szCs w:val="20"/>
              </w:rPr>
              <w:t>Technology &amp; Manufacturing</w:t>
            </w:r>
          </w:p>
        </w:tc>
        <w:tc>
          <w:tcPr>
            <w:tcW w:w="0" w:type="auto"/>
            <w:gridSpan w:val="2"/>
            <w:shd w:val="clear" w:color="auto" w:fill="DCE2EF"/>
            <w:tcMar>
              <w:top w:w="30" w:type="dxa"/>
              <w:left w:w="20" w:type="dxa"/>
              <w:bottom w:w="30" w:type="dxa"/>
              <w:right w:w="0" w:type="dxa"/>
            </w:tcMar>
            <w:vAlign w:val="bottom"/>
            <w:hideMark/>
          </w:tcPr>
          <w:p w14:paraId="2B78D343" w14:textId="77777777" w:rsidR="00000000" w:rsidRDefault="001D0688">
            <w:pPr>
              <w:jc w:val="right"/>
              <w:rPr>
                <w:rFonts w:eastAsia="Times New Roman"/>
              </w:rPr>
            </w:pPr>
            <w:r>
              <w:rPr>
                <w:rFonts w:ascii="Arial" w:eastAsia="Times New Roman" w:hAnsi="Arial" w:cs="Arial"/>
                <w:color w:val="000000"/>
                <w:sz w:val="20"/>
                <w:szCs w:val="20"/>
              </w:rPr>
              <w:t>956.0 </w:t>
            </w:r>
          </w:p>
        </w:tc>
        <w:tc>
          <w:tcPr>
            <w:tcW w:w="0" w:type="auto"/>
            <w:shd w:val="clear" w:color="auto" w:fill="DCE2EF"/>
            <w:tcMar>
              <w:top w:w="30" w:type="dxa"/>
              <w:left w:w="0" w:type="dxa"/>
              <w:bottom w:w="30" w:type="dxa"/>
              <w:right w:w="20" w:type="dxa"/>
            </w:tcMar>
            <w:vAlign w:val="bottom"/>
            <w:hideMark/>
          </w:tcPr>
          <w:p w14:paraId="554D8B0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DB75A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3CF635" w14:textId="77777777" w:rsidR="00000000" w:rsidRDefault="001D0688">
            <w:pPr>
              <w:jc w:val="right"/>
              <w:rPr>
                <w:rFonts w:eastAsia="Times New Roman"/>
              </w:rPr>
            </w:pPr>
            <w:r>
              <w:rPr>
                <w:rFonts w:ascii="Arial" w:eastAsia="Times New Roman" w:hAnsi="Arial" w:cs="Arial"/>
                <w:color w:val="000000"/>
                <w:sz w:val="20"/>
                <w:szCs w:val="20"/>
              </w:rPr>
              <w:t>917.0 </w:t>
            </w:r>
          </w:p>
        </w:tc>
        <w:tc>
          <w:tcPr>
            <w:tcW w:w="0" w:type="auto"/>
            <w:shd w:val="clear" w:color="auto" w:fill="DCE2EF"/>
            <w:tcMar>
              <w:top w:w="30" w:type="dxa"/>
              <w:left w:w="0" w:type="dxa"/>
              <w:bottom w:w="30" w:type="dxa"/>
              <w:right w:w="20" w:type="dxa"/>
            </w:tcMar>
            <w:vAlign w:val="bottom"/>
            <w:hideMark/>
          </w:tcPr>
          <w:p w14:paraId="6DBE431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20C2A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D8D097" w14:textId="77777777" w:rsidR="00000000" w:rsidRDefault="001D0688">
            <w:pPr>
              <w:jc w:val="right"/>
              <w:rPr>
                <w:rFonts w:eastAsia="Times New Roman"/>
              </w:rPr>
            </w:pPr>
            <w:r>
              <w:rPr>
                <w:rFonts w:ascii="Arial" w:eastAsia="Times New Roman" w:hAnsi="Arial" w:cs="Arial"/>
                <w:color w:val="000000"/>
                <w:sz w:val="20"/>
                <w:szCs w:val="20"/>
              </w:rPr>
              <w:t>925.4 </w:t>
            </w:r>
          </w:p>
        </w:tc>
        <w:tc>
          <w:tcPr>
            <w:tcW w:w="0" w:type="auto"/>
            <w:shd w:val="clear" w:color="auto" w:fill="DCE2EF"/>
            <w:tcMar>
              <w:top w:w="30" w:type="dxa"/>
              <w:left w:w="0" w:type="dxa"/>
              <w:bottom w:w="30" w:type="dxa"/>
              <w:right w:w="20" w:type="dxa"/>
            </w:tcMar>
            <w:vAlign w:val="bottom"/>
            <w:hideMark/>
          </w:tcPr>
          <w:p w14:paraId="5EC73314" w14:textId="77777777" w:rsidR="00000000" w:rsidRDefault="001D0688">
            <w:pPr>
              <w:jc w:val="right"/>
              <w:rPr>
                <w:rFonts w:eastAsia="Times New Roman"/>
              </w:rPr>
            </w:pPr>
          </w:p>
        </w:tc>
      </w:tr>
      <w:tr w:rsidR="00000000" w14:paraId="00716015" w14:textId="77777777">
        <w:trPr>
          <w:divId w:val="1445537595"/>
        </w:trPr>
        <w:tc>
          <w:tcPr>
            <w:tcW w:w="0" w:type="auto"/>
            <w:gridSpan w:val="3"/>
            <w:shd w:val="clear" w:color="auto" w:fill="FFFFFF"/>
            <w:tcMar>
              <w:top w:w="30" w:type="dxa"/>
              <w:left w:w="20" w:type="dxa"/>
              <w:bottom w:w="30" w:type="dxa"/>
              <w:right w:w="20" w:type="dxa"/>
            </w:tcMar>
            <w:vAlign w:val="bottom"/>
            <w:hideMark/>
          </w:tcPr>
          <w:p w14:paraId="56160F70" w14:textId="77777777" w:rsidR="00000000" w:rsidRDefault="001D0688">
            <w:pPr>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14:paraId="275B3227" w14:textId="77777777" w:rsidR="00000000" w:rsidRDefault="001D0688">
            <w:pPr>
              <w:jc w:val="right"/>
              <w:rPr>
                <w:rFonts w:eastAsia="Times New Roman"/>
              </w:rPr>
            </w:pPr>
            <w:r>
              <w:rPr>
                <w:rFonts w:ascii="Arial" w:eastAsia="Times New Roman" w:hAnsi="Arial" w:cs="Arial"/>
                <w:color w:val="000000"/>
                <w:sz w:val="20"/>
                <w:szCs w:val="20"/>
              </w:rPr>
              <w:t>808.8 </w:t>
            </w:r>
          </w:p>
        </w:tc>
        <w:tc>
          <w:tcPr>
            <w:tcW w:w="0" w:type="auto"/>
            <w:shd w:val="clear" w:color="auto" w:fill="FFFFFF"/>
            <w:tcMar>
              <w:top w:w="30" w:type="dxa"/>
              <w:left w:w="0" w:type="dxa"/>
              <w:bottom w:w="30" w:type="dxa"/>
              <w:right w:w="20" w:type="dxa"/>
            </w:tcMar>
            <w:vAlign w:val="bottom"/>
            <w:hideMark/>
          </w:tcPr>
          <w:p w14:paraId="709FBC4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8211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ACCC5" w14:textId="77777777" w:rsidR="00000000" w:rsidRDefault="001D0688">
            <w:pPr>
              <w:jc w:val="right"/>
              <w:rPr>
                <w:rFonts w:eastAsia="Times New Roman"/>
              </w:rPr>
            </w:pPr>
            <w:r>
              <w:rPr>
                <w:rFonts w:ascii="Arial" w:eastAsia="Times New Roman" w:hAnsi="Arial" w:cs="Arial"/>
                <w:color w:val="000000"/>
                <w:sz w:val="20"/>
                <w:szCs w:val="20"/>
              </w:rPr>
              <w:t>847.4 </w:t>
            </w:r>
          </w:p>
        </w:tc>
        <w:tc>
          <w:tcPr>
            <w:tcW w:w="0" w:type="auto"/>
            <w:shd w:val="clear" w:color="auto" w:fill="FFFFFF"/>
            <w:tcMar>
              <w:top w:w="30" w:type="dxa"/>
              <w:left w:w="0" w:type="dxa"/>
              <w:bottom w:w="30" w:type="dxa"/>
              <w:right w:w="20" w:type="dxa"/>
            </w:tcMar>
            <w:vAlign w:val="bottom"/>
            <w:hideMark/>
          </w:tcPr>
          <w:p w14:paraId="67BE71B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E472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BDDA2" w14:textId="77777777" w:rsidR="00000000" w:rsidRDefault="001D0688">
            <w:pPr>
              <w:jc w:val="right"/>
              <w:rPr>
                <w:rFonts w:eastAsia="Times New Roman"/>
              </w:rPr>
            </w:pPr>
            <w:r>
              <w:rPr>
                <w:rFonts w:ascii="Arial" w:eastAsia="Times New Roman" w:hAnsi="Arial" w:cs="Arial"/>
                <w:color w:val="000000"/>
                <w:sz w:val="20"/>
                <w:szCs w:val="20"/>
              </w:rPr>
              <w:t>856.7 </w:t>
            </w:r>
          </w:p>
        </w:tc>
        <w:tc>
          <w:tcPr>
            <w:tcW w:w="0" w:type="auto"/>
            <w:shd w:val="clear" w:color="auto" w:fill="FFFFFF"/>
            <w:tcMar>
              <w:top w:w="30" w:type="dxa"/>
              <w:left w:w="0" w:type="dxa"/>
              <w:bottom w:w="30" w:type="dxa"/>
              <w:right w:w="20" w:type="dxa"/>
            </w:tcMar>
            <w:vAlign w:val="bottom"/>
            <w:hideMark/>
          </w:tcPr>
          <w:p w14:paraId="1A927A7A" w14:textId="77777777" w:rsidR="00000000" w:rsidRDefault="001D0688">
            <w:pPr>
              <w:jc w:val="right"/>
              <w:rPr>
                <w:rFonts w:eastAsia="Times New Roman"/>
              </w:rPr>
            </w:pPr>
          </w:p>
        </w:tc>
      </w:tr>
      <w:tr w:rsidR="00000000" w14:paraId="7CE8B513" w14:textId="77777777">
        <w:trPr>
          <w:divId w:val="1445537595"/>
        </w:trPr>
        <w:tc>
          <w:tcPr>
            <w:tcW w:w="0" w:type="auto"/>
            <w:gridSpan w:val="3"/>
            <w:shd w:val="clear" w:color="auto" w:fill="DCE2EF"/>
            <w:tcMar>
              <w:top w:w="30" w:type="dxa"/>
              <w:left w:w="20" w:type="dxa"/>
              <w:bottom w:w="30" w:type="dxa"/>
              <w:right w:w="20" w:type="dxa"/>
            </w:tcMar>
            <w:vAlign w:val="bottom"/>
            <w:hideMark/>
          </w:tcPr>
          <w:p w14:paraId="187FBD3A" w14:textId="77777777" w:rsidR="00000000" w:rsidRDefault="001D0688">
            <w:pPr>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14:paraId="778B2B5E" w14:textId="77777777" w:rsidR="00000000" w:rsidRDefault="001D0688">
            <w:pPr>
              <w:jc w:val="right"/>
              <w:rPr>
                <w:rFonts w:eastAsia="Times New Roman"/>
              </w:rPr>
            </w:pPr>
            <w:r>
              <w:rPr>
                <w:rFonts w:ascii="Arial" w:eastAsia="Times New Roman" w:hAnsi="Arial" w:cs="Arial"/>
                <w:color w:val="000000"/>
                <w:sz w:val="20"/>
                <w:szCs w:val="20"/>
              </w:rPr>
              <w:t>680.9 </w:t>
            </w:r>
          </w:p>
        </w:tc>
        <w:tc>
          <w:tcPr>
            <w:tcW w:w="0" w:type="auto"/>
            <w:shd w:val="clear" w:color="auto" w:fill="DCE2EF"/>
            <w:tcMar>
              <w:top w:w="30" w:type="dxa"/>
              <w:left w:w="0" w:type="dxa"/>
              <w:bottom w:w="30" w:type="dxa"/>
              <w:right w:w="20" w:type="dxa"/>
            </w:tcMar>
            <w:vAlign w:val="bottom"/>
            <w:hideMark/>
          </w:tcPr>
          <w:p w14:paraId="310B9D9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A86878"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BC7E30" w14:textId="77777777" w:rsidR="00000000" w:rsidRDefault="001D0688">
            <w:pPr>
              <w:jc w:val="right"/>
              <w:rPr>
                <w:rFonts w:eastAsia="Times New Roman"/>
              </w:rPr>
            </w:pPr>
            <w:r>
              <w:rPr>
                <w:rFonts w:ascii="Arial" w:eastAsia="Times New Roman" w:hAnsi="Arial" w:cs="Arial"/>
                <w:color w:val="000000"/>
                <w:sz w:val="20"/>
                <w:szCs w:val="20"/>
              </w:rPr>
              <w:t>1,017.3 </w:t>
            </w:r>
          </w:p>
        </w:tc>
        <w:tc>
          <w:tcPr>
            <w:tcW w:w="0" w:type="auto"/>
            <w:shd w:val="clear" w:color="auto" w:fill="DCE2EF"/>
            <w:tcMar>
              <w:top w:w="30" w:type="dxa"/>
              <w:left w:w="0" w:type="dxa"/>
              <w:bottom w:w="30" w:type="dxa"/>
              <w:right w:w="20" w:type="dxa"/>
            </w:tcMar>
            <w:vAlign w:val="bottom"/>
            <w:hideMark/>
          </w:tcPr>
          <w:p w14:paraId="0241D2E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459F9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4096238" w14:textId="77777777" w:rsidR="00000000" w:rsidRDefault="001D0688">
            <w:pPr>
              <w:jc w:val="right"/>
              <w:rPr>
                <w:rFonts w:eastAsia="Times New Roman"/>
              </w:rPr>
            </w:pPr>
            <w:r>
              <w:rPr>
                <w:rFonts w:ascii="Arial" w:eastAsia="Times New Roman" w:hAnsi="Arial" w:cs="Arial"/>
                <w:color w:val="000000"/>
                <w:sz w:val="20"/>
                <w:szCs w:val="20"/>
              </w:rPr>
              <w:t>1,038.7 </w:t>
            </w:r>
          </w:p>
        </w:tc>
        <w:tc>
          <w:tcPr>
            <w:tcW w:w="0" w:type="auto"/>
            <w:shd w:val="clear" w:color="auto" w:fill="DCE2EF"/>
            <w:tcMar>
              <w:top w:w="30" w:type="dxa"/>
              <w:left w:w="0" w:type="dxa"/>
              <w:bottom w:w="30" w:type="dxa"/>
              <w:right w:w="20" w:type="dxa"/>
            </w:tcMar>
            <w:vAlign w:val="bottom"/>
            <w:hideMark/>
          </w:tcPr>
          <w:p w14:paraId="6709C573" w14:textId="77777777" w:rsidR="00000000" w:rsidRDefault="001D0688">
            <w:pPr>
              <w:jc w:val="right"/>
              <w:rPr>
                <w:rFonts w:eastAsia="Times New Roman"/>
              </w:rPr>
            </w:pPr>
          </w:p>
        </w:tc>
      </w:tr>
      <w:tr w:rsidR="00000000" w14:paraId="741A9B9F" w14:textId="77777777">
        <w:trPr>
          <w:divId w:val="1445537595"/>
        </w:trPr>
        <w:tc>
          <w:tcPr>
            <w:tcW w:w="0" w:type="auto"/>
            <w:gridSpan w:val="3"/>
            <w:shd w:val="clear" w:color="auto" w:fill="FFFFFF"/>
            <w:tcMar>
              <w:top w:w="30" w:type="dxa"/>
              <w:left w:w="20" w:type="dxa"/>
              <w:bottom w:w="30" w:type="dxa"/>
              <w:right w:w="20" w:type="dxa"/>
            </w:tcMar>
            <w:vAlign w:val="bottom"/>
            <w:hideMark/>
          </w:tcPr>
          <w:p w14:paraId="0677941D" w14:textId="77777777" w:rsidR="00000000" w:rsidRDefault="001D0688">
            <w:pPr>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14:paraId="3479D9E7" w14:textId="77777777" w:rsidR="00000000" w:rsidRDefault="001D0688">
            <w:pPr>
              <w:jc w:val="right"/>
              <w:rPr>
                <w:rFonts w:eastAsia="Times New Roman"/>
              </w:rPr>
            </w:pPr>
            <w:r>
              <w:rPr>
                <w:rFonts w:ascii="Arial" w:eastAsia="Times New Roman" w:hAnsi="Arial" w:cs="Arial"/>
                <w:color w:val="000000"/>
                <w:sz w:val="20"/>
                <w:szCs w:val="20"/>
              </w:rPr>
              <w:t>506.6 </w:t>
            </w:r>
          </w:p>
        </w:tc>
        <w:tc>
          <w:tcPr>
            <w:tcW w:w="0" w:type="auto"/>
            <w:shd w:val="clear" w:color="auto" w:fill="FFFFFF"/>
            <w:tcMar>
              <w:top w:w="30" w:type="dxa"/>
              <w:left w:w="0" w:type="dxa"/>
              <w:bottom w:w="30" w:type="dxa"/>
              <w:right w:w="20" w:type="dxa"/>
            </w:tcMar>
            <w:vAlign w:val="bottom"/>
            <w:hideMark/>
          </w:tcPr>
          <w:p w14:paraId="41A943B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6AFCD"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2FE6C" w14:textId="77777777" w:rsidR="00000000" w:rsidRDefault="001D0688">
            <w:pPr>
              <w:jc w:val="right"/>
              <w:rPr>
                <w:rFonts w:eastAsia="Times New Roman"/>
              </w:rPr>
            </w:pPr>
            <w:r>
              <w:rPr>
                <w:rFonts w:ascii="Arial" w:eastAsia="Times New Roman" w:hAnsi="Arial" w:cs="Arial"/>
                <w:color w:val="000000"/>
                <w:sz w:val="20"/>
                <w:szCs w:val="20"/>
              </w:rPr>
              <w:t>593.2 </w:t>
            </w:r>
          </w:p>
        </w:tc>
        <w:tc>
          <w:tcPr>
            <w:tcW w:w="0" w:type="auto"/>
            <w:shd w:val="clear" w:color="auto" w:fill="FFFFFF"/>
            <w:tcMar>
              <w:top w:w="30" w:type="dxa"/>
              <w:left w:w="0" w:type="dxa"/>
              <w:bottom w:w="30" w:type="dxa"/>
              <w:right w:w="20" w:type="dxa"/>
            </w:tcMar>
            <w:vAlign w:val="bottom"/>
            <w:hideMark/>
          </w:tcPr>
          <w:p w14:paraId="2F4762D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83B6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CDCEE" w14:textId="77777777" w:rsidR="00000000" w:rsidRDefault="001D0688">
            <w:pPr>
              <w:jc w:val="right"/>
              <w:rPr>
                <w:rFonts w:eastAsia="Times New Roman"/>
              </w:rPr>
            </w:pPr>
            <w:r>
              <w:rPr>
                <w:rFonts w:ascii="Arial" w:eastAsia="Times New Roman" w:hAnsi="Arial" w:cs="Arial"/>
                <w:color w:val="000000"/>
                <w:sz w:val="20"/>
                <w:szCs w:val="20"/>
              </w:rPr>
              <w:t>500.1 </w:t>
            </w:r>
          </w:p>
        </w:tc>
        <w:tc>
          <w:tcPr>
            <w:tcW w:w="0" w:type="auto"/>
            <w:shd w:val="clear" w:color="auto" w:fill="FFFFFF"/>
            <w:tcMar>
              <w:top w:w="30" w:type="dxa"/>
              <w:left w:w="0" w:type="dxa"/>
              <w:bottom w:w="30" w:type="dxa"/>
              <w:right w:w="20" w:type="dxa"/>
            </w:tcMar>
            <w:vAlign w:val="bottom"/>
            <w:hideMark/>
          </w:tcPr>
          <w:p w14:paraId="6FB45480" w14:textId="77777777" w:rsidR="00000000" w:rsidRDefault="001D0688">
            <w:pPr>
              <w:jc w:val="right"/>
              <w:rPr>
                <w:rFonts w:eastAsia="Times New Roman"/>
              </w:rPr>
            </w:pPr>
          </w:p>
        </w:tc>
      </w:tr>
      <w:tr w:rsidR="00000000" w14:paraId="3FE558EB" w14:textId="77777777">
        <w:trPr>
          <w:divId w:val="1445537595"/>
        </w:trPr>
        <w:tc>
          <w:tcPr>
            <w:tcW w:w="0" w:type="auto"/>
            <w:gridSpan w:val="3"/>
            <w:vAlign w:val="center"/>
            <w:hideMark/>
          </w:tcPr>
          <w:p w14:paraId="3BD11CF8" w14:textId="77777777" w:rsidR="00000000" w:rsidRDefault="001D0688">
            <w:pPr>
              <w:jc w:val="right"/>
              <w:rPr>
                <w:rFonts w:eastAsia="Times New Roman"/>
                <w:sz w:val="20"/>
                <w:szCs w:val="20"/>
              </w:rPr>
            </w:pPr>
          </w:p>
        </w:tc>
        <w:tc>
          <w:tcPr>
            <w:tcW w:w="0" w:type="auto"/>
            <w:gridSpan w:val="3"/>
            <w:vAlign w:val="center"/>
            <w:hideMark/>
          </w:tcPr>
          <w:p w14:paraId="605139D2" w14:textId="77777777" w:rsidR="00000000" w:rsidRDefault="001D0688">
            <w:pPr>
              <w:rPr>
                <w:rFonts w:eastAsia="Times New Roman"/>
                <w:sz w:val="20"/>
                <w:szCs w:val="20"/>
              </w:rPr>
            </w:pPr>
          </w:p>
        </w:tc>
        <w:tc>
          <w:tcPr>
            <w:tcW w:w="0" w:type="auto"/>
            <w:gridSpan w:val="3"/>
            <w:vAlign w:val="center"/>
            <w:hideMark/>
          </w:tcPr>
          <w:p w14:paraId="2724246D" w14:textId="77777777" w:rsidR="00000000" w:rsidRDefault="001D0688">
            <w:pPr>
              <w:rPr>
                <w:rFonts w:eastAsia="Times New Roman"/>
                <w:sz w:val="20"/>
                <w:szCs w:val="20"/>
              </w:rPr>
            </w:pPr>
          </w:p>
        </w:tc>
        <w:tc>
          <w:tcPr>
            <w:tcW w:w="0" w:type="auto"/>
            <w:gridSpan w:val="3"/>
            <w:vAlign w:val="center"/>
            <w:hideMark/>
          </w:tcPr>
          <w:p w14:paraId="30963C18" w14:textId="77777777" w:rsidR="00000000" w:rsidRDefault="001D0688">
            <w:pPr>
              <w:rPr>
                <w:rFonts w:eastAsia="Times New Roman"/>
                <w:sz w:val="20"/>
                <w:szCs w:val="20"/>
              </w:rPr>
            </w:pPr>
          </w:p>
        </w:tc>
        <w:tc>
          <w:tcPr>
            <w:tcW w:w="0" w:type="auto"/>
            <w:gridSpan w:val="3"/>
            <w:vAlign w:val="center"/>
            <w:hideMark/>
          </w:tcPr>
          <w:p w14:paraId="0E8C3E09" w14:textId="77777777" w:rsidR="00000000" w:rsidRDefault="001D0688">
            <w:pPr>
              <w:rPr>
                <w:rFonts w:eastAsia="Times New Roman"/>
                <w:sz w:val="20"/>
                <w:szCs w:val="20"/>
              </w:rPr>
            </w:pPr>
          </w:p>
        </w:tc>
        <w:tc>
          <w:tcPr>
            <w:tcW w:w="0" w:type="auto"/>
            <w:gridSpan w:val="3"/>
            <w:vAlign w:val="center"/>
            <w:hideMark/>
          </w:tcPr>
          <w:p w14:paraId="3534A687" w14:textId="77777777" w:rsidR="00000000" w:rsidRDefault="001D0688">
            <w:pPr>
              <w:rPr>
                <w:rFonts w:eastAsia="Times New Roman"/>
                <w:sz w:val="20"/>
                <w:szCs w:val="20"/>
              </w:rPr>
            </w:pPr>
          </w:p>
        </w:tc>
      </w:tr>
      <w:tr w:rsidR="00000000" w14:paraId="351821B7" w14:textId="77777777">
        <w:trPr>
          <w:divId w:val="1445537595"/>
        </w:trPr>
        <w:tc>
          <w:tcPr>
            <w:tcW w:w="0" w:type="auto"/>
            <w:gridSpan w:val="3"/>
            <w:shd w:val="clear" w:color="auto" w:fill="DCE2EF"/>
            <w:tcMar>
              <w:top w:w="30" w:type="dxa"/>
              <w:left w:w="20" w:type="dxa"/>
              <w:bottom w:w="30" w:type="dxa"/>
              <w:right w:w="20" w:type="dxa"/>
            </w:tcMar>
            <w:vAlign w:val="bottom"/>
            <w:hideMark/>
          </w:tcPr>
          <w:p w14:paraId="5C90FAF9" w14:textId="77777777" w:rsidR="00000000" w:rsidRDefault="001D0688">
            <w:pPr>
              <w:rPr>
                <w:rFonts w:eastAsia="Times New Roman"/>
              </w:rPr>
            </w:pPr>
            <w:r>
              <w:rPr>
                <w:rFonts w:ascii="Arial" w:eastAsia="Times New Roman" w:hAnsi="Arial" w:cs="Arial"/>
                <w:color w:val="000000"/>
                <w:sz w:val="20"/>
                <w:szCs w:val="20"/>
              </w:rPr>
              <w:t>Elimination of inter-segment revenues</w:t>
            </w:r>
          </w:p>
        </w:tc>
        <w:tc>
          <w:tcPr>
            <w:tcW w:w="0" w:type="auto"/>
            <w:gridSpan w:val="2"/>
            <w:shd w:val="clear" w:color="auto" w:fill="DCE2EF"/>
            <w:tcMar>
              <w:top w:w="30" w:type="dxa"/>
              <w:left w:w="20" w:type="dxa"/>
              <w:bottom w:w="30" w:type="dxa"/>
              <w:right w:w="0" w:type="dxa"/>
            </w:tcMar>
            <w:vAlign w:val="bottom"/>
            <w:hideMark/>
          </w:tcPr>
          <w:p w14:paraId="40F906DC" w14:textId="77777777" w:rsidR="00000000" w:rsidRDefault="001D0688">
            <w:pPr>
              <w:jc w:val="right"/>
              <w:rPr>
                <w:rFonts w:eastAsia="Times New Roman"/>
              </w:rPr>
            </w:pPr>
            <w:r>
              <w:rPr>
                <w:rFonts w:ascii="Arial" w:eastAsia="Times New Roman" w:hAnsi="Arial" w:cs="Arial"/>
                <w:color w:val="000000"/>
                <w:sz w:val="20"/>
                <w:szCs w:val="20"/>
              </w:rPr>
              <w:t>(122.4)</w:t>
            </w:r>
          </w:p>
        </w:tc>
        <w:tc>
          <w:tcPr>
            <w:tcW w:w="0" w:type="auto"/>
            <w:shd w:val="clear" w:color="auto" w:fill="DCE2EF"/>
            <w:tcMar>
              <w:top w:w="30" w:type="dxa"/>
              <w:left w:w="0" w:type="dxa"/>
              <w:bottom w:w="30" w:type="dxa"/>
              <w:right w:w="20" w:type="dxa"/>
            </w:tcMar>
            <w:vAlign w:val="bottom"/>
            <w:hideMark/>
          </w:tcPr>
          <w:p w14:paraId="2C890F0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13132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3D1B5AC" w14:textId="77777777" w:rsidR="00000000" w:rsidRDefault="001D0688">
            <w:pPr>
              <w:jc w:val="right"/>
              <w:rPr>
                <w:rFonts w:eastAsia="Times New Roman"/>
              </w:rPr>
            </w:pPr>
            <w:r>
              <w:rPr>
                <w:rFonts w:ascii="Arial" w:eastAsia="Times New Roman" w:hAnsi="Arial" w:cs="Arial"/>
                <w:color w:val="000000"/>
                <w:sz w:val="20"/>
                <w:szCs w:val="20"/>
              </w:rPr>
              <w:t>(127.7)</w:t>
            </w:r>
          </w:p>
        </w:tc>
        <w:tc>
          <w:tcPr>
            <w:tcW w:w="0" w:type="auto"/>
            <w:shd w:val="clear" w:color="auto" w:fill="DCE2EF"/>
            <w:tcMar>
              <w:top w:w="30" w:type="dxa"/>
              <w:left w:w="0" w:type="dxa"/>
              <w:bottom w:w="30" w:type="dxa"/>
              <w:right w:w="20" w:type="dxa"/>
            </w:tcMar>
            <w:vAlign w:val="bottom"/>
            <w:hideMark/>
          </w:tcPr>
          <w:p w14:paraId="4F337BC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20312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F0B4172" w14:textId="77777777" w:rsidR="00000000" w:rsidRDefault="001D0688">
            <w:pPr>
              <w:jc w:val="right"/>
              <w:rPr>
                <w:rFonts w:eastAsia="Times New Roman"/>
              </w:rPr>
            </w:pPr>
            <w:r>
              <w:rPr>
                <w:rFonts w:ascii="Arial" w:eastAsia="Times New Roman" w:hAnsi="Arial" w:cs="Arial"/>
                <w:color w:val="000000"/>
                <w:sz w:val="20"/>
                <w:szCs w:val="20"/>
              </w:rPr>
              <w:t>(147.1)</w:t>
            </w:r>
          </w:p>
        </w:tc>
        <w:tc>
          <w:tcPr>
            <w:tcW w:w="0" w:type="auto"/>
            <w:shd w:val="clear" w:color="auto" w:fill="DCE2EF"/>
            <w:tcMar>
              <w:top w:w="30" w:type="dxa"/>
              <w:left w:w="0" w:type="dxa"/>
              <w:bottom w:w="30" w:type="dxa"/>
              <w:right w:w="20" w:type="dxa"/>
            </w:tcMar>
            <w:vAlign w:val="bottom"/>
            <w:hideMark/>
          </w:tcPr>
          <w:p w14:paraId="2DDA91CD" w14:textId="77777777" w:rsidR="00000000" w:rsidRDefault="001D0688">
            <w:pPr>
              <w:jc w:val="right"/>
              <w:rPr>
                <w:rFonts w:eastAsia="Times New Roman"/>
              </w:rPr>
            </w:pPr>
          </w:p>
        </w:tc>
      </w:tr>
      <w:tr w:rsidR="00000000" w14:paraId="2448841C" w14:textId="77777777">
        <w:trPr>
          <w:divId w:val="1445537595"/>
        </w:trPr>
        <w:tc>
          <w:tcPr>
            <w:tcW w:w="0" w:type="auto"/>
            <w:gridSpan w:val="3"/>
            <w:shd w:val="clear" w:color="auto" w:fill="FFFFFF"/>
            <w:tcMar>
              <w:top w:w="0" w:type="dxa"/>
              <w:left w:w="20" w:type="dxa"/>
              <w:bottom w:w="0" w:type="dxa"/>
              <w:right w:w="20" w:type="dxa"/>
            </w:tcMar>
            <w:vAlign w:val="center"/>
            <w:hideMark/>
          </w:tcPr>
          <w:p w14:paraId="79D244D1"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A6EFE1"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4D3839" w14:textId="77777777" w:rsidR="00000000" w:rsidRDefault="001D0688">
            <w:pPr>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72A00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0E9CE"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C65A7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88ED14" w14:textId="77777777" w:rsidR="00000000" w:rsidRDefault="001D0688">
            <w:pPr>
              <w:jc w:val="right"/>
              <w:rPr>
                <w:rFonts w:eastAsia="Times New Roman"/>
              </w:rPr>
            </w:pPr>
            <w:r>
              <w:rPr>
                <w:rFonts w:ascii="Arial" w:eastAsia="Times New Roman" w:hAnsi="Arial" w:cs="Arial"/>
                <w:color w:val="000000"/>
                <w:sz w:val="20"/>
                <w:szCs w:val="20"/>
              </w:rPr>
              <w:t>6,498.6 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FC096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1BF43"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13372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375D0F" w14:textId="77777777" w:rsidR="00000000" w:rsidRDefault="001D0688">
            <w:pPr>
              <w:jc w:val="right"/>
              <w:rPr>
                <w:rFonts w:eastAsia="Times New Roman"/>
              </w:rPr>
            </w:pPr>
            <w:r>
              <w:rPr>
                <w:rFonts w:ascii="Arial" w:eastAsia="Times New Roman" w:hAnsi="Arial" w:cs="Arial"/>
                <w:color w:val="000000"/>
                <w:sz w:val="20"/>
                <w:szCs w:val="20"/>
              </w:rPr>
              <w:t>6,442.2 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F9E165" w14:textId="77777777" w:rsidR="00000000" w:rsidRDefault="001D0688">
            <w:pPr>
              <w:jc w:val="right"/>
              <w:rPr>
                <w:rFonts w:eastAsia="Times New Roman"/>
              </w:rPr>
            </w:pPr>
          </w:p>
        </w:tc>
      </w:tr>
      <w:tr w:rsidR="00000000" w14:paraId="3412797C" w14:textId="77777777">
        <w:trPr>
          <w:divId w:val="1445537595"/>
        </w:trPr>
        <w:tc>
          <w:tcPr>
            <w:tcW w:w="0" w:type="auto"/>
            <w:gridSpan w:val="3"/>
            <w:shd w:val="clear" w:color="auto" w:fill="DCE2EF"/>
            <w:tcMar>
              <w:top w:w="30" w:type="dxa"/>
              <w:left w:w="20" w:type="dxa"/>
              <w:bottom w:w="30" w:type="dxa"/>
              <w:right w:w="20" w:type="dxa"/>
            </w:tcMar>
            <w:vAlign w:val="bottom"/>
            <w:hideMark/>
          </w:tcPr>
          <w:p w14:paraId="0D00E44A" w14:textId="77777777" w:rsidR="00000000" w:rsidRDefault="001D0688">
            <w:pPr>
              <w:rPr>
                <w:rFonts w:eastAsia="Times New Roman"/>
              </w:rPr>
            </w:pPr>
            <w:r>
              <w:rPr>
                <w:rFonts w:ascii="Arial" w:eastAsia="Times New Roman" w:hAnsi="Arial" w:cs="Arial"/>
                <w:b/>
                <w:bCs/>
                <w:color w:val="000000"/>
                <w:sz w:val="20"/>
                <w:szCs w:val="20"/>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7642B49C"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17BAAE"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4161A8B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A921F90"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32D1C229" w14:textId="77777777" w:rsidR="00000000" w:rsidRDefault="001D0688">
            <w:pPr>
              <w:rPr>
                <w:rFonts w:eastAsia="Times New Roman"/>
                <w:sz w:val="20"/>
                <w:szCs w:val="20"/>
              </w:rPr>
            </w:pPr>
          </w:p>
        </w:tc>
      </w:tr>
      <w:tr w:rsidR="00000000" w14:paraId="709CB4D3" w14:textId="77777777">
        <w:trPr>
          <w:divId w:val="1445537595"/>
        </w:trPr>
        <w:tc>
          <w:tcPr>
            <w:tcW w:w="0" w:type="auto"/>
            <w:gridSpan w:val="3"/>
            <w:shd w:val="clear" w:color="auto" w:fill="FFFFFF"/>
            <w:tcMar>
              <w:top w:w="30" w:type="dxa"/>
              <w:left w:w="20" w:type="dxa"/>
              <w:bottom w:w="30" w:type="dxa"/>
              <w:right w:w="20" w:type="dxa"/>
            </w:tcMar>
            <w:vAlign w:val="bottom"/>
            <w:hideMark/>
          </w:tcPr>
          <w:p w14:paraId="43CB54AD" w14:textId="77777777" w:rsidR="00000000" w:rsidRDefault="001D0688">
            <w:pPr>
              <w:rPr>
                <w:rFonts w:eastAsia="Times New Roman"/>
              </w:rPr>
            </w:pPr>
            <w:r>
              <w:rPr>
                <w:rFonts w:ascii="Arial" w:eastAsia="Times New Roman" w:hAnsi="Arial" w:cs="Arial"/>
                <w:color w:val="000000"/>
                <w:sz w:val="20"/>
                <w:szCs w:val="20"/>
              </w:rPr>
              <w:t xml:space="preserve">Business &amp; </w:t>
            </w:r>
            <w:r>
              <w:rPr>
                <w:rFonts w:ascii="Arial" w:eastAsia="Times New Roman" w:hAnsi="Arial" w:cs="Arial"/>
                <w:color w:val="000000"/>
                <w:sz w:val="20"/>
                <w:szCs w:val="20"/>
              </w:rPr>
              <w:t>Industry</w:t>
            </w:r>
          </w:p>
        </w:tc>
        <w:tc>
          <w:tcPr>
            <w:tcW w:w="0" w:type="auto"/>
            <w:shd w:val="clear" w:color="auto" w:fill="FFFFFF"/>
            <w:tcMar>
              <w:top w:w="30" w:type="dxa"/>
              <w:left w:w="20" w:type="dxa"/>
              <w:bottom w:w="30" w:type="dxa"/>
              <w:right w:w="0" w:type="dxa"/>
            </w:tcMar>
            <w:vAlign w:val="bottom"/>
            <w:hideMark/>
          </w:tcPr>
          <w:p w14:paraId="6A7C476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CCB994D" w14:textId="77777777" w:rsidR="00000000" w:rsidRDefault="001D0688">
            <w:pPr>
              <w:jc w:val="right"/>
              <w:rPr>
                <w:rFonts w:eastAsia="Times New Roman"/>
              </w:rPr>
            </w:pPr>
            <w:r>
              <w:rPr>
                <w:rFonts w:ascii="Arial" w:eastAsia="Times New Roman" w:hAnsi="Arial" w:cs="Arial"/>
                <w:color w:val="000000"/>
                <w:sz w:val="20"/>
                <w:szCs w:val="20"/>
              </w:rPr>
              <w:t>253.7 </w:t>
            </w:r>
          </w:p>
        </w:tc>
        <w:tc>
          <w:tcPr>
            <w:tcW w:w="0" w:type="auto"/>
            <w:shd w:val="clear" w:color="auto" w:fill="FFFFFF"/>
            <w:tcMar>
              <w:top w:w="30" w:type="dxa"/>
              <w:left w:w="0" w:type="dxa"/>
              <w:bottom w:w="30" w:type="dxa"/>
              <w:right w:w="20" w:type="dxa"/>
            </w:tcMar>
            <w:vAlign w:val="bottom"/>
            <w:hideMark/>
          </w:tcPr>
          <w:p w14:paraId="69C4EDD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6681E"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35142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B52DA0F" w14:textId="77777777" w:rsidR="00000000" w:rsidRDefault="001D0688">
            <w:pPr>
              <w:jc w:val="right"/>
              <w:rPr>
                <w:rFonts w:eastAsia="Times New Roman"/>
              </w:rPr>
            </w:pPr>
            <w:r>
              <w:rPr>
                <w:rFonts w:ascii="Arial" w:eastAsia="Times New Roman" w:hAnsi="Arial" w:cs="Arial"/>
                <w:color w:val="000000"/>
                <w:sz w:val="20"/>
                <w:szCs w:val="20"/>
              </w:rPr>
              <w:t>182.3 </w:t>
            </w:r>
          </w:p>
        </w:tc>
        <w:tc>
          <w:tcPr>
            <w:tcW w:w="0" w:type="auto"/>
            <w:shd w:val="clear" w:color="auto" w:fill="FFFFFF"/>
            <w:tcMar>
              <w:top w:w="30" w:type="dxa"/>
              <w:left w:w="0" w:type="dxa"/>
              <w:bottom w:w="30" w:type="dxa"/>
              <w:right w:w="20" w:type="dxa"/>
            </w:tcMar>
            <w:vAlign w:val="bottom"/>
            <w:hideMark/>
          </w:tcPr>
          <w:p w14:paraId="74844CA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CE53B"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72BE0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38F027B2" w14:textId="77777777" w:rsidR="00000000" w:rsidRDefault="001D0688">
            <w:pPr>
              <w:jc w:val="right"/>
              <w:rPr>
                <w:rFonts w:eastAsia="Times New Roman"/>
              </w:rPr>
            </w:pPr>
            <w:r>
              <w:rPr>
                <w:rFonts w:ascii="Arial" w:eastAsia="Times New Roman" w:hAnsi="Arial" w:cs="Arial"/>
                <w:color w:val="000000"/>
                <w:sz w:val="20"/>
                <w:szCs w:val="20"/>
              </w:rPr>
              <w:t>157.9 </w:t>
            </w:r>
          </w:p>
        </w:tc>
        <w:tc>
          <w:tcPr>
            <w:tcW w:w="0" w:type="auto"/>
            <w:shd w:val="clear" w:color="auto" w:fill="FFFFFF"/>
            <w:tcMar>
              <w:top w:w="30" w:type="dxa"/>
              <w:left w:w="0" w:type="dxa"/>
              <w:bottom w:w="30" w:type="dxa"/>
              <w:right w:w="20" w:type="dxa"/>
            </w:tcMar>
            <w:vAlign w:val="bottom"/>
            <w:hideMark/>
          </w:tcPr>
          <w:p w14:paraId="702FB0C0" w14:textId="77777777" w:rsidR="00000000" w:rsidRDefault="001D0688">
            <w:pPr>
              <w:jc w:val="right"/>
              <w:rPr>
                <w:rFonts w:eastAsia="Times New Roman"/>
              </w:rPr>
            </w:pPr>
          </w:p>
        </w:tc>
      </w:tr>
      <w:tr w:rsidR="00000000" w14:paraId="617D72E5" w14:textId="77777777">
        <w:trPr>
          <w:divId w:val="1445537595"/>
        </w:trPr>
        <w:tc>
          <w:tcPr>
            <w:tcW w:w="0" w:type="auto"/>
            <w:gridSpan w:val="3"/>
            <w:shd w:val="clear" w:color="auto" w:fill="DCE2EF"/>
            <w:tcMar>
              <w:top w:w="30" w:type="dxa"/>
              <w:left w:w="20" w:type="dxa"/>
              <w:bottom w:w="30" w:type="dxa"/>
              <w:right w:w="20" w:type="dxa"/>
            </w:tcMar>
            <w:vAlign w:val="bottom"/>
            <w:hideMark/>
          </w:tcPr>
          <w:p w14:paraId="46D20541" w14:textId="77777777" w:rsidR="00000000" w:rsidRDefault="001D0688">
            <w:pPr>
              <w:rPr>
                <w:rFonts w:eastAsia="Times New Roman"/>
              </w:rPr>
            </w:pPr>
            <w:r>
              <w:rPr>
                <w:rFonts w:ascii="Arial" w:eastAsia="Times New Roman" w:hAnsi="Arial" w:cs="Arial"/>
                <w:color w:val="000000"/>
                <w:sz w:val="20"/>
                <w:szCs w:val="20"/>
              </w:rPr>
              <w:t>Technology &amp; Manufacturing</w:t>
            </w:r>
          </w:p>
        </w:tc>
        <w:tc>
          <w:tcPr>
            <w:tcW w:w="0" w:type="auto"/>
            <w:gridSpan w:val="2"/>
            <w:shd w:val="clear" w:color="auto" w:fill="DCE2EF"/>
            <w:tcMar>
              <w:top w:w="30" w:type="dxa"/>
              <w:left w:w="20" w:type="dxa"/>
              <w:bottom w:w="30" w:type="dxa"/>
              <w:right w:w="0" w:type="dxa"/>
            </w:tcMar>
            <w:vAlign w:val="bottom"/>
            <w:hideMark/>
          </w:tcPr>
          <w:p w14:paraId="0220592C" w14:textId="77777777" w:rsidR="00000000" w:rsidRDefault="001D0688">
            <w:pPr>
              <w:jc w:val="right"/>
              <w:rPr>
                <w:rFonts w:eastAsia="Times New Roman"/>
              </w:rPr>
            </w:pPr>
            <w:r>
              <w:rPr>
                <w:rFonts w:ascii="Arial" w:eastAsia="Times New Roman" w:hAnsi="Arial" w:cs="Arial"/>
                <w:color w:val="000000"/>
                <w:sz w:val="20"/>
                <w:szCs w:val="20"/>
              </w:rPr>
              <w:t>84.4 </w:t>
            </w:r>
          </w:p>
        </w:tc>
        <w:tc>
          <w:tcPr>
            <w:tcW w:w="0" w:type="auto"/>
            <w:shd w:val="clear" w:color="auto" w:fill="DCE2EF"/>
            <w:tcMar>
              <w:top w:w="30" w:type="dxa"/>
              <w:left w:w="0" w:type="dxa"/>
              <w:bottom w:w="30" w:type="dxa"/>
              <w:right w:w="20" w:type="dxa"/>
            </w:tcMar>
            <w:vAlign w:val="bottom"/>
            <w:hideMark/>
          </w:tcPr>
          <w:p w14:paraId="2E09963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D3D24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361382" w14:textId="77777777" w:rsidR="00000000" w:rsidRDefault="001D0688">
            <w:pPr>
              <w:jc w:val="right"/>
              <w:rPr>
                <w:rFonts w:eastAsia="Times New Roman"/>
              </w:rPr>
            </w:pPr>
            <w:r>
              <w:rPr>
                <w:rFonts w:ascii="Arial" w:eastAsia="Times New Roman" w:hAnsi="Arial" w:cs="Arial"/>
                <w:color w:val="000000"/>
                <w:sz w:val="20"/>
                <w:szCs w:val="20"/>
              </w:rPr>
              <w:t>72.5 </w:t>
            </w:r>
          </w:p>
        </w:tc>
        <w:tc>
          <w:tcPr>
            <w:tcW w:w="0" w:type="auto"/>
            <w:shd w:val="clear" w:color="auto" w:fill="DCE2EF"/>
            <w:tcMar>
              <w:top w:w="30" w:type="dxa"/>
              <w:left w:w="0" w:type="dxa"/>
              <w:bottom w:w="30" w:type="dxa"/>
              <w:right w:w="20" w:type="dxa"/>
            </w:tcMar>
            <w:vAlign w:val="bottom"/>
            <w:hideMark/>
          </w:tcPr>
          <w:p w14:paraId="4A971A6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DD83E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1A8A50" w14:textId="77777777" w:rsidR="00000000" w:rsidRDefault="001D0688">
            <w:pPr>
              <w:jc w:val="right"/>
              <w:rPr>
                <w:rFonts w:eastAsia="Times New Roman"/>
              </w:rPr>
            </w:pPr>
            <w:r>
              <w:rPr>
                <w:rFonts w:ascii="Arial" w:eastAsia="Times New Roman" w:hAnsi="Arial" w:cs="Arial"/>
                <w:color w:val="000000"/>
                <w:sz w:val="20"/>
                <w:szCs w:val="20"/>
              </w:rPr>
              <w:t>67.4 </w:t>
            </w:r>
          </w:p>
        </w:tc>
        <w:tc>
          <w:tcPr>
            <w:tcW w:w="0" w:type="auto"/>
            <w:shd w:val="clear" w:color="auto" w:fill="DCE2EF"/>
            <w:tcMar>
              <w:top w:w="30" w:type="dxa"/>
              <w:left w:w="0" w:type="dxa"/>
              <w:bottom w:w="30" w:type="dxa"/>
              <w:right w:w="20" w:type="dxa"/>
            </w:tcMar>
            <w:vAlign w:val="bottom"/>
            <w:hideMark/>
          </w:tcPr>
          <w:p w14:paraId="773904E3" w14:textId="77777777" w:rsidR="00000000" w:rsidRDefault="001D0688">
            <w:pPr>
              <w:jc w:val="right"/>
              <w:rPr>
                <w:rFonts w:eastAsia="Times New Roman"/>
              </w:rPr>
            </w:pPr>
          </w:p>
        </w:tc>
      </w:tr>
      <w:tr w:rsidR="00000000" w14:paraId="590A8DDB" w14:textId="77777777">
        <w:trPr>
          <w:divId w:val="1445537595"/>
        </w:trPr>
        <w:tc>
          <w:tcPr>
            <w:tcW w:w="0" w:type="auto"/>
            <w:gridSpan w:val="3"/>
            <w:shd w:val="clear" w:color="auto" w:fill="FFFFFF"/>
            <w:tcMar>
              <w:top w:w="30" w:type="dxa"/>
              <w:left w:w="20" w:type="dxa"/>
              <w:bottom w:w="30" w:type="dxa"/>
              <w:right w:w="20" w:type="dxa"/>
            </w:tcMar>
            <w:vAlign w:val="bottom"/>
            <w:hideMark/>
          </w:tcPr>
          <w:p w14:paraId="24ADB3E7" w14:textId="77777777" w:rsidR="00000000" w:rsidRDefault="001D0688">
            <w:pPr>
              <w:divId w:val="288900826"/>
              <w:rPr>
                <w:rFonts w:eastAsia="Times New Roman"/>
              </w:rPr>
            </w:pPr>
            <w:r>
              <w:rPr>
                <w:rFonts w:ascii="Arial" w:eastAsia="Times New Roman" w:hAnsi="Arial" w:cs="Arial"/>
                <w:color w:val="000000"/>
                <w:sz w:val="20"/>
                <w:szCs w:val="20"/>
              </w:rPr>
              <w:t>Educatio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36DB704C" w14:textId="77777777" w:rsidR="00000000" w:rsidRDefault="001D0688">
            <w:pPr>
              <w:jc w:val="right"/>
              <w:rPr>
                <w:rFonts w:eastAsia="Times New Roman"/>
              </w:rPr>
            </w:pPr>
            <w:r>
              <w:rPr>
                <w:rFonts w:ascii="Arial" w:eastAsia="Times New Roman" w:hAnsi="Arial" w:cs="Arial"/>
                <w:color w:val="000000"/>
                <w:sz w:val="20"/>
                <w:szCs w:val="20"/>
              </w:rPr>
              <w:t>(41.1)</w:t>
            </w:r>
          </w:p>
        </w:tc>
        <w:tc>
          <w:tcPr>
            <w:tcW w:w="0" w:type="auto"/>
            <w:shd w:val="clear" w:color="auto" w:fill="FFFFFF"/>
            <w:tcMar>
              <w:top w:w="30" w:type="dxa"/>
              <w:left w:w="0" w:type="dxa"/>
              <w:bottom w:w="30" w:type="dxa"/>
              <w:right w:w="20" w:type="dxa"/>
            </w:tcMar>
            <w:vAlign w:val="bottom"/>
            <w:hideMark/>
          </w:tcPr>
          <w:p w14:paraId="1B6FE31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8784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DBCE41" w14:textId="77777777" w:rsidR="00000000" w:rsidRDefault="001D0688">
            <w:pPr>
              <w:jc w:val="right"/>
              <w:rPr>
                <w:rFonts w:eastAsia="Times New Roman"/>
              </w:rPr>
            </w:pPr>
            <w:r>
              <w:rPr>
                <w:rFonts w:ascii="Arial" w:eastAsia="Times New Roman" w:hAnsi="Arial" w:cs="Arial"/>
                <w:color w:val="000000"/>
                <w:sz w:val="20"/>
                <w:szCs w:val="20"/>
              </w:rPr>
              <w:t>39.0 </w:t>
            </w:r>
          </w:p>
        </w:tc>
        <w:tc>
          <w:tcPr>
            <w:tcW w:w="0" w:type="auto"/>
            <w:shd w:val="clear" w:color="auto" w:fill="FFFFFF"/>
            <w:tcMar>
              <w:top w:w="30" w:type="dxa"/>
              <w:left w:w="0" w:type="dxa"/>
              <w:bottom w:w="30" w:type="dxa"/>
              <w:right w:w="20" w:type="dxa"/>
            </w:tcMar>
            <w:vAlign w:val="bottom"/>
            <w:hideMark/>
          </w:tcPr>
          <w:p w14:paraId="23847AD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A55D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6AEB20" w14:textId="77777777" w:rsidR="00000000" w:rsidRDefault="001D0688">
            <w:pPr>
              <w:jc w:val="right"/>
              <w:rPr>
                <w:rFonts w:eastAsia="Times New Roman"/>
              </w:rPr>
            </w:pPr>
            <w:r>
              <w:rPr>
                <w:rFonts w:ascii="Arial" w:eastAsia="Times New Roman" w:hAnsi="Arial" w:cs="Arial"/>
                <w:color w:val="000000"/>
                <w:sz w:val="20"/>
                <w:szCs w:val="20"/>
              </w:rPr>
              <w:t>44.1 </w:t>
            </w:r>
          </w:p>
        </w:tc>
        <w:tc>
          <w:tcPr>
            <w:tcW w:w="0" w:type="auto"/>
            <w:shd w:val="clear" w:color="auto" w:fill="FFFFFF"/>
            <w:tcMar>
              <w:top w:w="30" w:type="dxa"/>
              <w:left w:w="0" w:type="dxa"/>
              <w:bottom w:w="30" w:type="dxa"/>
              <w:right w:w="20" w:type="dxa"/>
            </w:tcMar>
            <w:vAlign w:val="bottom"/>
            <w:hideMark/>
          </w:tcPr>
          <w:p w14:paraId="4ECAE6F1" w14:textId="77777777" w:rsidR="00000000" w:rsidRDefault="001D0688">
            <w:pPr>
              <w:jc w:val="right"/>
              <w:rPr>
                <w:rFonts w:eastAsia="Times New Roman"/>
              </w:rPr>
            </w:pPr>
          </w:p>
        </w:tc>
      </w:tr>
      <w:tr w:rsidR="00000000" w14:paraId="5B9C368B" w14:textId="77777777">
        <w:trPr>
          <w:divId w:val="1445537595"/>
        </w:trPr>
        <w:tc>
          <w:tcPr>
            <w:tcW w:w="0" w:type="auto"/>
            <w:gridSpan w:val="3"/>
            <w:shd w:val="clear" w:color="auto" w:fill="DCE2EF"/>
            <w:tcMar>
              <w:top w:w="30" w:type="dxa"/>
              <w:left w:w="20" w:type="dxa"/>
              <w:bottom w:w="30" w:type="dxa"/>
              <w:right w:w="20" w:type="dxa"/>
            </w:tcMar>
            <w:vAlign w:val="bottom"/>
            <w:hideMark/>
          </w:tcPr>
          <w:p w14:paraId="04F0F064" w14:textId="77777777" w:rsidR="00000000" w:rsidRDefault="001D0688">
            <w:pPr>
              <w:divId w:val="711609978"/>
              <w:rPr>
                <w:rFonts w:eastAsia="Times New Roman"/>
              </w:rPr>
            </w:pPr>
            <w:r>
              <w:rPr>
                <w:rFonts w:ascii="Arial" w:eastAsia="Times New Roman" w:hAnsi="Arial" w:cs="Arial"/>
                <w:color w:val="000000"/>
                <w:sz w:val="20"/>
                <w:szCs w:val="20"/>
              </w:rPr>
              <w:t>Aviatio</w:t>
            </w:r>
            <w:r>
              <w:rPr>
                <w:rFonts w:ascii="Arial" w:eastAsia="Times New Roman" w:hAnsi="Arial" w:cs="Arial"/>
                <w:color w:val="000000"/>
                <w:sz w:val="20"/>
                <w:szCs w:val="20"/>
              </w:rPr>
              <w:t>n</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14:paraId="2A42DA09" w14:textId="77777777" w:rsidR="00000000" w:rsidRDefault="001D0688">
            <w:pPr>
              <w:jc w:val="right"/>
              <w:rPr>
                <w:rFonts w:eastAsia="Times New Roman"/>
              </w:rPr>
            </w:pPr>
            <w:r>
              <w:rPr>
                <w:rFonts w:ascii="Arial" w:eastAsia="Times New Roman" w:hAnsi="Arial" w:cs="Arial"/>
                <w:color w:val="000000"/>
                <w:sz w:val="20"/>
                <w:szCs w:val="20"/>
              </w:rPr>
              <w:t>(59.6)</w:t>
            </w:r>
          </w:p>
        </w:tc>
        <w:tc>
          <w:tcPr>
            <w:tcW w:w="0" w:type="auto"/>
            <w:shd w:val="clear" w:color="auto" w:fill="DCE2EF"/>
            <w:tcMar>
              <w:top w:w="30" w:type="dxa"/>
              <w:left w:w="0" w:type="dxa"/>
              <w:bottom w:w="30" w:type="dxa"/>
              <w:right w:w="20" w:type="dxa"/>
            </w:tcMar>
            <w:vAlign w:val="bottom"/>
            <w:hideMark/>
          </w:tcPr>
          <w:p w14:paraId="61B35D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15820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92A6B04" w14:textId="77777777" w:rsidR="00000000" w:rsidRDefault="001D0688">
            <w:pPr>
              <w:jc w:val="right"/>
              <w:rPr>
                <w:rFonts w:eastAsia="Times New Roman"/>
              </w:rPr>
            </w:pPr>
            <w:r>
              <w:rPr>
                <w:rFonts w:ascii="Arial" w:eastAsia="Times New Roman" w:hAnsi="Arial" w:cs="Arial"/>
                <w:color w:val="000000"/>
                <w:sz w:val="20"/>
                <w:szCs w:val="20"/>
              </w:rPr>
              <w:t>21.1 </w:t>
            </w:r>
          </w:p>
        </w:tc>
        <w:tc>
          <w:tcPr>
            <w:tcW w:w="0" w:type="auto"/>
            <w:shd w:val="clear" w:color="auto" w:fill="DCE2EF"/>
            <w:tcMar>
              <w:top w:w="30" w:type="dxa"/>
              <w:left w:w="0" w:type="dxa"/>
              <w:bottom w:w="30" w:type="dxa"/>
              <w:right w:w="20" w:type="dxa"/>
            </w:tcMar>
            <w:vAlign w:val="bottom"/>
            <w:hideMark/>
          </w:tcPr>
          <w:p w14:paraId="3B582077"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E24EE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FA7779" w14:textId="77777777" w:rsidR="00000000" w:rsidRDefault="001D0688">
            <w:pPr>
              <w:jc w:val="right"/>
              <w:rPr>
                <w:rFonts w:eastAsia="Times New Roman"/>
              </w:rPr>
            </w:pPr>
            <w:r>
              <w:rPr>
                <w:rFonts w:ascii="Arial" w:eastAsia="Times New Roman" w:hAnsi="Arial" w:cs="Arial"/>
                <w:color w:val="000000"/>
                <w:sz w:val="20"/>
                <w:szCs w:val="20"/>
              </w:rPr>
              <w:t>23.2 </w:t>
            </w:r>
          </w:p>
        </w:tc>
        <w:tc>
          <w:tcPr>
            <w:tcW w:w="0" w:type="auto"/>
            <w:shd w:val="clear" w:color="auto" w:fill="DCE2EF"/>
            <w:tcMar>
              <w:top w:w="30" w:type="dxa"/>
              <w:left w:w="0" w:type="dxa"/>
              <w:bottom w:w="30" w:type="dxa"/>
              <w:right w:w="20" w:type="dxa"/>
            </w:tcMar>
            <w:vAlign w:val="bottom"/>
            <w:hideMark/>
          </w:tcPr>
          <w:p w14:paraId="45C6183A" w14:textId="77777777" w:rsidR="00000000" w:rsidRDefault="001D0688">
            <w:pPr>
              <w:jc w:val="right"/>
              <w:rPr>
                <w:rFonts w:eastAsia="Times New Roman"/>
              </w:rPr>
            </w:pPr>
          </w:p>
        </w:tc>
      </w:tr>
      <w:tr w:rsidR="00000000" w14:paraId="48834921" w14:textId="77777777">
        <w:trPr>
          <w:divId w:val="1445537595"/>
        </w:trPr>
        <w:tc>
          <w:tcPr>
            <w:tcW w:w="0" w:type="auto"/>
            <w:gridSpan w:val="3"/>
            <w:shd w:val="clear" w:color="auto" w:fill="FFFFFF"/>
            <w:tcMar>
              <w:top w:w="30" w:type="dxa"/>
              <w:left w:w="20" w:type="dxa"/>
              <w:bottom w:w="30" w:type="dxa"/>
              <w:right w:w="20" w:type="dxa"/>
            </w:tcMar>
            <w:vAlign w:val="bottom"/>
            <w:hideMark/>
          </w:tcPr>
          <w:p w14:paraId="12E56BA9" w14:textId="77777777" w:rsidR="00000000" w:rsidRDefault="001D0688">
            <w:pPr>
              <w:divId w:val="1217929563"/>
              <w:rPr>
                <w:rFonts w:eastAsia="Times New Roman"/>
              </w:rPr>
            </w:pPr>
            <w:r>
              <w:rPr>
                <w:rFonts w:ascii="Arial" w:eastAsia="Times New Roman" w:hAnsi="Arial" w:cs="Arial"/>
                <w:color w:val="000000"/>
                <w:sz w:val="20"/>
                <w:szCs w:val="20"/>
              </w:rPr>
              <w:t>Technical Solution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065FDADC" w14:textId="77777777" w:rsidR="00000000" w:rsidRDefault="001D0688">
            <w:pPr>
              <w:jc w:val="right"/>
              <w:rPr>
                <w:rFonts w:eastAsia="Times New Roman"/>
              </w:rPr>
            </w:pPr>
            <w:r>
              <w:rPr>
                <w:rFonts w:ascii="Arial" w:eastAsia="Times New Roman" w:hAnsi="Arial" w:cs="Arial"/>
                <w:color w:val="000000"/>
                <w:sz w:val="20"/>
                <w:szCs w:val="20"/>
              </w:rPr>
              <w:t>9.5 </w:t>
            </w:r>
          </w:p>
        </w:tc>
        <w:tc>
          <w:tcPr>
            <w:tcW w:w="0" w:type="auto"/>
            <w:shd w:val="clear" w:color="auto" w:fill="FFFFFF"/>
            <w:tcMar>
              <w:top w:w="30" w:type="dxa"/>
              <w:left w:w="0" w:type="dxa"/>
              <w:bottom w:w="30" w:type="dxa"/>
              <w:right w:w="20" w:type="dxa"/>
            </w:tcMar>
            <w:vAlign w:val="bottom"/>
            <w:hideMark/>
          </w:tcPr>
          <w:p w14:paraId="265BE0B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7DE0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DE326" w14:textId="77777777" w:rsidR="00000000" w:rsidRDefault="001D0688">
            <w:pPr>
              <w:jc w:val="right"/>
              <w:rPr>
                <w:rFonts w:eastAsia="Times New Roman"/>
              </w:rPr>
            </w:pPr>
            <w:r>
              <w:rPr>
                <w:rFonts w:ascii="Arial" w:eastAsia="Times New Roman" w:hAnsi="Arial" w:cs="Arial"/>
                <w:color w:val="000000"/>
                <w:sz w:val="20"/>
                <w:szCs w:val="20"/>
              </w:rPr>
              <w:t>55.4 </w:t>
            </w:r>
          </w:p>
        </w:tc>
        <w:tc>
          <w:tcPr>
            <w:tcW w:w="0" w:type="auto"/>
            <w:shd w:val="clear" w:color="auto" w:fill="FFFFFF"/>
            <w:tcMar>
              <w:top w:w="30" w:type="dxa"/>
              <w:left w:w="0" w:type="dxa"/>
              <w:bottom w:w="30" w:type="dxa"/>
              <w:right w:w="20" w:type="dxa"/>
            </w:tcMar>
            <w:vAlign w:val="bottom"/>
            <w:hideMark/>
          </w:tcPr>
          <w:p w14:paraId="2F20078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D1D3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65452" w14:textId="77777777" w:rsidR="00000000" w:rsidRDefault="001D0688">
            <w:pPr>
              <w:jc w:val="right"/>
              <w:rPr>
                <w:rFonts w:eastAsia="Times New Roman"/>
              </w:rPr>
            </w:pPr>
            <w:r>
              <w:rPr>
                <w:rFonts w:ascii="Arial" w:eastAsia="Times New Roman" w:hAnsi="Arial" w:cs="Arial"/>
                <w:color w:val="000000"/>
                <w:sz w:val="20"/>
                <w:szCs w:val="20"/>
              </w:rPr>
              <w:t>21.8 </w:t>
            </w:r>
          </w:p>
        </w:tc>
        <w:tc>
          <w:tcPr>
            <w:tcW w:w="0" w:type="auto"/>
            <w:shd w:val="clear" w:color="auto" w:fill="FFFFFF"/>
            <w:tcMar>
              <w:top w:w="30" w:type="dxa"/>
              <w:left w:w="0" w:type="dxa"/>
              <w:bottom w:w="30" w:type="dxa"/>
              <w:right w:w="20" w:type="dxa"/>
            </w:tcMar>
            <w:vAlign w:val="bottom"/>
            <w:hideMark/>
          </w:tcPr>
          <w:p w14:paraId="043D8E28" w14:textId="77777777" w:rsidR="00000000" w:rsidRDefault="001D0688">
            <w:pPr>
              <w:jc w:val="right"/>
              <w:rPr>
                <w:rFonts w:eastAsia="Times New Roman"/>
              </w:rPr>
            </w:pPr>
          </w:p>
        </w:tc>
      </w:tr>
      <w:tr w:rsidR="00000000" w14:paraId="43D47690" w14:textId="77777777">
        <w:trPr>
          <w:divId w:val="1445537595"/>
        </w:trPr>
        <w:tc>
          <w:tcPr>
            <w:tcW w:w="0" w:type="auto"/>
            <w:gridSpan w:val="3"/>
            <w:shd w:val="clear" w:color="auto" w:fill="DCE2EF"/>
            <w:tcMar>
              <w:top w:w="30" w:type="dxa"/>
              <w:left w:w="20" w:type="dxa"/>
              <w:bottom w:w="30" w:type="dxa"/>
              <w:right w:w="20" w:type="dxa"/>
            </w:tcMar>
            <w:vAlign w:val="bottom"/>
            <w:hideMark/>
          </w:tcPr>
          <w:p w14:paraId="6F996475" w14:textId="77777777" w:rsidR="00000000" w:rsidRDefault="001D0688">
            <w:pPr>
              <w:rPr>
                <w:rFonts w:eastAsia="Times New Roman"/>
              </w:rPr>
            </w:pPr>
            <w:r>
              <w:rPr>
                <w:rFonts w:ascii="Arial" w:eastAsia="Times New Roman" w:hAnsi="Arial" w:cs="Arial"/>
                <w:color w:val="000000"/>
                <w:sz w:val="20"/>
                <w:szCs w:val="20"/>
              </w:rPr>
              <w:t>Government Services</w:t>
            </w:r>
          </w:p>
        </w:tc>
        <w:tc>
          <w:tcPr>
            <w:tcW w:w="0" w:type="auto"/>
            <w:gridSpan w:val="2"/>
            <w:shd w:val="clear" w:color="auto" w:fill="DCE2EF"/>
            <w:tcMar>
              <w:top w:w="30" w:type="dxa"/>
              <w:left w:w="20" w:type="dxa"/>
              <w:bottom w:w="30" w:type="dxa"/>
              <w:right w:w="0" w:type="dxa"/>
            </w:tcMar>
            <w:vAlign w:val="bottom"/>
            <w:hideMark/>
          </w:tcPr>
          <w:p w14:paraId="6AAFC4CD"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14:paraId="741DE6A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2784D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21029B"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14:paraId="226DB28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65A93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18D50F" w14:textId="77777777" w:rsidR="00000000" w:rsidRDefault="001D0688">
            <w:pPr>
              <w:jc w:val="right"/>
              <w:rPr>
                <w:rFonts w:eastAsia="Times New Roman"/>
              </w:rPr>
            </w:pPr>
            <w:r>
              <w:rPr>
                <w:rFonts w:ascii="Arial" w:eastAsia="Times New Roman" w:hAnsi="Arial" w:cs="Arial"/>
                <w:color w:val="000000"/>
                <w:sz w:val="20"/>
                <w:szCs w:val="20"/>
              </w:rPr>
              <w:t>(0.8)</w:t>
            </w:r>
          </w:p>
        </w:tc>
        <w:tc>
          <w:tcPr>
            <w:tcW w:w="0" w:type="auto"/>
            <w:shd w:val="clear" w:color="auto" w:fill="DCE2EF"/>
            <w:tcMar>
              <w:top w:w="30" w:type="dxa"/>
              <w:left w:w="0" w:type="dxa"/>
              <w:bottom w:w="30" w:type="dxa"/>
              <w:right w:w="20" w:type="dxa"/>
            </w:tcMar>
            <w:vAlign w:val="bottom"/>
            <w:hideMark/>
          </w:tcPr>
          <w:p w14:paraId="3BB25786" w14:textId="77777777" w:rsidR="00000000" w:rsidRDefault="001D0688">
            <w:pPr>
              <w:jc w:val="right"/>
              <w:rPr>
                <w:rFonts w:eastAsia="Times New Roman"/>
              </w:rPr>
            </w:pPr>
          </w:p>
        </w:tc>
      </w:tr>
      <w:tr w:rsidR="00000000" w14:paraId="6991FAD5" w14:textId="77777777">
        <w:trPr>
          <w:divId w:val="1445537595"/>
        </w:trPr>
        <w:tc>
          <w:tcPr>
            <w:tcW w:w="0" w:type="auto"/>
            <w:gridSpan w:val="3"/>
            <w:shd w:val="clear" w:color="auto" w:fill="FFFFFF"/>
            <w:tcMar>
              <w:top w:w="30" w:type="dxa"/>
              <w:left w:w="20" w:type="dxa"/>
              <w:bottom w:w="30" w:type="dxa"/>
              <w:right w:w="20" w:type="dxa"/>
            </w:tcMar>
            <w:vAlign w:val="bottom"/>
            <w:hideMark/>
          </w:tcPr>
          <w:p w14:paraId="48D545B5" w14:textId="77777777" w:rsidR="00000000" w:rsidRDefault="001D0688">
            <w:pPr>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14:paraId="38E010F6" w14:textId="77777777" w:rsidR="00000000" w:rsidRDefault="001D0688">
            <w:pPr>
              <w:jc w:val="right"/>
              <w:rPr>
                <w:rFonts w:eastAsia="Times New Roman"/>
              </w:rPr>
            </w:pPr>
            <w:r>
              <w:rPr>
                <w:rFonts w:ascii="Arial" w:eastAsia="Times New Roman" w:hAnsi="Arial" w:cs="Arial"/>
                <w:color w:val="000000"/>
                <w:sz w:val="20"/>
                <w:szCs w:val="20"/>
              </w:rPr>
              <w:t>(146.9)</w:t>
            </w:r>
          </w:p>
        </w:tc>
        <w:tc>
          <w:tcPr>
            <w:tcW w:w="0" w:type="auto"/>
            <w:shd w:val="clear" w:color="auto" w:fill="FFFFFF"/>
            <w:tcMar>
              <w:top w:w="30" w:type="dxa"/>
              <w:left w:w="0" w:type="dxa"/>
              <w:bottom w:w="30" w:type="dxa"/>
              <w:right w:w="20" w:type="dxa"/>
            </w:tcMar>
            <w:vAlign w:val="bottom"/>
            <w:hideMark/>
          </w:tcPr>
          <w:p w14:paraId="06F78FE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83EEC"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72D1CD" w14:textId="77777777" w:rsidR="00000000" w:rsidRDefault="001D0688">
            <w:pPr>
              <w:jc w:val="right"/>
              <w:rPr>
                <w:rFonts w:eastAsia="Times New Roman"/>
              </w:rPr>
            </w:pPr>
            <w:r>
              <w:rPr>
                <w:rFonts w:ascii="Arial" w:eastAsia="Times New Roman" w:hAnsi="Arial" w:cs="Arial"/>
                <w:color w:val="000000"/>
                <w:sz w:val="20"/>
                <w:szCs w:val="20"/>
              </w:rPr>
              <w:t>(159.0)</w:t>
            </w:r>
          </w:p>
        </w:tc>
        <w:tc>
          <w:tcPr>
            <w:tcW w:w="0" w:type="auto"/>
            <w:shd w:val="clear" w:color="auto" w:fill="FFFFFF"/>
            <w:tcMar>
              <w:top w:w="30" w:type="dxa"/>
              <w:left w:w="0" w:type="dxa"/>
              <w:bottom w:w="30" w:type="dxa"/>
              <w:right w:w="20" w:type="dxa"/>
            </w:tcMar>
            <w:vAlign w:val="bottom"/>
            <w:hideMark/>
          </w:tcPr>
          <w:p w14:paraId="45E79F2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19AC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B5E38" w14:textId="77777777" w:rsidR="00000000" w:rsidRDefault="001D0688">
            <w:pPr>
              <w:jc w:val="right"/>
              <w:rPr>
                <w:rFonts w:eastAsia="Times New Roman"/>
              </w:rPr>
            </w:pPr>
            <w:r>
              <w:rPr>
                <w:rFonts w:ascii="Arial" w:eastAsia="Times New Roman" w:hAnsi="Arial" w:cs="Arial"/>
                <w:color w:val="000000"/>
                <w:sz w:val="20"/>
                <w:szCs w:val="20"/>
              </w:rPr>
              <w:t>(168.8)</w:t>
            </w:r>
          </w:p>
        </w:tc>
        <w:tc>
          <w:tcPr>
            <w:tcW w:w="0" w:type="auto"/>
            <w:shd w:val="clear" w:color="auto" w:fill="FFFFFF"/>
            <w:tcMar>
              <w:top w:w="30" w:type="dxa"/>
              <w:left w:w="0" w:type="dxa"/>
              <w:bottom w:w="30" w:type="dxa"/>
              <w:right w:w="20" w:type="dxa"/>
            </w:tcMar>
            <w:vAlign w:val="bottom"/>
            <w:hideMark/>
          </w:tcPr>
          <w:p w14:paraId="37CA5E57" w14:textId="77777777" w:rsidR="00000000" w:rsidRDefault="001D0688">
            <w:pPr>
              <w:jc w:val="right"/>
              <w:rPr>
                <w:rFonts w:eastAsia="Times New Roman"/>
              </w:rPr>
            </w:pPr>
          </w:p>
        </w:tc>
      </w:tr>
      <w:tr w:rsidR="00000000" w14:paraId="06139467" w14:textId="77777777">
        <w:trPr>
          <w:divId w:val="1445537595"/>
        </w:trPr>
        <w:tc>
          <w:tcPr>
            <w:tcW w:w="0" w:type="auto"/>
            <w:gridSpan w:val="3"/>
            <w:shd w:val="clear" w:color="auto" w:fill="DCE2EF"/>
            <w:tcMar>
              <w:top w:w="30" w:type="dxa"/>
              <w:left w:w="200" w:type="dxa"/>
              <w:bottom w:w="30" w:type="dxa"/>
              <w:right w:w="20" w:type="dxa"/>
            </w:tcMar>
            <w:hideMark/>
          </w:tcPr>
          <w:p w14:paraId="2050A54F" w14:textId="77777777" w:rsidR="00000000" w:rsidRDefault="001D0688">
            <w:pPr>
              <w:ind w:hanging="180"/>
              <w:rPr>
                <w:rFonts w:eastAsia="Times New Roman"/>
              </w:rPr>
            </w:pPr>
            <w:r>
              <w:rPr>
                <w:rFonts w:ascii="Arial" w:eastAsia="Times New Roman" w:hAnsi="Arial" w:cs="Arial"/>
                <w:color w:val="000000"/>
                <w:sz w:val="20"/>
                <w:szCs w:val="20"/>
              </w:rPr>
              <w:t>Adjustment for income from unconsolidated affiliates, included in Aviation</w:t>
            </w:r>
          </w:p>
        </w:tc>
        <w:tc>
          <w:tcPr>
            <w:tcW w:w="0" w:type="auto"/>
            <w:gridSpan w:val="2"/>
            <w:shd w:val="clear" w:color="auto" w:fill="DCE2EF"/>
            <w:tcMar>
              <w:top w:w="30" w:type="dxa"/>
              <w:left w:w="20" w:type="dxa"/>
              <w:bottom w:w="30" w:type="dxa"/>
              <w:right w:w="0" w:type="dxa"/>
            </w:tcMar>
            <w:vAlign w:val="bottom"/>
            <w:hideMark/>
          </w:tcPr>
          <w:p w14:paraId="50E278B4" w14:textId="77777777" w:rsidR="00000000" w:rsidRDefault="001D0688">
            <w:pPr>
              <w:jc w:val="right"/>
              <w:rPr>
                <w:rFonts w:eastAsia="Times New Roman"/>
              </w:rPr>
            </w:pPr>
            <w:r>
              <w:rPr>
                <w:rFonts w:ascii="Arial" w:eastAsia="Times New Roman" w:hAnsi="Arial" w:cs="Arial"/>
                <w:color w:val="000000"/>
                <w:sz w:val="20"/>
                <w:szCs w:val="20"/>
              </w:rPr>
              <w:t>(2.2)</w:t>
            </w:r>
          </w:p>
        </w:tc>
        <w:tc>
          <w:tcPr>
            <w:tcW w:w="0" w:type="auto"/>
            <w:shd w:val="clear" w:color="auto" w:fill="DCE2EF"/>
            <w:tcMar>
              <w:top w:w="30" w:type="dxa"/>
              <w:left w:w="0" w:type="dxa"/>
              <w:bottom w:w="30" w:type="dxa"/>
              <w:right w:w="20" w:type="dxa"/>
            </w:tcMar>
            <w:vAlign w:val="bottom"/>
            <w:hideMark/>
          </w:tcPr>
          <w:p w14:paraId="1B3D634A"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16D5D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1574CA" w14:textId="77777777" w:rsidR="00000000" w:rsidRDefault="001D0688">
            <w:pPr>
              <w:jc w:val="right"/>
              <w:rPr>
                <w:rFonts w:eastAsia="Times New Roman"/>
              </w:rPr>
            </w:pPr>
            <w:r>
              <w:rPr>
                <w:rFonts w:ascii="Arial" w:eastAsia="Times New Roman" w:hAnsi="Arial" w:cs="Arial"/>
                <w:color w:val="000000"/>
                <w:sz w:val="20"/>
                <w:szCs w:val="20"/>
              </w:rPr>
              <w:t>(3.0)</w:t>
            </w:r>
          </w:p>
        </w:tc>
        <w:tc>
          <w:tcPr>
            <w:tcW w:w="0" w:type="auto"/>
            <w:shd w:val="clear" w:color="auto" w:fill="DCE2EF"/>
            <w:tcMar>
              <w:top w:w="30" w:type="dxa"/>
              <w:left w:w="0" w:type="dxa"/>
              <w:bottom w:w="30" w:type="dxa"/>
              <w:right w:w="20" w:type="dxa"/>
            </w:tcMar>
            <w:vAlign w:val="bottom"/>
            <w:hideMark/>
          </w:tcPr>
          <w:p w14:paraId="222E364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E469C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2B9DA8C" w14:textId="77777777" w:rsidR="00000000" w:rsidRDefault="001D0688">
            <w:pPr>
              <w:jc w:val="right"/>
              <w:rPr>
                <w:rFonts w:eastAsia="Times New Roman"/>
              </w:rPr>
            </w:pPr>
            <w:r>
              <w:rPr>
                <w:rFonts w:ascii="Arial" w:eastAsia="Times New Roman" w:hAnsi="Arial" w:cs="Arial"/>
                <w:color w:val="000000"/>
                <w:sz w:val="20"/>
                <w:szCs w:val="20"/>
              </w:rPr>
              <w:t>(3.2)</w:t>
            </w:r>
          </w:p>
        </w:tc>
        <w:tc>
          <w:tcPr>
            <w:tcW w:w="0" w:type="auto"/>
            <w:shd w:val="clear" w:color="auto" w:fill="DCE2EF"/>
            <w:tcMar>
              <w:top w:w="30" w:type="dxa"/>
              <w:left w:w="0" w:type="dxa"/>
              <w:bottom w:w="30" w:type="dxa"/>
              <w:right w:w="20" w:type="dxa"/>
            </w:tcMar>
            <w:vAlign w:val="bottom"/>
            <w:hideMark/>
          </w:tcPr>
          <w:p w14:paraId="7F01E0A2" w14:textId="77777777" w:rsidR="00000000" w:rsidRDefault="001D0688">
            <w:pPr>
              <w:jc w:val="right"/>
              <w:rPr>
                <w:rFonts w:eastAsia="Times New Roman"/>
              </w:rPr>
            </w:pPr>
          </w:p>
        </w:tc>
      </w:tr>
      <w:tr w:rsidR="00000000" w14:paraId="5B5B2013" w14:textId="77777777">
        <w:trPr>
          <w:divId w:val="1445537595"/>
        </w:trPr>
        <w:tc>
          <w:tcPr>
            <w:tcW w:w="0" w:type="auto"/>
            <w:gridSpan w:val="3"/>
            <w:shd w:val="clear" w:color="auto" w:fill="FFFFFF"/>
            <w:tcMar>
              <w:top w:w="30" w:type="dxa"/>
              <w:left w:w="200" w:type="dxa"/>
              <w:bottom w:w="30" w:type="dxa"/>
              <w:right w:w="20" w:type="dxa"/>
            </w:tcMar>
            <w:hideMark/>
          </w:tcPr>
          <w:p w14:paraId="3830D61C" w14:textId="77777777" w:rsidR="00000000" w:rsidRDefault="001D0688">
            <w:pPr>
              <w:ind w:hanging="180"/>
              <w:rPr>
                <w:rFonts w:eastAsia="Times New Roman"/>
              </w:rPr>
            </w:pPr>
            <w:r>
              <w:rPr>
                <w:rFonts w:ascii="Arial" w:eastAsia="Times New Roman" w:hAnsi="Arial" w:cs="Arial"/>
                <w:color w:val="000000"/>
                <w:sz w:val="20"/>
                <w:szCs w:val="20"/>
              </w:rPr>
              <w:t xml:space="preserve">Adjustment for tax deductions for energy efficient government </w:t>
            </w:r>
            <w:r>
              <w:rPr>
                <w:rFonts w:ascii="Arial" w:eastAsia="Times New Roman" w:hAnsi="Arial" w:cs="Arial"/>
                <w:color w:val="000000"/>
                <w:sz w:val="20"/>
                <w:szCs w:val="20"/>
              </w:rPr>
              <w:br/>
              <w:t>buildings, included in Technical Solutions</w:t>
            </w:r>
          </w:p>
        </w:tc>
        <w:tc>
          <w:tcPr>
            <w:tcW w:w="0" w:type="auto"/>
            <w:gridSpan w:val="2"/>
            <w:shd w:val="clear" w:color="auto" w:fill="FFFFFF"/>
            <w:tcMar>
              <w:top w:w="30" w:type="dxa"/>
              <w:left w:w="20" w:type="dxa"/>
              <w:bottom w:w="30" w:type="dxa"/>
              <w:right w:w="0" w:type="dxa"/>
            </w:tcMar>
            <w:vAlign w:val="bottom"/>
            <w:hideMark/>
          </w:tcPr>
          <w:p w14:paraId="4492CDD5" w14:textId="77777777" w:rsidR="00000000" w:rsidRDefault="001D0688">
            <w:pPr>
              <w:jc w:val="right"/>
              <w:rPr>
                <w:rFonts w:eastAsia="Times New Roman"/>
              </w:rPr>
            </w:pPr>
            <w:r>
              <w:rPr>
                <w:rFonts w:ascii="Arial" w:eastAsia="Times New Roman" w:hAnsi="Arial" w:cs="Arial"/>
                <w:color w:val="000000"/>
                <w:sz w:val="20"/>
                <w:szCs w:val="20"/>
              </w:rPr>
              <w:t>(2.1)</w:t>
            </w:r>
          </w:p>
        </w:tc>
        <w:tc>
          <w:tcPr>
            <w:tcW w:w="0" w:type="auto"/>
            <w:shd w:val="clear" w:color="auto" w:fill="FFFFFF"/>
            <w:tcMar>
              <w:top w:w="30" w:type="dxa"/>
              <w:left w:w="0" w:type="dxa"/>
              <w:bottom w:w="30" w:type="dxa"/>
              <w:right w:w="20" w:type="dxa"/>
            </w:tcMar>
            <w:vAlign w:val="bottom"/>
            <w:hideMark/>
          </w:tcPr>
          <w:p w14:paraId="4EEF402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D78A7"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A8000"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14:paraId="075D57F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4820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C7A6A" w14:textId="77777777" w:rsidR="00000000" w:rsidRDefault="001D0688">
            <w:pPr>
              <w:jc w:val="right"/>
              <w:rPr>
                <w:rFonts w:eastAsia="Times New Roman"/>
              </w:rPr>
            </w:pPr>
            <w:r>
              <w:rPr>
                <w:rFonts w:ascii="Arial" w:eastAsia="Times New Roman" w:hAnsi="Arial" w:cs="Arial"/>
                <w:color w:val="000000"/>
                <w:sz w:val="20"/>
                <w:szCs w:val="20"/>
              </w:rPr>
              <w:t>(2.8)</w:t>
            </w:r>
          </w:p>
        </w:tc>
        <w:tc>
          <w:tcPr>
            <w:tcW w:w="0" w:type="auto"/>
            <w:shd w:val="clear" w:color="auto" w:fill="FFFFFF"/>
            <w:tcMar>
              <w:top w:w="30" w:type="dxa"/>
              <w:left w:w="0" w:type="dxa"/>
              <w:bottom w:w="30" w:type="dxa"/>
              <w:right w:w="20" w:type="dxa"/>
            </w:tcMar>
            <w:vAlign w:val="bottom"/>
            <w:hideMark/>
          </w:tcPr>
          <w:p w14:paraId="36F11FBB" w14:textId="77777777" w:rsidR="00000000" w:rsidRDefault="001D0688">
            <w:pPr>
              <w:jc w:val="right"/>
              <w:rPr>
                <w:rFonts w:eastAsia="Times New Roman"/>
              </w:rPr>
            </w:pPr>
          </w:p>
        </w:tc>
      </w:tr>
      <w:tr w:rsidR="00000000" w14:paraId="035E12E9" w14:textId="77777777">
        <w:trPr>
          <w:divId w:val="1445537595"/>
        </w:trPr>
        <w:tc>
          <w:tcPr>
            <w:tcW w:w="0" w:type="auto"/>
            <w:gridSpan w:val="3"/>
            <w:shd w:val="clear" w:color="auto" w:fill="DCE2EF"/>
            <w:tcMar>
              <w:top w:w="0" w:type="dxa"/>
              <w:left w:w="20" w:type="dxa"/>
              <w:bottom w:w="0" w:type="dxa"/>
              <w:right w:w="20" w:type="dxa"/>
            </w:tcMar>
            <w:vAlign w:val="center"/>
            <w:hideMark/>
          </w:tcPr>
          <w:p w14:paraId="51EA5C42"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6E22446" w14:textId="77777777" w:rsidR="00000000" w:rsidRDefault="001D0688">
            <w:pPr>
              <w:jc w:val="right"/>
              <w:rPr>
                <w:rFonts w:eastAsia="Times New Roman"/>
              </w:rPr>
            </w:pPr>
            <w:r>
              <w:rPr>
                <w:rFonts w:ascii="Arial" w:eastAsia="Times New Roman" w:hAnsi="Arial" w:cs="Arial"/>
                <w:color w:val="000000"/>
                <w:sz w:val="20"/>
                <w:szCs w:val="20"/>
              </w:rPr>
              <w:t>95.7 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C96522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DB1310"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87725AE" w14:textId="77777777" w:rsidR="00000000" w:rsidRDefault="001D0688">
            <w:pPr>
              <w:jc w:val="right"/>
              <w:rPr>
                <w:rFonts w:eastAsia="Times New Roman"/>
              </w:rPr>
            </w:pPr>
            <w:r>
              <w:rPr>
                <w:rFonts w:ascii="Arial" w:eastAsia="Times New Roman" w:hAnsi="Arial" w:cs="Arial"/>
                <w:color w:val="000000"/>
                <w:sz w:val="20"/>
                <w:szCs w:val="20"/>
              </w:rPr>
              <w:t>208.3 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DED480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F0D06C"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B786239" w14:textId="77777777" w:rsidR="00000000" w:rsidRDefault="001D0688">
            <w:pPr>
              <w:jc w:val="right"/>
              <w:rPr>
                <w:rFonts w:eastAsia="Times New Roman"/>
              </w:rPr>
            </w:pPr>
            <w:r>
              <w:rPr>
                <w:rFonts w:ascii="Arial" w:eastAsia="Times New Roman" w:hAnsi="Arial" w:cs="Arial"/>
                <w:color w:val="000000"/>
                <w:sz w:val="20"/>
                <w:szCs w:val="20"/>
              </w:rPr>
              <w:t>138.6 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5D1E3F" w14:textId="77777777" w:rsidR="00000000" w:rsidRDefault="001D0688">
            <w:pPr>
              <w:jc w:val="right"/>
              <w:rPr>
                <w:rFonts w:eastAsia="Times New Roman"/>
              </w:rPr>
            </w:pPr>
          </w:p>
        </w:tc>
      </w:tr>
      <w:tr w:rsidR="00000000" w14:paraId="1C6DC4E3" w14:textId="77777777">
        <w:trPr>
          <w:divId w:val="1445537595"/>
        </w:trPr>
        <w:tc>
          <w:tcPr>
            <w:tcW w:w="0" w:type="auto"/>
            <w:gridSpan w:val="3"/>
            <w:shd w:val="clear" w:color="auto" w:fill="FFFFFF"/>
            <w:tcMar>
              <w:top w:w="30" w:type="dxa"/>
              <w:left w:w="20" w:type="dxa"/>
              <w:bottom w:w="30" w:type="dxa"/>
              <w:right w:w="20" w:type="dxa"/>
            </w:tcMar>
            <w:vAlign w:val="bottom"/>
            <w:hideMark/>
          </w:tcPr>
          <w:p w14:paraId="4B0814B7" w14:textId="77777777" w:rsidR="00000000" w:rsidRDefault="001D0688">
            <w:pPr>
              <w:rPr>
                <w:rFonts w:eastAsia="Times New Roman"/>
              </w:rPr>
            </w:pPr>
            <w:r>
              <w:rPr>
                <w:rFonts w:ascii="Arial" w:eastAsia="Times New Roman" w:hAnsi="Arial" w:cs="Arial"/>
                <w:color w:val="000000"/>
                <w:sz w:val="20"/>
                <w:szCs w:val="20"/>
              </w:rPr>
              <w:t>Income from unconsolidated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0F806F" w14:textId="77777777" w:rsidR="00000000" w:rsidRDefault="001D0688">
            <w:pPr>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BECE88"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617B0"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C7A46F" w14:textId="77777777" w:rsidR="00000000" w:rsidRDefault="001D0688">
            <w:pPr>
              <w:jc w:val="right"/>
              <w:rPr>
                <w:rFonts w:eastAsia="Times New Roman"/>
              </w:rPr>
            </w:pPr>
            <w:r>
              <w:rPr>
                <w:rFonts w:ascii="Arial" w:eastAsia="Times New Roman" w:hAnsi="Arial" w:cs="Arial"/>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FC2CF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4BB58" w14:textId="77777777" w:rsidR="00000000" w:rsidRDefault="001D068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A3F5BD" w14:textId="77777777" w:rsidR="00000000" w:rsidRDefault="001D0688">
            <w:pPr>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17142C" w14:textId="77777777" w:rsidR="00000000" w:rsidRDefault="001D0688">
            <w:pPr>
              <w:jc w:val="right"/>
              <w:rPr>
                <w:rFonts w:eastAsia="Times New Roman"/>
              </w:rPr>
            </w:pPr>
          </w:p>
        </w:tc>
      </w:tr>
      <w:tr w:rsidR="00000000" w14:paraId="3AD3099D" w14:textId="77777777">
        <w:trPr>
          <w:divId w:val="1445537595"/>
        </w:trPr>
        <w:tc>
          <w:tcPr>
            <w:tcW w:w="0" w:type="auto"/>
            <w:gridSpan w:val="3"/>
            <w:shd w:val="clear" w:color="auto" w:fill="DCE2EF"/>
            <w:tcMar>
              <w:top w:w="30" w:type="dxa"/>
              <w:left w:w="20" w:type="dxa"/>
              <w:bottom w:w="30" w:type="dxa"/>
              <w:right w:w="20" w:type="dxa"/>
            </w:tcMar>
            <w:vAlign w:val="bottom"/>
            <w:hideMark/>
          </w:tcPr>
          <w:p w14:paraId="3A26F755" w14:textId="77777777" w:rsidR="00000000" w:rsidRDefault="001D0688">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14:paraId="03EB3A92" w14:textId="77777777" w:rsidR="00000000" w:rsidRDefault="001D0688">
            <w:pPr>
              <w:jc w:val="right"/>
              <w:rPr>
                <w:rFonts w:eastAsia="Times New Roman"/>
              </w:rPr>
            </w:pPr>
            <w:r>
              <w:rPr>
                <w:rFonts w:ascii="Arial" w:eastAsia="Times New Roman" w:hAnsi="Arial" w:cs="Arial"/>
                <w:color w:val="000000"/>
                <w:sz w:val="20"/>
                <w:szCs w:val="20"/>
              </w:rPr>
              <w:t>(44.6)</w:t>
            </w:r>
          </w:p>
        </w:tc>
        <w:tc>
          <w:tcPr>
            <w:tcW w:w="0" w:type="auto"/>
            <w:shd w:val="clear" w:color="auto" w:fill="DCE2EF"/>
            <w:tcMar>
              <w:top w:w="30" w:type="dxa"/>
              <w:left w:w="0" w:type="dxa"/>
              <w:bottom w:w="30" w:type="dxa"/>
              <w:right w:w="20" w:type="dxa"/>
            </w:tcMar>
            <w:vAlign w:val="bottom"/>
            <w:hideMark/>
          </w:tcPr>
          <w:p w14:paraId="72329979"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A36BE2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128C58A" w14:textId="77777777" w:rsidR="00000000" w:rsidRDefault="001D0688">
            <w:pPr>
              <w:jc w:val="right"/>
              <w:rPr>
                <w:rFonts w:eastAsia="Times New Roman"/>
              </w:rPr>
            </w:pPr>
            <w:r>
              <w:rPr>
                <w:rFonts w:ascii="Arial" w:eastAsia="Times New Roman" w:hAnsi="Arial" w:cs="Arial"/>
                <w:color w:val="000000"/>
                <w:sz w:val="20"/>
                <w:szCs w:val="20"/>
              </w:rPr>
              <w:t>(51.1)</w:t>
            </w:r>
          </w:p>
        </w:tc>
        <w:tc>
          <w:tcPr>
            <w:tcW w:w="0" w:type="auto"/>
            <w:shd w:val="clear" w:color="auto" w:fill="DCE2EF"/>
            <w:tcMar>
              <w:top w:w="30" w:type="dxa"/>
              <w:left w:w="0" w:type="dxa"/>
              <w:bottom w:w="30" w:type="dxa"/>
              <w:right w:w="20" w:type="dxa"/>
            </w:tcMar>
            <w:vAlign w:val="bottom"/>
            <w:hideMark/>
          </w:tcPr>
          <w:p w14:paraId="542F18E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DAFA4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BF937D" w14:textId="77777777" w:rsidR="00000000" w:rsidRDefault="001D0688">
            <w:pPr>
              <w:jc w:val="right"/>
              <w:rPr>
                <w:rFonts w:eastAsia="Times New Roman"/>
              </w:rPr>
            </w:pPr>
            <w:r>
              <w:rPr>
                <w:rFonts w:ascii="Arial" w:eastAsia="Times New Roman" w:hAnsi="Arial" w:cs="Arial"/>
                <w:color w:val="000000"/>
                <w:sz w:val="20"/>
                <w:szCs w:val="20"/>
              </w:rPr>
              <w:t>(54.1)</w:t>
            </w:r>
          </w:p>
        </w:tc>
        <w:tc>
          <w:tcPr>
            <w:tcW w:w="0" w:type="auto"/>
            <w:shd w:val="clear" w:color="auto" w:fill="DCE2EF"/>
            <w:tcMar>
              <w:top w:w="30" w:type="dxa"/>
              <w:left w:w="0" w:type="dxa"/>
              <w:bottom w:w="30" w:type="dxa"/>
              <w:right w:w="20" w:type="dxa"/>
            </w:tcMar>
            <w:vAlign w:val="bottom"/>
            <w:hideMark/>
          </w:tcPr>
          <w:p w14:paraId="0489F044" w14:textId="77777777" w:rsidR="00000000" w:rsidRDefault="001D0688">
            <w:pPr>
              <w:jc w:val="right"/>
              <w:rPr>
                <w:rFonts w:eastAsia="Times New Roman"/>
              </w:rPr>
            </w:pPr>
          </w:p>
        </w:tc>
      </w:tr>
      <w:tr w:rsidR="00000000" w14:paraId="5EC3DBCC" w14:textId="77777777">
        <w:trPr>
          <w:divId w:val="1445537595"/>
        </w:trPr>
        <w:tc>
          <w:tcPr>
            <w:tcW w:w="0" w:type="auto"/>
            <w:gridSpan w:val="3"/>
            <w:shd w:val="clear" w:color="auto" w:fill="FFFFFF"/>
            <w:tcMar>
              <w:top w:w="30" w:type="dxa"/>
              <w:left w:w="20" w:type="dxa"/>
              <w:bottom w:w="30" w:type="dxa"/>
              <w:right w:w="20" w:type="dxa"/>
            </w:tcMar>
            <w:vAlign w:val="bottom"/>
            <w:hideMark/>
          </w:tcPr>
          <w:p w14:paraId="4D24AC9E" w14:textId="77777777" w:rsidR="00000000" w:rsidRDefault="001D0688">
            <w:pPr>
              <w:rPr>
                <w:rFonts w:eastAsia="Times New Roman"/>
              </w:rPr>
            </w:pPr>
            <w:r>
              <w:rPr>
                <w:rFonts w:ascii="Arial" w:eastAsia="Times New Roman" w:hAnsi="Arial" w:cs="Arial"/>
                <w:color w:val="000000"/>
                <w:sz w:val="20"/>
                <w:szCs w:val="20"/>
              </w:rPr>
              <w:t>Income from continuing operations before income taxes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FF086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F263E8" w14:textId="77777777" w:rsidR="00000000" w:rsidRDefault="001D0688">
            <w:pPr>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EFAB3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8891C8"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4D8AF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D8C905" w14:textId="77777777" w:rsidR="00000000" w:rsidRDefault="001D0688">
            <w:pPr>
              <w:jc w:val="right"/>
              <w:rPr>
                <w:rFonts w:eastAsia="Times New Roman"/>
              </w:rPr>
            </w:pPr>
            <w:r>
              <w:rPr>
                <w:rFonts w:ascii="Arial" w:eastAsia="Times New Roman" w:hAnsi="Arial" w:cs="Arial"/>
                <w:color w:val="000000"/>
                <w:sz w:val="20"/>
                <w:szCs w:val="20"/>
              </w:rPr>
              <w:t>160.2 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A4B3D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4E041"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6BF59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B9120D" w14:textId="77777777" w:rsidR="00000000" w:rsidRDefault="001D0688">
            <w:pPr>
              <w:jc w:val="right"/>
              <w:rPr>
                <w:rFonts w:eastAsia="Times New Roman"/>
              </w:rPr>
            </w:pPr>
            <w:r>
              <w:rPr>
                <w:rFonts w:ascii="Arial" w:eastAsia="Times New Roman" w:hAnsi="Arial" w:cs="Arial"/>
                <w:color w:val="000000"/>
                <w:sz w:val="20"/>
                <w:szCs w:val="20"/>
              </w:rPr>
              <w:t>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F623AF" w14:textId="77777777" w:rsidR="00000000" w:rsidRDefault="001D0688">
            <w:pPr>
              <w:jc w:val="right"/>
              <w:rPr>
                <w:rFonts w:eastAsia="Times New Roman"/>
              </w:rPr>
            </w:pPr>
          </w:p>
        </w:tc>
      </w:tr>
      <w:tr w:rsidR="00000000" w14:paraId="2EF19E4E" w14:textId="77777777">
        <w:trPr>
          <w:divId w:val="1445537595"/>
          <w:trHeight w:val="240"/>
        </w:trPr>
        <w:tc>
          <w:tcPr>
            <w:tcW w:w="0" w:type="auto"/>
            <w:gridSpan w:val="3"/>
            <w:tcMar>
              <w:top w:w="0" w:type="dxa"/>
              <w:left w:w="20" w:type="dxa"/>
              <w:bottom w:w="0" w:type="dxa"/>
              <w:right w:w="20" w:type="dxa"/>
            </w:tcMar>
            <w:vAlign w:val="center"/>
            <w:hideMark/>
          </w:tcPr>
          <w:p w14:paraId="1AD3F82E" w14:textId="77777777" w:rsidR="00000000" w:rsidRDefault="001D0688">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0E4B2B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0A9AEB6" w14:textId="77777777" w:rsidR="00000000" w:rsidRDefault="001D068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8A062D8"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BFCD381" w14:textId="77777777" w:rsidR="00000000" w:rsidRDefault="001D0688">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D4AF04E" w14:textId="77777777" w:rsidR="00000000" w:rsidRDefault="001D0688">
            <w:pPr>
              <w:rPr>
                <w:rFonts w:eastAsia="Times New Roman"/>
                <w:sz w:val="20"/>
                <w:szCs w:val="20"/>
              </w:rPr>
            </w:pPr>
          </w:p>
        </w:tc>
      </w:tr>
      <w:tr w:rsidR="00000000" w14:paraId="04F10EB5" w14:textId="77777777">
        <w:trPr>
          <w:divId w:val="1445537595"/>
        </w:trPr>
        <w:tc>
          <w:tcPr>
            <w:tcW w:w="0" w:type="auto"/>
            <w:gridSpan w:val="3"/>
            <w:shd w:val="clear" w:color="auto" w:fill="DCE2EF"/>
            <w:tcMar>
              <w:top w:w="30" w:type="dxa"/>
              <w:left w:w="20" w:type="dxa"/>
              <w:bottom w:w="30" w:type="dxa"/>
              <w:right w:w="20" w:type="dxa"/>
            </w:tcMar>
            <w:vAlign w:val="bottom"/>
            <w:hideMark/>
          </w:tcPr>
          <w:p w14:paraId="0652D222" w14:textId="77777777" w:rsidR="00000000" w:rsidRDefault="001D0688">
            <w:pPr>
              <w:rPr>
                <w:rFonts w:eastAsia="Times New Roman"/>
              </w:rPr>
            </w:pPr>
            <w:r>
              <w:rPr>
                <w:rFonts w:ascii="Arial" w:eastAsia="Times New Roman" w:hAnsi="Arial" w:cs="Arial"/>
                <w:b/>
                <w:bCs/>
                <w:color w:val="000000"/>
                <w:sz w:val="20"/>
                <w:szCs w:val="20"/>
              </w:rPr>
              <w:t>Depreciation and amortization</w:t>
            </w:r>
          </w:p>
        </w:tc>
        <w:tc>
          <w:tcPr>
            <w:tcW w:w="0" w:type="auto"/>
            <w:gridSpan w:val="3"/>
            <w:shd w:val="clear" w:color="auto" w:fill="DCE2EF"/>
            <w:tcMar>
              <w:top w:w="0" w:type="dxa"/>
              <w:left w:w="20" w:type="dxa"/>
              <w:bottom w:w="0" w:type="dxa"/>
              <w:right w:w="20" w:type="dxa"/>
            </w:tcMar>
            <w:vAlign w:val="center"/>
            <w:hideMark/>
          </w:tcPr>
          <w:p w14:paraId="325413E1"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8B7B0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7FC732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ADB237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3EC8D2E" w14:textId="77777777" w:rsidR="00000000" w:rsidRDefault="001D0688">
            <w:pPr>
              <w:rPr>
                <w:rFonts w:eastAsia="Times New Roman"/>
                <w:sz w:val="20"/>
                <w:szCs w:val="20"/>
              </w:rPr>
            </w:pPr>
          </w:p>
        </w:tc>
      </w:tr>
      <w:tr w:rsidR="00000000" w14:paraId="75093996" w14:textId="77777777">
        <w:trPr>
          <w:divId w:val="1445537595"/>
        </w:trPr>
        <w:tc>
          <w:tcPr>
            <w:tcW w:w="0" w:type="auto"/>
            <w:gridSpan w:val="3"/>
            <w:shd w:val="clear" w:color="auto" w:fill="FFFFFF"/>
            <w:tcMar>
              <w:top w:w="30" w:type="dxa"/>
              <w:left w:w="20" w:type="dxa"/>
              <w:bottom w:w="30" w:type="dxa"/>
              <w:right w:w="20" w:type="dxa"/>
            </w:tcMar>
            <w:vAlign w:val="bottom"/>
            <w:hideMark/>
          </w:tcPr>
          <w:p w14:paraId="2ECDE5EF" w14:textId="77777777" w:rsidR="00000000" w:rsidRDefault="001D0688">
            <w:pPr>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14:paraId="2BFAD3C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09C0802" w14:textId="77777777" w:rsidR="00000000" w:rsidRDefault="001D0688">
            <w:pPr>
              <w:jc w:val="right"/>
              <w:rPr>
                <w:rFonts w:eastAsia="Times New Roman"/>
              </w:rPr>
            </w:pPr>
            <w:r>
              <w:rPr>
                <w:rFonts w:ascii="Arial" w:eastAsia="Times New Roman" w:hAnsi="Arial" w:cs="Arial"/>
                <w:color w:val="000000"/>
                <w:sz w:val="20"/>
                <w:szCs w:val="20"/>
              </w:rPr>
              <w:t>18.9 </w:t>
            </w:r>
          </w:p>
        </w:tc>
        <w:tc>
          <w:tcPr>
            <w:tcW w:w="0" w:type="auto"/>
            <w:shd w:val="clear" w:color="auto" w:fill="FFFFFF"/>
            <w:tcMar>
              <w:top w:w="30" w:type="dxa"/>
              <w:left w:w="0" w:type="dxa"/>
              <w:bottom w:w="30" w:type="dxa"/>
              <w:right w:w="20" w:type="dxa"/>
            </w:tcMar>
            <w:vAlign w:val="bottom"/>
            <w:hideMark/>
          </w:tcPr>
          <w:p w14:paraId="0CEC18D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170A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CAB4B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384B837" w14:textId="77777777" w:rsidR="00000000" w:rsidRDefault="001D0688">
            <w:pPr>
              <w:jc w:val="right"/>
              <w:rPr>
                <w:rFonts w:eastAsia="Times New Roman"/>
              </w:rPr>
            </w:pPr>
            <w:r>
              <w:rPr>
                <w:rFonts w:ascii="Arial" w:eastAsia="Times New Roman" w:hAnsi="Arial" w:cs="Arial"/>
                <w:color w:val="000000"/>
                <w:sz w:val="20"/>
                <w:szCs w:val="20"/>
              </w:rPr>
              <w:t>21.3 </w:t>
            </w:r>
          </w:p>
        </w:tc>
        <w:tc>
          <w:tcPr>
            <w:tcW w:w="0" w:type="auto"/>
            <w:shd w:val="clear" w:color="auto" w:fill="FFFFFF"/>
            <w:tcMar>
              <w:top w:w="30" w:type="dxa"/>
              <w:left w:w="0" w:type="dxa"/>
              <w:bottom w:w="30" w:type="dxa"/>
              <w:right w:w="20" w:type="dxa"/>
            </w:tcMar>
            <w:vAlign w:val="bottom"/>
            <w:hideMark/>
          </w:tcPr>
          <w:p w14:paraId="659BCBB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29B4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6C837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1FBF8F7" w14:textId="77777777" w:rsidR="00000000" w:rsidRDefault="001D0688">
            <w:pPr>
              <w:jc w:val="right"/>
              <w:rPr>
                <w:rFonts w:eastAsia="Times New Roman"/>
              </w:rPr>
            </w:pPr>
            <w:r>
              <w:rPr>
                <w:rFonts w:ascii="Arial" w:eastAsia="Times New Roman" w:hAnsi="Arial" w:cs="Arial"/>
                <w:color w:val="000000"/>
                <w:sz w:val="20"/>
                <w:szCs w:val="20"/>
              </w:rPr>
              <w:t>23.6 </w:t>
            </w:r>
          </w:p>
        </w:tc>
        <w:tc>
          <w:tcPr>
            <w:tcW w:w="0" w:type="auto"/>
            <w:shd w:val="clear" w:color="auto" w:fill="FFFFFF"/>
            <w:tcMar>
              <w:top w:w="30" w:type="dxa"/>
              <w:left w:w="0" w:type="dxa"/>
              <w:bottom w:w="30" w:type="dxa"/>
              <w:right w:w="20" w:type="dxa"/>
            </w:tcMar>
            <w:vAlign w:val="bottom"/>
            <w:hideMark/>
          </w:tcPr>
          <w:p w14:paraId="6A8B1749" w14:textId="77777777" w:rsidR="00000000" w:rsidRDefault="001D0688">
            <w:pPr>
              <w:jc w:val="right"/>
              <w:rPr>
                <w:rFonts w:eastAsia="Times New Roman"/>
              </w:rPr>
            </w:pPr>
          </w:p>
        </w:tc>
      </w:tr>
      <w:tr w:rsidR="00000000" w14:paraId="238506CF" w14:textId="77777777">
        <w:trPr>
          <w:divId w:val="1445537595"/>
        </w:trPr>
        <w:tc>
          <w:tcPr>
            <w:tcW w:w="0" w:type="auto"/>
            <w:gridSpan w:val="3"/>
            <w:shd w:val="clear" w:color="auto" w:fill="DCE2EF"/>
            <w:tcMar>
              <w:top w:w="30" w:type="dxa"/>
              <w:left w:w="20" w:type="dxa"/>
              <w:bottom w:w="30" w:type="dxa"/>
              <w:right w:w="20" w:type="dxa"/>
            </w:tcMar>
            <w:vAlign w:val="bottom"/>
            <w:hideMark/>
          </w:tcPr>
          <w:p w14:paraId="7DF3292C" w14:textId="77777777" w:rsidR="00000000" w:rsidRDefault="001D0688">
            <w:pPr>
              <w:rPr>
                <w:rFonts w:eastAsia="Times New Roman"/>
              </w:rPr>
            </w:pPr>
            <w:r>
              <w:rPr>
                <w:rFonts w:ascii="Arial" w:eastAsia="Times New Roman" w:hAnsi="Arial" w:cs="Arial"/>
                <w:color w:val="000000"/>
                <w:sz w:val="20"/>
                <w:szCs w:val="20"/>
              </w:rPr>
              <w:t>Technology &amp; Manufacturing</w:t>
            </w:r>
          </w:p>
        </w:tc>
        <w:tc>
          <w:tcPr>
            <w:tcW w:w="0" w:type="auto"/>
            <w:gridSpan w:val="2"/>
            <w:shd w:val="clear" w:color="auto" w:fill="DCE2EF"/>
            <w:tcMar>
              <w:top w:w="30" w:type="dxa"/>
              <w:left w:w="20" w:type="dxa"/>
              <w:bottom w:w="30" w:type="dxa"/>
              <w:right w:w="0" w:type="dxa"/>
            </w:tcMar>
            <w:vAlign w:val="bottom"/>
            <w:hideMark/>
          </w:tcPr>
          <w:p w14:paraId="747F7C96" w14:textId="77777777" w:rsidR="00000000" w:rsidRDefault="001D0688">
            <w:pPr>
              <w:jc w:val="right"/>
              <w:rPr>
                <w:rFonts w:eastAsia="Times New Roman"/>
              </w:rPr>
            </w:pPr>
            <w:r>
              <w:rPr>
                <w:rFonts w:ascii="Arial" w:eastAsia="Times New Roman" w:hAnsi="Arial" w:cs="Arial"/>
                <w:color w:val="000000"/>
                <w:sz w:val="20"/>
                <w:szCs w:val="20"/>
              </w:rPr>
              <w:t>12.5 </w:t>
            </w:r>
          </w:p>
        </w:tc>
        <w:tc>
          <w:tcPr>
            <w:tcW w:w="0" w:type="auto"/>
            <w:shd w:val="clear" w:color="auto" w:fill="DCE2EF"/>
            <w:tcMar>
              <w:top w:w="30" w:type="dxa"/>
              <w:left w:w="0" w:type="dxa"/>
              <w:bottom w:w="30" w:type="dxa"/>
              <w:right w:w="20" w:type="dxa"/>
            </w:tcMar>
            <w:vAlign w:val="bottom"/>
            <w:hideMark/>
          </w:tcPr>
          <w:p w14:paraId="59DB6D3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F9D86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8EEF5AC" w14:textId="77777777" w:rsidR="00000000" w:rsidRDefault="001D0688">
            <w:pPr>
              <w:jc w:val="right"/>
              <w:rPr>
                <w:rFonts w:eastAsia="Times New Roman"/>
              </w:rPr>
            </w:pPr>
            <w:r>
              <w:rPr>
                <w:rFonts w:ascii="Arial" w:eastAsia="Times New Roman" w:hAnsi="Arial" w:cs="Arial"/>
                <w:color w:val="000000"/>
                <w:sz w:val="20"/>
                <w:szCs w:val="20"/>
              </w:rPr>
              <w:t>14.3 </w:t>
            </w:r>
          </w:p>
        </w:tc>
        <w:tc>
          <w:tcPr>
            <w:tcW w:w="0" w:type="auto"/>
            <w:shd w:val="clear" w:color="auto" w:fill="DCE2EF"/>
            <w:tcMar>
              <w:top w:w="30" w:type="dxa"/>
              <w:left w:w="0" w:type="dxa"/>
              <w:bottom w:w="30" w:type="dxa"/>
              <w:right w:w="20" w:type="dxa"/>
            </w:tcMar>
            <w:vAlign w:val="bottom"/>
            <w:hideMark/>
          </w:tcPr>
          <w:p w14:paraId="0253D20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AD2AD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513AD8" w14:textId="77777777" w:rsidR="00000000" w:rsidRDefault="001D0688">
            <w:pPr>
              <w:jc w:val="right"/>
              <w:rPr>
                <w:rFonts w:eastAsia="Times New Roman"/>
              </w:rPr>
            </w:pPr>
            <w:r>
              <w:rPr>
                <w:rFonts w:ascii="Arial" w:eastAsia="Times New Roman" w:hAnsi="Arial" w:cs="Arial"/>
                <w:color w:val="000000"/>
                <w:sz w:val="20"/>
                <w:szCs w:val="20"/>
              </w:rPr>
              <w:t>15.6 </w:t>
            </w:r>
          </w:p>
        </w:tc>
        <w:tc>
          <w:tcPr>
            <w:tcW w:w="0" w:type="auto"/>
            <w:shd w:val="clear" w:color="auto" w:fill="DCE2EF"/>
            <w:tcMar>
              <w:top w:w="30" w:type="dxa"/>
              <w:left w:w="0" w:type="dxa"/>
              <w:bottom w:w="30" w:type="dxa"/>
              <w:right w:w="20" w:type="dxa"/>
            </w:tcMar>
            <w:vAlign w:val="bottom"/>
            <w:hideMark/>
          </w:tcPr>
          <w:p w14:paraId="614B5EE9" w14:textId="77777777" w:rsidR="00000000" w:rsidRDefault="001D0688">
            <w:pPr>
              <w:jc w:val="right"/>
              <w:rPr>
                <w:rFonts w:eastAsia="Times New Roman"/>
              </w:rPr>
            </w:pPr>
          </w:p>
        </w:tc>
      </w:tr>
      <w:tr w:rsidR="00000000" w14:paraId="59E4644E" w14:textId="77777777">
        <w:trPr>
          <w:divId w:val="1445537595"/>
        </w:trPr>
        <w:tc>
          <w:tcPr>
            <w:tcW w:w="0" w:type="auto"/>
            <w:gridSpan w:val="3"/>
            <w:shd w:val="clear" w:color="auto" w:fill="FFFFFF"/>
            <w:tcMar>
              <w:top w:w="30" w:type="dxa"/>
              <w:left w:w="20" w:type="dxa"/>
              <w:bottom w:w="30" w:type="dxa"/>
              <w:right w:w="20" w:type="dxa"/>
            </w:tcMar>
            <w:vAlign w:val="bottom"/>
            <w:hideMark/>
          </w:tcPr>
          <w:p w14:paraId="4162F7D5" w14:textId="77777777" w:rsidR="00000000" w:rsidRDefault="001D0688">
            <w:pPr>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14:paraId="0CCA8EE8" w14:textId="77777777" w:rsidR="00000000" w:rsidRDefault="001D0688">
            <w:pPr>
              <w:jc w:val="right"/>
              <w:rPr>
                <w:rFonts w:eastAsia="Times New Roman"/>
              </w:rPr>
            </w:pPr>
            <w:r>
              <w:rPr>
                <w:rFonts w:ascii="Arial" w:eastAsia="Times New Roman" w:hAnsi="Arial" w:cs="Arial"/>
                <w:color w:val="000000"/>
                <w:sz w:val="20"/>
                <w:szCs w:val="20"/>
              </w:rPr>
              <w:t>33.8 </w:t>
            </w:r>
          </w:p>
        </w:tc>
        <w:tc>
          <w:tcPr>
            <w:tcW w:w="0" w:type="auto"/>
            <w:shd w:val="clear" w:color="auto" w:fill="FFFFFF"/>
            <w:tcMar>
              <w:top w:w="30" w:type="dxa"/>
              <w:left w:w="0" w:type="dxa"/>
              <w:bottom w:w="30" w:type="dxa"/>
              <w:right w:w="20" w:type="dxa"/>
            </w:tcMar>
            <w:vAlign w:val="bottom"/>
            <w:hideMark/>
          </w:tcPr>
          <w:p w14:paraId="51D91CA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DA36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2E470" w14:textId="77777777" w:rsidR="00000000" w:rsidRDefault="001D0688">
            <w:pPr>
              <w:jc w:val="right"/>
              <w:rPr>
                <w:rFonts w:eastAsia="Times New Roman"/>
              </w:rPr>
            </w:pPr>
            <w:r>
              <w:rPr>
                <w:rFonts w:ascii="Arial" w:eastAsia="Times New Roman" w:hAnsi="Arial" w:cs="Arial"/>
                <w:color w:val="000000"/>
                <w:sz w:val="20"/>
                <w:szCs w:val="20"/>
              </w:rPr>
              <w:t>37.3 </w:t>
            </w:r>
          </w:p>
        </w:tc>
        <w:tc>
          <w:tcPr>
            <w:tcW w:w="0" w:type="auto"/>
            <w:shd w:val="clear" w:color="auto" w:fill="FFFFFF"/>
            <w:tcMar>
              <w:top w:w="30" w:type="dxa"/>
              <w:left w:w="0" w:type="dxa"/>
              <w:bottom w:w="30" w:type="dxa"/>
              <w:right w:w="20" w:type="dxa"/>
            </w:tcMar>
            <w:vAlign w:val="bottom"/>
            <w:hideMark/>
          </w:tcPr>
          <w:p w14:paraId="016268B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90283"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C22BFD" w14:textId="77777777" w:rsidR="00000000" w:rsidRDefault="001D0688">
            <w:pPr>
              <w:jc w:val="right"/>
              <w:rPr>
                <w:rFonts w:eastAsia="Times New Roman"/>
              </w:rPr>
            </w:pPr>
            <w:r>
              <w:rPr>
                <w:rFonts w:ascii="Arial" w:eastAsia="Times New Roman" w:hAnsi="Arial" w:cs="Arial"/>
                <w:color w:val="000000"/>
                <w:sz w:val="20"/>
                <w:szCs w:val="20"/>
              </w:rPr>
              <w:t>37.5 </w:t>
            </w:r>
          </w:p>
        </w:tc>
        <w:tc>
          <w:tcPr>
            <w:tcW w:w="0" w:type="auto"/>
            <w:shd w:val="clear" w:color="auto" w:fill="FFFFFF"/>
            <w:tcMar>
              <w:top w:w="30" w:type="dxa"/>
              <w:left w:w="0" w:type="dxa"/>
              <w:bottom w:w="30" w:type="dxa"/>
              <w:right w:w="20" w:type="dxa"/>
            </w:tcMar>
            <w:vAlign w:val="bottom"/>
            <w:hideMark/>
          </w:tcPr>
          <w:p w14:paraId="701E6A64" w14:textId="77777777" w:rsidR="00000000" w:rsidRDefault="001D0688">
            <w:pPr>
              <w:jc w:val="right"/>
              <w:rPr>
                <w:rFonts w:eastAsia="Times New Roman"/>
              </w:rPr>
            </w:pPr>
          </w:p>
        </w:tc>
      </w:tr>
      <w:tr w:rsidR="00000000" w14:paraId="03DE64F3" w14:textId="77777777">
        <w:trPr>
          <w:divId w:val="1445537595"/>
        </w:trPr>
        <w:tc>
          <w:tcPr>
            <w:tcW w:w="0" w:type="auto"/>
            <w:gridSpan w:val="3"/>
            <w:shd w:val="clear" w:color="auto" w:fill="DCE2EF"/>
            <w:tcMar>
              <w:top w:w="30" w:type="dxa"/>
              <w:left w:w="20" w:type="dxa"/>
              <w:bottom w:w="30" w:type="dxa"/>
              <w:right w:w="20" w:type="dxa"/>
            </w:tcMar>
            <w:vAlign w:val="bottom"/>
            <w:hideMark/>
          </w:tcPr>
          <w:p w14:paraId="29E8E66B" w14:textId="77777777" w:rsidR="00000000" w:rsidRDefault="001D0688">
            <w:pPr>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14:paraId="66DC67CB" w14:textId="77777777" w:rsidR="00000000" w:rsidRDefault="001D0688">
            <w:pPr>
              <w:jc w:val="right"/>
              <w:rPr>
                <w:rFonts w:eastAsia="Times New Roman"/>
              </w:rPr>
            </w:pPr>
            <w:r>
              <w:rPr>
                <w:rFonts w:ascii="Arial" w:eastAsia="Times New Roman" w:hAnsi="Arial" w:cs="Arial"/>
                <w:color w:val="000000"/>
                <w:sz w:val="20"/>
                <w:szCs w:val="20"/>
              </w:rPr>
              <w:t>10.6 </w:t>
            </w:r>
          </w:p>
        </w:tc>
        <w:tc>
          <w:tcPr>
            <w:tcW w:w="0" w:type="auto"/>
            <w:shd w:val="clear" w:color="auto" w:fill="DCE2EF"/>
            <w:tcMar>
              <w:top w:w="30" w:type="dxa"/>
              <w:left w:w="0" w:type="dxa"/>
              <w:bottom w:w="30" w:type="dxa"/>
              <w:right w:w="20" w:type="dxa"/>
            </w:tcMar>
            <w:vAlign w:val="bottom"/>
            <w:hideMark/>
          </w:tcPr>
          <w:p w14:paraId="3086B72E"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2E30C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125706" w14:textId="77777777" w:rsidR="00000000" w:rsidRDefault="001D0688">
            <w:pPr>
              <w:jc w:val="right"/>
              <w:rPr>
                <w:rFonts w:eastAsia="Times New Roman"/>
              </w:rPr>
            </w:pPr>
            <w:r>
              <w:rPr>
                <w:rFonts w:ascii="Arial" w:eastAsia="Times New Roman" w:hAnsi="Arial" w:cs="Arial"/>
                <w:color w:val="000000"/>
                <w:sz w:val="20"/>
                <w:szCs w:val="20"/>
              </w:rPr>
              <w:t>11.9 </w:t>
            </w:r>
          </w:p>
        </w:tc>
        <w:tc>
          <w:tcPr>
            <w:tcW w:w="0" w:type="auto"/>
            <w:shd w:val="clear" w:color="auto" w:fill="DCE2EF"/>
            <w:tcMar>
              <w:top w:w="30" w:type="dxa"/>
              <w:left w:w="0" w:type="dxa"/>
              <w:bottom w:w="30" w:type="dxa"/>
              <w:right w:w="20" w:type="dxa"/>
            </w:tcMar>
            <w:vAlign w:val="bottom"/>
            <w:hideMark/>
          </w:tcPr>
          <w:p w14:paraId="38A1706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60DBA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2D697A4" w14:textId="77777777" w:rsidR="00000000" w:rsidRDefault="001D0688">
            <w:pPr>
              <w:jc w:val="right"/>
              <w:rPr>
                <w:rFonts w:eastAsia="Times New Roman"/>
              </w:rPr>
            </w:pPr>
            <w:r>
              <w:rPr>
                <w:rFonts w:ascii="Arial" w:eastAsia="Times New Roman" w:hAnsi="Arial" w:cs="Arial"/>
                <w:color w:val="000000"/>
                <w:sz w:val="20"/>
                <w:szCs w:val="20"/>
              </w:rPr>
              <w:t>13.1 </w:t>
            </w:r>
          </w:p>
        </w:tc>
        <w:tc>
          <w:tcPr>
            <w:tcW w:w="0" w:type="auto"/>
            <w:shd w:val="clear" w:color="auto" w:fill="DCE2EF"/>
            <w:tcMar>
              <w:top w:w="30" w:type="dxa"/>
              <w:left w:w="0" w:type="dxa"/>
              <w:bottom w:w="30" w:type="dxa"/>
              <w:right w:w="20" w:type="dxa"/>
            </w:tcMar>
            <w:vAlign w:val="bottom"/>
            <w:hideMark/>
          </w:tcPr>
          <w:p w14:paraId="6D84347C" w14:textId="77777777" w:rsidR="00000000" w:rsidRDefault="001D0688">
            <w:pPr>
              <w:jc w:val="right"/>
              <w:rPr>
                <w:rFonts w:eastAsia="Times New Roman"/>
              </w:rPr>
            </w:pPr>
          </w:p>
        </w:tc>
      </w:tr>
      <w:tr w:rsidR="00000000" w14:paraId="621205B8" w14:textId="77777777">
        <w:trPr>
          <w:divId w:val="1445537595"/>
        </w:trPr>
        <w:tc>
          <w:tcPr>
            <w:tcW w:w="0" w:type="auto"/>
            <w:gridSpan w:val="3"/>
            <w:shd w:val="clear" w:color="auto" w:fill="FFFFFF"/>
            <w:tcMar>
              <w:top w:w="30" w:type="dxa"/>
              <w:left w:w="20" w:type="dxa"/>
              <w:bottom w:w="30" w:type="dxa"/>
              <w:right w:w="20" w:type="dxa"/>
            </w:tcMar>
            <w:vAlign w:val="bottom"/>
            <w:hideMark/>
          </w:tcPr>
          <w:p w14:paraId="05D360F9" w14:textId="77777777" w:rsidR="00000000" w:rsidRDefault="001D0688">
            <w:pPr>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14:paraId="193BE7C2" w14:textId="77777777" w:rsidR="00000000" w:rsidRDefault="001D0688">
            <w:pPr>
              <w:jc w:val="right"/>
              <w:rPr>
                <w:rFonts w:eastAsia="Times New Roman"/>
              </w:rPr>
            </w:pPr>
            <w:r>
              <w:rPr>
                <w:rFonts w:ascii="Arial" w:eastAsia="Times New Roman" w:hAnsi="Arial" w:cs="Arial"/>
                <w:color w:val="000000"/>
                <w:sz w:val="20"/>
                <w:szCs w:val="20"/>
              </w:rPr>
              <w:t>7.2 </w:t>
            </w:r>
          </w:p>
        </w:tc>
        <w:tc>
          <w:tcPr>
            <w:tcW w:w="0" w:type="auto"/>
            <w:shd w:val="clear" w:color="auto" w:fill="FFFFFF"/>
            <w:tcMar>
              <w:top w:w="30" w:type="dxa"/>
              <w:left w:w="0" w:type="dxa"/>
              <w:bottom w:w="30" w:type="dxa"/>
              <w:right w:w="20" w:type="dxa"/>
            </w:tcMar>
            <w:vAlign w:val="bottom"/>
            <w:hideMark/>
          </w:tcPr>
          <w:p w14:paraId="2A36B2E7"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A0EF4"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C619C" w14:textId="77777777" w:rsidR="00000000" w:rsidRDefault="001D0688">
            <w:pPr>
              <w:jc w:val="right"/>
              <w:rPr>
                <w:rFonts w:eastAsia="Times New Roman"/>
              </w:rPr>
            </w:pPr>
            <w:r>
              <w:rPr>
                <w:rFonts w:ascii="Arial" w:eastAsia="Times New Roman" w:hAnsi="Arial" w:cs="Arial"/>
                <w:color w:val="000000"/>
                <w:sz w:val="20"/>
                <w:szCs w:val="20"/>
              </w:rPr>
              <w:t>8.6 </w:t>
            </w:r>
          </w:p>
        </w:tc>
        <w:tc>
          <w:tcPr>
            <w:tcW w:w="0" w:type="auto"/>
            <w:shd w:val="clear" w:color="auto" w:fill="FFFFFF"/>
            <w:tcMar>
              <w:top w:w="30" w:type="dxa"/>
              <w:left w:w="0" w:type="dxa"/>
              <w:bottom w:w="30" w:type="dxa"/>
              <w:right w:w="20" w:type="dxa"/>
            </w:tcMar>
            <w:vAlign w:val="bottom"/>
            <w:hideMark/>
          </w:tcPr>
          <w:p w14:paraId="025975A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2D17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2BC277" w14:textId="77777777" w:rsidR="00000000" w:rsidRDefault="001D0688">
            <w:pPr>
              <w:jc w:val="right"/>
              <w:rPr>
                <w:rFonts w:eastAsia="Times New Roman"/>
              </w:rPr>
            </w:pPr>
            <w:r>
              <w:rPr>
                <w:rFonts w:ascii="Arial" w:eastAsia="Times New Roman" w:hAnsi="Arial" w:cs="Arial"/>
                <w:color w:val="000000"/>
                <w:sz w:val="20"/>
                <w:szCs w:val="20"/>
              </w:rPr>
              <w:t>10.2 </w:t>
            </w:r>
          </w:p>
        </w:tc>
        <w:tc>
          <w:tcPr>
            <w:tcW w:w="0" w:type="auto"/>
            <w:shd w:val="clear" w:color="auto" w:fill="FFFFFF"/>
            <w:tcMar>
              <w:top w:w="30" w:type="dxa"/>
              <w:left w:w="0" w:type="dxa"/>
              <w:bottom w:w="30" w:type="dxa"/>
              <w:right w:w="20" w:type="dxa"/>
            </w:tcMar>
            <w:vAlign w:val="bottom"/>
            <w:hideMark/>
          </w:tcPr>
          <w:p w14:paraId="19D02B18" w14:textId="77777777" w:rsidR="00000000" w:rsidRDefault="001D0688">
            <w:pPr>
              <w:jc w:val="right"/>
              <w:rPr>
                <w:rFonts w:eastAsia="Times New Roman"/>
              </w:rPr>
            </w:pPr>
          </w:p>
        </w:tc>
      </w:tr>
      <w:tr w:rsidR="00000000" w14:paraId="0B361121" w14:textId="77777777">
        <w:trPr>
          <w:divId w:val="1445537595"/>
        </w:trPr>
        <w:tc>
          <w:tcPr>
            <w:tcW w:w="0" w:type="auto"/>
            <w:gridSpan w:val="3"/>
            <w:vAlign w:val="center"/>
            <w:hideMark/>
          </w:tcPr>
          <w:p w14:paraId="6872410D" w14:textId="77777777" w:rsidR="00000000" w:rsidRDefault="001D0688">
            <w:pPr>
              <w:jc w:val="right"/>
              <w:rPr>
                <w:rFonts w:eastAsia="Times New Roman"/>
                <w:sz w:val="20"/>
                <w:szCs w:val="20"/>
              </w:rPr>
            </w:pPr>
          </w:p>
        </w:tc>
        <w:tc>
          <w:tcPr>
            <w:tcW w:w="0" w:type="auto"/>
            <w:gridSpan w:val="3"/>
            <w:vAlign w:val="center"/>
            <w:hideMark/>
          </w:tcPr>
          <w:p w14:paraId="02368E6E" w14:textId="77777777" w:rsidR="00000000" w:rsidRDefault="001D0688">
            <w:pPr>
              <w:rPr>
                <w:rFonts w:eastAsia="Times New Roman"/>
                <w:sz w:val="20"/>
                <w:szCs w:val="20"/>
              </w:rPr>
            </w:pPr>
          </w:p>
        </w:tc>
        <w:tc>
          <w:tcPr>
            <w:tcW w:w="0" w:type="auto"/>
            <w:gridSpan w:val="3"/>
            <w:vAlign w:val="center"/>
            <w:hideMark/>
          </w:tcPr>
          <w:p w14:paraId="0202CB5C" w14:textId="77777777" w:rsidR="00000000" w:rsidRDefault="001D0688">
            <w:pPr>
              <w:rPr>
                <w:rFonts w:eastAsia="Times New Roman"/>
                <w:sz w:val="20"/>
                <w:szCs w:val="20"/>
              </w:rPr>
            </w:pPr>
          </w:p>
        </w:tc>
        <w:tc>
          <w:tcPr>
            <w:tcW w:w="0" w:type="auto"/>
            <w:gridSpan w:val="3"/>
            <w:vAlign w:val="center"/>
            <w:hideMark/>
          </w:tcPr>
          <w:p w14:paraId="40404125" w14:textId="77777777" w:rsidR="00000000" w:rsidRDefault="001D0688">
            <w:pPr>
              <w:rPr>
                <w:rFonts w:eastAsia="Times New Roman"/>
                <w:sz w:val="20"/>
                <w:szCs w:val="20"/>
              </w:rPr>
            </w:pPr>
          </w:p>
        </w:tc>
        <w:tc>
          <w:tcPr>
            <w:tcW w:w="0" w:type="auto"/>
            <w:gridSpan w:val="3"/>
            <w:vAlign w:val="center"/>
            <w:hideMark/>
          </w:tcPr>
          <w:p w14:paraId="7C10062B" w14:textId="77777777" w:rsidR="00000000" w:rsidRDefault="001D0688">
            <w:pPr>
              <w:rPr>
                <w:rFonts w:eastAsia="Times New Roman"/>
                <w:sz w:val="20"/>
                <w:szCs w:val="20"/>
              </w:rPr>
            </w:pPr>
          </w:p>
        </w:tc>
        <w:tc>
          <w:tcPr>
            <w:tcW w:w="0" w:type="auto"/>
            <w:gridSpan w:val="3"/>
            <w:vAlign w:val="center"/>
            <w:hideMark/>
          </w:tcPr>
          <w:p w14:paraId="0DC9A11A" w14:textId="77777777" w:rsidR="00000000" w:rsidRDefault="001D0688">
            <w:pPr>
              <w:rPr>
                <w:rFonts w:eastAsia="Times New Roman"/>
                <w:sz w:val="20"/>
                <w:szCs w:val="20"/>
              </w:rPr>
            </w:pPr>
          </w:p>
        </w:tc>
      </w:tr>
      <w:tr w:rsidR="00000000" w14:paraId="37EDEC1D" w14:textId="77777777">
        <w:trPr>
          <w:divId w:val="1445537595"/>
        </w:trPr>
        <w:tc>
          <w:tcPr>
            <w:tcW w:w="0" w:type="auto"/>
            <w:gridSpan w:val="3"/>
            <w:shd w:val="clear" w:color="auto" w:fill="DCE2EF"/>
            <w:tcMar>
              <w:top w:w="30" w:type="dxa"/>
              <w:left w:w="20" w:type="dxa"/>
              <w:bottom w:w="30" w:type="dxa"/>
              <w:right w:w="20" w:type="dxa"/>
            </w:tcMar>
            <w:vAlign w:val="bottom"/>
            <w:hideMark/>
          </w:tcPr>
          <w:p w14:paraId="343BD8AF" w14:textId="77777777" w:rsidR="00000000" w:rsidRDefault="001D0688">
            <w:pPr>
              <w:rPr>
                <w:rFonts w:eastAsia="Times New Roman"/>
              </w:rPr>
            </w:pPr>
            <w:r>
              <w:rPr>
                <w:rFonts w:ascii="Arial" w:eastAsia="Times New Roman" w:hAnsi="Arial" w:cs="Arial"/>
                <w:color w:val="000000"/>
                <w:sz w:val="20"/>
                <w:szCs w:val="20"/>
              </w:rPr>
              <w:t>Corporate</w:t>
            </w:r>
          </w:p>
        </w:tc>
        <w:tc>
          <w:tcPr>
            <w:tcW w:w="0" w:type="auto"/>
            <w:gridSpan w:val="2"/>
            <w:shd w:val="clear" w:color="auto" w:fill="DCE2EF"/>
            <w:tcMar>
              <w:top w:w="30" w:type="dxa"/>
              <w:left w:w="20" w:type="dxa"/>
              <w:bottom w:w="30" w:type="dxa"/>
              <w:right w:w="0" w:type="dxa"/>
            </w:tcMar>
            <w:vAlign w:val="bottom"/>
            <w:hideMark/>
          </w:tcPr>
          <w:p w14:paraId="76F4862A" w14:textId="77777777" w:rsidR="00000000" w:rsidRDefault="001D0688">
            <w:pPr>
              <w:jc w:val="right"/>
              <w:rPr>
                <w:rFonts w:eastAsia="Times New Roman"/>
              </w:rPr>
            </w:pPr>
            <w:r>
              <w:rPr>
                <w:rFonts w:ascii="Arial" w:eastAsia="Times New Roman" w:hAnsi="Arial" w:cs="Arial"/>
                <w:color w:val="000000"/>
                <w:sz w:val="20"/>
                <w:szCs w:val="20"/>
              </w:rPr>
              <w:t>13.5 </w:t>
            </w:r>
          </w:p>
        </w:tc>
        <w:tc>
          <w:tcPr>
            <w:tcW w:w="0" w:type="auto"/>
            <w:shd w:val="clear" w:color="auto" w:fill="DCE2EF"/>
            <w:tcMar>
              <w:top w:w="30" w:type="dxa"/>
              <w:left w:w="0" w:type="dxa"/>
              <w:bottom w:w="30" w:type="dxa"/>
              <w:right w:w="20" w:type="dxa"/>
            </w:tcMar>
            <w:vAlign w:val="bottom"/>
            <w:hideMark/>
          </w:tcPr>
          <w:p w14:paraId="1DCBFC3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9850C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5ED67A" w14:textId="77777777" w:rsidR="00000000" w:rsidRDefault="001D0688">
            <w:pPr>
              <w:jc w:val="right"/>
              <w:rPr>
                <w:rFonts w:eastAsia="Times New Roman"/>
              </w:rPr>
            </w:pPr>
            <w:r>
              <w:rPr>
                <w:rFonts w:ascii="Arial" w:eastAsia="Times New Roman" w:hAnsi="Arial" w:cs="Arial"/>
                <w:color w:val="000000"/>
                <w:sz w:val="20"/>
                <w:szCs w:val="20"/>
              </w:rPr>
              <w:t>13.9 </w:t>
            </w:r>
          </w:p>
        </w:tc>
        <w:tc>
          <w:tcPr>
            <w:tcW w:w="0" w:type="auto"/>
            <w:shd w:val="clear" w:color="auto" w:fill="DCE2EF"/>
            <w:tcMar>
              <w:top w:w="30" w:type="dxa"/>
              <w:left w:w="0" w:type="dxa"/>
              <w:bottom w:w="30" w:type="dxa"/>
              <w:right w:w="20" w:type="dxa"/>
            </w:tcMar>
            <w:vAlign w:val="bottom"/>
            <w:hideMark/>
          </w:tcPr>
          <w:p w14:paraId="6456E26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3892A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603AC9" w14:textId="77777777" w:rsidR="00000000" w:rsidRDefault="001D0688">
            <w:pPr>
              <w:jc w:val="right"/>
              <w:rPr>
                <w:rFonts w:eastAsia="Times New Roman"/>
              </w:rPr>
            </w:pPr>
            <w:r>
              <w:rPr>
                <w:rFonts w:ascii="Arial" w:eastAsia="Times New Roman" w:hAnsi="Arial" w:cs="Arial"/>
                <w:color w:val="000000"/>
                <w:sz w:val="20"/>
                <w:szCs w:val="20"/>
              </w:rPr>
              <w:t>12.4 </w:t>
            </w:r>
          </w:p>
        </w:tc>
        <w:tc>
          <w:tcPr>
            <w:tcW w:w="0" w:type="auto"/>
            <w:shd w:val="clear" w:color="auto" w:fill="DCE2EF"/>
            <w:tcMar>
              <w:top w:w="30" w:type="dxa"/>
              <w:left w:w="0" w:type="dxa"/>
              <w:bottom w:w="30" w:type="dxa"/>
              <w:right w:w="20" w:type="dxa"/>
            </w:tcMar>
            <w:vAlign w:val="bottom"/>
            <w:hideMark/>
          </w:tcPr>
          <w:p w14:paraId="3BBC0A8F" w14:textId="77777777" w:rsidR="00000000" w:rsidRDefault="001D0688">
            <w:pPr>
              <w:jc w:val="right"/>
              <w:rPr>
                <w:rFonts w:eastAsia="Times New Roman"/>
              </w:rPr>
            </w:pPr>
          </w:p>
        </w:tc>
      </w:tr>
      <w:tr w:rsidR="00000000" w14:paraId="4A317333" w14:textId="77777777">
        <w:trPr>
          <w:divId w:val="1445537595"/>
        </w:trPr>
        <w:tc>
          <w:tcPr>
            <w:tcW w:w="0" w:type="auto"/>
            <w:gridSpan w:val="3"/>
            <w:shd w:val="clear" w:color="auto" w:fill="FFFFFF"/>
            <w:tcMar>
              <w:top w:w="0" w:type="dxa"/>
              <w:left w:w="20" w:type="dxa"/>
              <w:bottom w:w="0" w:type="dxa"/>
              <w:right w:w="20" w:type="dxa"/>
            </w:tcMar>
            <w:vAlign w:val="center"/>
            <w:hideMark/>
          </w:tcPr>
          <w:p w14:paraId="3D87D80C"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78111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3452D4" w14:textId="77777777" w:rsidR="00000000" w:rsidRDefault="001D0688">
            <w:pPr>
              <w:jc w:val="right"/>
              <w:rPr>
                <w:rFonts w:eastAsia="Times New Roman"/>
              </w:rPr>
            </w:pPr>
            <w:r>
              <w:rPr>
                <w:rFonts w:ascii="Arial" w:eastAsia="Times New Roman" w:hAnsi="Arial" w:cs="Arial"/>
                <w:color w:val="000000"/>
                <w:sz w:val="20"/>
                <w:szCs w:val="20"/>
              </w:rPr>
              <w:t>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5A870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BD71D"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7841C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7FA198" w14:textId="77777777" w:rsidR="00000000" w:rsidRDefault="001D0688">
            <w:pPr>
              <w:jc w:val="right"/>
              <w:rPr>
                <w:rFonts w:eastAsia="Times New Roman"/>
              </w:rPr>
            </w:pPr>
            <w:r>
              <w:rPr>
                <w:rFonts w:ascii="Arial" w:eastAsia="Times New Roman" w:hAnsi="Arial" w:cs="Arial"/>
                <w:color w:val="000000"/>
                <w:sz w:val="20"/>
                <w:szCs w:val="20"/>
              </w:rPr>
              <w:t>107.4 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67103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52F0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4AB3E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E39462" w14:textId="77777777" w:rsidR="00000000" w:rsidRDefault="001D0688">
            <w:pPr>
              <w:jc w:val="right"/>
              <w:rPr>
                <w:rFonts w:eastAsia="Times New Roman"/>
              </w:rPr>
            </w:pPr>
            <w:r>
              <w:rPr>
                <w:rFonts w:ascii="Arial" w:eastAsia="Times New Roman" w:hAnsi="Arial" w:cs="Arial"/>
                <w:color w:val="000000"/>
                <w:sz w:val="20"/>
                <w:szCs w:val="20"/>
              </w:rPr>
              <w:t>112.5 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C03EAE" w14:textId="77777777" w:rsidR="00000000" w:rsidRDefault="001D0688">
            <w:pPr>
              <w:jc w:val="right"/>
              <w:rPr>
                <w:rFonts w:eastAsia="Times New Roman"/>
              </w:rPr>
            </w:pPr>
          </w:p>
        </w:tc>
      </w:tr>
    </w:tbl>
    <w:p w14:paraId="661D4B22" w14:textId="77777777" w:rsidR="00000000" w:rsidRDefault="001D0688">
      <w:pPr>
        <w:ind w:hanging="180"/>
        <w:jc w:val="both"/>
        <w:divId w:val="4884812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impairment charges totaling $99.3 million on goodwill during the year ended October 31, 2020.</w:t>
      </w:r>
    </w:p>
    <w:p w14:paraId="0CD84EDE" w14:textId="77777777" w:rsidR="00000000" w:rsidRDefault="001D0688">
      <w:pPr>
        <w:ind w:hanging="180"/>
        <w:jc w:val="both"/>
        <w:divId w:val="159200693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Reflects impairment charges totaling $61.1 million on goodwill and intangible assets during the year ended October 31, 2020.</w:t>
      </w:r>
    </w:p>
    <w:p w14:paraId="61564342" w14:textId="77777777" w:rsidR="00000000" w:rsidRDefault="001D0688">
      <w:pPr>
        <w:ind w:hanging="180"/>
        <w:jc w:val="both"/>
        <w:divId w:val="170829411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impairment charges totaling $12.4 million on goodwill and intangible assets during the year ended October 31, 2020.</w:t>
      </w:r>
    </w:p>
    <w:p w14:paraId="455F260D" w14:textId="77777777" w:rsidR="00000000" w:rsidRDefault="001D0688">
      <w:pPr>
        <w:divId w:val="761101097"/>
        <w:rPr>
          <w:rFonts w:eastAsia="Times New Roman"/>
        </w:rPr>
      </w:pPr>
      <w:r>
        <w:rPr>
          <w:rFonts w:ascii="Arial" w:eastAsia="Times New Roman" w:hAnsi="Arial" w:cs="Arial"/>
          <w:b/>
          <w:bCs/>
          <w:color w:val="0046AD"/>
          <w:sz w:val="20"/>
          <w:szCs w:val="20"/>
        </w:rPr>
        <w:t>Ge</w:t>
      </w:r>
      <w:r>
        <w:rPr>
          <w:rFonts w:ascii="Arial" w:eastAsia="Times New Roman" w:hAnsi="Arial" w:cs="Arial"/>
          <w:b/>
          <w:bCs/>
          <w:color w:val="0046AD"/>
          <w:sz w:val="20"/>
          <w:szCs w:val="20"/>
        </w:rPr>
        <w:t>ographic Information Based on the Country in Which the Sale Originate</w:t>
      </w:r>
      <w:r>
        <w:rPr>
          <w:rFonts w:ascii="Arial" w:eastAsia="Times New Roman" w:hAnsi="Arial" w:cs="Arial"/>
          <w:b/>
          <w:bCs/>
          <w:color w:val="0046AD"/>
          <w:sz w:val="20"/>
          <w:szCs w:val="20"/>
        </w:rPr>
        <w:t>d</w:t>
      </w:r>
      <w:r>
        <w:rPr>
          <w:rFonts w:ascii="Arial" w:eastAsia="Times New Roman" w:hAnsi="Arial" w:cs="Arial"/>
          <w:color w:val="0046AD"/>
          <w:sz w:val="12"/>
          <w:szCs w:val="12"/>
        </w:rPr>
        <w:t>(1</w:t>
      </w:r>
      <w:r>
        <w:rPr>
          <w:rFonts w:ascii="Arial" w:eastAsia="Times New Roman" w:hAnsi="Arial" w:cs="Arial"/>
          <w:color w:val="0046AD"/>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14:paraId="6007CF1C" w14:textId="77777777">
        <w:trPr>
          <w:divId w:val="1925453405"/>
        </w:trPr>
        <w:tc>
          <w:tcPr>
            <w:tcW w:w="50" w:type="pct"/>
            <w:vAlign w:val="center"/>
            <w:hideMark/>
          </w:tcPr>
          <w:p w14:paraId="6E4389DA" w14:textId="77777777" w:rsidR="00000000" w:rsidRDefault="001D0688">
            <w:pPr>
              <w:rPr>
                <w:rFonts w:eastAsia="Times New Roman"/>
              </w:rPr>
            </w:pPr>
          </w:p>
        </w:tc>
        <w:tc>
          <w:tcPr>
            <w:tcW w:w="2832" w:type="pct"/>
            <w:vAlign w:val="center"/>
            <w:hideMark/>
          </w:tcPr>
          <w:p w14:paraId="300C54D3" w14:textId="77777777" w:rsidR="00000000" w:rsidRDefault="001D0688">
            <w:pPr>
              <w:rPr>
                <w:rFonts w:eastAsia="Times New Roman"/>
                <w:sz w:val="20"/>
                <w:szCs w:val="20"/>
              </w:rPr>
            </w:pPr>
          </w:p>
        </w:tc>
        <w:tc>
          <w:tcPr>
            <w:tcW w:w="5" w:type="pct"/>
            <w:vAlign w:val="center"/>
            <w:hideMark/>
          </w:tcPr>
          <w:p w14:paraId="641EFA64" w14:textId="77777777" w:rsidR="00000000" w:rsidRDefault="001D0688">
            <w:pPr>
              <w:rPr>
                <w:rFonts w:eastAsia="Times New Roman"/>
                <w:sz w:val="20"/>
                <w:szCs w:val="20"/>
              </w:rPr>
            </w:pPr>
          </w:p>
        </w:tc>
        <w:tc>
          <w:tcPr>
            <w:tcW w:w="50" w:type="pct"/>
            <w:vAlign w:val="center"/>
            <w:hideMark/>
          </w:tcPr>
          <w:p w14:paraId="1378C312" w14:textId="77777777" w:rsidR="00000000" w:rsidRDefault="001D0688">
            <w:pPr>
              <w:rPr>
                <w:rFonts w:eastAsia="Times New Roman"/>
                <w:sz w:val="20"/>
                <w:szCs w:val="20"/>
              </w:rPr>
            </w:pPr>
          </w:p>
        </w:tc>
        <w:tc>
          <w:tcPr>
            <w:tcW w:w="624" w:type="pct"/>
            <w:vAlign w:val="center"/>
            <w:hideMark/>
          </w:tcPr>
          <w:p w14:paraId="1AE03CDE" w14:textId="77777777" w:rsidR="00000000" w:rsidRDefault="001D0688">
            <w:pPr>
              <w:rPr>
                <w:rFonts w:eastAsia="Times New Roman"/>
                <w:sz w:val="20"/>
                <w:szCs w:val="20"/>
              </w:rPr>
            </w:pPr>
          </w:p>
        </w:tc>
        <w:tc>
          <w:tcPr>
            <w:tcW w:w="5" w:type="pct"/>
            <w:vAlign w:val="center"/>
            <w:hideMark/>
          </w:tcPr>
          <w:p w14:paraId="278BD463" w14:textId="77777777" w:rsidR="00000000" w:rsidRDefault="001D0688">
            <w:pPr>
              <w:rPr>
                <w:rFonts w:eastAsia="Times New Roman"/>
                <w:sz w:val="20"/>
                <w:szCs w:val="20"/>
              </w:rPr>
            </w:pPr>
          </w:p>
        </w:tc>
        <w:tc>
          <w:tcPr>
            <w:tcW w:w="5" w:type="pct"/>
            <w:vAlign w:val="center"/>
            <w:hideMark/>
          </w:tcPr>
          <w:p w14:paraId="3A5F953C" w14:textId="77777777" w:rsidR="00000000" w:rsidRDefault="001D0688">
            <w:pPr>
              <w:rPr>
                <w:rFonts w:eastAsia="Times New Roman"/>
                <w:sz w:val="20"/>
                <w:szCs w:val="20"/>
              </w:rPr>
            </w:pPr>
          </w:p>
        </w:tc>
        <w:tc>
          <w:tcPr>
            <w:tcW w:w="26" w:type="pct"/>
            <w:vAlign w:val="center"/>
            <w:hideMark/>
          </w:tcPr>
          <w:p w14:paraId="7FECEC45" w14:textId="77777777" w:rsidR="00000000" w:rsidRDefault="001D0688">
            <w:pPr>
              <w:rPr>
                <w:rFonts w:eastAsia="Times New Roman"/>
                <w:sz w:val="20"/>
                <w:szCs w:val="20"/>
              </w:rPr>
            </w:pPr>
          </w:p>
        </w:tc>
        <w:tc>
          <w:tcPr>
            <w:tcW w:w="5" w:type="pct"/>
            <w:vAlign w:val="center"/>
            <w:hideMark/>
          </w:tcPr>
          <w:p w14:paraId="3F310C3A" w14:textId="77777777" w:rsidR="00000000" w:rsidRDefault="001D0688">
            <w:pPr>
              <w:rPr>
                <w:rFonts w:eastAsia="Times New Roman"/>
                <w:sz w:val="20"/>
                <w:szCs w:val="20"/>
              </w:rPr>
            </w:pPr>
          </w:p>
        </w:tc>
        <w:tc>
          <w:tcPr>
            <w:tcW w:w="50" w:type="pct"/>
            <w:vAlign w:val="center"/>
            <w:hideMark/>
          </w:tcPr>
          <w:p w14:paraId="57AEDBF8" w14:textId="77777777" w:rsidR="00000000" w:rsidRDefault="001D0688">
            <w:pPr>
              <w:rPr>
                <w:rFonts w:eastAsia="Times New Roman"/>
                <w:sz w:val="20"/>
                <w:szCs w:val="20"/>
              </w:rPr>
            </w:pPr>
          </w:p>
        </w:tc>
        <w:tc>
          <w:tcPr>
            <w:tcW w:w="624" w:type="pct"/>
            <w:vAlign w:val="center"/>
            <w:hideMark/>
          </w:tcPr>
          <w:p w14:paraId="6A399D32" w14:textId="77777777" w:rsidR="00000000" w:rsidRDefault="001D0688">
            <w:pPr>
              <w:rPr>
                <w:rFonts w:eastAsia="Times New Roman"/>
                <w:sz w:val="20"/>
                <w:szCs w:val="20"/>
              </w:rPr>
            </w:pPr>
          </w:p>
        </w:tc>
        <w:tc>
          <w:tcPr>
            <w:tcW w:w="5" w:type="pct"/>
            <w:vAlign w:val="center"/>
            <w:hideMark/>
          </w:tcPr>
          <w:p w14:paraId="3F507AC7" w14:textId="77777777" w:rsidR="00000000" w:rsidRDefault="001D0688">
            <w:pPr>
              <w:rPr>
                <w:rFonts w:eastAsia="Times New Roman"/>
                <w:sz w:val="20"/>
                <w:szCs w:val="20"/>
              </w:rPr>
            </w:pPr>
          </w:p>
        </w:tc>
        <w:tc>
          <w:tcPr>
            <w:tcW w:w="5" w:type="pct"/>
            <w:vAlign w:val="center"/>
            <w:hideMark/>
          </w:tcPr>
          <w:p w14:paraId="0D83088D" w14:textId="77777777" w:rsidR="00000000" w:rsidRDefault="001D0688">
            <w:pPr>
              <w:rPr>
                <w:rFonts w:eastAsia="Times New Roman"/>
                <w:sz w:val="20"/>
                <w:szCs w:val="20"/>
              </w:rPr>
            </w:pPr>
          </w:p>
        </w:tc>
        <w:tc>
          <w:tcPr>
            <w:tcW w:w="26" w:type="pct"/>
            <w:vAlign w:val="center"/>
            <w:hideMark/>
          </w:tcPr>
          <w:p w14:paraId="76EBBE0B" w14:textId="77777777" w:rsidR="00000000" w:rsidRDefault="001D0688">
            <w:pPr>
              <w:rPr>
                <w:rFonts w:eastAsia="Times New Roman"/>
                <w:sz w:val="20"/>
                <w:szCs w:val="20"/>
              </w:rPr>
            </w:pPr>
          </w:p>
        </w:tc>
        <w:tc>
          <w:tcPr>
            <w:tcW w:w="5" w:type="pct"/>
            <w:vAlign w:val="center"/>
            <w:hideMark/>
          </w:tcPr>
          <w:p w14:paraId="4CE6AE5F" w14:textId="77777777" w:rsidR="00000000" w:rsidRDefault="001D0688">
            <w:pPr>
              <w:rPr>
                <w:rFonts w:eastAsia="Times New Roman"/>
                <w:sz w:val="20"/>
                <w:szCs w:val="20"/>
              </w:rPr>
            </w:pPr>
          </w:p>
        </w:tc>
        <w:tc>
          <w:tcPr>
            <w:tcW w:w="50" w:type="pct"/>
            <w:vAlign w:val="center"/>
            <w:hideMark/>
          </w:tcPr>
          <w:p w14:paraId="48BC4E73" w14:textId="77777777" w:rsidR="00000000" w:rsidRDefault="001D0688">
            <w:pPr>
              <w:rPr>
                <w:rFonts w:eastAsia="Times New Roman"/>
                <w:sz w:val="20"/>
                <w:szCs w:val="20"/>
              </w:rPr>
            </w:pPr>
          </w:p>
        </w:tc>
        <w:tc>
          <w:tcPr>
            <w:tcW w:w="625" w:type="pct"/>
            <w:vAlign w:val="center"/>
            <w:hideMark/>
          </w:tcPr>
          <w:p w14:paraId="7B1A66BE" w14:textId="77777777" w:rsidR="00000000" w:rsidRDefault="001D0688">
            <w:pPr>
              <w:rPr>
                <w:rFonts w:eastAsia="Times New Roman"/>
                <w:sz w:val="20"/>
                <w:szCs w:val="20"/>
              </w:rPr>
            </w:pPr>
          </w:p>
        </w:tc>
        <w:tc>
          <w:tcPr>
            <w:tcW w:w="5" w:type="pct"/>
            <w:vAlign w:val="center"/>
            <w:hideMark/>
          </w:tcPr>
          <w:p w14:paraId="3EE4867A" w14:textId="77777777" w:rsidR="00000000" w:rsidRDefault="001D0688">
            <w:pPr>
              <w:rPr>
                <w:rFonts w:eastAsia="Times New Roman"/>
                <w:sz w:val="20"/>
                <w:szCs w:val="20"/>
              </w:rPr>
            </w:pPr>
          </w:p>
        </w:tc>
      </w:tr>
      <w:tr w:rsidR="00000000" w14:paraId="2092F190" w14:textId="77777777">
        <w:trPr>
          <w:divId w:val="1925453405"/>
        </w:trPr>
        <w:tc>
          <w:tcPr>
            <w:tcW w:w="0" w:type="auto"/>
            <w:gridSpan w:val="3"/>
            <w:tcMar>
              <w:top w:w="30" w:type="dxa"/>
              <w:left w:w="20" w:type="dxa"/>
              <w:bottom w:w="30" w:type="dxa"/>
              <w:right w:w="20" w:type="dxa"/>
            </w:tcMar>
            <w:vAlign w:val="bottom"/>
            <w:hideMark/>
          </w:tcPr>
          <w:p w14:paraId="26A14861" w14:textId="77777777" w:rsidR="00000000" w:rsidRDefault="001D0688">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14:paraId="14627799" w14:textId="77777777" w:rsidR="00000000" w:rsidRDefault="001D0688">
            <w:pPr>
              <w:jc w:val="center"/>
              <w:rPr>
                <w:rFonts w:eastAsia="Times New Roman"/>
              </w:rPr>
            </w:pPr>
            <w:r>
              <w:rPr>
                <w:rFonts w:ascii="Arial" w:eastAsia="Times New Roman" w:hAnsi="Arial" w:cs="Arial"/>
                <w:b/>
                <w:bCs/>
                <w:color w:val="000000"/>
                <w:sz w:val="20"/>
                <w:szCs w:val="20"/>
              </w:rPr>
              <w:t>Years Ended October 31,</w:t>
            </w:r>
          </w:p>
        </w:tc>
      </w:tr>
      <w:tr w:rsidR="00000000" w14:paraId="5E8A72CF" w14:textId="77777777">
        <w:trPr>
          <w:divId w:val="1925453405"/>
        </w:trPr>
        <w:tc>
          <w:tcPr>
            <w:tcW w:w="0" w:type="auto"/>
            <w:gridSpan w:val="3"/>
            <w:tcMar>
              <w:top w:w="30" w:type="dxa"/>
              <w:left w:w="20" w:type="dxa"/>
              <w:bottom w:w="30" w:type="dxa"/>
              <w:right w:w="20" w:type="dxa"/>
            </w:tcMar>
            <w:vAlign w:val="bottom"/>
            <w:hideMark/>
          </w:tcPr>
          <w:p w14:paraId="4049F801"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0BC1E45" w14:textId="77777777" w:rsidR="00000000" w:rsidRDefault="001D0688">
            <w:pPr>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7BE22A1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7572EC" w14:textId="77777777" w:rsidR="00000000" w:rsidRDefault="001D0688">
            <w:pPr>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6AC694FC"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4E6BCD" w14:textId="77777777" w:rsidR="00000000" w:rsidRDefault="001D0688">
            <w:pPr>
              <w:jc w:val="center"/>
              <w:rPr>
                <w:rFonts w:eastAsia="Times New Roman"/>
              </w:rPr>
            </w:pPr>
            <w:r>
              <w:rPr>
                <w:rFonts w:ascii="Arial" w:eastAsia="Times New Roman" w:hAnsi="Arial" w:cs="Arial"/>
                <w:b/>
                <w:bCs/>
                <w:color w:val="000000"/>
                <w:sz w:val="20"/>
                <w:szCs w:val="20"/>
              </w:rPr>
              <w:t>2018</w:t>
            </w:r>
          </w:p>
        </w:tc>
      </w:tr>
      <w:tr w:rsidR="00000000" w14:paraId="22B8D25D" w14:textId="77777777">
        <w:trPr>
          <w:divId w:val="1925453405"/>
        </w:trPr>
        <w:tc>
          <w:tcPr>
            <w:tcW w:w="0" w:type="auto"/>
            <w:gridSpan w:val="3"/>
            <w:shd w:val="clear" w:color="auto" w:fill="DCE2EF"/>
            <w:tcMar>
              <w:top w:w="30" w:type="dxa"/>
              <w:left w:w="20" w:type="dxa"/>
              <w:bottom w:w="30" w:type="dxa"/>
              <w:right w:w="20" w:type="dxa"/>
            </w:tcMar>
            <w:vAlign w:val="bottom"/>
            <w:hideMark/>
          </w:tcPr>
          <w:p w14:paraId="00635927" w14:textId="77777777" w:rsidR="00000000" w:rsidRDefault="001D0688">
            <w:pPr>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E5FDA7F"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4E3638"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982E2C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D42BD5E"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4678727" w14:textId="77777777" w:rsidR="00000000" w:rsidRDefault="001D0688">
            <w:pPr>
              <w:rPr>
                <w:rFonts w:eastAsia="Times New Roman"/>
                <w:sz w:val="20"/>
                <w:szCs w:val="20"/>
              </w:rPr>
            </w:pPr>
          </w:p>
        </w:tc>
      </w:tr>
      <w:tr w:rsidR="00000000" w14:paraId="17B8E5AD" w14:textId="77777777">
        <w:trPr>
          <w:divId w:val="1925453405"/>
        </w:trPr>
        <w:tc>
          <w:tcPr>
            <w:tcW w:w="0" w:type="auto"/>
            <w:gridSpan w:val="3"/>
            <w:shd w:val="clear" w:color="auto" w:fill="FFFFFF"/>
            <w:tcMar>
              <w:top w:w="30" w:type="dxa"/>
              <w:left w:w="20" w:type="dxa"/>
              <w:bottom w:w="30" w:type="dxa"/>
              <w:right w:w="20" w:type="dxa"/>
            </w:tcMar>
            <w:vAlign w:val="bottom"/>
            <w:hideMark/>
          </w:tcPr>
          <w:p w14:paraId="276B028B" w14:textId="77777777" w:rsidR="00000000" w:rsidRDefault="001D0688">
            <w:pPr>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14:paraId="4F4D504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40DC66D" w14:textId="77777777" w:rsidR="00000000" w:rsidRDefault="001D0688">
            <w:pPr>
              <w:jc w:val="right"/>
              <w:rPr>
                <w:rFonts w:eastAsia="Times New Roman"/>
              </w:rPr>
            </w:pPr>
            <w:r>
              <w:rPr>
                <w:rFonts w:ascii="Arial" w:eastAsia="Times New Roman" w:hAnsi="Arial" w:cs="Arial"/>
                <w:color w:val="000000"/>
                <w:sz w:val="20"/>
                <w:szCs w:val="20"/>
              </w:rPr>
              <w:t>5,625.1 </w:t>
            </w:r>
          </w:p>
        </w:tc>
        <w:tc>
          <w:tcPr>
            <w:tcW w:w="0" w:type="auto"/>
            <w:shd w:val="clear" w:color="auto" w:fill="FFFFFF"/>
            <w:tcMar>
              <w:top w:w="30" w:type="dxa"/>
              <w:left w:w="0" w:type="dxa"/>
              <w:bottom w:w="30" w:type="dxa"/>
              <w:right w:w="20" w:type="dxa"/>
            </w:tcMar>
            <w:vAlign w:val="bottom"/>
            <w:hideMark/>
          </w:tcPr>
          <w:p w14:paraId="7F822F7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4E43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93098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8E1AF87" w14:textId="77777777" w:rsidR="00000000" w:rsidRDefault="001D0688">
            <w:pPr>
              <w:jc w:val="right"/>
              <w:rPr>
                <w:rFonts w:eastAsia="Times New Roman"/>
              </w:rPr>
            </w:pPr>
            <w:r>
              <w:rPr>
                <w:rFonts w:ascii="Arial" w:eastAsia="Times New Roman" w:hAnsi="Arial" w:cs="Arial"/>
                <w:color w:val="000000"/>
                <w:sz w:val="20"/>
                <w:szCs w:val="20"/>
              </w:rPr>
              <w:t>6,025.2 </w:t>
            </w:r>
          </w:p>
        </w:tc>
        <w:tc>
          <w:tcPr>
            <w:tcW w:w="0" w:type="auto"/>
            <w:shd w:val="clear" w:color="auto" w:fill="FFFFFF"/>
            <w:tcMar>
              <w:top w:w="30" w:type="dxa"/>
              <w:left w:w="0" w:type="dxa"/>
              <w:bottom w:w="30" w:type="dxa"/>
              <w:right w:w="20" w:type="dxa"/>
            </w:tcMar>
            <w:vAlign w:val="bottom"/>
            <w:hideMark/>
          </w:tcPr>
          <w:p w14:paraId="2517911B"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68217"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59788F"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772D560" w14:textId="77777777" w:rsidR="00000000" w:rsidRDefault="001D0688">
            <w:pPr>
              <w:jc w:val="right"/>
              <w:rPr>
                <w:rFonts w:eastAsia="Times New Roman"/>
              </w:rPr>
            </w:pPr>
            <w:r>
              <w:rPr>
                <w:rFonts w:ascii="Arial" w:eastAsia="Times New Roman" w:hAnsi="Arial" w:cs="Arial"/>
                <w:color w:val="000000"/>
                <w:sz w:val="20"/>
                <w:szCs w:val="20"/>
              </w:rPr>
              <w:t>5,997.4 </w:t>
            </w:r>
          </w:p>
        </w:tc>
        <w:tc>
          <w:tcPr>
            <w:tcW w:w="0" w:type="auto"/>
            <w:shd w:val="clear" w:color="auto" w:fill="FFFFFF"/>
            <w:tcMar>
              <w:top w:w="30" w:type="dxa"/>
              <w:left w:w="0" w:type="dxa"/>
              <w:bottom w:w="30" w:type="dxa"/>
              <w:right w:w="20" w:type="dxa"/>
            </w:tcMar>
            <w:vAlign w:val="bottom"/>
            <w:hideMark/>
          </w:tcPr>
          <w:p w14:paraId="2B708C08" w14:textId="77777777" w:rsidR="00000000" w:rsidRDefault="001D0688">
            <w:pPr>
              <w:jc w:val="right"/>
              <w:rPr>
                <w:rFonts w:eastAsia="Times New Roman"/>
              </w:rPr>
            </w:pPr>
          </w:p>
        </w:tc>
      </w:tr>
      <w:tr w:rsidR="00000000" w14:paraId="0F96CCEE" w14:textId="77777777">
        <w:trPr>
          <w:divId w:val="1925453405"/>
        </w:trPr>
        <w:tc>
          <w:tcPr>
            <w:tcW w:w="0" w:type="auto"/>
            <w:gridSpan w:val="3"/>
            <w:shd w:val="clear" w:color="auto" w:fill="DCE2EF"/>
            <w:tcMar>
              <w:top w:w="30" w:type="dxa"/>
              <w:left w:w="20" w:type="dxa"/>
              <w:bottom w:w="30" w:type="dxa"/>
              <w:right w:w="20" w:type="dxa"/>
            </w:tcMar>
            <w:vAlign w:val="bottom"/>
            <w:hideMark/>
          </w:tcPr>
          <w:p w14:paraId="2B4FDE5D" w14:textId="77777777" w:rsidR="00000000" w:rsidRDefault="001D0688">
            <w:pPr>
              <w:rPr>
                <w:rFonts w:eastAsia="Times New Roman"/>
              </w:rPr>
            </w:pPr>
            <w:r>
              <w:rPr>
                <w:rFonts w:ascii="Arial" w:eastAsia="Times New Roman" w:hAnsi="Arial" w:cs="Arial"/>
                <w:color w:val="000000"/>
                <w:sz w:val="20"/>
                <w:szCs w:val="20"/>
              </w:rPr>
              <w:t>All other countries</w:t>
            </w:r>
          </w:p>
        </w:tc>
        <w:tc>
          <w:tcPr>
            <w:tcW w:w="0" w:type="auto"/>
            <w:gridSpan w:val="2"/>
            <w:shd w:val="clear" w:color="auto" w:fill="DCE2EF"/>
            <w:tcMar>
              <w:top w:w="30" w:type="dxa"/>
              <w:left w:w="20" w:type="dxa"/>
              <w:bottom w:w="30" w:type="dxa"/>
              <w:right w:w="0" w:type="dxa"/>
            </w:tcMar>
            <w:vAlign w:val="bottom"/>
            <w:hideMark/>
          </w:tcPr>
          <w:p w14:paraId="32125853" w14:textId="77777777" w:rsidR="00000000" w:rsidRDefault="001D0688">
            <w:pPr>
              <w:jc w:val="right"/>
              <w:rPr>
                <w:rFonts w:eastAsia="Times New Roman"/>
              </w:rPr>
            </w:pPr>
            <w:r>
              <w:rPr>
                <w:rFonts w:ascii="Arial" w:eastAsia="Times New Roman" w:hAnsi="Arial" w:cs="Arial"/>
                <w:color w:val="000000"/>
                <w:sz w:val="20"/>
                <w:szCs w:val="20"/>
              </w:rPr>
              <w:t>362.5 </w:t>
            </w:r>
          </w:p>
        </w:tc>
        <w:tc>
          <w:tcPr>
            <w:tcW w:w="0" w:type="auto"/>
            <w:shd w:val="clear" w:color="auto" w:fill="DCE2EF"/>
            <w:tcMar>
              <w:top w:w="30" w:type="dxa"/>
              <w:left w:w="0" w:type="dxa"/>
              <w:bottom w:w="30" w:type="dxa"/>
              <w:right w:w="20" w:type="dxa"/>
            </w:tcMar>
            <w:vAlign w:val="bottom"/>
            <w:hideMark/>
          </w:tcPr>
          <w:p w14:paraId="04D3270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8CAD8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E8FAAA" w14:textId="77777777" w:rsidR="00000000" w:rsidRDefault="001D0688">
            <w:pPr>
              <w:jc w:val="right"/>
              <w:rPr>
                <w:rFonts w:eastAsia="Times New Roman"/>
              </w:rPr>
            </w:pPr>
            <w:r>
              <w:rPr>
                <w:rFonts w:ascii="Arial" w:eastAsia="Times New Roman" w:hAnsi="Arial" w:cs="Arial"/>
                <w:color w:val="000000"/>
                <w:sz w:val="20"/>
                <w:szCs w:val="20"/>
              </w:rPr>
              <w:t>473.3 </w:t>
            </w:r>
          </w:p>
        </w:tc>
        <w:tc>
          <w:tcPr>
            <w:tcW w:w="0" w:type="auto"/>
            <w:shd w:val="clear" w:color="auto" w:fill="DCE2EF"/>
            <w:tcMar>
              <w:top w:w="30" w:type="dxa"/>
              <w:left w:w="0" w:type="dxa"/>
              <w:bottom w:w="30" w:type="dxa"/>
              <w:right w:w="20" w:type="dxa"/>
            </w:tcMar>
            <w:vAlign w:val="bottom"/>
            <w:hideMark/>
          </w:tcPr>
          <w:p w14:paraId="22E52C9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EB843A"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3C7ED7" w14:textId="77777777" w:rsidR="00000000" w:rsidRDefault="001D0688">
            <w:pPr>
              <w:jc w:val="right"/>
              <w:rPr>
                <w:rFonts w:eastAsia="Times New Roman"/>
              </w:rPr>
            </w:pPr>
            <w:r>
              <w:rPr>
                <w:rFonts w:ascii="Arial" w:eastAsia="Times New Roman" w:hAnsi="Arial" w:cs="Arial"/>
                <w:color w:val="000000"/>
                <w:sz w:val="20"/>
                <w:szCs w:val="20"/>
              </w:rPr>
              <w:t>444.8 </w:t>
            </w:r>
          </w:p>
        </w:tc>
        <w:tc>
          <w:tcPr>
            <w:tcW w:w="0" w:type="auto"/>
            <w:shd w:val="clear" w:color="auto" w:fill="DCE2EF"/>
            <w:tcMar>
              <w:top w:w="30" w:type="dxa"/>
              <w:left w:w="0" w:type="dxa"/>
              <w:bottom w:w="30" w:type="dxa"/>
              <w:right w:w="20" w:type="dxa"/>
            </w:tcMar>
            <w:vAlign w:val="bottom"/>
            <w:hideMark/>
          </w:tcPr>
          <w:p w14:paraId="65DAA272" w14:textId="77777777" w:rsidR="00000000" w:rsidRDefault="001D0688">
            <w:pPr>
              <w:jc w:val="right"/>
              <w:rPr>
                <w:rFonts w:eastAsia="Times New Roman"/>
              </w:rPr>
            </w:pPr>
          </w:p>
        </w:tc>
      </w:tr>
      <w:tr w:rsidR="00000000" w14:paraId="26833D4D" w14:textId="77777777">
        <w:trPr>
          <w:divId w:val="1925453405"/>
        </w:trPr>
        <w:tc>
          <w:tcPr>
            <w:tcW w:w="0" w:type="auto"/>
            <w:gridSpan w:val="3"/>
            <w:shd w:val="clear" w:color="auto" w:fill="FFFFFF"/>
            <w:tcMar>
              <w:top w:w="0" w:type="dxa"/>
              <w:left w:w="20" w:type="dxa"/>
              <w:bottom w:w="0" w:type="dxa"/>
              <w:right w:w="20" w:type="dxa"/>
            </w:tcMar>
            <w:vAlign w:val="center"/>
            <w:hideMark/>
          </w:tcPr>
          <w:p w14:paraId="274084F4"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394AD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F9483D" w14:textId="77777777" w:rsidR="00000000" w:rsidRDefault="001D0688">
            <w:pPr>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552B1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316E1"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718370"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CC4764" w14:textId="77777777" w:rsidR="00000000" w:rsidRDefault="001D0688">
            <w:pPr>
              <w:jc w:val="right"/>
              <w:rPr>
                <w:rFonts w:eastAsia="Times New Roman"/>
              </w:rPr>
            </w:pPr>
            <w:r>
              <w:rPr>
                <w:rFonts w:ascii="Arial" w:eastAsia="Times New Roman" w:hAnsi="Arial" w:cs="Arial"/>
                <w:color w:val="000000"/>
                <w:sz w:val="20"/>
                <w:szCs w:val="20"/>
              </w:rPr>
              <w:t>6,498.6 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DB89C9"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1E8A4"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86C8E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D5F9FF" w14:textId="77777777" w:rsidR="00000000" w:rsidRDefault="001D0688">
            <w:pPr>
              <w:jc w:val="right"/>
              <w:rPr>
                <w:rFonts w:eastAsia="Times New Roman"/>
              </w:rPr>
            </w:pPr>
            <w:r>
              <w:rPr>
                <w:rFonts w:ascii="Arial" w:eastAsia="Times New Roman" w:hAnsi="Arial" w:cs="Arial"/>
                <w:color w:val="000000"/>
                <w:sz w:val="20"/>
                <w:szCs w:val="20"/>
              </w:rPr>
              <w:t>6,442.2 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E46855" w14:textId="77777777" w:rsidR="00000000" w:rsidRDefault="001D0688">
            <w:pPr>
              <w:jc w:val="right"/>
              <w:rPr>
                <w:rFonts w:eastAsia="Times New Roman"/>
              </w:rPr>
            </w:pPr>
          </w:p>
        </w:tc>
      </w:tr>
    </w:tbl>
    <w:p w14:paraId="13D38433" w14:textId="77777777" w:rsidR="00000000" w:rsidRDefault="001D0688">
      <w:pPr>
        <w:ind w:hanging="180"/>
        <w:jc w:val="both"/>
        <w:divId w:val="5898734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Substantially all of our long-lived assets are related to United States operations.</w:t>
      </w:r>
    </w:p>
    <w:p w14:paraId="3483481C" w14:textId="77777777" w:rsidR="00000000" w:rsidRDefault="001D0688">
      <w:pPr>
        <w:jc w:val="center"/>
        <w:divId w:val="1242594348"/>
        <w:rPr>
          <w:rFonts w:eastAsia="Times New Roman"/>
        </w:rPr>
      </w:pPr>
      <w:r>
        <w:rPr>
          <w:rFonts w:ascii="Arial" w:eastAsia="Times New Roman" w:hAnsi="Arial" w:cs="Arial"/>
          <w:color w:val="000000"/>
          <w:sz w:val="20"/>
          <w:szCs w:val="20"/>
        </w:rPr>
        <w:t>95</w:t>
      </w:r>
    </w:p>
    <w:p w14:paraId="2B721AC3" w14:textId="77777777" w:rsidR="00000000" w:rsidRDefault="001D0688">
      <w:pPr>
        <w:rPr>
          <w:rFonts w:eastAsia="Times New Roman"/>
        </w:rPr>
      </w:pPr>
      <w:r>
        <w:rPr>
          <w:rFonts w:eastAsia="Times New Roman"/>
        </w:rPr>
        <w:pict w14:anchorId="3B392EF0">
          <v:rect id="_x0000_i1132" style="width:0;height:1.5pt" o:hralign="center" o:hrstd="t" o:hr="t" fillcolor="#a0a0a0" stroked="f"/>
        </w:pict>
      </w:r>
    </w:p>
    <w:p w14:paraId="53797458" w14:textId="77777777" w:rsidR="00000000" w:rsidRDefault="001D0688">
      <w:pPr>
        <w:divId w:val="579678394"/>
        <w:rPr>
          <w:rFonts w:eastAsia="Times New Roman"/>
        </w:rPr>
      </w:pPr>
    </w:p>
    <w:p w14:paraId="75713513" w14:textId="77777777" w:rsidR="00000000" w:rsidRDefault="001D0688">
      <w:pPr>
        <w:divId w:val="345404384"/>
        <w:rPr>
          <w:rFonts w:eastAsia="Times New Roman"/>
        </w:rPr>
      </w:pPr>
      <w:r>
        <w:rPr>
          <w:rFonts w:ascii="Arial" w:eastAsia="Times New Roman" w:hAnsi="Arial" w:cs="Arial"/>
          <w:b/>
          <w:bCs/>
          <w:color w:val="0046AD"/>
          <w:sz w:val="20"/>
          <w:szCs w:val="20"/>
        </w:rPr>
        <w:t>18. SELECTED QUARTERLY FINANCIAL DATA (UNAUDITED)</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14:paraId="313298D6" w14:textId="77777777">
        <w:trPr>
          <w:divId w:val="973371214"/>
        </w:trPr>
        <w:tc>
          <w:tcPr>
            <w:tcW w:w="5" w:type="pct"/>
            <w:vAlign w:val="center"/>
            <w:hideMark/>
          </w:tcPr>
          <w:p w14:paraId="130E0354" w14:textId="77777777" w:rsidR="00000000" w:rsidRDefault="001D0688">
            <w:pPr>
              <w:rPr>
                <w:rFonts w:eastAsia="Times New Roman"/>
              </w:rPr>
            </w:pPr>
          </w:p>
        </w:tc>
        <w:tc>
          <w:tcPr>
            <w:tcW w:w="130" w:type="pct"/>
            <w:vAlign w:val="center"/>
            <w:hideMark/>
          </w:tcPr>
          <w:p w14:paraId="1BA276DF" w14:textId="77777777" w:rsidR="00000000" w:rsidRDefault="001D0688">
            <w:pPr>
              <w:rPr>
                <w:rFonts w:eastAsia="Times New Roman"/>
                <w:sz w:val="20"/>
                <w:szCs w:val="20"/>
              </w:rPr>
            </w:pPr>
          </w:p>
        </w:tc>
        <w:tc>
          <w:tcPr>
            <w:tcW w:w="5" w:type="pct"/>
            <w:vAlign w:val="center"/>
            <w:hideMark/>
          </w:tcPr>
          <w:p w14:paraId="42B71C2F" w14:textId="77777777" w:rsidR="00000000" w:rsidRDefault="001D0688">
            <w:pPr>
              <w:rPr>
                <w:rFonts w:eastAsia="Times New Roman"/>
                <w:sz w:val="20"/>
                <w:szCs w:val="20"/>
              </w:rPr>
            </w:pPr>
          </w:p>
        </w:tc>
        <w:tc>
          <w:tcPr>
            <w:tcW w:w="50" w:type="pct"/>
            <w:vAlign w:val="center"/>
            <w:hideMark/>
          </w:tcPr>
          <w:p w14:paraId="05C10262" w14:textId="77777777" w:rsidR="00000000" w:rsidRDefault="001D0688">
            <w:pPr>
              <w:rPr>
                <w:rFonts w:eastAsia="Times New Roman"/>
                <w:sz w:val="20"/>
                <w:szCs w:val="20"/>
              </w:rPr>
            </w:pPr>
          </w:p>
        </w:tc>
        <w:tc>
          <w:tcPr>
            <w:tcW w:w="4804" w:type="pct"/>
            <w:vAlign w:val="center"/>
            <w:hideMark/>
          </w:tcPr>
          <w:p w14:paraId="58850BC5" w14:textId="77777777" w:rsidR="00000000" w:rsidRDefault="001D0688">
            <w:pPr>
              <w:rPr>
                <w:rFonts w:eastAsia="Times New Roman"/>
                <w:sz w:val="20"/>
                <w:szCs w:val="20"/>
              </w:rPr>
            </w:pPr>
          </w:p>
        </w:tc>
        <w:tc>
          <w:tcPr>
            <w:tcW w:w="5" w:type="pct"/>
            <w:vAlign w:val="center"/>
            <w:hideMark/>
          </w:tcPr>
          <w:p w14:paraId="032157D1" w14:textId="77777777" w:rsidR="00000000" w:rsidRDefault="001D0688">
            <w:pPr>
              <w:rPr>
                <w:rFonts w:eastAsia="Times New Roman"/>
                <w:sz w:val="20"/>
                <w:szCs w:val="20"/>
              </w:rPr>
            </w:pPr>
          </w:p>
        </w:tc>
      </w:tr>
      <w:tr w:rsidR="00000000" w14:paraId="18B6A982" w14:textId="77777777">
        <w:trPr>
          <w:divId w:val="973371214"/>
          <w:trHeight w:val="60"/>
        </w:trPr>
        <w:tc>
          <w:tcPr>
            <w:tcW w:w="0" w:type="auto"/>
            <w:gridSpan w:val="3"/>
            <w:tcBorders>
              <w:top w:val="single" w:sz="8" w:space="0" w:color="E98300"/>
            </w:tcBorders>
            <w:tcMar>
              <w:top w:w="0" w:type="dxa"/>
              <w:left w:w="20" w:type="dxa"/>
              <w:bottom w:w="0" w:type="dxa"/>
              <w:right w:w="20" w:type="dxa"/>
            </w:tcMar>
            <w:vAlign w:val="center"/>
            <w:hideMark/>
          </w:tcPr>
          <w:p w14:paraId="7D1E0E27" w14:textId="77777777" w:rsidR="00000000" w:rsidRDefault="001D0688">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0511D8CB" w14:textId="77777777" w:rsidR="00000000" w:rsidRDefault="001D0688">
            <w:pPr>
              <w:rPr>
                <w:rFonts w:eastAsia="Times New Roman"/>
                <w:sz w:val="20"/>
                <w:szCs w:val="20"/>
              </w:rPr>
            </w:pPr>
          </w:p>
        </w:tc>
      </w:tr>
    </w:tbl>
    <w:p w14:paraId="329197D3" w14:textId="77777777" w:rsidR="00000000" w:rsidRDefault="001D0688">
      <w:pPr>
        <w:divId w:val="62581859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4186"/>
        <w:gridCol w:w="41"/>
        <w:gridCol w:w="132"/>
        <w:gridCol w:w="723"/>
        <w:gridCol w:w="36"/>
        <w:gridCol w:w="36"/>
        <w:gridCol w:w="36"/>
        <w:gridCol w:w="36"/>
        <w:gridCol w:w="132"/>
        <w:gridCol w:w="723"/>
        <w:gridCol w:w="36"/>
        <w:gridCol w:w="37"/>
        <w:gridCol w:w="184"/>
        <w:gridCol w:w="36"/>
        <w:gridCol w:w="132"/>
        <w:gridCol w:w="723"/>
        <w:gridCol w:w="36"/>
        <w:gridCol w:w="36"/>
        <w:gridCol w:w="36"/>
        <w:gridCol w:w="36"/>
        <w:gridCol w:w="132"/>
        <w:gridCol w:w="723"/>
        <w:gridCol w:w="36"/>
      </w:tblGrid>
      <w:tr w:rsidR="00000000" w14:paraId="4986081C" w14:textId="77777777">
        <w:trPr>
          <w:divId w:val="230623113"/>
        </w:trPr>
        <w:tc>
          <w:tcPr>
            <w:tcW w:w="50" w:type="pct"/>
            <w:vAlign w:val="center"/>
            <w:hideMark/>
          </w:tcPr>
          <w:p w14:paraId="167A4AF4" w14:textId="77777777" w:rsidR="00000000" w:rsidRDefault="001D0688">
            <w:pPr>
              <w:rPr>
                <w:rFonts w:eastAsia="Times New Roman"/>
              </w:rPr>
            </w:pPr>
          </w:p>
        </w:tc>
        <w:tc>
          <w:tcPr>
            <w:tcW w:w="2730" w:type="pct"/>
            <w:vAlign w:val="center"/>
            <w:hideMark/>
          </w:tcPr>
          <w:p w14:paraId="6C9A2930" w14:textId="77777777" w:rsidR="00000000" w:rsidRDefault="001D0688">
            <w:pPr>
              <w:rPr>
                <w:rFonts w:eastAsia="Times New Roman"/>
                <w:sz w:val="20"/>
                <w:szCs w:val="20"/>
              </w:rPr>
            </w:pPr>
          </w:p>
        </w:tc>
        <w:tc>
          <w:tcPr>
            <w:tcW w:w="5" w:type="pct"/>
            <w:vAlign w:val="center"/>
            <w:hideMark/>
          </w:tcPr>
          <w:p w14:paraId="712AF944" w14:textId="77777777" w:rsidR="00000000" w:rsidRDefault="001D0688">
            <w:pPr>
              <w:rPr>
                <w:rFonts w:eastAsia="Times New Roman"/>
                <w:sz w:val="20"/>
                <w:szCs w:val="20"/>
              </w:rPr>
            </w:pPr>
          </w:p>
        </w:tc>
        <w:tc>
          <w:tcPr>
            <w:tcW w:w="50" w:type="pct"/>
            <w:vAlign w:val="center"/>
            <w:hideMark/>
          </w:tcPr>
          <w:p w14:paraId="18A99606" w14:textId="77777777" w:rsidR="00000000" w:rsidRDefault="001D0688">
            <w:pPr>
              <w:rPr>
                <w:rFonts w:eastAsia="Times New Roman"/>
                <w:sz w:val="20"/>
                <w:szCs w:val="20"/>
              </w:rPr>
            </w:pPr>
          </w:p>
        </w:tc>
        <w:tc>
          <w:tcPr>
            <w:tcW w:w="405" w:type="pct"/>
            <w:vAlign w:val="center"/>
            <w:hideMark/>
          </w:tcPr>
          <w:p w14:paraId="3CED2272" w14:textId="77777777" w:rsidR="00000000" w:rsidRDefault="001D0688">
            <w:pPr>
              <w:rPr>
                <w:rFonts w:eastAsia="Times New Roman"/>
                <w:sz w:val="20"/>
                <w:szCs w:val="20"/>
              </w:rPr>
            </w:pPr>
          </w:p>
        </w:tc>
        <w:tc>
          <w:tcPr>
            <w:tcW w:w="5" w:type="pct"/>
            <w:vAlign w:val="center"/>
            <w:hideMark/>
          </w:tcPr>
          <w:p w14:paraId="704F4714" w14:textId="77777777" w:rsidR="00000000" w:rsidRDefault="001D0688">
            <w:pPr>
              <w:rPr>
                <w:rFonts w:eastAsia="Times New Roman"/>
                <w:sz w:val="20"/>
                <w:szCs w:val="20"/>
              </w:rPr>
            </w:pPr>
          </w:p>
        </w:tc>
        <w:tc>
          <w:tcPr>
            <w:tcW w:w="5" w:type="pct"/>
            <w:vAlign w:val="center"/>
            <w:hideMark/>
          </w:tcPr>
          <w:p w14:paraId="2C66B809" w14:textId="77777777" w:rsidR="00000000" w:rsidRDefault="001D0688">
            <w:pPr>
              <w:rPr>
                <w:rFonts w:eastAsia="Times New Roman"/>
                <w:sz w:val="20"/>
                <w:szCs w:val="20"/>
              </w:rPr>
            </w:pPr>
          </w:p>
        </w:tc>
        <w:tc>
          <w:tcPr>
            <w:tcW w:w="128" w:type="pct"/>
            <w:vAlign w:val="center"/>
            <w:hideMark/>
          </w:tcPr>
          <w:p w14:paraId="7BAF0F27" w14:textId="77777777" w:rsidR="00000000" w:rsidRDefault="001D0688">
            <w:pPr>
              <w:rPr>
                <w:rFonts w:eastAsia="Times New Roman"/>
                <w:sz w:val="20"/>
                <w:szCs w:val="20"/>
              </w:rPr>
            </w:pPr>
          </w:p>
        </w:tc>
        <w:tc>
          <w:tcPr>
            <w:tcW w:w="5" w:type="pct"/>
            <w:vAlign w:val="center"/>
            <w:hideMark/>
          </w:tcPr>
          <w:p w14:paraId="05E53BDD" w14:textId="77777777" w:rsidR="00000000" w:rsidRDefault="001D0688">
            <w:pPr>
              <w:rPr>
                <w:rFonts w:eastAsia="Times New Roman"/>
                <w:sz w:val="20"/>
                <w:szCs w:val="20"/>
              </w:rPr>
            </w:pPr>
          </w:p>
        </w:tc>
        <w:tc>
          <w:tcPr>
            <w:tcW w:w="50" w:type="pct"/>
            <w:vAlign w:val="center"/>
            <w:hideMark/>
          </w:tcPr>
          <w:p w14:paraId="463647F4" w14:textId="77777777" w:rsidR="00000000" w:rsidRDefault="001D0688">
            <w:pPr>
              <w:rPr>
                <w:rFonts w:eastAsia="Times New Roman"/>
                <w:sz w:val="20"/>
                <w:szCs w:val="20"/>
              </w:rPr>
            </w:pPr>
          </w:p>
        </w:tc>
        <w:tc>
          <w:tcPr>
            <w:tcW w:w="390" w:type="pct"/>
            <w:vAlign w:val="center"/>
            <w:hideMark/>
          </w:tcPr>
          <w:p w14:paraId="2B733E19" w14:textId="77777777" w:rsidR="00000000" w:rsidRDefault="001D0688">
            <w:pPr>
              <w:rPr>
                <w:rFonts w:eastAsia="Times New Roman"/>
                <w:sz w:val="20"/>
                <w:szCs w:val="20"/>
              </w:rPr>
            </w:pPr>
          </w:p>
        </w:tc>
        <w:tc>
          <w:tcPr>
            <w:tcW w:w="5" w:type="pct"/>
            <w:vAlign w:val="center"/>
            <w:hideMark/>
          </w:tcPr>
          <w:p w14:paraId="7F22127B" w14:textId="77777777" w:rsidR="00000000" w:rsidRDefault="001D0688">
            <w:pPr>
              <w:rPr>
                <w:rFonts w:eastAsia="Times New Roman"/>
                <w:sz w:val="20"/>
                <w:szCs w:val="20"/>
              </w:rPr>
            </w:pPr>
          </w:p>
        </w:tc>
        <w:tc>
          <w:tcPr>
            <w:tcW w:w="5" w:type="pct"/>
            <w:vAlign w:val="center"/>
            <w:hideMark/>
          </w:tcPr>
          <w:p w14:paraId="592BEAE0" w14:textId="77777777" w:rsidR="00000000" w:rsidRDefault="001D0688">
            <w:pPr>
              <w:rPr>
                <w:rFonts w:eastAsia="Times New Roman"/>
                <w:sz w:val="20"/>
                <w:szCs w:val="20"/>
              </w:rPr>
            </w:pPr>
          </w:p>
        </w:tc>
        <w:tc>
          <w:tcPr>
            <w:tcW w:w="128" w:type="pct"/>
            <w:vAlign w:val="center"/>
            <w:hideMark/>
          </w:tcPr>
          <w:p w14:paraId="04DE6653" w14:textId="77777777" w:rsidR="00000000" w:rsidRDefault="001D0688">
            <w:pPr>
              <w:rPr>
                <w:rFonts w:eastAsia="Times New Roman"/>
                <w:sz w:val="20"/>
                <w:szCs w:val="20"/>
              </w:rPr>
            </w:pPr>
          </w:p>
        </w:tc>
        <w:tc>
          <w:tcPr>
            <w:tcW w:w="5" w:type="pct"/>
            <w:vAlign w:val="center"/>
            <w:hideMark/>
          </w:tcPr>
          <w:p w14:paraId="6308348C" w14:textId="77777777" w:rsidR="00000000" w:rsidRDefault="001D0688">
            <w:pPr>
              <w:rPr>
                <w:rFonts w:eastAsia="Times New Roman"/>
                <w:sz w:val="20"/>
                <w:szCs w:val="20"/>
              </w:rPr>
            </w:pPr>
          </w:p>
        </w:tc>
        <w:tc>
          <w:tcPr>
            <w:tcW w:w="50" w:type="pct"/>
            <w:vAlign w:val="center"/>
            <w:hideMark/>
          </w:tcPr>
          <w:p w14:paraId="4CD4DA1E" w14:textId="77777777" w:rsidR="00000000" w:rsidRDefault="001D0688">
            <w:pPr>
              <w:rPr>
                <w:rFonts w:eastAsia="Times New Roman"/>
                <w:sz w:val="20"/>
                <w:szCs w:val="20"/>
              </w:rPr>
            </w:pPr>
          </w:p>
        </w:tc>
        <w:tc>
          <w:tcPr>
            <w:tcW w:w="390" w:type="pct"/>
            <w:vAlign w:val="center"/>
            <w:hideMark/>
          </w:tcPr>
          <w:p w14:paraId="1CC08306" w14:textId="77777777" w:rsidR="00000000" w:rsidRDefault="001D0688">
            <w:pPr>
              <w:rPr>
                <w:rFonts w:eastAsia="Times New Roman"/>
                <w:sz w:val="20"/>
                <w:szCs w:val="20"/>
              </w:rPr>
            </w:pPr>
          </w:p>
        </w:tc>
        <w:tc>
          <w:tcPr>
            <w:tcW w:w="5" w:type="pct"/>
            <w:vAlign w:val="center"/>
            <w:hideMark/>
          </w:tcPr>
          <w:p w14:paraId="206F33A8" w14:textId="77777777" w:rsidR="00000000" w:rsidRDefault="001D0688">
            <w:pPr>
              <w:rPr>
                <w:rFonts w:eastAsia="Times New Roman"/>
                <w:sz w:val="20"/>
                <w:szCs w:val="20"/>
              </w:rPr>
            </w:pPr>
          </w:p>
        </w:tc>
        <w:tc>
          <w:tcPr>
            <w:tcW w:w="5" w:type="pct"/>
            <w:vAlign w:val="center"/>
            <w:hideMark/>
          </w:tcPr>
          <w:p w14:paraId="651D6987" w14:textId="77777777" w:rsidR="00000000" w:rsidRDefault="001D0688">
            <w:pPr>
              <w:rPr>
                <w:rFonts w:eastAsia="Times New Roman"/>
                <w:sz w:val="20"/>
                <w:szCs w:val="20"/>
              </w:rPr>
            </w:pPr>
          </w:p>
        </w:tc>
        <w:tc>
          <w:tcPr>
            <w:tcW w:w="128" w:type="pct"/>
            <w:vAlign w:val="center"/>
            <w:hideMark/>
          </w:tcPr>
          <w:p w14:paraId="34665468" w14:textId="77777777" w:rsidR="00000000" w:rsidRDefault="001D0688">
            <w:pPr>
              <w:rPr>
                <w:rFonts w:eastAsia="Times New Roman"/>
                <w:sz w:val="20"/>
                <w:szCs w:val="20"/>
              </w:rPr>
            </w:pPr>
          </w:p>
        </w:tc>
        <w:tc>
          <w:tcPr>
            <w:tcW w:w="5" w:type="pct"/>
            <w:vAlign w:val="center"/>
            <w:hideMark/>
          </w:tcPr>
          <w:p w14:paraId="54C0F6FE" w14:textId="77777777" w:rsidR="00000000" w:rsidRDefault="001D0688">
            <w:pPr>
              <w:rPr>
                <w:rFonts w:eastAsia="Times New Roman"/>
                <w:sz w:val="20"/>
                <w:szCs w:val="20"/>
              </w:rPr>
            </w:pPr>
          </w:p>
        </w:tc>
        <w:tc>
          <w:tcPr>
            <w:tcW w:w="50" w:type="pct"/>
            <w:vAlign w:val="center"/>
            <w:hideMark/>
          </w:tcPr>
          <w:p w14:paraId="09D0469E" w14:textId="77777777" w:rsidR="00000000" w:rsidRDefault="001D0688">
            <w:pPr>
              <w:rPr>
                <w:rFonts w:eastAsia="Times New Roman"/>
                <w:sz w:val="20"/>
                <w:szCs w:val="20"/>
              </w:rPr>
            </w:pPr>
          </w:p>
        </w:tc>
        <w:tc>
          <w:tcPr>
            <w:tcW w:w="391" w:type="pct"/>
            <w:vAlign w:val="center"/>
            <w:hideMark/>
          </w:tcPr>
          <w:p w14:paraId="1631D4CC" w14:textId="77777777" w:rsidR="00000000" w:rsidRDefault="001D0688">
            <w:pPr>
              <w:rPr>
                <w:rFonts w:eastAsia="Times New Roman"/>
                <w:sz w:val="20"/>
                <w:szCs w:val="20"/>
              </w:rPr>
            </w:pPr>
          </w:p>
        </w:tc>
        <w:tc>
          <w:tcPr>
            <w:tcW w:w="5" w:type="pct"/>
            <w:vAlign w:val="center"/>
            <w:hideMark/>
          </w:tcPr>
          <w:p w14:paraId="10BD4ED5" w14:textId="77777777" w:rsidR="00000000" w:rsidRDefault="001D0688">
            <w:pPr>
              <w:rPr>
                <w:rFonts w:eastAsia="Times New Roman"/>
                <w:sz w:val="20"/>
                <w:szCs w:val="20"/>
              </w:rPr>
            </w:pPr>
          </w:p>
        </w:tc>
      </w:tr>
      <w:tr w:rsidR="00000000" w14:paraId="51339FFD" w14:textId="77777777">
        <w:trPr>
          <w:divId w:val="230623113"/>
        </w:trPr>
        <w:tc>
          <w:tcPr>
            <w:tcW w:w="0" w:type="auto"/>
            <w:gridSpan w:val="3"/>
            <w:tcMar>
              <w:top w:w="30" w:type="dxa"/>
              <w:left w:w="20" w:type="dxa"/>
              <w:bottom w:w="30" w:type="dxa"/>
              <w:right w:w="20" w:type="dxa"/>
            </w:tcMar>
            <w:vAlign w:val="bottom"/>
            <w:hideMark/>
          </w:tcPr>
          <w:p w14:paraId="35F205FF" w14:textId="77777777" w:rsidR="00000000" w:rsidRDefault="001D0688">
            <w:pPr>
              <w:rPr>
                <w:rFonts w:eastAsia="Times New Roman"/>
              </w:rPr>
            </w:pPr>
            <w:r>
              <w:rPr>
                <w:rFonts w:eastAsia="Times New Roman"/>
                <w:color w:val="000000"/>
                <w:sz w:val="18"/>
                <w:szCs w:val="18"/>
              </w:rPr>
              <w:t> </w:t>
            </w:r>
          </w:p>
        </w:tc>
        <w:tc>
          <w:tcPr>
            <w:tcW w:w="0" w:type="auto"/>
            <w:gridSpan w:val="21"/>
            <w:tcMar>
              <w:top w:w="30" w:type="dxa"/>
              <w:left w:w="20" w:type="dxa"/>
              <w:bottom w:w="30" w:type="dxa"/>
              <w:right w:w="20" w:type="dxa"/>
            </w:tcMar>
            <w:vAlign w:val="bottom"/>
            <w:hideMark/>
          </w:tcPr>
          <w:p w14:paraId="20DCC9BA" w14:textId="77777777" w:rsidR="00000000" w:rsidRDefault="001D0688">
            <w:pPr>
              <w:jc w:val="center"/>
              <w:rPr>
                <w:rFonts w:eastAsia="Times New Roman"/>
              </w:rPr>
            </w:pPr>
            <w:r>
              <w:rPr>
                <w:rFonts w:ascii="Arial" w:eastAsia="Times New Roman" w:hAnsi="Arial" w:cs="Arial"/>
                <w:b/>
                <w:bCs/>
                <w:color w:val="000000"/>
                <w:sz w:val="20"/>
                <w:szCs w:val="20"/>
              </w:rPr>
              <w:t>Fiscal Quarter</w:t>
            </w:r>
          </w:p>
        </w:tc>
      </w:tr>
      <w:tr w:rsidR="00000000" w14:paraId="13BE344D" w14:textId="77777777">
        <w:trPr>
          <w:divId w:val="230623113"/>
        </w:trPr>
        <w:tc>
          <w:tcPr>
            <w:tcW w:w="0" w:type="auto"/>
            <w:gridSpan w:val="3"/>
            <w:tcMar>
              <w:top w:w="30" w:type="dxa"/>
              <w:left w:w="20" w:type="dxa"/>
              <w:bottom w:w="30" w:type="dxa"/>
              <w:right w:w="20" w:type="dxa"/>
            </w:tcMar>
            <w:vAlign w:val="bottom"/>
            <w:hideMark/>
          </w:tcPr>
          <w:p w14:paraId="448D8853" w14:textId="77777777" w:rsidR="00000000" w:rsidRDefault="001D0688">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04B3A2B6" w14:textId="77777777" w:rsidR="00000000" w:rsidRDefault="001D0688">
            <w:pPr>
              <w:jc w:val="center"/>
              <w:rPr>
                <w:rFonts w:eastAsia="Times New Roman"/>
              </w:rPr>
            </w:pPr>
            <w:r>
              <w:rPr>
                <w:rFonts w:ascii="Arial" w:eastAsia="Times New Roman" w:hAnsi="Arial" w:cs="Arial"/>
                <w:b/>
                <w:bCs/>
                <w:color w:val="000000"/>
                <w:sz w:val="20"/>
                <w:szCs w:val="20"/>
              </w:rPr>
              <w:t>First</w:t>
            </w:r>
          </w:p>
        </w:tc>
        <w:tc>
          <w:tcPr>
            <w:tcW w:w="0" w:type="auto"/>
            <w:gridSpan w:val="3"/>
            <w:tcBorders>
              <w:top w:val="single" w:sz="8" w:space="0" w:color="000000"/>
            </w:tcBorders>
            <w:tcMar>
              <w:top w:w="0" w:type="dxa"/>
              <w:left w:w="20" w:type="dxa"/>
              <w:bottom w:w="0" w:type="dxa"/>
              <w:right w:w="20" w:type="dxa"/>
            </w:tcMar>
            <w:vAlign w:val="center"/>
            <w:hideMark/>
          </w:tcPr>
          <w:p w14:paraId="7A75C95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B9719C" w14:textId="77777777" w:rsidR="00000000" w:rsidRDefault="001D0688">
            <w:pPr>
              <w:jc w:val="center"/>
              <w:rPr>
                <w:rFonts w:eastAsia="Times New Roman"/>
              </w:rPr>
            </w:pPr>
            <w:r>
              <w:rPr>
                <w:rFonts w:ascii="Arial" w:eastAsia="Times New Roman" w:hAnsi="Arial" w:cs="Arial"/>
                <w:b/>
                <w:bCs/>
                <w:color w:val="000000"/>
                <w:sz w:val="20"/>
                <w:szCs w:val="20"/>
              </w:rPr>
              <w:t>Second</w:t>
            </w:r>
          </w:p>
        </w:tc>
        <w:tc>
          <w:tcPr>
            <w:tcW w:w="0" w:type="auto"/>
            <w:gridSpan w:val="3"/>
            <w:tcBorders>
              <w:top w:val="single" w:sz="8" w:space="0" w:color="000000"/>
            </w:tcBorders>
            <w:tcMar>
              <w:top w:w="0" w:type="dxa"/>
              <w:left w:w="20" w:type="dxa"/>
              <w:bottom w:w="0" w:type="dxa"/>
              <w:right w:w="20" w:type="dxa"/>
            </w:tcMar>
            <w:vAlign w:val="center"/>
            <w:hideMark/>
          </w:tcPr>
          <w:p w14:paraId="4C483C45"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3D11AA" w14:textId="77777777" w:rsidR="00000000" w:rsidRDefault="001D0688">
            <w:pPr>
              <w:jc w:val="center"/>
              <w:rPr>
                <w:rFonts w:eastAsia="Times New Roman"/>
              </w:rPr>
            </w:pPr>
            <w:r>
              <w:rPr>
                <w:rFonts w:ascii="Arial" w:eastAsia="Times New Roman" w:hAnsi="Arial" w:cs="Arial"/>
                <w:b/>
                <w:bCs/>
                <w:color w:val="000000"/>
                <w:sz w:val="20"/>
                <w:szCs w:val="20"/>
              </w:rPr>
              <w:t>Third</w:t>
            </w:r>
          </w:p>
        </w:tc>
        <w:tc>
          <w:tcPr>
            <w:tcW w:w="0" w:type="auto"/>
            <w:gridSpan w:val="3"/>
            <w:tcBorders>
              <w:top w:val="single" w:sz="8" w:space="0" w:color="000000"/>
            </w:tcBorders>
            <w:tcMar>
              <w:top w:w="0" w:type="dxa"/>
              <w:left w:w="20" w:type="dxa"/>
              <w:bottom w:w="0" w:type="dxa"/>
              <w:right w:w="20" w:type="dxa"/>
            </w:tcMar>
            <w:vAlign w:val="center"/>
            <w:hideMark/>
          </w:tcPr>
          <w:p w14:paraId="63DB5E21"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B6FABE" w14:textId="77777777" w:rsidR="00000000" w:rsidRDefault="001D0688">
            <w:pPr>
              <w:jc w:val="center"/>
              <w:rPr>
                <w:rFonts w:eastAsia="Times New Roman"/>
              </w:rPr>
            </w:pPr>
            <w:r>
              <w:rPr>
                <w:rFonts w:ascii="Arial" w:eastAsia="Times New Roman" w:hAnsi="Arial" w:cs="Arial"/>
                <w:b/>
                <w:bCs/>
                <w:color w:val="000000"/>
                <w:sz w:val="20"/>
                <w:szCs w:val="20"/>
              </w:rPr>
              <w:t>Fourth</w:t>
            </w:r>
          </w:p>
        </w:tc>
      </w:tr>
      <w:tr w:rsidR="00000000" w14:paraId="6DFBF856" w14:textId="77777777">
        <w:trPr>
          <w:divId w:val="230623113"/>
        </w:trPr>
        <w:tc>
          <w:tcPr>
            <w:tcW w:w="0" w:type="auto"/>
            <w:gridSpan w:val="3"/>
            <w:shd w:val="clear" w:color="auto" w:fill="DCE2EF"/>
            <w:tcMar>
              <w:top w:w="30" w:type="dxa"/>
              <w:left w:w="20" w:type="dxa"/>
              <w:bottom w:w="30" w:type="dxa"/>
              <w:right w:w="20" w:type="dxa"/>
            </w:tcMar>
            <w:vAlign w:val="bottom"/>
            <w:hideMark/>
          </w:tcPr>
          <w:p w14:paraId="02E92965" w14:textId="77777777" w:rsidR="00000000" w:rsidRDefault="001D0688">
            <w:pPr>
              <w:rPr>
                <w:rFonts w:eastAsia="Times New Roman"/>
              </w:rPr>
            </w:pPr>
            <w:r>
              <w:rPr>
                <w:rFonts w:ascii="Arial" w:eastAsia="Times New Roman" w:hAnsi="Arial" w:cs="Arial"/>
                <w:b/>
                <w:bCs/>
                <w:color w:val="000000"/>
                <w:sz w:val="20"/>
                <w:szCs w:val="20"/>
              </w:rPr>
              <w:t>Year Ended October 31, 2020</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5E5BCB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9868F95"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A3F075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0987FF"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BB310F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F9F7B19" w14:textId="77777777" w:rsidR="00000000" w:rsidRDefault="001D0688">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442491F" w14:textId="77777777" w:rsidR="00000000" w:rsidRDefault="001D0688">
            <w:pPr>
              <w:rPr>
                <w:rFonts w:eastAsia="Times New Roman"/>
                <w:sz w:val="20"/>
                <w:szCs w:val="20"/>
              </w:rPr>
            </w:pPr>
          </w:p>
        </w:tc>
      </w:tr>
      <w:tr w:rsidR="00000000" w14:paraId="3C6B4AD8" w14:textId="77777777">
        <w:trPr>
          <w:divId w:val="230623113"/>
        </w:trPr>
        <w:tc>
          <w:tcPr>
            <w:tcW w:w="0" w:type="auto"/>
            <w:gridSpan w:val="3"/>
            <w:shd w:val="clear" w:color="auto" w:fill="FFFFFF"/>
            <w:tcMar>
              <w:top w:w="30" w:type="dxa"/>
              <w:left w:w="20" w:type="dxa"/>
              <w:bottom w:w="30" w:type="dxa"/>
              <w:right w:w="20" w:type="dxa"/>
            </w:tcMar>
            <w:vAlign w:val="bottom"/>
            <w:hideMark/>
          </w:tcPr>
          <w:p w14:paraId="7672DF6B"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shd w:val="clear" w:color="auto" w:fill="FFFFFF"/>
            <w:tcMar>
              <w:top w:w="30" w:type="dxa"/>
              <w:left w:w="20" w:type="dxa"/>
              <w:bottom w:w="30" w:type="dxa"/>
              <w:right w:w="0" w:type="dxa"/>
            </w:tcMar>
            <w:vAlign w:val="bottom"/>
            <w:hideMark/>
          </w:tcPr>
          <w:p w14:paraId="2FF2068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72F15037" w14:textId="77777777" w:rsidR="00000000" w:rsidRDefault="001D0688">
            <w:pPr>
              <w:jc w:val="right"/>
              <w:rPr>
                <w:rFonts w:eastAsia="Times New Roman"/>
              </w:rPr>
            </w:pPr>
            <w:r>
              <w:rPr>
                <w:rFonts w:ascii="Arial" w:eastAsia="Times New Roman" w:hAnsi="Arial" w:cs="Arial"/>
                <w:color w:val="000000"/>
                <w:sz w:val="20"/>
                <w:szCs w:val="20"/>
              </w:rPr>
              <w:t>1,612.9 </w:t>
            </w:r>
          </w:p>
        </w:tc>
        <w:tc>
          <w:tcPr>
            <w:tcW w:w="0" w:type="auto"/>
            <w:shd w:val="clear" w:color="auto" w:fill="FFFFFF"/>
            <w:tcMar>
              <w:top w:w="30" w:type="dxa"/>
              <w:left w:w="0" w:type="dxa"/>
              <w:bottom w:w="30" w:type="dxa"/>
              <w:right w:w="20" w:type="dxa"/>
            </w:tcMar>
            <w:vAlign w:val="bottom"/>
            <w:hideMark/>
          </w:tcPr>
          <w:p w14:paraId="2E9F52C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68ADC"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79DE1C"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224A96E4" w14:textId="77777777" w:rsidR="00000000" w:rsidRDefault="001D0688">
            <w:pPr>
              <w:jc w:val="right"/>
              <w:rPr>
                <w:rFonts w:eastAsia="Times New Roman"/>
              </w:rPr>
            </w:pPr>
            <w:r>
              <w:rPr>
                <w:rFonts w:ascii="Arial" w:eastAsia="Times New Roman" w:hAnsi="Arial" w:cs="Arial"/>
                <w:color w:val="000000"/>
                <w:sz w:val="20"/>
                <w:szCs w:val="20"/>
              </w:rPr>
              <w:t>1,496.0 </w:t>
            </w:r>
          </w:p>
        </w:tc>
        <w:tc>
          <w:tcPr>
            <w:tcW w:w="0" w:type="auto"/>
            <w:shd w:val="clear" w:color="auto" w:fill="FFFFFF"/>
            <w:tcMar>
              <w:top w:w="30" w:type="dxa"/>
              <w:left w:w="0" w:type="dxa"/>
              <w:bottom w:w="30" w:type="dxa"/>
              <w:right w:w="20" w:type="dxa"/>
            </w:tcMar>
            <w:vAlign w:val="bottom"/>
            <w:hideMark/>
          </w:tcPr>
          <w:p w14:paraId="228B5D94"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1CBCF"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44A44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75E4C92" w14:textId="77777777" w:rsidR="00000000" w:rsidRDefault="001D0688">
            <w:pPr>
              <w:jc w:val="right"/>
              <w:rPr>
                <w:rFonts w:eastAsia="Times New Roman"/>
              </w:rPr>
            </w:pPr>
            <w:r>
              <w:rPr>
                <w:rFonts w:ascii="Arial" w:eastAsia="Times New Roman" w:hAnsi="Arial" w:cs="Arial"/>
                <w:color w:val="000000"/>
                <w:sz w:val="20"/>
                <w:szCs w:val="20"/>
              </w:rPr>
              <w:t>1,394.1 </w:t>
            </w:r>
          </w:p>
        </w:tc>
        <w:tc>
          <w:tcPr>
            <w:tcW w:w="0" w:type="auto"/>
            <w:shd w:val="clear" w:color="auto" w:fill="FFFFFF"/>
            <w:tcMar>
              <w:top w:w="30" w:type="dxa"/>
              <w:left w:w="0" w:type="dxa"/>
              <w:bottom w:w="30" w:type="dxa"/>
              <w:right w:w="20" w:type="dxa"/>
            </w:tcMar>
            <w:vAlign w:val="bottom"/>
            <w:hideMark/>
          </w:tcPr>
          <w:p w14:paraId="57AC59A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822A1"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552E7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1E54D7F" w14:textId="77777777" w:rsidR="00000000" w:rsidRDefault="001D0688">
            <w:pPr>
              <w:jc w:val="right"/>
              <w:rPr>
                <w:rFonts w:eastAsia="Times New Roman"/>
              </w:rPr>
            </w:pPr>
            <w:r>
              <w:rPr>
                <w:rFonts w:ascii="Arial" w:eastAsia="Times New Roman" w:hAnsi="Arial" w:cs="Arial"/>
                <w:color w:val="000000"/>
                <w:sz w:val="20"/>
                <w:szCs w:val="20"/>
              </w:rPr>
              <w:t>1,484.6 </w:t>
            </w:r>
          </w:p>
        </w:tc>
        <w:tc>
          <w:tcPr>
            <w:tcW w:w="0" w:type="auto"/>
            <w:shd w:val="clear" w:color="auto" w:fill="FFFFFF"/>
            <w:tcMar>
              <w:top w:w="30" w:type="dxa"/>
              <w:left w:w="0" w:type="dxa"/>
              <w:bottom w:w="30" w:type="dxa"/>
              <w:right w:w="20" w:type="dxa"/>
            </w:tcMar>
            <w:vAlign w:val="bottom"/>
            <w:hideMark/>
          </w:tcPr>
          <w:p w14:paraId="64DAE40A" w14:textId="77777777" w:rsidR="00000000" w:rsidRDefault="001D0688">
            <w:pPr>
              <w:jc w:val="right"/>
              <w:rPr>
                <w:rFonts w:eastAsia="Times New Roman"/>
              </w:rPr>
            </w:pPr>
          </w:p>
        </w:tc>
      </w:tr>
      <w:tr w:rsidR="00000000" w14:paraId="44F7C812" w14:textId="77777777">
        <w:trPr>
          <w:divId w:val="230623113"/>
        </w:trPr>
        <w:tc>
          <w:tcPr>
            <w:tcW w:w="0" w:type="auto"/>
            <w:gridSpan w:val="3"/>
            <w:shd w:val="clear" w:color="auto" w:fill="DCE2EF"/>
            <w:tcMar>
              <w:top w:w="30" w:type="dxa"/>
              <w:left w:w="20" w:type="dxa"/>
              <w:bottom w:w="30" w:type="dxa"/>
              <w:right w:w="20" w:type="dxa"/>
            </w:tcMar>
            <w:vAlign w:val="bottom"/>
            <w:hideMark/>
          </w:tcPr>
          <w:p w14:paraId="7B2319EE" w14:textId="77777777" w:rsidR="00000000" w:rsidRDefault="001D0688">
            <w:pPr>
              <w:rPr>
                <w:rFonts w:eastAsia="Times New Roman"/>
              </w:rPr>
            </w:pPr>
            <w:r>
              <w:rPr>
                <w:rFonts w:ascii="Arial" w:eastAsia="Times New Roman" w:hAnsi="Arial" w:cs="Arial"/>
                <w:color w:val="000000"/>
                <w:sz w:val="20"/>
                <w:szCs w:val="20"/>
              </w:rPr>
              <w:t>Gross profit</w:t>
            </w:r>
          </w:p>
        </w:tc>
        <w:tc>
          <w:tcPr>
            <w:tcW w:w="0" w:type="auto"/>
            <w:gridSpan w:val="2"/>
            <w:shd w:val="clear" w:color="auto" w:fill="DCE2EF"/>
            <w:tcMar>
              <w:top w:w="30" w:type="dxa"/>
              <w:left w:w="20" w:type="dxa"/>
              <w:bottom w:w="30" w:type="dxa"/>
              <w:right w:w="0" w:type="dxa"/>
            </w:tcMar>
            <w:vAlign w:val="bottom"/>
            <w:hideMark/>
          </w:tcPr>
          <w:p w14:paraId="0CA6BB05" w14:textId="77777777" w:rsidR="00000000" w:rsidRDefault="001D0688">
            <w:pPr>
              <w:jc w:val="right"/>
              <w:rPr>
                <w:rFonts w:eastAsia="Times New Roman"/>
              </w:rPr>
            </w:pPr>
            <w:r>
              <w:rPr>
                <w:rFonts w:ascii="Arial" w:eastAsia="Times New Roman" w:hAnsi="Arial" w:cs="Arial"/>
                <w:color w:val="000000"/>
                <w:sz w:val="20"/>
                <w:szCs w:val="20"/>
              </w:rPr>
              <w:t>179.2 </w:t>
            </w:r>
          </w:p>
        </w:tc>
        <w:tc>
          <w:tcPr>
            <w:tcW w:w="0" w:type="auto"/>
            <w:shd w:val="clear" w:color="auto" w:fill="DCE2EF"/>
            <w:tcMar>
              <w:top w:w="30" w:type="dxa"/>
              <w:left w:w="0" w:type="dxa"/>
              <w:bottom w:w="30" w:type="dxa"/>
              <w:right w:w="20" w:type="dxa"/>
            </w:tcMar>
            <w:vAlign w:val="bottom"/>
            <w:hideMark/>
          </w:tcPr>
          <w:p w14:paraId="736176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0CC5F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E14C73D" w14:textId="77777777" w:rsidR="00000000" w:rsidRDefault="001D0688">
            <w:pPr>
              <w:jc w:val="right"/>
              <w:rPr>
                <w:rFonts w:eastAsia="Times New Roman"/>
              </w:rPr>
            </w:pPr>
            <w:r>
              <w:rPr>
                <w:rFonts w:ascii="Arial" w:eastAsia="Times New Roman" w:hAnsi="Arial" w:cs="Arial"/>
                <w:color w:val="000000"/>
                <w:sz w:val="20"/>
                <w:szCs w:val="20"/>
              </w:rPr>
              <w:t>189.9 </w:t>
            </w:r>
          </w:p>
        </w:tc>
        <w:tc>
          <w:tcPr>
            <w:tcW w:w="0" w:type="auto"/>
            <w:shd w:val="clear" w:color="auto" w:fill="DCE2EF"/>
            <w:tcMar>
              <w:top w:w="30" w:type="dxa"/>
              <w:left w:w="0" w:type="dxa"/>
              <w:bottom w:w="30" w:type="dxa"/>
              <w:right w:w="20" w:type="dxa"/>
            </w:tcMar>
            <w:vAlign w:val="bottom"/>
            <w:hideMark/>
          </w:tcPr>
          <w:p w14:paraId="2E2C55E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E7C080"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D0E2F0" w14:textId="77777777" w:rsidR="00000000" w:rsidRDefault="001D0688">
            <w:pPr>
              <w:jc w:val="right"/>
              <w:rPr>
                <w:rFonts w:eastAsia="Times New Roman"/>
              </w:rPr>
            </w:pPr>
            <w:r>
              <w:rPr>
                <w:rFonts w:ascii="Arial" w:eastAsia="Times New Roman" w:hAnsi="Arial" w:cs="Arial"/>
                <w:color w:val="000000"/>
                <w:sz w:val="20"/>
                <w:szCs w:val="20"/>
              </w:rPr>
              <w:t>219.2 </w:t>
            </w:r>
          </w:p>
        </w:tc>
        <w:tc>
          <w:tcPr>
            <w:tcW w:w="0" w:type="auto"/>
            <w:shd w:val="clear" w:color="auto" w:fill="DCE2EF"/>
            <w:tcMar>
              <w:top w:w="30" w:type="dxa"/>
              <w:left w:w="0" w:type="dxa"/>
              <w:bottom w:w="30" w:type="dxa"/>
              <w:right w:w="20" w:type="dxa"/>
            </w:tcMar>
            <w:vAlign w:val="bottom"/>
            <w:hideMark/>
          </w:tcPr>
          <w:p w14:paraId="269EF58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3DAB1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DA2910" w14:textId="77777777" w:rsidR="00000000" w:rsidRDefault="001D0688">
            <w:pPr>
              <w:jc w:val="right"/>
              <w:rPr>
                <w:rFonts w:eastAsia="Times New Roman"/>
              </w:rPr>
            </w:pPr>
            <w:r>
              <w:rPr>
                <w:rFonts w:ascii="Arial" w:eastAsia="Times New Roman" w:hAnsi="Arial" w:cs="Arial"/>
                <w:color w:val="000000"/>
                <w:sz w:val="20"/>
                <w:szCs w:val="20"/>
              </w:rPr>
              <w:t>242.4 </w:t>
            </w:r>
          </w:p>
        </w:tc>
        <w:tc>
          <w:tcPr>
            <w:tcW w:w="0" w:type="auto"/>
            <w:shd w:val="clear" w:color="auto" w:fill="DCE2EF"/>
            <w:tcMar>
              <w:top w:w="30" w:type="dxa"/>
              <w:left w:w="0" w:type="dxa"/>
              <w:bottom w:w="30" w:type="dxa"/>
              <w:right w:w="20" w:type="dxa"/>
            </w:tcMar>
            <w:vAlign w:val="bottom"/>
            <w:hideMark/>
          </w:tcPr>
          <w:p w14:paraId="17662721" w14:textId="77777777" w:rsidR="00000000" w:rsidRDefault="001D0688">
            <w:pPr>
              <w:jc w:val="right"/>
              <w:rPr>
                <w:rFonts w:eastAsia="Times New Roman"/>
              </w:rPr>
            </w:pPr>
          </w:p>
        </w:tc>
      </w:tr>
      <w:tr w:rsidR="00000000" w14:paraId="587D214D" w14:textId="77777777">
        <w:trPr>
          <w:divId w:val="230623113"/>
        </w:trPr>
        <w:tc>
          <w:tcPr>
            <w:tcW w:w="0" w:type="auto"/>
            <w:gridSpan w:val="3"/>
            <w:shd w:val="clear" w:color="auto" w:fill="FFFFFF"/>
            <w:tcMar>
              <w:top w:w="30" w:type="dxa"/>
              <w:left w:w="20" w:type="dxa"/>
              <w:bottom w:w="30" w:type="dxa"/>
              <w:right w:w="20" w:type="dxa"/>
            </w:tcMar>
            <w:vAlign w:val="bottom"/>
            <w:hideMark/>
          </w:tcPr>
          <w:p w14:paraId="70C34562" w14:textId="77777777" w:rsidR="00000000" w:rsidRDefault="001D0688">
            <w:pPr>
              <w:rPr>
                <w:rFonts w:eastAsia="Times New Roman"/>
              </w:rPr>
            </w:pPr>
            <w:r>
              <w:rPr>
                <w:rFonts w:ascii="Arial" w:eastAsia="Times New Roman" w:hAnsi="Arial" w:cs="Arial"/>
                <w:color w:val="000000"/>
                <w:sz w:val="20"/>
                <w:szCs w:val="20"/>
              </w:rPr>
              <w:t>Income (loss) from continuing operations</w:t>
            </w:r>
          </w:p>
        </w:tc>
        <w:tc>
          <w:tcPr>
            <w:tcW w:w="0" w:type="auto"/>
            <w:gridSpan w:val="2"/>
            <w:shd w:val="clear" w:color="auto" w:fill="FFFFFF"/>
            <w:tcMar>
              <w:top w:w="30" w:type="dxa"/>
              <w:left w:w="20" w:type="dxa"/>
              <w:bottom w:w="30" w:type="dxa"/>
              <w:right w:w="0" w:type="dxa"/>
            </w:tcMar>
            <w:vAlign w:val="bottom"/>
            <w:hideMark/>
          </w:tcPr>
          <w:p w14:paraId="0E49C18E" w14:textId="77777777" w:rsidR="00000000" w:rsidRDefault="001D0688">
            <w:pPr>
              <w:jc w:val="right"/>
              <w:rPr>
                <w:rFonts w:eastAsia="Times New Roman"/>
              </w:rPr>
            </w:pPr>
            <w:r>
              <w:rPr>
                <w:rFonts w:ascii="Arial" w:eastAsia="Times New Roman" w:hAnsi="Arial" w:cs="Arial"/>
                <w:color w:val="000000"/>
                <w:sz w:val="20"/>
                <w:szCs w:val="20"/>
              </w:rPr>
              <w:t>27.9 </w:t>
            </w:r>
          </w:p>
        </w:tc>
        <w:tc>
          <w:tcPr>
            <w:tcW w:w="0" w:type="auto"/>
            <w:shd w:val="clear" w:color="auto" w:fill="FFFFFF"/>
            <w:tcMar>
              <w:top w:w="30" w:type="dxa"/>
              <w:left w:w="0" w:type="dxa"/>
              <w:bottom w:w="30" w:type="dxa"/>
              <w:right w:w="20" w:type="dxa"/>
            </w:tcMar>
            <w:vAlign w:val="bottom"/>
            <w:hideMark/>
          </w:tcPr>
          <w:p w14:paraId="3E932F4A"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A076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A7B8A" w14:textId="77777777" w:rsidR="00000000" w:rsidRDefault="001D0688">
            <w:pPr>
              <w:jc w:val="right"/>
              <w:rPr>
                <w:rFonts w:eastAsia="Times New Roman"/>
              </w:rPr>
            </w:pPr>
            <w:r>
              <w:rPr>
                <w:rFonts w:ascii="Arial" w:eastAsia="Times New Roman" w:hAnsi="Arial" w:cs="Arial"/>
                <w:color w:val="000000"/>
                <w:sz w:val="20"/>
                <w:szCs w:val="20"/>
              </w:rPr>
              <w:t>(136.8)</w:t>
            </w:r>
          </w:p>
        </w:tc>
        <w:tc>
          <w:tcPr>
            <w:tcW w:w="0" w:type="auto"/>
            <w:shd w:val="clear" w:color="auto" w:fill="FFFFFF"/>
            <w:tcMar>
              <w:top w:w="30" w:type="dxa"/>
              <w:left w:w="0" w:type="dxa"/>
              <w:bottom w:w="30" w:type="dxa"/>
              <w:right w:w="20" w:type="dxa"/>
            </w:tcMar>
            <w:vAlign w:val="bottom"/>
            <w:hideMark/>
          </w:tcPr>
          <w:p w14:paraId="0D7252C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E302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A00D0" w14:textId="77777777" w:rsidR="00000000" w:rsidRDefault="001D0688">
            <w:pPr>
              <w:jc w:val="right"/>
              <w:rPr>
                <w:rFonts w:eastAsia="Times New Roman"/>
              </w:rPr>
            </w:pPr>
            <w:r>
              <w:rPr>
                <w:rFonts w:ascii="Arial" w:eastAsia="Times New Roman" w:hAnsi="Arial" w:cs="Arial"/>
                <w:color w:val="000000"/>
                <w:sz w:val="20"/>
                <w:szCs w:val="20"/>
              </w:rPr>
              <w:t>56.0 </w:t>
            </w:r>
          </w:p>
        </w:tc>
        <w:tc>
          <w:tcPr>
            <w:tcW w:w="0" w:type="auto"/>
            <w:shd w:val="clear" w:color="auto" w:fill="FFFFFF"/>
            <w:tcMar>
              <w:top w:w="30" w:type="dxa"/>
              <w:left w:w="0" w:type="dxa"/>
              <w:bottom w:w="30" w:type="dxa"/>
              <w:right w:w="20" w:type="dxa"/>
            </w:tcMar>
            <w:vAlign w:val="bottom"/>
            <w:hideMark/>
          </w:tcPr>
          <w:p w14:paraId="172E11B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97CE1"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E8ABD1" w14:textId="77777777" w:rsidR="00000000" w:rsidRDefault="001D0688">
            <w:pPr>
              <w:jc w:val="right"/>
              <w:rPr>
                <w:rFonts w:eastAsia="Times New Roman"/>
              </w:rPr>
            </w:pPr>
            <w:r>
              <w:rPr>
                <w:rFonts w:ascii="Arial" w:eastAsia="Times New Roman" w:hAnsi="Arial" w:cs="Arial"/>
                <w:color w:val="000000"/>
                <w:sz w:val="20"/>
                <w:szCs w:val="20"/>
              </w:rPr>
              <w:t>53.1 </w:t>
            </w:r>
          </w:p>
        </w:tc>
        <w:tc>
          <w:tcPr>
            <w:tcW w:w="0" w:type="auto"/>
            <w:shd w:val="clear" w:color="auto" w:fill="FFFFFF"/>
            <w:tcMar>
              <w:top w:w="30" w:type="dxa"/>
              <w:left w:w="0" w:type="dxa"/>
              <w:bottom w:w="30" w:type="dxa"/>
              <w:right w:w="20" w:type="dxa"/>
            </w:tcMar>
            <w:vAlign w:val="bottom"/>
            <w:hideMark/>
          </w:tcPr>
          <w:p w14:paraId="23142FDE" w14:textId="77777777" w:rsidR="00000000" w:rsidRDefault="001D0688">
            <w:pPr>
              <w:jc w:val="right"/>
              <w:rPr>
                <w:rFonts w:eastAsia="Times New Roman"/>
              </w:rPr>
            </w:pPr>
          </w:p>
        </w:tc>
      </w:tr>
      <w:tr w:rsidR="00000000" w14:paraId="7173CA08" w14:textId="77777777">
        <w:trPr>
          <w:divId w:val="230623113"/>
        </w:trPr>
        <w:tc>
          <w:tcPr>
            <w:tcW w:w="0" w:type="auto"/>
            <w:gridSpan w:val="3"/>
            <w:shd w:val="clear" w:color="auto" w:fill="DCE2EF"/>
            <w:tcMar>
              <w:top w:w="30" w:type="dxa"/>
              <w:left w:w="20" w:type="dxa"/>
              <w:bottom w:w="30" w:type="dxa"/>
              <w:right w:w="20" w:type="dxa"/>
            </w:tcMar>
            <w:vAlign w:val="bottom"/>
            <w:hideMark/>
          </w:tcPr>
          <w:p w14:paraId="53737604" w14:textId="77777777" w:rsidR="00000000" w:rsidRDefault="001D0688">
            <w:pPr>
              <w:rPr>
                <w:rFonts w:eastAsia="Times New Roman"/>
              </w:rPr>
            </w:pPr>
            <w:r>
              <w:rPr>
                <w:rFonts w:ascii="Arial" w:eastAsia="Times New Roman" w:hAnsi="Arial" w:cs="Arial"/>
                <w:color w:val="000000"/>
                <w:sz w:val="20"/>
                <w:szCs w:val="20"/>
              </w:rPr>
              <w:t xml:space="preserve">Income from discontinued operations, net of taxes </w:t>
            </w:r>
          </w:p>
        </w:tc>
        <w:tc>
          <w:tcPr>
            <w:tcW w:w="0" w:type="auto"/>
            <w:gridSpan w:val="2"/>
            <w:shd w:val="clear" w:color="auto" w:fill="DCE2EF"/>
            <w:tcMar>
              <w:top w:w="30" w:type="dxa"/>
              <w:left w:w="20" w:type="dxa"/>
              <w:bottom w:w="30" w:type="dxa"/>
              <w:right w:w="0" w:type="dxa"/>
            </w:tcMar>
            <w:vAlign w:val="bottom"/>
            <w:hideMark/>
          </w:tcPr>
          <w:p w14:paraId="0F8358A3" w14:textId="77777777" w:rsidR="00000000" w:rsidRDefault="001D0688">
            <w:pPr>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14:paraId="3CEC2F3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DD490C"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481DF1"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00B14C1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C0E84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9B8EB3"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0DBE6ED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ADF482"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589FBFC"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994EDCE" w14:textId="77777777" w:rsidR="00000000" w:rsidRDefault="001D0688">
            <w:pPr>
              <w:jc w:val="right"/>
              <w:rPr>
                <w:rFonts w:eastAsia="Times New Roman"/>
              </w:rPr>
            </w:pPr>
          </w:p>
        </w:tc>
      </w:tr>
      <w:tr w:rsidR="00000000" w14:paraId="27FA4EEB" w14:textId="77777777">
        <w:trPr>
          <w:divId w:val="230623113"/>
        </w:trPr>
        <w:tc>
          <w:tcPr>
            <w:tcW w:w="0" w:type="auto"/>
            <w:gridSpan w:val="3"/>
            <w:shd w:val="clear" w:color="auto" w:fill="FFFFFF"/>
            <w:tcMar>
              <w:top w:w="30" w:type="dxa"/>
              <w:left w:w="20" w:type="dxa"/>
              <w:bottom w:w="30" w:type="dxa"/>
              <w:right w:w="20" w:type="dxa"/>
            </w:tcMar>
            <w:vAlign w:val="bottom"/>
            <w:hideMark/>
          </w:tcPr>
          <w:p w14:paraId="021A78B7" w14:textId="77777777" w:rsidR="00000000" w:rsidRDefault="001D0688">
            <w:pPr>
              <w:rPr>
                <w:rFonts w:eastAsia="Times New Roman"/>
              </w:rPr>
            </w:pPr>
            <w:r>
              <w:rPr>
                <w:rFonts w:ascii="Arial" w:eastAsia="Times New Roman" w:hAnsi="Arial" w:cs="Arial"/>
                <w:color w:val="000000"/>
                <w:sz w:val="20"/>
                <w:szCs w:val="20"/>
              </w:rPr>
              <w:t>Net income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95B5DC"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6E874D" w14:textId="77777777" w:rsidR="00000000" w:rsidRDefault="001D0688">
            <w:pPr>
              <w:jc w:val="right"/>
              <w:rPr>
                <w:rFonts w:eastAsia="Times New Roman"/>
              </w:rPr>
            </w:pPr>
            <w:r>
              <w:rPr>
                <w:rFonts w:ascii="Arial" w:eastAsia="Times New Roman" w:hAnsi="Arial" w:cs="Arial"/>
                <w:color w:val="000000"/>
                <w:sz w:val="20"/>
                <w:szCs w:val="20"/>
              </w:rPr>
              <w:t>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495F4C"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9EE02"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8C7EE5"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ECEB8F" w14:textId="77777777" w:rsidR="00000000" w:rsidRDefault="001D0688">
            <w:pPr>
              <w:jc w:val="right"/>
              <w:rPr>
                <w:rFonts w:eastAsia="Times New Roman"/>
              </w:rPr>
            </w:pPr>
            <w:r>
              <w:rPr>
                <w:rFonts w:ascii="Arial" w:eastAsia="Times New Roman" w:hAnsi="Arial" w:cs="Arial"/>
                <w:color w:val="000000"/>
                <w:sz w:val="20"/>
                <w:szCs w:val="20"/>
              </w:rPr>
              <w:t>(136.8)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15BB06" w14:textId="77777777" w:rsidR="00000000" w:rsidRDefault="001D0688">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B48237" w14:textId="77777777" w:rsidR="00000000" w:rsidRDefault="001D0688">
            <w:pPr>
              <w:divId w:val="755515447"/>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F431D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284E2F" w14:textId="77777777" w:rsidR="00000000" w:rsidRDefault="001D0688">
            <w:pPr>
              <w:jc w:val="right"/>
              <w:rPr>
                <w:rFonts w:eastAsia="Times New Roman"/>
              </w:rPr>
            </w:pPr>
            <w:r>
              <w:rPr>
                <w:rFonts w:ascii="Arial" w:eastAsia="Times New Roman" w:hAnsi="Arial" w:cs="Arial"/>
                <w:color w:val="000000"/>
                <w:sz w:val="20"/>
                <w:szCs w:val="20"/>
              </w:rPr>
              <w:t>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4C357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AB29A0"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689ABA"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04D196" w14:textId="77777777" w:rsidR="00000000" w:rsidRDefault="001D0688">
            <w:pPr>
              <w:jc w:val="right"/>
              <w:rPr>
                <w:rFonts w:eastAsia="Times New Roman"/>
              </w:rPr>
            </w:pPr>
            <w:r>
              <w:rPr>
                <w:rFonts w:ascii="Arial" w:eastAsia="Times New Roman" w:hAnsi="Arial" w:cs="Arial"/>
                <w:color w:val="000000"/>
                <w:sz w:val="20"/>
                <w:szCs w:val="20"/>
              </w:rPr>
              <w:t>53.1 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E951F8" w14:textId="77777777" w:rsidR="00000000" w:rsidRDefault="001D0688">
            <w:pPr>
              <w:jc w:val="right"/>
              <w:rPr>
                <w:rFonts w:eastAsia="Times New Roman"/>
              </w:rPr>
            </w:pPr>
          </w:p>
        </w:tc>
      </w:tr>
      <w:tr w:rsidR="00000000" w14:paraId="23FA475B" w14:textId="77777777">
        <w:trPr>
          <w:divId w:val="230623113"/>
          <w:trHeight w:val="280"/>
        </w:trPr>
        <w:tc>
          <w:tcPr>
            <w:tcW w:w="0" w:type="auto"/>
            <w:gridSpan w:val="3"/>
            <w:shd w:val="clear" w:color="auto" w:fill="DCE2EF"/>
            <w:tcMar>
              <w:top w:w="0" w:type="dxa"/>
              <w:left w:w="20" w:type="dxa"/>
              <w:bottom w:w="0" w:type="dxa"/>
              <w:right w:w="20" w:type="dxa"/>
            </w:tcMar>
            <w:vAlign w:val="center"/>
            <w:hideMark/>
          </w:tcPr>
          <w:p w14:paraId="48B24D36"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7B48E12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5F2EC37"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435CB97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7431E7C"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44F54D3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A12755"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6E6E9941" w14:textId="77777777" w:rsidR="00000000" w:rsidRDefault="001D0688">
            <w:pPr>
              <w:rPr>
                <w:rFonts w:eastAsia="Times New Roman"/>
                <w:sz w:val="20"/>
                <w:szCs w:val="20"/>
              </w:rPr>
            </w:pPr>
          </w:p>
        </w:tc>
      </w:tr>
      <w:tr w:rsidR="00000000" w14:paraId="579C7395" w14:textId="77777777">
        <w:trPr>
          <w:divId w:val="230623113"/>
        </w:trPr>
        <w:tc>
          <w:tcPr>
            <w:tcW w:w="0" w:type="auto"/>
            <w:gridSpan w:val="3"/>
            <w:shd w:val="clear" w:color="auto" w:fill="FFFFFF"/>
            <w:tcMar>
              <w:top w:w="30" w:type="dxa"/>
              <w:left w:w="20" w:type="dxa"/>
              <w:bottom w:w="30" w:type="dxa"/>
              <w:right w:w="20" w:type="dxa"/>
            </w:tcMar>
            <w:vAlign w:val="bottom"/>
            <w:hideMark/>
          </w:tcPr>
          <w:p w14:paraId="53902189" w14:textId="77777777" w:rsidR="00000000" w:rsidRDefault="001D0688">
            <w:pPr>
              <w:rPr>
                <w:rFonts w:eastAsia="Times New Roman"/>
              </w:rPr>
            </w:pPr>
            <w:r>
              <w:rPr>
                <w:rFonts w:ascii="Arial" w:eastAsia="Times New Roman" w:hAnsi="Arial" w:cs="Arial"/>
                <w:color w:val="000000"/>
                <w:sz w:val="20"/>
                <w:szCs w:val="20"/>
              </w:rPr>
              <w:t>Net income (loss) per common share — Basic</w:t>
            </w:r>
          </w:p>
        </w:tc>
        <w:tc>
          <w:tcPr>
            <w:tcW w:w="0" w:type="auto"/>
            <w:gridSpan w:val="3"/>
            <w:shd w:val="clear" w:color="auto" w:fill="FFFFFF"/>
            <w:tcMar>
              <w:top w:w="0" w:type="dxa"/>
              <w:left w:w="20" w:type="dxa"/>
              <w:bottom w:w="0" w:type="dxa"/>
              <w:right w:w="20" w:type="dxa"/>
            </w:tcMar>
            <w:vAlign w:val="center"/>
            <w:hideMark/>
          </w:tcPr>
          <w:p w14:paraId="5B635671"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F8067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BEB4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1DCE8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899CD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29EA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C34A4" w14:textId="77777777" w:rsidR="00000000" w:rsidRDefault="001D0688">
            <w:pPr>
              <w:rPr>
                <w:rFonts w:eastAsia="Times New Roman"/>
                <w:sz w:val="20"/>
                <w:szCs w:val="20"/>
              </w:rPr>
            </w:pPr>
          </w:p>
        </w:tc>
      </w:tr>
      <w:tr w:rsidR="00000000" w14:paraId="5783D26B" w14:textId="77777777">
        <w:trPr>
          <w:divId w:val="230623113"/>
        </w:trPr>
        <w:tc>
          <w:tcPr>
            <w:tcW w:w="0" w:type="auto"/>
            <w:gridSpan w:val="3"/>
            <w:shd w:val="clear" w:color="auto" w:fill="DCE2EF"/>
            <w:tcMar>
              <w:top w:w="30" w:type="dxa"/>
              <w:left w:w="380" w:type="dxa"/>
              <w:bottom w:w="30" w:type="dxa"/>
              <w:right w:w="20" w:type="dxa"/>
            </w:tcMar>
            <w:vAlign w:val="bottom"/>
            <w:hideMark/>
          </w:tcPr>
          <w:p w14:paraId="280B0C92" w14:textId="77777777" w:rsidR="00000000" w:rsidRDefault="001D0688">
            <w:pPr>
              <w:rPr>
                <w:rFonts w:eastAsia="Times New Roman"/>
              </w:rPr>
            </w:pPr>
            <w:r>
              <w:rPr>
                <w:rFonts w:ascii="Arial" w:eastAsia="Times New Roman" w:hAnsi="Arial" w:cs="Arial"/>
                <w:color w:val="000000"/>
                <w:sz w:val="20"/>
                <w:szCs w:val="20"/>
              </w:rPr>
              <w:t>Income (loss) from continuing operations</w:t>
            </w:r>
          </w:p>
        </w:tc>
        <w:tc>
          <w:tcPr>
            <w:tcW w:w="0" w:type="auto"/>
            <w:shd w:val="clear" w:color="auto" w:fill="DCE2EF"/>
            <w:tcMar>
              <w:top w:w="30" w:type="dxa"/>
              <w:left w:w="20" w:type="dxa"/>
              <w:bottom w:w="30" w:type="dxa"/>
              <w:right w:w="0" w:type="dxa"/>
            </w:tcMar>
            <w:vAlign w:val="bottom"/>
            <w:hideMark/>
          </w:tcPr>
          <w:p w14:paraId="4AEE1707"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AF64727" w14:textId="77777777" w:rsidR="00000000" w:rsidRDefault="001D0688">
            <w:pPr>
              <w:jc w:val="right"/>
              <w:rPr>
                <w:rFonts w:eastAsia="Times New Roman"/>
              </w:rPr>
            </w:pPr>
            <w:r>
              <w:rPr>
                <w:rFonts w:ascii="Arial" w:eastAsia="Times New Roman" w:hAnsi="Arial" w:cs="Arial"/>
                <w:color w:val="000000"/>
                <w:sz w:val="20"/>
                <w:szCs w:val="20"/>
              </w:rPr>
              <w:t>0.42 </w:t>
            </w:r>
          </w:p>
        </w:tc>
        <w:tc>
          <w:tcPr>
            <w:tcW w:w="0" w:type="auto"/>
            <w:shd w:val="clear" w:color="auto" w:fill="DCE2EF"/>
            <w:tcMar>
              <w:top w:w="30" w:type="dxa"/>
              <w:left w:w="0" w:type="dxa"/>
              <w:bottom w:w="30" w:type="dxa"/>
              <w:right w:w="20" w:type="dxa"/>
            </w:tcMar>
            <w:vAlign w:val="bottom"/>
            <w:hideMark/>
          </w:tcPr>
          <w:p w14:paraId="4514745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CBF1667"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9CB322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34EE51E" w14:textId="77777777" w:rsidR="00000000" w:rsidRDefault="001D0688">
            <w:pPr>
              <w:jc w:val="right"/>
              <w:rPr>
                <w:rFonts w:eastAsia="Times New Roman"/>
              </w:rPr>
            </w:pPr>
            <w:r>
              <w:rPr>
                <w:rFonts w:ascii="Arial" w:eastAsia="Times New Roman" w:hAnsi="Arial" w:cs="Arial"/>
                <w:color w:val="000000"/>
                <w:sz w:val="20"/>
                <w:szCs w:val="20"/>
              </w:rPr>
              <w:t>(2.05)</w:t>
            </w:r>
          </w:p>
        </w:tc>
        <w:tc>
          <w:tcPr>
            <w:tcW w:w="0" w:type="auto"/>
            <w:shd w:val="clear" w:color="auto" w:fill="DCE2EF"/>
            <w:tcMar>
              <w:top w:w="30" w:type="dxa"/>
              <w:left w:w="0" w:type="dxa"/>
              <w:bottom w:w="30" w:type="dxa"/>
              <w:right w:w="20" w:type="dxa"/>
            </w:tcMar>
            <w:vAlign w:val="bottom"/>
            <w:hideMark/>
          </w:tcPr>
          <w:p w14:paraId="14B8948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26D6B6"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507CB8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717B17E" w14:textId="77777777" w:rsidR="00000000" w:rsidRDefault="001D0688">
            <w:pPr>
              <w:jc w:val="right"/>
              <w:rPr>
                <w:rFonts w:eastAsia="Times New Roman"/>
              </w:rPr>
            </w:pPr>
            <w:r>
              <w:rPr>
                <w:rFonts w:ascii="Arial" w:eastAsia="Times New Roman" w:hAnsi="Arial" w:cs="Arial"/>
                <w:color w:val="000000"/>
                <w:sz w:val="20"/>
                <w:szCs w:val="20"/>
              </w:rPr>
              <w:t>0.84 </w:t>
            </w:r>
          </w:p>
        </w:tc>
        <w:tc>
          <w:tcPr>
            <w:tcW w:w="0" w:type="auto"/>
            <w:shd w:val="clear" w:color="auto" w:fill="DCE2EF"/>
            <w:tcMar>
              <w:top w:w="30" w:type="dxa"/>
              <w:left w:w="0" w:type="dxa"/>
              <w:bottom w:w="30" w:type="dxa"/>
              <w:right w:w="20" w:type="dxa"/>
            </w:tcMar>
            <w:vAlign w:val="bottom"/>
            <w:hideMark/>
          </w:tcPr>
          <w:p w14:paraId="5300F22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655E781"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89F21F3"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5BE611D6" w14:textId="77777777" w:rsidR="00000000" w:rsidRDefault="001D0688">
            <w:pPr>
              <w:jc w:val="right"/>
              <w:rPr>
                <w:rFonts w:eastAsia="Times New Roman"/>
              </w:rPr>
            </w:pPr>
            <w:r>
              <w:rPr>
                <w:rFonts w:ascii="Arial" w:eastAsia="Times New Roman" w:hAnsi="Arial" w:cs="Arial"/>
                <w:color w:val="000000"/>
                <w:sz w:val="20"/>
                <w:szCs w:val="20"/>
              </w:rPr>
              <w:t>0.79 </w:t>
            </w:r>
          </w:p>
        </w:tc>
        <w:tc>
          <w:tcPr>
            <w:tcW w:w="0" w:type="auto"/>
            <w:shd w:val="clear" w:color="auto" w:fill="DCE2EF"/>
            <w:tcMar>
              <w:top w:w="30" w:type="dxa"/>
              <w:left w:w="0" w:type="dxa"/>
              <w:bottom w:w="30" w:type="dxa"/>
              <w:right w:w="20" w:type="dxa"/>
            </w:tcMar>
            <w:vAlign w:val="bottom"/>
            <w:hideMark/>
          </w:tcPr>
          <w:p w14:paraId="24471F2D" w14:textId="77777777" w:rsidR="00000000" w:rsidRDefault="001D0688">
            <w:pPr>
              <w:jc w:val="right"/>
              <w:rPr>
                <w:rFonts w:eastAsia="Times New Roman"/>
              </w:rPr>
            </w:pPr>
          </w:p>
        </w:tc>
      </w:tr>
      <w:tr w:rsidR="00000000" w14:paraId="2430B40C" w14:textId="77777777">
        <w:trPr>
          <w:divId w:val="230623113"/>
        </w:trPr>
        <w:tc>
          <w:tcPr>
            <w:tcW w:w="0" w:type="auto"/>
            <w:gridSpan w:val="3"/>
            <w:shd w:val="clear" w:color="auto" w:fill="FFFFFF"/>
            <w:tcMar>
              <w:top w:w="30" w:type="dxa"/>
              <w:left w:w="380" w:type="dxa"/>
              <w:bottom w:w="30" w:type="dxa"/>
              <w:right w:w="20" w:type="dxa"/>
            </w:tcMar>
            <w:vAlign w:val="bottom"/>
            <w:hideMark/>
          </w:tcPr>
          <w:p w14:paraId="772C413D"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14:paraId="77CFB05A"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5AD5BD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822C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B6C55"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787E7A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DAA7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03ED7"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E4781C5"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A16D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C1440"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2081874F" w14:textId="77777777" w:rsidR="00000000" w:rsidRDefault="001D0688">
            <w:pPr>
              <w:jc w:val="right"/>
              <w:rPr>
                <w:rFonts w:eastAsia="Times New Roman"/>
              </w:rPr>
            </w:pPr>
          </w:p>
        </w:tc>
      </w:tr>
      <w:tr w:rsidR="00000000" w14:paraId="09BBFF84" w14:textId="77777777">
        <w:trPr>
          <w:divId w:val="230623113"/>
        </w:trPr>
        <w:tc>
          <w:tcPr>
            <w:tcW w:w="0" w:type="auto"/>
            <w:gridSpan w:val="3"/>
            <w:shd w:val="clear" w:color="auto" w:fill="DCE2EF"/>
            <w:tcMar>
              <w:top w:w="30" w:type="dxa"/>
              <w:left w:w="380" w:type="dxa"/>
              <w:bottom w:w="30" w:type="dxa"/>
              <w:right w:w="20" w:type="dxa"/>
            </w:tcMar>
            <w:vAlign w:val="bottom"/>
            <w:hideMark/>
          </w:tcPr>
          <w:p w14:paraId="7B77FBBC" w14:textId="77777777" w:rsidR="00000000" w:rsidRDefault="001D0688">
            <w:pPr>
              <w:rPr>
                <w:rFonts w:eastAsia="Times New Roman"/>
              </w:rPr>
            </w:pPr>
            <w:r>
              <w:rPr>
                <w:rFonts w:ascii="Arial" w:eastAsia="Times New Roman" w:hAnsi="Arial" w:cs="Arial"/>
                <w:color w:val="000000"/>
                <w:sz w:val="20"/>
                <w:szCs w:val="20"/>
              </w:rPr>
              <w:t>Net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501512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E936118" w14:textId="77777777" w:rsidR="00000000" w:rsidRDefault="001D0688">
            <w:pPr>
              <w:jc w:val="right"/>
              <w:rPr>
                <w:rFonts w:eastAsia="Times New Roman"/>
              </w:rPr>
            </w:pPr>
            <w:r>
              <w:rPr>
                <w:rFonts w:ascii="Arial" w:eastAsia="Times New Roman" w:hAnsi="Arial" w:cs="Arial"/>
                <w:color w:val="000000"/>
                <w:sz w:val="20"/>
                <w:szCs w:val="20"/>
              </w:rPr>
              <w:t>0.42 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700AF5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533302"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2D8B97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F5070C8" w14:textId="77777777" w:rsidR="00000000" w:rsidRDefault="001D0688">
            <w:pPr>
              <w:jc w:val="right"/>
              <w:rPr>
                <w:rFonts w:eastAsia="Times New Roman"/>
              </w:rPr>
            </w:pPr>
            <w:r>
              <w:rPr>
                <w:rFonts w:ascii="Arial" w:eastAsia="Times New Roman" w:hAnsi="Arial" w:cs="Arial"/>
                <w:color w:val="000000"/>
                <w:sz w:val="20"/>
                <w:szCs w:val="20"/>
              </w:rPr>
              <w:t>(2.05)</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C03A55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EAB7AC"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1951CD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07F8E3E" w14:textId="77777777" w:rsidR="00000000" w:rsidRDefault="001D0688">
            <w:pPr>
              <w:jc w:val="right"/>
              <w:rPr>
                <w:rFonts w:eastAsia="Times New Roman"/>
              </w:rPr>
            </w:pPr>
            <w:r>
              <w:rPr>
                <w:rFonts w:ascii="Arial" w:eastAsia="Times New Roman" w:hAnsi="Arial" w:cs="Arial"/>
                <w:color w:val="000000"/>
                <w:sz w:val="20"/>
                <w:szCs w:val="20"/>
              </w:rPr>
              <w:t>0.84 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8808E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6D4A005"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60BB516"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2EDB97" w14:textId="77777777" w:rsidR="00000000" w:rsidRDefault="001D0688">
            <w:pPr>
              <w:jc w:val="right"/>
              <w:rPr>
                <w:rFonts w:eastAsia="Times New Roman"/>
              </w:rPr>
            </w:pPr>
            <w:r>
              <w:rPr>
                <w:rFonts w:ascii="Arial" w:eastAsia="Times New Roman" w:hAnsi="Arial" w:cs="Arial"/>
                <w:color w:val="000000"/>
                <w:sz w:val="20"/>
                <w:szCs w:val="20"/>
              </w:rPr>
              <w:t>0.79 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2AB1E73" w14:textId="77777777" w:rsidR="00000000" w:rsidRDefault="001D0688">
            <w:pPr>
              <w:jc w:val="right"/>
              <w:rPr>
                <w:rFonts w:eastAsia="Times New Roman"/>
              </w:rPr>
            </w:pPr>
          </w:p>
        </w:tc>
      </w:tr>
      <w:tr w:rsidR="00000000" w14:paraId="093D898D" w14:textId="77777777">
        <w:trPr>
          <w:divId w:val="230623113"/>
          <w:trHeight w:val="280"/>
        </w:trPr>
        <w:tc>
          <w:tcPr>
            <w:tcW w:w="0" w:type="auto"/>
            <w:gridSpan w:val="3"/>
            <w:shd w:val="clear" w:color="auto" w:fill="FFFFFF"/>
            <w:tcMar>
              <w:top w:w="0" w:type="dxa"/>
              <w:left w:w="20" w:type="dxa"/>
              <w:bottom w:w="0" w:type="dxa"/>
              <w:right w:w="20" w:type="dxa"/>
            </w:tcMar>
            <w:vAlign w:val="center"/>
            <w:hideMark/>
          </w:tcPr>
          <w:p w14:paraId="0C462759"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60443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26E03B"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750BE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55856A"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EC02B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30B35F"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5E0048" w14:textId="77777777" w:rsidR="00000000" w:rsidRDefault="001D0688">
            <w:pPr>
              <w:rPr>
                <w:rFonts w:eastAsia="Times New Roman"/>
                <w:sz w:val="20"/>
                <w:szCs w:val="20"/>
              </w:rPr>
            </w:pPr>
          </w:p>
        </w:tc>
      </w:tr>
      <w:tr w:rsidR="00000000" w14:paraId="2AB6DC85" w14:textId="77777777">
        <w:trPr>
          <w:divId w:val="230623113"/>
        </w:trPr>
        <w:tc>
          <w:tcPr>
            <w:tcW w:w="0" w:type="auto"/>
            <w:gridSpan w:val="3"/>
            <w:shd w:val="clear" w:color="auto" w:fill="DCE2EF"/>
            <w:tcMar>
              <w:top w:w="30" w:type="dxa"/>
              <w:left w:w="20" w:type="dxa"/>
              <w:bottom w:w="30" w:type="dxa"/>
              <w:right w:w="20" w:type="dxa"/>
            </w:tcMar>
            <w:vAlign w:val="bottom"/>
            <w:hideMark/>
          </w:tcPr>
          <w:p w14:paraId="18D28CF7" w14:textId="77777777" w:rsidR="00000000" w:rsidRDefault="001D0688">
            <w:pPr>
              <w:rPr>
                <w:rFonts w:eastAsia="Times New Roman"/>
              </w:rPr>
            </w:pPr>
            <w:r>
              <w:rPr>
                <w:rFonts w:ascii="Arial" w:eastAsia="Times New Roman" w:hAnsi="Arial" w:cs="Arial"/>
                <w:color w:val="000000"/>
                <w:sz w:val="20"/>
                <w:szCs w:val="20"/>
              </w:rPr>
              <w:t>Net income (loss) per common share — Diluted</w:t>
            </w:r>
          </w:p>
        </w:tc>
        <w:tc>
          <w:tcPr>
            <w:tcW w:w="0" w:type="auto"/>
            <w:gridSpan w:val="3"/>
            <w:shd w:val="clear" w:color="auto" w:fill="DCE2EF"/>
            <w:tcMar>
              <w:top w:w="0" w:type="dxa"/>
              <w:left w:w="20" w:type="dxa"/>
              <w:bottom w:w="0" w:type="dxa"/>
              <w:right w:w="20" w:type="dxa"/>
            </w:tcMar>
            <w:vAlign w:val="center"/>
            <w:hideMark/>
          </w:tcPr>
          <w:p w14:paraId="60768FAF"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73100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C39D1A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12BCA1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7F545A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77CE07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CBC312A" w14:textId="77777777" w:rsidR="00000000" w:rsidRDefault="001D0688">
            <w:pPr>
              <w:rPr>
                <w:rFonts w:eastAsia="Times New Roman"/>
                <w:sz w:val="20"/>
                <w:szCs w:val="20"/>
              </w:rPr>
            </w:pPr>
          </w:p>
        </w:tc>
      </w:tr>
      <w:tr w:rsidR="00000000" w14:paraId="1ACBB06A" w14:textId="77777777">
        <w:trPr>
          <w:divId w:val="230623113"/>
        </w:trPr>
        <w:tc>
          <w:tcPr>
            <w:tcW w:w="0" w:type="auto"/>
            <w:gridSpan w:val="3"/>
            <w:shd w:val="clear" w:color="auto" w:fill="FFFFFF"/>
            <w:tcMar>
              <w:top w:w="30" w:type="dxa"/>
              <w:left w:w="380" w:type="dxa"/>
              <w:bottom w:w="30" w:type="dxa"/>
              <w:right w:w="20" w:type="dxa"/>
            </w:tcMar>
            <w:vAlign w:val="bottom"/>
            <w:hideMark/>
          </w:tcPr>
          <w:p w14:paraId="4436A000" w14:textId="77777777" w:rsidR="00000000" w:rsidRDefault="001D0688">
            <w:pPr>
              <w:rPr>
                <w:rFonts w:eastAsia="Times New Roman"/>
              </w:rPr>
            </w:pPr>
            <w:r>
              <w:rPr>
                <w:rFonts w:ascii="Arial" w:eastAsia="Times New Roman" w:hAnsi="Arial" w:cs="Arial"/>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14:paraId="7EA4F6F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9A443B2" w14:textId="77777777" w:rsidR="00000000" w:rsidRDefault="001D0688">
            <w:pPr>
              <w:jc w:val="right"/>
              <w:rPr>
                <w:rFonts w:eastAsia="Times New Roman"/>
              </w:rPr>
            </w:pPr>
            <w:r>
              <w:rPr>
                <w:rFonts w:ascii="Arial" w:eastAsia="Times New Roman" w:hAnsi="Arial" w:cs="Arial"/>
                <w:color w:val="000000"/>
                <w:sz w:val="20"/>
                <w:szCs w:val="20"/>
              </w:rPr>
              <w:t>0.41 </w:t>
            </w:r>
          </w:p>
        </w:tc>
        <w:tc>
          <w:tcPr>
            <w:tcW w:w="0" w:type="auto"/>
            <w:shd w:val="clear" w:color="auto" w:fill="FFFFFF"/>
            <w:tcMar>
              <w:top w:w="30" w:type="dxa"/>
              <w:left w:w="0" w:type="dxa"/>
              <w:bottom w:w="30" w:type="dxa"/>
              <w:right w:w="20" w:type="dxa"/>
            </w:tcMar>
            <w:vAlign w:val="bottom"/>
            <w:hideMark/>
          </w:tcPr>
          <w:p w14:paraId="4DC5B9D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72D18"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09D03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B85369A" w14:textId="77777777" w:rsidR="00000000" w:rsidRDefault="001D0688">
            <w:pPr>
              <w:jc w:val="right"/>
              <w:rPr>
                <w:rFonts w:eastAsia="Times New Roman"/>
              </w:rPr>
            </w:pPr>
            <w:r>
              <w:rPr>
                <w:rFonts w:ascii="Arial" w:eastAsia="Times New Roman" w:hAnsi="Arial" w:cs="Arial"/>
                <w:color w:val="000000"/>
                <w:sz w:val="20"/>
                <w:szCs w:val="20"/>
              </w:rPr>
              <w:t>(2.05)</w:t>
            </w:r>
          </w:p>
        </w:tc>
        <w:tc>
          <w:tcPr>
            <w:tcW w:w="0" w:type="auto"/>
            <w:shd w:val="clear" w:color="auto" w:fill="FFFFFF"/>
            <w:tcMar>
              <w:top w:w="30" w:type="dxa"/>
              <w:left w:w="0" w:type="dxa"/>
              <w:bottom w:w="30" w:type="dxa"/>
              <w:right w:w="20" w:type="dxa"/>
            </w:tcMar>
            <w:vAlign w:val="bottom"/>
            <w:hideMark/>
          </w:tcPr>
          <w:p w14:paraId="708C985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E5A0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911045"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1129EA5B" w14:textId="77777777" w:rsidR="00000000" w:rsidRDefault="001D0688">
            <w:pPr>
              <w:jc w:val="right"/>
              <w:rPr>
                <w:rFonts w:eastAsia="Times New Roman"/>
              </w:rPr>
            </w:pPr>
            <w:r>
              <w:rPr>
                <w:rFonts w:ascii="Arial" w:eastAsia="Times New Roman" w:hAnsi="Arial" w:cs="Arial"/>
                <w:color w:val="000000"/>
                <w:sz w:val="20"/>
                <w:szCs w:val="20"/>
              </w:rPr>
              <w:t>0.83 </w:t>
            </w:r>
          </w:p>
        </w:tc>
        <w:tc>
          <w:tcPr>
            <w:tcW w:w="0" w:type="auto"/>
            <w:shd w:val="clear" w:color="auto" w:fill="FFFFFF"/>
            <w:tcMar>
              <w:top w:w="30" w:type="dxa"/>
              <w:left w:w="0" w:type="dxa"/>
              <w:bottom w:w="30" w:type="dxa"/>
              <w:right w:w="20" w:type="dxa"/>
            </w:tcMar>
            <w:vAlign w:val="bottom"/>
            <w:hideMark/>
          </w:tcPr>
          <w:p w14:paraId="10105CE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809F0"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323319"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FDF2A0A" w14:textId="77777777" w:rsidR="00000000" w:rsidRDefault="001D0688">
            <w:pPr>
              <w:jc w:val="right"/>
              <w:rPr>
                <w:rFonts w:eastAsia="Times New Roman"/>
              </w:rPr>
            </w:pPr>
            <w:r>
              <w:rPr>
                <w:rFonts w:ascii="Arial" w:eastAsia="Times New Roman" w:hAnsi="Arial" w:cs="Arial"/>
                <w:color w:val="000000"/>
                <w:sz w:val="20"/>
                <w:szCs w:val="20"/>
              </w:rPr>
              <w:t>0.78 </w:t>
            </w:r>
          </w:p>
        </w:tc>
        <w:tc>
          <w:tcPr>
            <w:tcW w:w="0" w:type="auto"/>
            <w:shd w:val="clear" w:color="auto" w:fill="FFFFFF"/>
            <w:tcMar>
              <w:top w:w="30" w:type="dxa"/>
              <w:left w:w="0" w:type="dxa"/>
              <w:bottom w:w="30" w:type="dxa"/>
              <w:right w:w="20" w:type="dxa"/>
            </w:tcMar>
            <w:vAlign w:val="bottom"/>
            <w:hideMark/>
          </w:tcPr>
          <w:p w14:paraId="7F5C80F2" w14:textId="77777777" w:rsidR="00000000" w:rsidRDefault="001D0688">
            <w:pPr>
              <w:jc w:val="right"/>
              <w:rPr>
                <w:rFonts w:eastAsia="Times New Roman"/>
              </w:rPr>
            </w:pPr>
          </w:p>
        </w:tc>
      </w:tr>
      <w:tr w:rsidR="00000000" w14:paraId="51ED24C5" w14:textId="77777777">
        <w:trPr>
          <w:divId w:val="230623113"/>
        </w:trPr>
        <w:tc>
          <w:tcPr>
            <w:tcW w:w="0" w:type="auto"/>
            <w:gridSpan w:val="3"/>
            <w:shd w:val="clear" w:color="auto" w:fill="DCE2EF"/>
            <w:tcMar>
              <w:top w:w="30" w:type="dxa"/>
              <w:left w:w="380" w:type="dxa"/>
              <w:bottom w:w="30" w:type="dxa"/>
              <w:right w:w="20" w:type="dxa"/>
            </w:tcMar>
            <w:vAlign w:val="bottom"/>
            <w:hideMark/>
          </w:tcPr>
          <w:p w14:paraId="133B8696"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DCE2EF"/>
            <w:tcMar>
              <w:top w:w="30" w:type="dxa"/>
              <w:left w:w="20" w:type="dxa"/>
              <w:bottom w:w="30" w:type="dxa"/>
              <w:right w:w="0" w:type="dxa"/>
            </w:tcMar>
            <w:vAlign w:val="bottom"/>
            <w:hideMark/>
          </w:tcPr>
          <w:p w14:paraId="6DA6E52F"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36B31AD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1A3B3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5EB041"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209C907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5E2F4B"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492DD6"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6370193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E8384A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85E82A"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0A28951D" w14:textId="77777777" w:rsidR="00000000" w:rsidRDefault="001D0688">
            <w:pPr>
              <w:jc w:val="right"/>
              <w:rPr>
                <w:rFonts w:eastAsia="Times New Roman"/>
              </w:rPr>
            </w:pPr>
          </w:p>
        </w:tc>
      </w:tr>
      <w:tr w:rsidR="00000000" w14:paraId="3F42A18F" w14:textId="77777777">
        <w:trPr>
          <w:divId w:val="230623113"/>
        </w:trPr>
        <w:tc>
          <w:tcPr>
            <w:tcW w:w="0" w:type="auto"/>
            <w:gridSpan w:val="3"/>
            <w:shd w:val="clear" w:color="auto" w:fill="FFFFFF"/>
            <w:tcMar>
              <w:top w:w="30" w:type="dxa"/>
              <w:left w:w="380" w:type="dxa"/>
              <w:bottom w:w="30" w:type="dxa"/>
              <w:right w:w="20" w:type="dxa"/>
            </w:tcMar>
            <w:vAlign w:val="bottom"/>
            <w:hideMark/>
          </w:tcPr>
          <w:p w14:paraId="11A86BFE" w14:textId="77777777" w:rsidR="00000000" w:rsidRDefault="001D0688">
            <w:pPr>
              <w:rPr>
                <w:rFonts w:eastAsia="Times New Roman"/>
              </w:rPr>
            </w:pPr>
            <w:r>
              <w:rPr>
                <w:rFonts w:ascii="Arial" w:eastAsia="Times New Roman" w:hAnsi="Arial" w:cs="Arial"/>
                <w:color w:val="000000"/>
                <w:sz w:val="20"/>
                <w:szCs w:val="20"/>
              </w:rPr>
              <w:t>Net income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439B4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A7FE5C" w14:textId="77777777" w:rsidR="00000000" w:rsidRDefault="001D0688">
            <w:pPr>
              <w:jc w:val="right"/>
              <w:rPr>
                <w:rFonts w:eastAsia="Times New Roman"/>
              </w:rPr>
            </w:pPr>
            <w:r>
              <w:rPr>
                <w:rFonts w:ascii="Arial" w:eastAsia="Times New Roman" w:hAnsi="Arial" w:cs="Arial"/>
                <w:color w:val="000000"/>
                <w:sz w:val="20"/>
                <w:szCs w:val="20"/>
              </w:rPr>
              <w:t>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D5B890"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61513"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334C8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0C899C" w14:textId="77777777" w:rsidR="00000000" w:rsidRDefault="001D0688">
            <w:pPr>
              <w:jc w:val="right"/>
              <w:rPr>
                <w:rFonts w:eastAsia="Times New Roman"/>
              </w:rPr>
            </w:pPr>
            <w:r>
              <w:rPr>
                <w:rFonts w:ascii="Arial" w:eastAsia="Times New Roman" w:hAnsi="Arial" w:cs="Arial"/>
                <w:color w:val="000000"/>
                <w:sz w:val="20"/>
                <w:szCs w:val="20"/>
              </w:rPr>
              <w:t>(2.05)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0819AA" w14:textId="77777777" w:rsidR="00000000" w:rsidRDefault="001D0688">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CD4921" w14:textId="77777777" w:rsidR="00000000" w:rsidRDefault="001D0688">
            <w:pPr>
              <w:divId w:val="71697144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7B3D93"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F5E7EC" w14:textId="77777777" w:rsidR="00000000" w:rsidRDefault="001D0688">
            <w:pPr>
              <w:jc w:val="right"/>
              <w:rPr>
                <w:rFonts w:eastAsia="Times New Roman"/>
              </w:rPr>
            </w:pPr>
            <w:r>
              <w:rPr>
                <w:rFonts w:ascii="Arial" w:eastAsia="Times New Roman" w:hAnsi="Arial" w:cs="Arial"/>
                <w:color w:val="000000"/>
                <w:sz w:val="20"/>
                <w:szCs w:val="20"/>
              </w:rPr>
              <w:t>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CF396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AEBA2"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8E61F2"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504E50" w14:textId="77777777" w:rsidR="00000000" w:rsidRDefault="001D0688">
            <w:pPr>
              <w:jc w:val="right"/>
              <w:rPr>
                <w:rFonts w:eastAsia="Times New Roman"/>
              </w:rPr>
            </w:pPr>
            <w:r>
              <w:rPr>
                <w:rFonts w:ascii="Arial" w:eastAsia="Times New Roman" w:hAnsi="Arial" w:cs="Arial"/>
                <w:color w:val="000000"/>
                <w:sz w:val="20"/>
                <w:szCs w:val="20"/>
              </w:rPr>
              <w:t>0.78 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D94542" w14:textId="77777777" w:rsidR="00000000" w:rsidRDefault="001D0688">
            <w:pPr>
              <w:jc w:val="right"/>
              <w:rPr>
                <w:rFonts w:eastAsia="Times New Roman"/>
              </w:rPr>
            </w:pPr>
          </w:p>
        </w:tc>
      </w:tr>
      <w:tr w:rsidR="00000000" w14:paraId="25C2B9BC" w14:textId="77777777">
        <w:trPr>
          <w:divId w:val="230623113"/>
          <w:trHeight w:val="280"/>
        </w:trPr>
        <w:tc>
          <w:tcPr>
            <w:tcW w:w="0" w:type="auto"/>
            <w:gridSpan w:val="3"/>
            <w:shd w:val="clear" w:color="auto" w:fill="DCE2EF"/>
            <w:tcMar>
              <w:top w:w="0" w:type="dxa"/>
              <w:left w:w="20" w:type="dxa"/>
              <w:bottom w:w="0" w:type="dxa"/>
              <w:right w:w="20" w:type="dxa"/>
            </w:tcMar>
            <w:vAlign w:val="center"/>
            <w:hideMark/>
          </w:tcPr>
          <w:p w14:paraId="7A3CC7B5"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08C6660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445349"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5E3BFB5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2576E5"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3E4EFD9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7627D5D"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187042E3" w14:textId="77777777" w:rsidR="00000000" w:rsidRDefault="001D0688">
            <w:pPr>
              <w:rPr>
                <w:rFonts w:eastAsia="Times New Roman"/>
                <w:sz w:val="20"/>
                <w:szCs w:val="20"/>
              </w:rPr>
            </w:pPr>
          </w:p>
        </w:tc>
      </w:tr>
      <w:tr w:rsidR="00000000" w14:paraId="12DD382B" w14:textId="77777777">
        <w:trPr>
          <w:divId w:val="230623113"/>
        </w:trPr>
        <w:tc>
          <w:tcPr>
            <w:tcW w:w="0" w:type="auto"/>
            <w:gridSpan w:val="3"/>
            <w:shd w:val="clear" w:color="auto" w:fill="FFFFFF"/>
            <w:tcMar>
              <w:top w:w="30" w:type="dxa"/>
              <w:left w:w="20" w:type="dxa"/>
              <w:bottom w:w="30" w:type="dxa"/>
              <w:right w:w="20" w:type="dxa"/>
            </w:tcMar>
            <w:vAlign w:val="bottom"/>
            <w:hideMark/>
          </w:tcPr>
          <w:p w14:paraId="3A5C2EC6" w14:textId="77777777" w:rsidR="00000000" w:rsidRDefault="001D0688">
            <w:pPr>
              <w:rPr>
                <w:rFonts w:eastAsia="Times New Roman"/>
              </w:rPr>
            </w:pPr>
            <w:r>
              <w:rPr>
                <w:rFonts w:ascii="Arial" w:eastAsia="Times New Roman" w:hAnsi="Arial" w:cs="Arial"/>
                <w:b/>
                <w:bCs/>
                <w:color w:val="000000"/>
                <w:sz w:val="20"/>
                <w:szCs w:val="20"/>
              </w:rPr>
              <w:t>Year ended October 31, 2019</w:t>
            </w:r>
          </w:p>
        </w:tc>
        <w:tc>
          <w:tcPr>
            <w:tcW w:w="0" w:type="auto"/>
            <w:gridSpan w:val="3"/>
            <w:shd w:val="clear" w:color="auto" w:fill="FFFFFF"/>
            <w:tcMar>
              <w:top w:w="0" w:type="dxa"/>
              <w:left w:w="20" w:type="dxa"/>
              <w:bottom w:w="0" w:type="dxa"/>
              <w:right w:w="20" w:type="dxa"/>
            </w:tcMar>
            <w:vAlign w:val="center"/>
            <w:hideMark/>
          </w:tcPr>
          <w:p w14:paraId="7D7B34B9"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2926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D709D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0DB7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1028B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F6CF1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72B02A" w14:textId="77777777" w:rsidR="00000000" w:rsidRDefault="001D0688">
            <w:pPr>
              <w:rPr>
                <w:rFonts w:eastAsia="Times New Roman"/>
                <w:sz w:val="20"/>
                <w:szCs w:val="20"/>
              </w:rPr>
            </w:pPr>
          </w:p>
        </w:tc>
      </w:tr>
      <w:tr w:rsidR="00000000" w14:paraId="632F4B56" w14:textId="77777777">
        <w:trPr>
          <w:divId w:val="230623113"/>
        </w:trPr>
        <w:tc>
          <w:tcPr>
            <w:tcW w:w="0" w:type="auto"/>
            <w:gridSpan w:val="3"/>
            <w:shd w:val="clear" w:color="auto" w:fill="DCE2EF"/>
            <w:tcMar>
              <w:top w:w="30" w:type="dxa"/>
              <w:left w:w="20" w:type="dxa"/>
              <w:bottom w:w="30" w:type="dxa"/>
              <w:right w:w="20" w:type="dxa"/>
            </w:tcMar>
            <w:vAlign w:val="bottom"/>
            <w:hideMark/>
          </w:tcPr>
          <w:p w14:paraId="4BC0753B" w14:textId="77777777" w:rsidR="00000000" w:rsidRDefault="001D0688">
            <w:pPr>
              <w:rPr>
                <w:rFonts w:eastAsia="Times New Roman"/>
              </w:rPr>
            </w:pPr>
            <w:r>
              <w:rPr>
                <w:rFonts w:ascii="Arial" w:eastAsia="Times New Roman" w:hAnsi="Arial" w:cs="Arial"/>
                <w:color w:val="000000"/>
                <w:sz w:val="20"/>
                <w:szCs w:val="20"/>
              </w:rPr>
              <w:t>Revenues</w:t>
            </w:r>
          </w:p>
        </w:tc>
        <w:tc>
          <w:tcPr>
            <w:tcW w:w="0" w:type="auto"/>
            <w:shd w:val="clear" w:color="auto" w:fill="DCE2EF"/>
            <w:tcMar>
              <w:top w:w="30" w:type="dxa"/>
              <w:left w:w="20" w:type="dxa"/>
              <w:bottom w:w="30" w:type="dxa"/>
              <w:right w:w="0" w:type="dxa"/>
            </w:tcMar>
            <w:vAlign w:val="bottom"/>
            <w:hideMark/>
          </w:tcPr>
          <w:p w14:paraId="315E275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417CBFD" w14:textId="77777777" w:rsidR="00000000" w:rsidRDefault="001D0688">
            <w:pPr>
              <w:jc w:val="right"/>
              <w:rPr>
                <w:rFonts w:eastAsia="Times New Roman"/>
              </w:rPr>
            </w:pPr>
            <w:r>
              <w:rPr>
                <w:rFonts w:ascii="Arial" w:eastAsia="Times New Roman" w:hAnsi="Arial" w:cs="Arial"/>
                <w:color w:val="000000"/>
                <w:sz w:val="20"/>
                <w:szCs w:val="20"/>
              </w:rPr>
              <w:t>1,607.9 </w:t>
            </w:r>
          </w:p>
        </w:tc>
        <w:tc>
          <w:tcPr>
            <w:tcW w:w="0" w:type="auto"/>
            <w:shd w:val="clear" w:color="auto" w:fill="DCE2EF"/>
            <w:tcMar>
              <w:top w:w="30" w:type="dxa"/>
              <w:left w:w="0" w:type="dxa"/>
              <w:bottom w:w="30" w:type="dxa"/>
              <w:right w:w="20" w:type="dxa"/>
            </w:tcMar>
            <w:vAlign w:val="bottom"/>
            <w:hideMark/>
          </w:tcPr>
          <w:p w14:paraId="1FF94FC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77295D"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87AAFFA"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5BDBF78" w14:textId="77777777" w:rsidR="00000000" w:rsidRDefault="001D0688">
            <w:pPr>
              <w:jc w:val="right"/>
              <w:rPr>
                <w:rFonts w:eastAsia="Times New Roman"/>
              </w:rPr>
            </w:pPr>
            <w:r>
              <w:rPr>
                <w:rFonts w:ascii="Arial" w:eastAsia="Times New Roman" w:hAnsi="Arial" w:cs="Arial"/>
                <w:color w:val="000000"/>
                <w:sz w:val="20"/>
                <w:szCs w:val="20"/>
              </w:rPr>
              <w:t>1,594.7 </w:t>
            </w:r>
          </w:p>
        </w:tc>
        <w:tc>
          <w:tcPr>
            <w:tcW w:w="0" w:type="auto"/>
            <w:shd w:val="clear" w:color="auto" w:fill="DCE2EF"/>
            <w:tcMar>
              <w:top w:w="30" w:type="dxa"/>
              <w:left w:w="0" w:type="dxa"/>
              <w:bottom w:w="30" w:type="dxa"/>
              <w:right w:w="20" w:type="dxa"/>
            </w:tcMar>
            <w:vAlign w:val="bottom"/>
            <w:hideMark/>
          </w:tcPr>
          <w:p w14:paraId="3B673A88"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3D4861"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040E63F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371DD373" w14:textId="77777777" w:rsidR="00000000" w:rsidRDefault="001D0688">
            <w:pPr>
              <w:jc w:val="right"/>
              <w:rPr>
                <w:rFonts w:eastAsia="Times New Roman"/>
              </w:rPr>
            </w:pPr>
            <w:r>
              <w:rPr>
                <w:rFonts w:ascii="Arial" w:eastAsia="Times New Roman" w:hAnsi="Arial" w:cs="Arial"/>
                <w:color w:val="000000"/>
                <w:sz w:val="20"/>
                <w:szCs w:val="20"/>
              </w:rPr>
              <w:t>1,647.9 </w:t>
            </w:r>
          </w:p>
        </w:tc>
        <w:tc>
          <w:tcPr>
            <w:tcW w:w="0" w:type="auto"/>
            <w:shd w:val="clear" w:color="auto" w:fill="DCE2EF"/>
            <w:tcMar>
              <w:top w:w="30" w:type="dxa"/>
              <w:left w:w="0" w:type="dxa"/>
              <w:bottom w:w="30" w:type="dxa"/>
              <w:right w:w="20" w:type="dxa"/>
            </w:tcMar>
            <w:vAlign w:val="bottom"/>
            <w:hideMark/>
          </w:tcPr>
          <w:p w14:paraId="0E45AFA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270256F"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358DAA8"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42C935E0" w14:textId="77777777" w:rsidR="00000000" w:rsidRDefault="001D0688">
            <w:pPr>
              <w:jc w:val="right"/>
              <w:rPr>
                <w:rFonts w:eastAsia="Times New Roman"/>
              </w:rPr>
            </w:pPr>
            <w:r>
              <w:rPr>
                <w:rFonts w:ascii="Arial" w:eastAsia="Times New Roman" w:hAnsi="Arial" w:cs="Arial"/>
                <w:color w:val="000000"/>
                <w:sz w:val="20"/>
                <w:szCs w:val="20"/>
              </w:rPr>
              <w:t>1,648.0 </w:t>
            </w:r>
          </w:p>
        </w:tc>
        <w:tc>
          <w:tcPr>
            <w:tcW w:w="0" w:type="auto"/>
            <w:shd w:val="clear" w:color="auto" w:fill="DCE2EF"/>
            <w:tcMar>
              <w:top w:w="30" w:type="dxa"/>
              <w:left w:w="0" w:type="dxa"/>
              <w:bottom w:w="30" w:type="dxa"/>
              <w:right w:w="20" w:type="dxa"/>
            </w:tcMar>
            <w:vAlign w:val="bottom"/>
            <w:hideMark/>
          </w:tcPr>
          <w:p w14:paraId="3C2499DB" w14:textId="77777777" w:rsidR="00000000" w:rsidRDefault="001D0688">
            <w:pPr>
              <w:jc w:val="right"/>
              <w:rPr>
                <w:rFonts w:eastAsia="Times New Roman"/>
              </w:rPr>
            </w:pPr>
          </w:p>
        </w:tc>
      </w:tr>
      <w:tr w:rsidR="00000000" w14:paraId="22376E10" w14:textId="77777777">
        <w:trPr>
          <w:divId w:val="230623113"/>
        </w:trPr>
        <w:tc>
          <w:tcPr>
            <w:tcW w:w="0" w:type="auto"/>
            <w:gridSpan w:val="3"/>
            <w:shd w:val="clear" w:color="auto" w:fill="FFFFFF"/>
            <w:tcMar>
              <w:top w:w="30" w:type="dxa"/>
              <w:left w:w="20" w:type="dxa"/>
              <w:bottom w:w="30" w:type="dxa"/>
              <w:right w:w="20" w:type="dxa"/>
            </w:tcMar>
            <w:vAlign w:val="bottom"/>
            <w:hideMark/>
          </w:tcPr>
          <w:p w14:paraId="286A07D9" w14:textId="77777777" w:rsidR="00000000" w:rsidRDefault="001D0688">
            <w:pPr>
              <w:rPr>
                <w:rFonts w:eastAsia="Times New Roman"/>
              </w:rPr>
            </w:pPr>
            <w:r>
              <w:rPr>
                <w:rFonts w:ascii="Arial" w:eastAsia="Times New Roman" w:hAnsi="Arial" w:cs="Arial"/>
                <w:color w:val="000000"/>
                <w:sz w:val="20"/>
                <w:szCs w:val="20"/>
              </w:rPr>
              <w:t>Gross profit</w:t>
            </w:r>
          </w:p>
        </w:tc>
        <w:tc>
          <w:tcPr>
            <w:tcW w:w="0" w:type="auto"/>
            <w:gridSpan w:val="2"/>
            <w:shd w:val="clear" w:color="auto" w:fill="FFFFFF"/>
            <w:tcMar>
              <w:top w:w="30" w:type="dxa"/>
              <w:left w:w="20" w:type="dxa"/>
              <w:bottom w:w="30" w:type="dxa"/>
              <w:right w:w="0" w:type="dxa"/>
            </w:tcMar>
            <w:vAlign w:val="bottom"/>
            <w:hideMark/>
          </w:tcPr>
          <w:p w14:paraId="06BBCF00" w14:textId="77777777" w:rsidR="00000000" w:rsidRDefault="001D0688">
            <w:pPr>
              <w:jc w:val="right"/>
              <w:rPr>
                <w:rFonts w:eastAsia="Times New Roman"/>
              </w:rPr>
            </w:pPr>
            <w:r>
              <w:rPr>
                <w:rFonts w:ascii="Arial" w:eastAsia="Times New Roman" w:hAnsi="Arial" w:cs="Arial"/>
                <w:color w:val="000000"/>
                <w:sz w:val="20"/>
                <w:szCs w:val="20"/>
              </w:rPr>
              <w:t>162.0 </w:t>
            </w:r>
          </w:p>
        </w:tc>
        <w:tc>
          <w:tcPr>
            <w:tcW w:w="0" w:type="auto"/>
            <w:shd w:val="clear" w:color="auto" w:fill="FFFFFF"/>
            <w:tcMar>
              <w:top w:w="30" w:type="dxa"/>
              <w:left w:w="0" w:type="dxa"/>
              <w:bottom w:w="30" w:type="dxa"/>
              <w:right w:w="20" w:type="dxa"/>
            </w:tcMar>
            <w:vAlign w:val="bottom"/>
            <w:hideMark/>
          </w:tcPr>
          <w:p w14:paraId="6E00EB3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BBFD8"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BA3D9" w14:textId="77777777" w:rsidR="00000000" w:rsidRDefault="001D0688">
            <w:pPr>
              <w:jc w:val="right"/>
              <w:rPr>
                <w:rFonts w:eastAsia="Times New Roman"/>
              </w:rPr>
            </w:pPr>
            <w:r>
              <w:rPr>
                <w:rFonts w:ascii="Arial" w:eastAsia="Times New Roman" w:hAnsi="Arial" w:cs="Arial"/>
                <w:color w:val="000000"/>
                <w:sz w:val="20"/>
                <w:szCs w:val="20"/>
              </w:rPr>
              <w:t>180.5 </w:t>
            </w:r>
          </w:p>
        </w:tc>
        <w:tc>
          <w:tcPr>
            <w:tcW w:w="0" w:type="auto"/>
            <w:shd w:val="clear" w:color="auto" w:fill="FFFFFF"/>
            <w:tcMar>
              <w:top w:w="30" w:type="dxa"/>
              <w:left w:w="0" w:type="dxa"/>
              <w:bottom w:w="30" w:type="dxa"/>
              <w:right w:w="20" w:type="dxa"/>
            </w:tcMar>
            <w:vAlign w:val="bottom"/>
            <w:hideMark/>
          </w:tcPr>
          <w:p w14:paraId="2E99A8A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6F870"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5B342" w14:textId="77777777" w:rsidR="00000000" w:rsidRDefault="001D0688">
            <w:pPr>
              <w:jc w:val="right"/>
              <w:rPr>
                <w:rFonts w:eastAsia="Times New Roman"/>
              </w:rPr>
            </w:pPr>
            <w:r>
              <w:rPr>
                <w:rFonts w:ascii="Arial" w:eastAsia="Times New Roman" w:hAnsi="Arial" w:cs="Arial"/>
                <w:color w:val="000000"/>
                <w:sz w:val="20"/>
                <w:szCs w:val="20"/>
              </w:rPr>
              <w:t>193.9 </w:t>
            </w:r>
          </w:p>
        </w:tc>
        <w:tc>
          <w:tcPr>
            <w:tcW w:w="0" w:type="auto"/>
            <w:shd w:val="clear" w:color="auto" w:fill="FFFFFF"/>
            <w:tcMar>
              <w:top w:w="30" w:type="dxa"/>
              <w:left w:w="0" w:type="dxa"/>
              <w:bottom w:w="30" w:type="dxa"/>
              <w:right w:w="20" w:type="dxa"/>
            </w:tcMar>
            <w:vAlign w:val="bottom"/>
            <w:hideMark/>
          </w:tcPr>
          <w:p w14:paraId="6B4ACB42"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648C7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DF492" w14:textId="77777777" w:rsidR="00000000" w:rsidRDefault="001D0688">
            <w:pPr>
              <w:jc w:val="right"/>
              <w:rPr>
                <w:rFonts w:eastAsia="Times New Roman"/>
              </w:rPr>
            </w:pPr>
            <w:r>
              <w:rPr>
                <w:rFonts w:ascii="Arial" w:eastAsia="Times New Roman" w:hAnsi="Arial" w:cs="Arial"/>
                <w:color w:val="000000"/>
                <w:sz w:val="20"/>
                <w:szCs w:val="20"/>
              </w:rPr>
              <w:t>194.7 </w:t>
            </w:r>
          </w:p>
        </w:tc>
        <w:tc>
          <w:tcPr>
            <w:tcW w:w="0" w:type="auto"/>
            <w:shd w:val="clear" w:color="auto" w:fill="FFFFFF"/>
            <w:tcMar>
              <w:top w:w="30" w:type="dxa"/>
              <w:left w:w="0" w:type="dxa"/>
              <w:bottom w:w="30" w:type="dxa"/>
              <w:right w:w="20" w:type="dxa"/>
            </w:tcMar>
            <w:vAlign w:val="bottom"/>
            <w:hideMark/>
          </w:tcPr>
          <w:p w14:paraId="784C4D1E" w14:textId="77777777" w:rsidR="00000000" w:rsidRDefault="001D0688">
            <w:pPr>
              <w:jc w:val="right"/>
              <w:rPr>
                <w:rFonts w:eastAsia="Times New Roman"/>
              </w:rPr>
            </w:pPr>
          </w:p>
        </w:tc>
      </w:tr>
      <w:tr w:rsidR="00000000" w14:paraId="790512BE" w14:textId="77777777">
        <w:trPr>
          <w:divId w:val="230623113"/>
        </w:trPr>
        <w:tc>
          <w:tcPr>
            <w:tcW w:w="0" w:type="auto"/>
            <w:gridSpan w:val="3"/>
            <w:shd w:val="clear" w:color="auto" w:fill="DCE2EF"/>
            <w:tcMar>
              <w:top w:w="30" w:type="dxa"/>
              <w:left w:w="20" w:type="dxa"/>
              <w:bottom w:w="30" w:type="dxa"/>
              <w:right w:w="20" w:type="dxa"/>
            </w:tcMar>
            <w:vAlign w:val="bottom"/>
            <w:hideMark/>
          </w:tcPr>
          <w:p w14:paraId="43862086"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gridSpan w:val="2"/>
            <w:shd w:val="clear" w:color="auto" w:fill="DCE2EF"/>
            <w:tcMar>
              <w:top w:w="30" w:type="dxa"/>
              <w:left w:w="20" w:type="dxa"/>
              <w:bottom w:w="30" w:type="dxa"/>
              <w:right w:w="0" w:type="dxa"/>
            </w:tcMar>
            <w:vAlign w:val="bottom"/>
            <w:hideMark/>
          </w:tcPr>
          <w:p w14:paraId="0B9A7DD0" w14:textId="77777777" w:rsidR="00000000" w:rsidRDefault="001D0688">
            <w:pPr>
              <w:jc w:val="right"/>
              <w:rPr>
                <w:rFonts w:eastAsia="Times New Roman"/>
              </w:rPr>
            </w:pPr>
            <w:r>
              <w:rPr>
                <w:rFonts w:ascii="Arial" w:eastAsia="Times New Roman" w:hAnsi="Arial" w:cs="Arial"/>
                <w:color w:val="000000"/>
                <w:sz w:val="20"/>
                <w:szCs w:val="20"/>
              </w:rPr>
              <w:t>13.0 </w:t>
            </w:r>
          </w:p>
        </w:tc>
        <w:tc>
          <w:tcPr>
            <w:tcW w:w="0" w:type="auto"/>
            <w:shd w:val="clear" w:color="auto" w:fill="DCE2EF"/>
            <w:tcMar>
              <w:top w:w="30" w:type="dxa"/>
              <w:left w:w="0" w:type="dxa"/>
              <w:bottom w:w="30" w:type="dxa"/>
              <w:right w:w="20" w:type="dxa"/>
            </w:tcMar>
            <w:vAlign w:val="bottom"/>
            <w:hideMark/>
          </w:tcPr>
          <w:p w14:paraId="40D952D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4B66A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3AF0EFC" w14:textId="77777777" w:rsidR="00000000" w:rsidRDefault="001D0688">
            <w:pPr>
              <w:jc w:val="right"/>
              <w:rPr>
                <w:rFonts w:eastAsia="Times New Roman"/>
              </w:rPr>
            </w:pPr>
            <w:r>
              <w:rPr>
                <w:rFonts w:ascii="Arial" w:eastAsia="Times New Roman" w:hAnsi="Arial" w:cs="Arial"/>
                <w:color w:val="000000"/>
                <w:sz w:val="20"/>
                <w:szCs w:val="20"/>
              </w:rPr>
              <w:t>29.9 </w:t>
            </w:r>
          </w:p>
        </w:tc>
        <w:tc>
          <w:tcPr>
            <w:tcW w:w="0" w:type="auto"/>
            <w:shd w:val="clear" w:color="auto" w:fill="DCE2EF"/>
            <w:tcMar>
              <w:top w:w="30" w:type="dxa"/>
              <w:left w:w="0" w:type="dxa"/>
              <w:bottom w:w="30" w:type="dxa"/>
              <w:right w:w="20" w:type="dxa"/>
            </w:tcMar>
            <w:vAlign w:val="bottom"/>
            <w:hideMark/>
          </w:tcPr>
          <w:p w14:paraId="0DDE911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7029DF"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030AAF" w14:textId="77777777" w:rsidR="00000000" w:rsidRDefault="001D0688">
            <w:pPr>
              <w:jc w:val="right"/>
              <w:rPr>
                <w:rFonts w:eastAsia="Times New Roman"/>
              </w:rPr>
            </w:pPr>
            <w:r>
              <w:rPr>
                <w:rFonts w:ascii="Arial" w:eastAsia="Times New Roman" w:hAnsi="Arial" w:cs="Arial"/>
                <w:color w:val="000000"/>
                <w:sz w:val="20"/>
                <w:szCs w:val="20"/>
              </w:rPr>
              <w:t>36.5 </w:t>
            </w:r>
          </w:p>
        </w:tc>
        <w:tc>
          <w:tcPr>
            <w:tcW w:w="0" w:type="auto"/>
            <w:shd w:val="clear" w:color="auto" w:fill="DCE2EF"/>
            <w:tcMar>
              <w:top w:w="30" w:type="dxa"/>
              <w:left w:w="0" w:type="dxa"/>
              <w:bottom w:w="30" w:type="dxa"/>
              <w:right w:w="20" w:type="dxa"/>
            </w:tcMar>
            <w:vAlign w:val="bottom"/>
            <w:hideMark/>
          </w:tcPr>
          <w:p w14:paraId="2FBD97A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704886"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99B0882" w14:textId="77777777" w:rsidR="00000000" w:rsidRDefault="001D0688">
            <w:pPr>
              <w:jc w:val="right"/>
              <w:rPr>
                <w:rFonts w:eastAsia="Times New Roman"/>
              </w:rPr>
            </w:pPr>
            <w:r>
              <w:rPr>
                <w:rFonts w:ascii="Arial" w:eastAsia="Times New Roman" w:hAnsi="Arial" w:cs="Arial"/>
                <w:color w:val="000000"/>
                <w:sz w:val="20"/>
                <w:szCs w:val="20"/>
              </w:rPr>
              <w:t>48.1 </w:t>
            </w:r>
          </w:p>
        </w:tc>
        <w:tc>
          <w:tcPr>
            <w:tcW w:w="0" w:type="auto"/>
            <w:shd w:val="clear" w:color="auto" w:fill="DCE2EF"/>
            <w:tcMar>
              <w:top w:w="30" w:type="dxa"/>
              <w:left w:w="0" w:type="dxa"/>
              <w:bottom w:w="30" w:type="dxa"/>
              <w:right w:w="20" w:type="dxa"/>
            </w:tcMar>
            <w:vAlign w:val="bottom"/>
            <w:hideMark/>
          </w:tcPr>
          <w:p w14:paraId="5BA2362C" w14:textId="77777777" w:rsidR="00000000" w:rsidRDefault="001D0688">
            <w:pPr>
              <w:jc w:val="right"/>
              <w:rPr>
                <w:rFonts w:eastAsia="Times New Roman"/>
              </w:rPr>
            </w:pPr>
          </w:p>
        </w:tc>
      </w:tr>
      <w:tr w:rsidR="00000000" w14:paraId="5C914FEE" w14:textId="77777777">
        <w:trPr>
          <w:divId w:val="230623113"/>
        </w:trPr>
        <w:tc>
          <w:tcPr>
            <w:tcW w:w="0" w:type="auto"/>
            <w:gridSpan w:val="3"/>
            <w:shd w:val="clear" w:color="auto" w:fill="FFFFFF"/>
            <w:tcMar>
              <w:top w:w="30" w:type="dxa"/>
              <w:left w:w="20" w:type="dxa"/>
              <w:bottom w:w="30" w:type="dxa"/>
              <w:right w:w="20" w:type="dxa"/>
            </w:tcMar>
            <w:vAlign w:val="bottom"/>
            <w:hideMark/>
          </w:tcPr>
          <w:p w14:paraId="52ACFE48" w14:textId="77777777" w:rsidR="00000000" w:rsidRDefault="001D0688">
            <w:pPr>
              <w:rPr>
                <w:rFonts w:eastAsia="Times New Roman"/>
              </w:rPr>
            </w:pPr>
            <w:r>
              <w:rPr>
                <w:rFonts w:ascii="Arial" w:eastAsia="Times New Roman" w:hAnsi="Arial" w:cs="Arial"/>
                <w:color w:val="000000"/>
                <w:sz w:val="20"/>
                <w:szCs w:val="20"/>
              </w:rPr>
              <w:t>(Loss) income from discontinued operations, net of taxes</w:t>
            </w:r>
          </w:p>
        </w:tc>
        <w:tc>
          <w:tcPr>
            <w:tcW w:w="0" w:type="auto"/>
            <w:gridSpan w:val="2"/>
            <w:shd w:val="clear" w:color="auto" w:fill="FFFFFF"/>
            <w:tcMar>
              <w:top w:w="30" w:type="dxa"/>
              <w:left w:w="20" w:type="dxa"/>
              <w:bottom w:w="30" w:type="dxa"/>
              <w:right w:w="0" w:type="dxa"/>
            </w:tcMar>
            <w:vAlign w:val="bottom"/>
            <w:hideMark/>
          </w:tcPr>
          <w:p w14:paraId="51A3E25A"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172F7A8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B583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510E5" w14:textId="77777777" w:rsidR="00000000" w:rsidRDefault="001D0688">
            <w:pPr>
              <w:jc w:val="right"/>
              <w:rPr>
                <w:rFonts w:eastAsia="Times New Roman"/>
              </w:rPr>
            </w:pPr>
            <w:r>
              <w:rPr>
                <w:rFonts w:ascii="Arial" w:eastAsia="Times New Roman" w:hAnsi="Arial" w:cs="Arial"/>
                <w:color w:val="000000"/>
                <w:sz w:val="20"/>
                <w:szCs w:val="20"/>
              </w:rPr>
              <w:t>(0.2)</w:t>
            </w:r>
          </w:p>
        </w:tc>
        <w:tc>
          <w:tcPr>
            <w:tcW w:w="0" w:type="auto"/>
            <w:shd w:val="clear" w:color="auto" w:fill="FFFFFF"/>
            <w:tcMar>
              <w:top w:w="30" w:type="dxa"/>
              <w:left w:w="0" w:type="dxa"/>
              <w:bottom w:w="30" w:type="dxa"/>
              <w:right w:w="20" w:type="dxa"/>
            </w:tcMar>
            <w:vAlign w:val="bottom"/>
            <w:hideMark/>
          </w:tcPr>
          <w:p w14:paraId="3D96213F"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631B2"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2D6244" w14:textId="77777777" w:rsidR="00000000" w:rsidRDefault="001D0688">
            <w:pPr>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14:paraId="7E1F940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FD69F"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95D36" w14:textId="77777777" w:rsidR="00000000" w:rsidRDefault="001D0688">
            <w:pPr>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14:paraId="5259DD72" w14:textId="77777777" w:rsidR="00000000" w:rsidRDefault="001D0688">
            <w:pPr>
              <w:jc w:val="right"/>
              <w:rPr>
                <w:rFonts w:eastAsia="Times New Roman"/>
              </w:rPr>
            </w:pPr>
          </w:p>
        </w:tc>
      </w:tr>
      <w:tr w:rsidR="00000000" w14:paraId="3E5C25C4" w14:textId="77777777">
        <w:trPr>
          <w:divId w:val="230623113"/>
        </w:trPr>
        <w:tc>
          <w:tcPr>
            <w:tcW w:w="0" w:type="auto"/>
            <w:gridSpan w:val="3"/>
            <w:shd w:val="clear" w:color="auto" w:fill="DCE2EF"/>
            <w:tcMar>
              <w:top w:w="30" w:type="dxa"/>
              <w:left w:w="20" w:type="dxa"/>
              <w:bottom w:w="30" w:type="dxa"/>
              <w:right w:w="20" w:type="dxa"/>
            </w:tcMar>
            <w:vAlign w:val="bottom"/>
            <w:hideMark/>
          </w:tcPr>
          <w:p w14:paraId="4DB43E6B"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6CB6A5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4BC1CF2" w14:textId="77777777" w:rsidR="00000000" w:rsidRDefault="001D0688">
            <w:pPr>
              <w:jc w:val="right"/>
              <w:rPr>
                <w:rFonts w:eastAsia="Times New Roman"/>
              </w:rPr>
            </w:pPr>
            <w:r>
              <w:rPr>
                <w:rFonts w:ascii="Arial" w:eastAsia="Times New Roman" w:hAnsi="Arial" w:cs="Arial"/>
                <w:color w:val="000000"/>
                <w:sz w:val="20"/>
                <w:szCs w:val="20"/>
              </w:rPr>
              <w:t>13.0 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AF3B5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855B9D"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718876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30F4D70" w14:textId="77777777" w:rsidR="00000000" w:rsidRDefault="001D0688">
            <w:pPr>
              <w:jc w:val="right"/>
              <w:rPr>
                <w:rFonts w:eastAsia="Times New Roman"/>
              </w:rPr>
            </w:pPr>
            <w:r>
              <w:rPr>
                <w:rFonts w:ascii="Arial" w:eastAsia="Times New Roman" w:hAnsi="Arial" w:cs="Arial"/>
                <w:color w:val="000000"/>
                <w:sz w:val="20"/>
                <w:szCs w:val="20"/>
              </w:rPr>
              <w:t>29.7 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D1AA56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248CAB7"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D95CE4E"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718820B" w14:textId="77777777" w:rsidR="00000000" w:rsidRDefault="001D0688">
            <w:pPr>
              <w:jc w:val="right"/>
              <w:rPr>
                <w:rFonts w:eastAsia="Times New Roman"/>
              </w:rPr>
            </w:pPr>
            <w:r>
              <w:rPr>
                <w:rFonts w:ascii="Arial" w:eastAsia="Times New Roman" w:hAnsi="Arial" w:cs="Arial"/>
                <w:color w:val="000000"/>
                <w:sz w:val="20"/>
                <w:szCs w:val="20"/>
              </w:rPr>
              <w:t>36.8 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241B5A3"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E21FA8" w14:textId="77777777" w:rsidR="00000000" w:rsidRDefault="001D0688">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6E54A2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55B412A" w14:textId="77777777" w:rsidR="00000000" w:rsidRDefault="001D0688">
            <w:pPr>
              <w:jc w:val="right"/>
              <w:rPr>
                <w:rFonts w:eastAsia="Times New Roman"/>
              </w:rPr>
            </w:pPr>
            <w:r>
              <w:rPr>
                <w:rFonts w:ascii="Arial" w:eastAsia="Times New Roman" w:hAnsi="Arial" w:cs="Arial"/>
                <w:color w:val="000000"/>
                <w:sz w:val="20"/>
                <w:szCs w:val="20"/>
              </w:rPr>
              <w:t>47.9 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8DFD786" w14:textId="77777777" w:rsidR="00000000" w:rsidRDefault="001D0688">
            <w:pPr>
              <w:jc w:val="right"/>
              <w:rPr>
                <w:rFonts w:eastAsia="Times New Roman"/>
              </w:rPr>
            </w:pPr>
          </w:p>
        </w:tc>
      </w:tr>
      <w:tr w:rsidR="00000000" w14:paraId="35069228" w14:textId="77777777">
        <w:trPr>
          <w:divId w:val="230623113"/>
          <w:trHeight w:val="280"/>
        </w:trPr>
        <w:tc>
          <w:tcPr>
            <w:tcW w:w="0" w:type="auto"/>
            <w:gridSpan w:val="3"/>
            <w:shd w:val="clear" w:color="auto" w:fill="FFFFFF"/>
            <w:tcMar>
              <w:top w:w="0" w:type="dxa"/>
              <w:left w:w="20" w:type="dxa"/>
              <w:bottom w:w="0" w:type="dxa"/>
              <w:right w:w="20" w:type="dxa"/>
            </w:tcMar>
            <w:vAlign w:val="center"/>
            <w:hideMark/>
          </w:tcPr>
          <w:p w14:paraId="7021B43B"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80C281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6A6FCA"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4F812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9CCA4"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CCA0D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445711"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CCE8AA" w14:textId="77777777" w:rsidR="00000000" w:rsidRDefault="001D0688">
            <w:pPr>
              <w:rPr>
                <w:rFonts w:eastAsia="Times New Roman"/>
                <w:sz w:val="20"/>
                <w:szCs w:val="20"/>
              </w:rPr>
            </w:pPr>
          </w:p>
        </w:tc>
      </w:tr>
      <w:tr w:rsidR="00000000" w14:paraId="4BDF827B" w14:textId="77777777">
        <w:trPr>
          <w:divId w:val="230623113"/>
        </w:trPr>
        <w:tc>
          <w:tcPr>
            <w:tcW w:w="0" w:type="auto"/>
            <w:gridSpan w:val="3"/>
            <w:shd w:val="clear" w:color="auto" w:fill="DCE2EF"/>
            <w:tcMar>
              <w:top w:w="30" w:type="dxa"/>
              <w:left w:w="20" w:type="dxa"/>
              <w:bottom w:w="30" w:type="dxa"/>
              <w:right w:w="20" w:type="dxa"/>
            </w:tcMar>
            <w:vAlign w:val="bottom"/>
            <w:hideMark/>
          </w:tcPr>
          <w:p w14:paraId="5821DE8C" w14:textId="77777777" w:rsidR="00000000" w:rsidRDefault="001D0688">
            <w:pPr>
              <w:rPr>
                <w:rFonts w:eastAsia="Times New Roman"/>
              </w:rPr>
            </w:pPr>
            <w:r>
              <w:rPr>
                <w:rFonts w:ascii="Arial" w:eastAsia="Times New Roman" w:hAnsi="Arial" w:cs="Arial"/>
                <w:color w:val="000000"/>
                <w:sz w:val="20"/>
                <w:szCs w:val="20"/>
              </w:rPr>
              <w:t xml:space="preserve">Net income per common share — Basic </w:t>
            </w:r>
          </w:p>
        </w:tc>
        <w:tc>
          <w:tcPr>
            <w:tcW w:w="0" w:type="auto"/>
            <w:gridSpan w:val="3"/>
            <w:shd w:val="clear" w:color="auto" w:fill="DCE2EF"/>
            <w:tcMar>
              <w:top w:w="0" w:type="dxa"/>
              <w:left w:w="20" w:type="dxa"/>
              <w:bottom w:w="0" w:type="dxa"/>
              <w:right w:w="20" w:type="dxa"/>
            </w:tcMar>
            <w:vAlign w:val="center"/>
            <w:hideMark/>
          </w:tcPr>
          <w:p w14:paraId="26638EC8"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69540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7C9E51D"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676F7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62AF6B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9480BA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BF39D1E" w14:textId="77777777" w:rsidR="00000000" w:rsidRDefault="001D0688">
            <w:pPr>
              <w:rPr>
                <w:rFonts w:eastAsia="Times New Roman"/>
                <w:sz w:val="20"/>
                <w:szCs w:val="20"/>
              </w:rPr>
            </w:pPr>
          </w:p>
        </w:tc>
      </w:tr>
      <w:tr w:rsidR="00000000" w14:paraId="2B23BF4A" w14:textId="77777777">
        <w:trPr>
          <w:divId w:val="230623113"/>
        </w:trPr>
        <w:tc>
          <w:tcPr>
            <w:tcW w:w="0" w:type="auto"/>
            <w:gridSpan w:val="3"/>
            <w:shd w:val="clear" w:color="auto" w:fill="FFFFFF"/>
            <w:tcMar>
              <w:top w:w="30" w:type="dxa"/>
              <w:left w:w="380" w:type="dxa"/>
              <w:bottom w:w="30" w:type="dxa"/>
              <w:right w:w="20" w:type="dxa"/>
            </w:tcMar>
            <w:vAlign w:val="bottom"/>
            <w:hideMark/>
          </w:tcPr>
          <w:p w14:paraId="589D88D1"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14:paraId="2E96957D"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61F1B4E6" w14:textId="77777777" w:rsidR="00000000" w:rsidRDefault="001D0688">
            <w:pPr>
              <w:jc w:val="right"/>
              <w:rPr>
                <w:rFonts w:eastAsia="Times New Roman"/>
              </w:rPr>
            </w:pPr>
            <w:r>
              <w:rPr>
                <w:rFonts w:ascii="Arial" w:eastAsia="Times New Roman" w:hAnsi="Arial" w:cs="Arial"/>
                <w:color w:val="000000"/>
                <w:sz w:val="20"/>
                <w:szCs w:val="20"/>
              </w:rPr>
              <w:t>0.20 </w:t>
            </w:r>
          </w:p>
        </w:tc>
        <w:tc>
          <w:tcPr>
            <w:tcW w:w="0" w:type="auto"/>
            <w:shd w:val="clear" w:color="auto" w:fill="FFFFFF"/>
            <w:tcMar>
              <w:top w:w="30" w:type="dxa"/>
              <w:left w:w="0" w:type="dxa"/>
              <w:bottom w:w="30" w:type="dxa"/>
              <w:right w:w="20" w:type="dxa"/>
            </w:tcMar>
            <w:vAlign w:val="bottom"/>
            <w:hideMark/>
          </w:tcPr>
          <w:p w14:paraId="10B5C94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67318"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AA273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47AEB44E" w14:textId="77777777" w:rsidR="00000000" w:rsidRDefault="001D0688">
            <w:pPr>
              <w:jc w:val="right"/>
              <w:rPr>
                <w:rFonts w:eastAsia="Times New Roman"/>
              </w:rPr>
            </w:pPr>
            <w:r>
              <w:rPr>
                <w:rFonts w:ascii="Arial" w:eastAsia="Times New Roman" w:hAnsi="Arial" w:cs="Arial"/>
                <w:color w:val="000000"/>
                <w:sz w:val="20"/>
                <w:szCs w:val="20"/>
              </w:rPr>
              <w:t>0.45 </w:t>
            </w:r>
          </w:p>
        </w:tc>
        <w:tc>
          <w:tcPr>
            <w:tcW w:w="0" w:type="auto"/>
            <w:shd w:val="clear" w:color="auto" w:fill="FFFFFF"/>
            <w:tcMar>
              <w:top w:w="30" w:type="dxa"/>
              <w:left w:w="0" w:type="dxa"/>
              <w:bottom w:w="30" w:type="dxa"/>
              <w:right w:w="20" w:type="dxa"/>
            </w:tcMar>
            <w:vAlign w:val="bottom"/>
            <w:hideMark/>
          </w:tcPr>
          <w:p w14:paraId="1447F9F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C51B8"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E7B80B"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5E8C3A50" w14:textId="77777777" w:rsidR="00000000" w:rsidRDefault="001D0688">
            <w:pPr>
              <w:jc w:val="right"/>
              <w:rPr>
                <w:rFonts w:eastAsia="Times New Roman"/>
              </w:rPr>
            </w:pPr>
            <w:r>
              <w:rPr>
                <w:rFonts w:ascii="Arial" w:eastAsia="Times New Roman" w:hAnsi="Arial" w:cs="Arial"/>
                <w:color w:val="000000"/>
                <w:sz w:val="20"/>
                <w:szCs w:val="20"/>
              </w:rPr>
              <w:t>0.55 </w:t>
            </w:r>
          </w:p>
        </w:tc>
        <w:tc>
          <w:tcPr>
            <w:tcW w:w="0" w:type="auto"/>
            <w:shd w:val="clear" w:color="auto" w:fill="FFFFFF"/>
            <w:tcMar>
              <w:top w:w="30" w:type="dxa"/>
              <w:left w:w="0" w:type="dxa"/>
              <w:bottom w:w="30" w:type="dxa"/>
              <w:right w:w="20" w:type="dxa"/>
            </w:tcMar>
            <w:vAlign w:val="bottom"/>
            <w:hideMark/>
          </w:tcPr>
          <w:p w14:paraId="44A5F15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988FA" w14:textId="77777777" w:rsidR="00000000" w:rsidRDefault="001D068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78B2E4"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14:paraId="0A73A707" w14:textId="77777777" w:rsidR="00000000" w:rsidRDefault="001D0688">
            <w:pPr>
              <w:jc w:val="right"/>
              <w:rPr>
                <w:rFonts w:eastAsia="Times New Roman"/>
              </w:rPr>
            </w:pPr>
            <w:r>
              <w:rPr>
                <w:rFonts w:ascii="Arial" w:eastAsia="Times New Roman" w:hAnsi="Arial" w:cs="Arial"/>
                <w:color w:val="000000"/>
                <w:sz w:val="20"/>
                <w:szCs w:val="20"/>
              </w:rPr>
              <w:t>0.72 </w:t>
            </w:r>
          </w:p>
        </w:tc>
        <w:tc>
          <w:tcPr>
            <w:tcW w:w="0" w:type="auto"/>
            <w:shd w:val="clear" w:color="auto" w:fill="FFFFFF"/>
            <w:tcMar>
              <w:top w:w="30" w:type="dxa"/>
              <w:left w:w="0" w:type="dxa"/>
              <w:bottom w:w="30" w:type="dxa"/>
              <w:right w:w="20" w:type="dxa"/>
            </w:tcMar>
            <w:vAlign w:val="bottom"/>
            <w:hideMark/>
          </w:tcPr>
          <w:p w14:paraId="11DB74FD" w14:textId="77777777" w:rsidR="00000000" w:rsidRDefault="001D0688">
            <w:pPr>
              <w:jc w:val="right"/>
              <w:rPr>
                <w:rFonts w:eastAsia="Times New Roman"/>
              </w:rPr>
            </w:pPr>
          </w:p>
        </w:tc>
      </w:tr>
      <w:tr w:rsidR="00000000" w14:paraId="7318C4D0" w14:textId="77777777">
        <w:trPr>
          <w:divId w:val="230623113"/>
        </w:trPr>
        <w:tc>
          <w:tcPr>
            <w:tcW w:w="0" w:type="auto"/>
            <w:gridSpan w:val="3"/>
            <w:shd w:val="clear" w:color="auto" w:fill="DCE2EF"/>
            <w:tcMar>
              <w:top w:w="30" w:type="dxa"/>
              <w:left w:w="380" w:type="dxa"/>
              <w:bottom w:w="30" w:type="dxa"/>
              <w:right w:w="20" w:type="dxa"/>
            </w:tcMar>
            <w:vAlign w:val="bottom"/>
            <w:hideMark/>
          </w:tcPr>
          <w:p w14:paraId="156E4843"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DCE2EF"/>
            <w:tcMar>
              <w:top w:w="30" w:type="dxa"/>
              <w:left w:w="20" w:type="dxa"/>
              <w:bottom w:w="30" w:type="dxa"/>
              <w:right w:w="0" w:type="dxa"/>
            </w:tcMar>
            <w:vAlign w:val="bottom"/>
            <w:hideMark/>
          </w:tcPr>
          <w:p w14:paraId="42D6E5AA"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93594D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9C773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8956047"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559B569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55ADA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F4C95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71DD2CB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08D94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840AD9"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14:paraId="4FA11E6B" w14:textId="77777777" w:rsidR="00000000" w:rsidRDefault="001D0688">
            <w:pPr>
              <w:jc w:val="right"/>
              <w:rPr>
                <w:rFonts w:eastAsia="Times New Roman"/>
              </w:rPr>
            </w:pPr>
          </w:p>
        </w:tc>
      </w:tr>
      <w:tr w:rsidR="00000000" w14:paraId="49A7FF8F" w14:textId="77777777">
        <w:trPr>
          <w:divId w:val="230623113"/>
        </w:trPr>
        <w:tc>
          <w:tcPr>
            <w:tcW w:w="0" w:type="auto"/>
            <w:gridSpan w:val="3"/>
            <w:shd w:val="clear" w:color="auto" w:fill="FFFFFF"/>
            <w:tcMar>
              <w:top w:w="30" w:type="dxa"/>
              <w:left w:w="380" w:type="dxa"/>
              <w:bottom w:w="30" w:type="dxa"/>
              <w:right w:w="20" w:type="dxa"/>
            </w:tcMar>
            <w:vAlign w:val="bottom"/>
            <w:hideMark/>
          </w:tcPr>
          <w:p w14:paraId="18434684"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F4FF9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FECC5A" w14:textId="77777777" w:rsidR="00000000" w:rsidRDefault="001D0688">
            <w:pPr>
              <w:jc w:val="right"/>
              <w:rPr>
                <w:rFonts w:eastAsia="Times New Roman"/>
              </w:rPr>
            </w:pPr>
            <w:r>
              <w:rPr>
                <w:rFonts w:ascii="Arial" w:eastAsia="Times New Roman" w:hAnsi="Arial" w:cs="Arial"/>
                <w:color w:val="000000"/>
                <w:sz w:val="20"/>
                <w:szCs w:val="20"/>
              </w:rPr>
              <w:t>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F279E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A76C5"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EB28B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863426" w14:textId="77777777" w:rsidR="00000000" w:rsidRDefault="001D0688">
            <w:pPr>
              <w:jc w:val="right"/>
              <w:rPr>
                <w:rFonts w:eastAsia="Times New Roman"/>
              </w:rPr>
            </w:pPr>
            <w:r>
              <w:rPr>
                <w:rFonts w:ascii="Arial" w:eastAsia="Times New Roman" w:hAnsi="Arial" w:cs="Arial"/>
                <w:color w:val="000000"/>
                <w:sz w:val="20"/>
                <w:szCs w:val="20"/>
              </w:rPr>
              <w:t>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8B61B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036AC"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AE16C4"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AC0C1B" w14:textId="77777777" w:rsidR="00000000" w:rsidRDefault="001D0688">
            <w:pPr>
              <w:jc w:val="right"/>
              <w:rPr>
                <w:rFonts w:eastAsia="Times New Roman"/>
              </w:rPr>
            </w:pPr>
            <w:r>
              <w:rPr>
                <w:rFonts w:ascii="Arial" w:eastAsia="Times New Roman" w:hAnsi="Arial" w:cs="Arial"/>
                <w:color w:val="000000"/>
                <w:sz w:val="20"/>
                <w:szCs w:val="20"/>
              </w:rPr>
              <w:t>0.55 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595CC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8E029" w14:textId="77777777" w:rsidR="00000000" w:rsidRDefault="001D068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CC62A1"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F09D3E" w14:textId="77777777" w:rsidR="00000000" w:rsidRDefault="001D0688">
            <w:pPr>
              <w:jc w:val="right"/>
              <w:rPr>
                <w:rFonts w:eastAsia="Times New Roman"/>
              </w:rPr>
            </w:pPr>
            <w:r>
              <w:rPr>
                <w:rFonts w:ascii="Arial" w:eastAsia="Times New Roman" w:hAnsi="Arial" w:cs="Arial"/>
                <w:color w:val="000000"/>
                <w:sz w:val="20"/>
                <w:szCs w:val="20"/>
              </w:rPr>
              <w:t>0.72 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CD3CF2" w14:textId="77777777" w:rsidR="00000000" w:rsidRDefault="001D0688">
            <w:pPr>
              <w:jc w:val="right"/>
              <w:rPr>
                <w:rFonts w:eastAsia="Times New Roman"/>
              </w:rPr>
            </w:pPr>
          </w:p>
        </w:tc>
      </w:tr>
      <w:tr w:rsidR="00000000" w14:paraId="7D0F0CDD" w14:textId="77777777">
        <w:trPr>
          <w:divId w:val="230623113"/>
          <w:trHeight w:val="280"/>
        </w:trPr>
        <w:tc>
          <w:tcPr>
            <w:tcW w:w="0" w:type="auto"/>
            <w:gridSpan w:val="3"/>
            <w:shd w:val="clear" w:color="auto" w:fill="DCE2EF"/>
            <w:tcMar>
              <w:top w:w="0" w:type="dxa"/>
              <w:left w:w="20" w:type="dxa"/>
              <w:bottom w:w="0" w:type="dxa"/>
              <w:right w:w="20" w:type="dxa"/>
            </w:tcMar>
            <w:vAlign w:val="center"/>
            <w:hideMark/>
          </w:tcPr>
          <w:p w14:paraId="4D03DD27" w14:textId="77777777" w:rsidR="00000000" w:rsidRDefault="001D0688">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2847F09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AE5BF5F"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0AEB9CA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BE5269C"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7106D8C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EB74DA5" w14:textId="77777777" w:rsidR="00000000" w:rsidRDefault="001D0688">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492A7674" w14:textId="77777777" w:rsidR="00000000" w:rsidRDefault="001D0688">
            <w:pPr>
              <w:rPr>
                <w:rFonts w:eastAsia="Times New Roman"/>
                <w:sz w:val="20"/>
                <w:szCs w:val="20"/>
              </w:rPr>
            </w:pPr>
          </w:p>
        </w:tc>
      </w:tr>
      <w:tr w:rsidR="00000000" w14:paraId="76AB3142" w14:textId="77777777">
        <w:trPr>
          <w:divId w:val="230623113"/>
        </w:trPr>
        <w:tc>
          <w:tcPr>
            <w:tcW w:w="0" w:type="auto"/>
            <w:gridSpan w:val="3"/>
            <w:shd w:val="clear" w:color="auto" w:fill="FFFFFF"/>
            <w:tcMar>
              <w:top w:w="30" w:type="dxa"/>
              <w:left w:w="20" w:type="dxa"/>
              <w:bottom w:w="30" w:type="dxa"/>
              <w:right w:w="20" w:type="dxa"/>
            </w:tcMar>
            <w:vAlign w:val="bottom"/>
            <w:hideMark/>
          </w:tcPr>
          <w:p w14:paraId="456D7A7D" w14:textId="77777777" w:rsidR="00000000" w:rsidRDefault="001D0688">
            <w:pPr>
              <w:rPr>
                <w:rFonts w:eastAsia="Times New Roman"/>
              </w:rPr>
            </w:pPr>
            <w:r>
              <w:rPr>
                <w:rFonts w:ascii="Arial" w:eastAsia="Times New Roman" w:hAnsi="Arial" w:cs="Arial"/>
                <w:color w:val="000000"/>
                <w:sz w:val="20"/>
                <w:szCs w:val="20"/>
              </w:rPr>
              <w:t>Net income per common share — Diluted</w:t>
            </w:r>
          </w:p>
        </w:tc>
        <w:tc>
          <w:tcPr>
            <w:tcW w:w="0" w:type="auto"/>
            <w:gridSpan w:val="3"/>
            <w:shd w:val="clear" w:color="auto" w:fill="FFFFFF"/>
            <w:tcMar>
              <w:top w:w="0" w:type="dxa"/>
              <w:left w:w="20" w:type="dxa"/>
              <w:bottom w:w="0" w:type="dxa"/>
              <w:right w:w="20" w:type="dxa"/>
            </w:tcMar>
            <w:vAlign w:val="center"/>
            <w:hideMark/>
          </w:tcPr>
          <w:p w14:paraId="1400DF29"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DE1E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FB1EE"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69E9F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109A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1B7D7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A83FF9" w14:textId="77777777" w:rsidR="00000000" w:rsidRDefault="001D0688">
            <w:pPr>
              <w:rPr>
                <w:rFonts w:eastAsia="Times New Roman"/>
                <w:sz w:val="20"/>
                <w:szCs w:val="20"/>
              </w:rPr>
            </w:pPr>
          </w:p>
        </w:tc>
      </w:tr>
      <w:tr w:rsidR="00000000" w14:paraId="7DB54D59" w14:textId="77777777">
        <w:trPr>
          <w:divId w:val="230623113"/>
        </w:trPr>
        <w:tc>
          <w:tcPr>
            <w:tcW w:w="0" w:type="auto"/>
            <w:gridSpan w:val="3"/>
            <w:shd w:val="clear" w:color="auto" w:fill="DCE2EF"/>
            <w:tcMar>
              <w:top w:w="30" w:type="dxa"/>
              <w:left w:w="380" w:type="dxa"/>
              <w:bottom w:w="30" w:type="dxa"/>
              <w:right w:w="20" w:type="dxa"/>
            </w:tcMar>
            <w:vAlign w:val="bottom"/>
            <w:hideMark/>
          </w:tcPr>
          <w:p w14:paraId="208DB035" w14:textId="77777777" w:rsidR="00000000" w:rsidRDefault="001D0688">
            <w:pPr>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14:paraId="76ADA536"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EA7FF26" w14:textId="77777777" w:rsidR="00000000" w:rsidRDefault="001D0688">
            <w:pPr>
              <w:jc w:val="right"/>
              <w:rPr>
                <w:rFonts w:eastAsia="Times New Roman"/>
              </w:rPr>
            </w:pPr>
            <w:r>
              <w:rPr>
                <w:rFonts w:ascii="Arial" w:eastAsia="Times New Roman" w:hAnsi="Arial" w:cs="Arial"/>
                <w:color w:val="000000"/>
                <w:sz w:val="20"/>
                <w:szCs w:val="20"/>
              </w:rPr>
              <w:t>0.20 </w:t>
            </w:r>
          </w:p>
        </w:tc>
        <w:tc>
          <w:tcPr>
            <w:tcW w:w="0" w:type="auto"/>
            <w:shd w:val="clear" w:color="auto" w:fill="DCE2EF"/>
            <w:tcMar>
              <w:top w:w="30" w:type="dxa"/>
              <w:left w:w="0" w:type="dxa"/>
              <w:bottom w:w="30" w:type="dxa"/>
              <w:right w:w="20" w:type="dxa"/>
            </w:tcMar>
            <w:vAlign w:val="bottom"/>
            <w:hideMark/>
          </w:tcPr>
          <w:p w14:paraId="0DF462CC"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7EE7AD"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68AC13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742283FC" w14:textId="77777777" w:rsidR="00000000" w:rsidRDefault="001D0688">
            <w:pPr>
              <w:jc w:val="right"/>
              <w:rPr>
                <w:rFonts w:eastAsia="Times New Roman"/>
              </w:rPr>
            </w:pPr>
            <w:r>
              <w:rPr>
                <w:rFonts w:ascii="Arial" w:eastAsia="Times New Roman" w:hAnsi="Arial" w:cs="Arial"/>
                <w:color w:val="000000"/>
                <w:sz w:val="20"/>
                <w:szCs w:val="20"/>
              </w:rPr>
              <w:t>0.45 </w:t>
            </w:r>
          </w:p>
        </w:tc>
        <w:tc>
          <w:tcPr>
            <w:tcW w:w="0" w:type="auto"/>
            <w:shd w:val="clear" w:color="auto" w:fill="DCE2EF"/>
            <w:tcMar>
              <w:top w:w="30" w:type="dxa"/>
              <w:left w:w="0" w:type="dxa"/>
              <w:bottom w:w="30" w:type="dxa"/>
              <w:right w:w="20" w:type="dxa"/>
            </w:tcMar>
            <w:vAlign w:val="bottom"/>
            <w:hideMark/>
          </w:tcPr>
          <w:p w14:paraId="6B2E5F2B"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05E1F0"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5B9B4F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1061310B" w14:textId="77777777" w:rsidR="00000000" w:rsidRDefault="001D0688">
            <w:pPr>
              <w:jc w:val="right"/>
              <w:rPr>
                <w:rFonts w:eastAsia="Times New Roman"/>
              </w:rPr>
            </w:pPr>
            <w:r>
              <w:rPr>
                <w:rFonts w:ascii="Arial" w:eastAsia="Times New Roman" w:hAnsi="Arial" w:cs="Arial"/>
                <w:color w:val="000000"/>
                <w:sz w:val="20"/>
                <w:szCs w:val="20"/>
              </w:rPr>
              <w:t>0.55 </w:t>
            </w:r>
          </w:p>
        </w:tc>
        <w:tc>
          <w:tcPr>
            <w:tcW w:w="0" w:type="auto"/>
            <w:shd w:val="clear" w:color="auto" w:fill="DCE2EF"/>
            <w:tcMar>
              <w:top w:w="30" w:type="dxa"/>
              <w:left w:w="0" w:type="dxa"/>
              <w:bottom w:w="30" w:type="dxa"/>
              <w:right w:w="20" w:type="dxa"/>
            </w:tcMar>
            <w:vAlign w:val="bottom"/>
            <w:hideMark/>
          </w:tcPr>
          <w:p w14:paraId="7BA3326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D0CD11"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6B57DB91"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248F3413" w14:textId="77777777" w:rsidR="00000000" w:rsidRDefault="001D0688">
            <w:pPr>
              <w:jc w:val="right"/>
              <w:rPr>
                <w:rFonts w:eastAsia="Times New Roman"/>
              </w:rPr>
            </w:pPr>
            <w:r>
              <w:rPr>
                <w:rFonts w:ascii="Arial" w:eastAsia="Times New Roman" w:hAnsi="Arial" w:cs="Arial"/>
                <w:color w:val="000000"/>
                <w:sz w:val="20"/>
                <w:szCs w:val="20"/>
              </w:rPr>
              <w:t>0.71 </w:t>
            </w:r>
          </w:p>
        </w:tc>
        <w:tc>
          <w:tcPr>
            <w:tcW w:w="0" w:type="auto"/>
            <w:shd w:val="clear" w:color="auto" w:fill="DCE2EF"/>
            <w:tcMar>
              <w:top w:w="30" w:type="dxa"/>
              <w:left w:w="0" w:type="dxa"/>
              <w:bottom w:w="30" w:type="dxa"/>
              <w:right w:w="20" w:type="dxa"/>
            </w:tcMar>
            <w:vAlign w:val="bottom"/>
            <w:hideMark/>
          </w:tcPr>
          <w:p w14:paraId="24CD940C" w14:textId="77777777" w:rsidR="00000000" w:rsidRDefault="001D0688">
            <w:pPr>
              <w:jc w:val="right"/>
              <w:rPr>
                <w:rFonts w:eastAsia="Times New Roman"/>
              </w:rPr>
            </w:pPr>
          </w:p>
        </w:tc>
      </w:tr>
      <w:tr w:rsidR="00000000" w14:paraId="406083CE" w14:textId="77777777">
        <w:trPr>
          <w:divId w:val="230623113"/>
        </w:trPr>
        <w:tc>
          <w:tcPr>
            <w:tcW w:w="0" w:type="auto"/>
            <w:gridSpan w:val="3"/>
            <w:shd w:val="clear" w:color="auto" w:fill="FFFFFF"/>
            <w:tcMar>
              <w:top w:w="30" w:type="dxa"/>
              <w:left w:w="380" w:type="dxa"/>
              <w:bottom w:w="30" w:type="dxa"/>
              <w:right w:w="20" w:type="dxa"/>
            </w:tcMar>
            <w:vAlign w:val="bottom"/>
            <w:hideMark/>
          </w:tcPr>
          <w:p w14:paraId="2F6549FE" w14:textId="77777777" w:rsidR="00000000" w:rsidRDefault="001D0688">
            <w:pPr>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14:paraId="5BD45616"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7BF7686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D0C29"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86B85"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15C19301"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13DFE"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40EB2"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3C5478D6"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C901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0DE34" w14:textId="77777777" w:rsidR="00000000" w:rsidRDefault="001D0688">
            <w:pPr>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9F969E7" w14:textId="77777777" w:rsidR="00000000" w:rsidRDefault="001D0688">
            <w:pPr>
              <w:jc w:val="right"/>
              <w:rPr>
                <w:rFonts w:eastAsia="Times New Roman"/>
              </w:rPr>
            </w:pPr>
          </w:p>
        </w:tc>
      </w:tr>
      <w:tr w:rsidR="00000000" w14:paraId="34297C6A" w14:textId="77777777">
        <w:trPr>
          <w:divId w:val="230623113"/>
        </w:trPr>
        <w:tc>
          <w:tcPr>
            <w:tcW w:w="0" w:type="auto"/>
            <w:gridSpan w:val="3"/>
            <w:shd w:val="clear" w:color="auto" w:fill="DCE2EF"/>
            <w:tcMar>
              <w:top w:w="30" w:type="dxa"/>
              <w:left w:w="380" w:type="dxa"/>
              <w:bottom w:w="30" w:type="dxa"/>
              <w:right w:w="20" w:type="dxa"/>
            </w:tcMar>
            <w:vAlign w:val="bottom"/>
            <w:hideMark/>
          </w:tcPr>
          <w:p w14:paraId="51AD5B37" w14:textId="77777777" w:rsidR="00000000" w:rsidRDefault="001D0688">
            <w:pPr>
              <w:rPr>
                <w:rFonts w:eastAsia="Times New Roman"/>
              </w:rPr>
            </w:pPr>
            <w:r>
              <w:rPr>
                <w:rFonts w:ascii="Arial" w:eastAsia="Times New Roman" w:hAnsi="Arial" w:cs="Arial"/>
                <w:color w:val="000000"/>
                <w:sz w:val="20"/>
                <w:szCs w:val="20"/>
              </w:rPr>
              <w:t>Net income</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2911D9B"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42987DF" w14:textId="77777777" w:rsidR="00000000" w:rsidRDefault="001D0688">
            <w:pPr>
              <w:jc w:val="right"/>
              <w:rPr>
                <w:rFonts w:eastAsia="Times New Roman"/>
              </w:rPr>
            </w:pPr>
            <w:r>
              <w:rPr>
                <w:rFonts w:ascii="Arial" w:eastAsia="Times New Roman" w:hAnsi="Arial" w:cs="Arial"/>
                <w:color w:val="000000"/>
                <w:sz w:val="20"/>
                <w:szCs w:val="20"/>
              </w:rPr>
              <w:t>0.19 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84E3136"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C29BC5"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6DE7C0D"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049F45D" w14:textId="77777777" w:rsidR="00000000" w:rsidRDefault="001D0688">
            <w:pPr>
              <w:jc w:val="right"/>
              <w:rPr>
                <w:rFonts w:eastAsia="Times New Roman"/>
              </w:rPr>
            </w:pPr>
            <w:r>
              <w:rPr>
                <w:rFonts w:ascii="Arial" w:eastAsia="Times New Roman" w:hAnsi="Arial" w:cs="Arial"/>
                <w:color w:val="000000"/>
                <w:sz w:val="20"/>
                <w:szCs w:val="20"/>
              </w:rPr>
              <w:t>0.45 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0304E01"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2D5B60"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F174007"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A001155" w14:textId="77777777" w:rsidR="00000000" w:rsidRDefault="001D0688">
            <w:pPr>
              <w:jc w:val="right"/>
              <w:rPr>
                <w:rFonts w:eastAsia="Times New Roman"/>
              </w:rPr>
            </w:pPr>
            <w:r>
              <w:rPr>
                <w:rFonts w:ascii="Arial" w:eastAsia="Times New Roman" w:hAnsi="Arial" w:cs="Arial"/>
                <w:color w:val="000000"/>
                <w:sz w:val="20"/>
                <w:szCs w:val="20"/>
              </w:rPr>
              <w:t>0.55 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FA5939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1CCE8B" w14:textId="77777777" w:rsidR="00000000" w:rsidRDefault="001D0688">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22C8289" w14:textId="77777777" w:rsidR="00000000" w:rsidRDefault="001D0688">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098AC05" w14:textId="77777777" w:rsidR="00000000" w:rsidRDefault="001D0688">
            <w:pPr>
              <w:jc w:val="right"/>
              <w:rPr>
                <w:rFonts w:eastAsia="Times New Roman"/>
              </w:rPr>
            </w:pPr>
            <w:r>
              <w:rPr>
                <w:rFonts w:ascii="Arial" w:eastAsia="Times New Roman" w:hAnsi="Arial" w:cs="Arial"/>
                <w:color w:val="000000"/>
                <w:sz w:val="20"/>
                <w:szCs w:val="20"/>
              </w:rPr>
              <w:t>0.71 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C0C0506" w14:textId="77777777" w:rsidR="00000000" w:rsidRDefault="001D0688">
            <w:pPr>
              <w:jc w:val="right"/>
              <w:rPr>
                <w:rFonts w:eastAsia="Times New Roman"/>
              </w:rPr>
            </w:pPr>
          </w:p>
        </w:tc>
      </w:tr>
    </w:tbl>
    <w:p w14:paraId="3696C20E" w14:textId="77777777" w:rsidR="00000000" w:rsidRDefault="001D0688">
      <w:pPr>
        <w:ind w:hanging="180"/>
        <w:jc w:val="both"/>
        <w:divId w:val="73042632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goodwill and asset impairment charges of $172.8 million, $170.6 million after tax, or $2.54 per diluted share.</w:t>
      </w:r>
    </w:p>
    <w:p w14:paraId="509F5ADE" w14:textId="77777777" w:rsidR="00000000" w:rsidRDefault="001D0688">
      <w:pPr>
        <w:jc w:val="center"/>
        <w:divId w:val="747389170"/>
        <w:rPr>
          <w:rFonts w:eastAsia="Times New Roman"/>
        </w:rPr>
      </w:pPr>
      <w:r>
        <w:rPr>
          <w:rFonts w:ascii="Arial" w:eastAsia="Times New Roman" w:hAnsi="Arial" w:cs="Arial"/>
          <w:color w:val="000000"/>
          <w:sz w:val="20"/>
          <w:szCs w:val="20"/>
        </w:rPr>
        <w:t>96</w:t>
      </w:r>
    </w:p>
    <w:p w14:paraId="0C6DD0F1" w14:textId="77777777" w:rsidR="00000000" w:rsidRDefault="001D0688">
      <w:pPr>
        <w:rPr>
          <w:rFonts w:eastAsia="Times New Roman"/>
        </w:rPr>
      </w:pPr>
      <w:r>
        <w:rPr>
          <w:rFonts w:eastAsia="Times New Roman"/>
        </w:rPr>
        <w:pict w14:anchorId="1BCA7B6A">
          <v:rect id="_x0000_i1133" style="width:0;height:1.5pt" o:hralign="center" o:hrstd="t" o:hr="t" fillcolor="#a0a0a0" stroked="f"/>
        </w:pict>
      </w:r>
    </w:p>
    <w:p w14:paraId="6BF55C4E" w14:textId="77777777" w:rsidR="00000000" w:rsidRDefault="001D0688">
      <w:pPr>
        <w:divId w:val="1656372679"/>
        <w:rPr>
          <w:rFonts w:eastAsia="Times New Roman"/>
        </w:rPr>
      </w:pPr>
    </w:p>
    <w:p w14:paraId="3EE3035D" w14:textId="77777777" w:rsidR="00000000" w:rsidRDefault="001D0688">
      <w:pPr>
        <w:divId w:val="1238899670"/>
        <w:rPr>
          <w:rFonts w:eastAsia="Times New Roman"/>
        </w:rPr>
      </w:pPr>
      <w:r>
        <w:rPr>
          <w:rFonts w:ascii="Arial" w:eastAsia="Times New Roman" w:hAnsi="Arial" w:cs="Arial"/>
          <w:b/>
          <w:bCs/>
          <w:color w:val="0046AD"/>
          <w:sz w:val="20"/>
          <w:szCs w:val="20"/>
        </w:rPr>
        <w:t xml:space="preserve">ITEM 9. </w:t>
      </w:r>
      <w:r>
        <w:rPr>
          <w:rFonts w:ascii="Arial" w:eastAsia="Times New Roman" w:hAnsi="Arial" w:cs="Arial"/>
          <w:b/>
          <w:bCs/>
          <w:color w:val="0046AD"/>
          <w:sz w:val="20"/>
          <w:szCs w:val="20"/>
        </w:rPr>
        <w:t>CHANGES IN AND DISAGREEMENTS WITH ACCOUNTANTS ON ACCOUNTING AND FINANCIAL DISCLOSURE.</w:t>
      </w:r>
    </w:p>
    <w:p w14:paraId="2604D756" w14:textId="77777777" w:rsidR="00000000" w:rsidRDefault="001D0688">
      <w:pPr>
        <w:divId w:val="1790540083"/>
        <w:rPr>
          <w:rFonts w:eastAsia="Times New Roman"/>
        </w:rPr>
      </w:pPr>
      <w:r>
        <w:rPr>
          <w:rFonts w:ascii="Arial" w:eastAsia="Times New Roman" w:hAnsi="Arial" w:cs="Arial"/>
          <w:color w:val="000000"/>
          <w:sz w:val="20"/>
          <w:szCs w:val="20"/>
        </w:rPr>
        <w:t>    None.</w:t>
      </w:r>
    </w:p>
    <w:p w14:paraId="22C5BBD6" w14:textId="77777777" w:rsidR="00000000" w:rsidRDefault="001D0688">
      <w:pPr>
        <w:divId w:val="1455053834"/>
        <w:rPr>
          <w:rFonts w:eastAsia="Times New Roman"/>
        </w:rPr>
      </w:pPr>
      <w:r>
        <w:rPr>
          <w:rFonts w:ascii="Arial" w:eastAsia="Times New Roman" w:hAnsi="Arial" w:cs="Arial"/>
          <w:b/>
          <w:bCs/>
          <w:color w:val="0046AD"/>
          <w:sz w:val="20"/>
          <w:szCs w:val="20"/>
        </w:rPr>
        <w:t>ITEM 9A. CONTROLS AND PROCEDURES.</w:t>
      </w:r>
    </w:p>
    <w:p w14:paraId="16C3C00F" w14:textId="77777777" w:rsidR="00000000" w:rsidRDefault="001D0688">
      <w:pPr>
        <w:jc w:val="both"/>
        <w:divId w:val="349337853"/>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14:paraId="6EABC594" w14:textId="77777777" w:rsidR="00000000" w:rsidRDefault="001D0688">
      <w:pPr>
        <w:ind w:firstLine="720"/>
        <w:jc w:val="both"/>
        <w:divId w:val="1030910838"/>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defined in Rules 13a-15(e) and 15d-15(e) of the Exchange Act. Based upon t</w:t>
      </w:r>
      <w:r>
        <w:rPr>
          <w:rFonts w:ascii="Arial" w:eastAsia="Times New Roman" w:hAnsi="Arial" w:cs="Arial"/>
          <w:color w:val="000000"/>
          <w:sz w:val="20"/>
          <w:szCs w:val="20"/>
        </w:rPr>
        <w:t xml:space="preserve">hat evaluation, our Principal Executive Officer and Principal Financial Officer concluded that as of the end of the period covered by this report, our disclosure controls and procedures were effective to ensure that information required to be disclosed by </w:t>
      </w:r>
      <w:r>
        <w:rPr>
          <w:rFonts w:ascii="Arial" w:eastAsia="Times New Roman" w:hAnsi="Arial" w:cs="Arial"/>
          <w:color w:val="000000"/>
          <w:sz w:val="20"/>
          <w:szCs w:val="20"/>
        </w:rPr>
        <w:t>us in reports we file or submit under the Exchange Act is (1) recorded, processed, summarized, and reported within the time periods specified in the rules and forms of the Securities and Exchange Commission, and (2) accumulated and communicated to our mana</w:t>
      </w:r>
      <w:r>
        <w:rPr>
          <w:rFonts w:ascii="Arial" w:eastAsia="Times New Roman" w:hAnsi="Arial" w:cs="Arial"/>
          <w:color w:val="000000"/>
          <w:sz w:val="20"/>
          <w:szCs w:val="20"/>
        </w:rPr>
        <w:t xml:space="preserve">gement, including our Principal Executive Officer and Principal Financial Officer, to allow timely decisions regarding required disclosure. </w:t>
      </w:r>
    </w:p>
    <w:p w14:paraId="4EC7BF91" w14:textId="77777777" w:rsidR="00000000" w:rsidRDefault="001D0688">
      <w:pPr>
        <w:jc w:val="both"/>
        <w:divId w:val="246035219"/>
        <w:rPr>
          <w:rFonts w:eastAsia="Times New Roman"/>
        </w:rPr>
      </w:pPr>
      <w:r>
        <w:rPr>
          <w:rFonts w:ascii="Arial" w:eastAsia="Times New Roman" w:hAnsi="Arial" w:cs="Arial"/>
          <w:b/>
          <w:bCs/>
          <w:color w:val="0046AD"/>
          <w:sz w:val="20"/>
          <w:szCs w:val="20"/>
        </w:rPr>
        <w:t>b. Management’s Report on Internal Control Over Financial Reporting.</w:t>
      </w:r>
      <w:r>
        <w:rPr>
          <w:rFonts w:ascii="Arial" w:eastAsia="Times New Roman" w:hAnsi="Arial" w:cs="Arial"/>
          <w:color w:val="0046AD"/>
          <w:sz w:val="20"/>
          <w:szCs w:val="20"/>
        </w:rPr>
        <w:t xml:space="preserve"> </w:t>
      </w:r>
    </w:p>
    <w:p w14:paraId="600D00CE" w14:textId="77777777" w:rsidR="00000000" w:rsidRDefault="001D0688">
      <w:pPr>
        <w:ind w:firstLine="720"/>
        <w:jc w:val="both"/>
        <w:divId w:val="1912079471"/>
        <w:rPr>
          <w:rFonts w:eastAsia="Times New Roman"/>
        </w:rPr>
      </w:pPr>
      <w:r>
        <w:rPr>
          <w:rFonts w:ascii="Arial" w:eastAsia="Times New Roman" w:hAnsi="Arial" w:cs="Arial"/>
          <w:color w:val="000000"/>
          <w:sz w:val="20"/>
          <w:szCs w:val="20"/>
        </w:rPr>
        <w:t>Our management is responsible for establishin</w:t>
      </w:r>
      <w:r>
        <w:rPr>
          <w:rFonts w:ascii="Arial" w:eastAsia="Times New Roman" w:hAnsi="Arial" w:cs="Arial"/>
          <w:color w:val="000000"/>
          <w:sz w:val="20"/>
          <w:szCs w:val="20"/>
        </w:rPr>
        <w:t>g and maintaining adequate internal control over financial reporting, as such term is defined in Rules 13a-15(f) and 15d-15(f) of the Exchange Act. Under the supervision and with the participation of our management, including our Principal Executive Office</w:t>
      </w:r>
      <w:r>
        <w:rPr>
          <w:rFonts w:ascii="Arial" w:eastAsia="Times New Roman" w:hAnsi="Arial" w:cs="Arial"/>
          <w:color w:val="000000"/>
          <w:sz w:val="20"/>
          <w:szCs w:val="20"/>
        </w:rPr>
        <w:t>r and Principal Financial Officer, we conducted an evaluation of the effectiveness of our internal control over financial reporting based upon the framework in Internal Control – Integrated Framework (2013), issued by the Committee of Sponsoring Organizati</w:t>
      </w:r>
      <w:r>
        <w:rPr>
          <w:rFonts w:ascii="Arial" w:eastAsia="Times New Roman" w:hAnsi="Arial" w:cs="Arial"/>
          <w:color w:val="000000"/>
          <w:sz w:val="20"/>
          <w:szCs w:val="20"/>
        </w:rPr>
        <w:t>ons of the Treadway Commission. Based on that evaluation, our management concluded that our internal control over financial reporting was effective as of October 31, 2020.</w:t>
      </w:r>
    </w:p>
    <w:p w14:paraId="6DE4C496" w14:textId="77777777" w:rsidR="00000000" w:rsidRDefault="001D0688">
      <w:pPr>
        <w:jc w:val="both"/>
        <w:divId w:val="355082486"/>
        <w:rPr>
          <w:rFonts w:eastAsia="Times New Roman"/>
        </w:rPr>
      </w:pPr>
      <w:r>
        <w:rPr>
          <w:rFonts w:ascii="Arial" w:eastAsia="Times New Roman" w:hAnsi="Arial" w:cs="Arial"/>
          <w:b/>
          <w:bCs/>
          <w:i/>
          <w:iCs/>
          <w:color w:val="0046AD"/>
          <w:sz w:val="20"/>
          <w:szCs w:val="20"/>
        </w:rPr>
        <w:t xml:space="preserve">Audit Report on Internal Controls over Financial Reporting of the Registered Public </w:t>
      </w:r>
      <w:r>
        <w:rPr>
          <w:rFonts w:ascii="Arial" w:eastAsia="Times New Roman" w:hAnsi="Arial" w:cs="Arial"/>
          <w:b/>
          <w:bCs/>
          <w:i/>
          <w:iCs/>
          <w:color w:val="0046AD"/>
          <w:sz w:val="20"/>
          <w:szCs w:val="20"/>
        </w:rPr>
        <w:t>Accounting Firm</w:t>
      </w:r>
    </w:p>
    <w:p w14:paraId="7C56A1F4" w14:textId="77777777" w:rsidR="00000000" w:rsidRDefault="001D0688">
      <w:pPr>
        <w:ind w:firstLine="720"/>
        <w:jc w:val="both"/>
        <w:divId w:val="2136827781"/>
        <w:rPr>
          <w:rFonts w:eastAsia="Times New Roman"/>
        </w:rPr>
      </w:pPr>
      <w:r>
        <w:rPr>
          <w:rFonts w:ascii="Arial" w:eastAsia="Times New Roman" w:hAnsi="Arial" w:cs="Arial"/>
          <w:color w:val="000000"/>
          <w:sz w:val="20"/>
          <w:szCs w:val="20"/>
        </w:rPr>
        <w:t>KPMG LLP, an independent registered public accounting firm, has audited the consolidated financial statements included in this Annual Report on Form 10-K and, as part of their audit, has issued their report, included herein, on the effectiv</w:t>
      </w:r>
      <w:r>
        <w:rPr>
          <w:rFonts w:ascii="Arial" w:eastAsia="Times New Roman" w:hAnsi="Arial" w:cs="Arial"/>
          <w:color w:val="000000"/>
          <w:sz w:val="20"/>
          <w:szCs w:val="20"/>
        </w:rPr>
        <w:t>eness of our internal control over financial reporting.</w:t>
      </w:r>
    </w:p>
    <w:p w14:paraId="22900A66" w14:textId="77777777" w:rsidR="00000000" w:rsidRDefault="001D0688">
      <w:pPr>
        <w:jc w:val="both"/>
        <w:divId w:val="1985432230"/>
        <w:rPr>
          <w:rFonts w:eastAsia="Times New Roman"/>
        </w:rPr>
      </w:pPr>
      <w:r>
        <w:rPr>
          <w:rFonts w:ascii="Arial" w:eastAsia="Times New Roman" w:hAnsi="Arial" w:cs="Arial"/>
          <w:b/>
          <w:bCs/>
          <w:color w:val="0046AD"/>
          <w:sz w:val="20"/>
          <w:szCs w:val="20"/>
        </w:rPr>
        <w:t>c. Changes in Internal Control Over Financial Reporting.</w:t>
      </w:r>
      <w:r>
        <w:rPr>
          <w:rFonts w:ascii="Arial" w:eastAsia="Times New Roman" w:hAnsi="Arial" w:cs="Arial"/>
          <w:color w:val="0046AD"/>
          <w:sz w:val="20"/>
          <w:szCs w:val="20"/>
        </w:rPr>
        <w:t xml:space="preserve"> </w:t>
      </w:r>
    </w:p>
    <w:p w14:paraId="0AEBAF2B" w14:textId="77777777" w:rsidR="00000000" w:rsidRDefault="001D0688">
      <w:pPr>
        <w:ind w:firstLine="720"/>
        <w:jc w:val="both"/>
        <w:divId w:val="1402874922"/>
        <w:rPr>
          <w:rFonts w:eastAsia="Times New Roman"/>
        </w:rPr>
      </w:pPr>
      <w:r>
        <w:rPr>
          <w:rFonts w:ascii="Arial" w:eastAsia="Times New Roman" w:hAnsi="Arial" w:cs="Arial"/>
          <w:color w:val="000000"/>
          <w:sz w:val="20"/>
          <w:szCs w:val="20"/>
        </w:rPr>
        <w:t>To support the growth of our financial shared service capabilities and standardize our financial systems, we continue to update several key pl</w:t>
      </w:r>
      <w:r>
        <w:rPr>
          <w:rFonts w:ascii="Arial" w:eastAsia="Times New Roman" w:hAnsi="Arial" w:cs="Arial"/>
          <w:color w:val="000000"/>
          <w:sz w:val="20"/>
          <w:szCs w:val="20"/>
        </w:rPr>
        <w:t>atforms, including our HR information systems, enterprise resource planning system, and labor management system. The implementation of several key platforms involves changes in the systems that include internal controls. Although some of the transitions ha</w:t>
      </w:r>
      <w:r>
        <w:rPr>
          <w:rFonts w:ascii="Arial" w:eastAsia="Times New Roman" w:hAnsi="Arial" w:cs="Arial"/>
          <w:color w:val="000000"/>
          <w:sz w:val="20"/>
          <w:szCs w:val="20"/>
        </w:rPr>
        <w:t xml:space="preserve">ve proceeded to date without material adverse effects, the possibility exists that they could adversely affect our internal controls over financial reporting and procedures. </w:t>
      </w:r>
    </w:p>
    <w:p w14:paraId="0EABBC5F" w14:textId="77777777" w:rsidR="00000000" w:rsidRDefault="001D0688">
      <w:pPr>
        <w:ind w:firstLine="720"/>
        <w:jc w:val="both"/>
        <w:divId w:val="1834369370"/>
        <w:rPr>
          <w:rFonts w:eastAsia="Times New Roman"/>
        </w:rPr>
      </w:pPr>
      <w:r>
        <w:rPr>
          <w:rFonts w:ascii="Arial" w:eastAsia="Times New Roman" w:hAnsi="Arial" w:cs="Arial"/>
          <w:color w:val="000000"/>
          <w:sz w:val="20"/>
          <w:szCs w:val="20"/>
        </w:rPr>
        <w:t>There were no other changes in our internal control over financial reporting duri</w:t>
      </w:r>
      <w:r>
        <w:rPr>
          <w:rFonts w:ascii="Arial" w:eastAsia="Times New Roman" w:hAnsi="Arial" w:cs="Arial"/>
          <w:color w:val="000000"/>
          <w:sz w:val="20"/>
          <w:szCs w:val="20"/>
        </w:rPr>
        <w:t>ng the fiscal year 2020 identified in connection with the evaluation required by Rules 13a-15(d) and 15d-15(d) of the Exchange Act that has materially affected, or is reasonably likely to materially affect, our internal control over financial reporting. As</w:t>
      </w:r>
      <w:r>
        <w:rPr>
          <w:rFonts w:ascii="Arial" w:eastAsia="Times New Roman" w:hAnsi="Arial" w:cs="Arial"/>
          <w:color w:val="000000"/>
          <w:sz w:val="20"/>
          <w:szCs w:val="20"/>
        </w:rPr>
        <w:t xml:space="preserve"> a result of the Pandemic, many of our office-based employees began working remotely in March 2020. This change to the working environment did not have a material effect on our internal controls over financial reporting during the fiscal year 2020. We are </w:t>
      </w:r>
      <w:r>
        <w:rPr>
          <w:rFonts w:ascii="Arial" w:eastAsia="Times New Roman" w:hAnsi="Arial" w:cs="Arial"/>
          <w:color w:val="000000"/>
          <w:sz w:val="20"/>
          <w:szCs w:val="20"/>
        </w:rPr>
        <w:t>continually monitoring and assessing the impact of the Pandemic and the resulting changes to our working environment on our internal controls over financial reporting.</w:t>
      </w:r>
    </w:p>
    <w:p w14:paraId="6D664161" w14:textId="77777777" w:rsidR="00000000" w:rsidRDefault="001D0688">
      <w:pPr>
        <w:divId w:val="1197543476"/>
        <w:rPr>
          <w:rFonts w:eastAsia="Times New Roman"/>
        </w:rPr>
      </w:pPr>
      <w:r>
        <w:rPr>
          <w:rFonts w:ascii="Arial" w:eastAsia="Times New Roman" w:hAnsi="Arial" w:cs="Arial"/>
          <w:b/>
          <w:bCs/>
          <w:color w:val="0046AD"/>
          <w:sz w:val="20"/>
          <w:szCs w:val="20"/>
        </w:rPr>
        <w:t>ITEM 9B. OTHER INFORMATION.</w:t>
      </w:r>
    </w:p>
    <w:p w14:paraId="06E72146" w14:textId="77777777" w:rsidR="00000000" w:rsidRDefault="001D0688">
      <w:pPr>
        <w:ind w:firstLine="720"/>
        <w:jc w:val="both"/>
        <w:divId w:val="347948212"/>
        <w:rPr>
          <w:rFonts w:eastAsia="Times New Roman"/>
        </w:rPr>
      </w:pPr>
      <w:r>
        <w:rPr>
          <w:rFonts w:ascii="Arial" w:eastAsia="Times New Roman" w:hAnsi="Arial" w:cs="Arial"/>
          <w:color w:val="000000"/>
          <w:sz w:val="20"/>
          <w:szCs w:val="20"/>
        </w:rPr>
        <w:t>Not applicable.</w:t>
      </w:r>
    </w:p>
    <w:p w14:paraId="6BF437CB" w14:textId="77777777" w:rsidR="00000000" w:rsidRDefault="001D0688">
      <w:pPr>
        <w:jc w:val="center"/>
        <w:divId w:val="1516846725"/>
        <w:rPr>
          <w:rFonts w:eastAsia="Times New Roman"/>
        </w:rPr>
      </w:pPr>
      <w:r>
        <w:rPr>
          <w:rFonts w:ascii="Arial" w:eastAsia="Times New Roman" w:hAnsi="Arial" w:cs="Arial"/>
          <w:color w:val="000000"/>
          <w:sz w:val="20"/>
          <w:szCs w:val="20"/>
        </w:rPr>
        <w:t>97</w:t>
      </w:r>
    </w:p>
    <w:p w14:paraId="130D5DE3" w14:textId="77777777" w:rsidR="00000000" w:rsidRDefault="001D0688">
      <w:pPr>
        <w:rPr>
          <w:rFonts w:eastAsia="Times New Roman"/>
        </w:rPr>
      </w:pPr>
      <w:r>
        <w:rPr>
          <w:rFonts w:eastAsia="Times New Roman"/>
        </w:rPr>
        <w:pict w14:anchorId="41ED5D43">
          <v:rect id="_x0000_i1134" style="width:0;height:1.5pt" o:hralign="center" o:hrstd="t" o:hr="t" fillcolor="#a0a0a0" stroked="f"/>
        </w:pict>
      </w:r>
    </w:p>
    <w:p w14:paraId="02D779C0" w14:textId="77777777" w:rsidR="00000000" w:rsidRDefault="001D0688">
      <w:pPr>
        <w:divId w:val="2023048349"/>
        <w:rPr>
          <w:rFonts w:eastAsia="Times New Roman"/>
        </w:rPr>
      </w:pPr>
    </w:p>
    <w:p w14:paraId="1F667BA4" w14:textId="77777777" w:rsidR="00000000" w:rsidRDefault="001D0688">
      <w:pPr>
        <w:jc w:val="center"/>
        <w:divId w:val="935795758"/>
        <w:rPr>
          <w:rFonts w:eastAsia="Times New Roman"/>
        </w:rPr>
      </w:pPr>
      <w:r>
        <w:rPr>
          <w:rFonts w:ascii="Arial" w:eastAsia="Times New Roman" w:hAnsi="Arial" w:cs="Arial"/>
          <w:b/>
          <w:bCs/>
          <w:color w:val="0046AD"/>
          <w:sz w:val="20"/>
          <w:szCs w:val="20"/>
        </w:rPr>
        <w:t>PART III</w:t>
      </w:r>
    </w:p>
    <w:p w14:paraId="39A20199" w14:textId="77777777" w:rsidR="00000000" w:rsidRDefault="001D0688">
      <w:pPr>
        <w:divId w:val="686905804"/>
        <w:rPr>
          <w:rFonts w:eastAsia="Times New Roman"/>
        </w:rPr>
      </w:pPr>
      <w:r>
        <w:rPr>
          <w:rFonts w:ascii="Arial" w:eastAsia="Times New Roman" w:hAnsi="Arial" w:cs="Arial"/>
          <w:b/>
          <w:bCs/>
          <w:color w:val="0046AD"/>
          <w:sz w:val="20"/>
          <w:szCs w:val="20"/>
        </w:rPr>
        <w:t>ITEM 10. DIRECTORS, EXECUTIVE OFFICERS AND CORPORATE GOVERNANCE.</w:t>
      </w:r>
    </w:p>
    <w:p w14:paraId="17240BD9" w14:textId="77777777" w:rsidR="00000000" w:rsidRDefault="001D0688">
      <w:pPr>
        <w:ind w:firstLine="720"/>
        <w:jc w:val="both"/>
        <w:divId w:val="453209702"/>
        <w:rPr>
          <w:rFonts w:eastAsia="Times New Roman"/>
        </w:rPr>
      </w:pPr>
      <w:r>
        <w:rPr>
          <w:rFonts w:ascii="Arial" w:eastAsia="Times New Roman" w:hAnsi="Arial" w:cs="Arial"/>
          <w:color w:val="000000"/>
          <w:sz w:val="20"/>
          <w:szCs w:val="20"/>
        </w:rPr>
        <w:t>Information about our executive officers is found in Part I, Item 1 of this Annual Report on Form 10-K under “Executive Officers of Registrant.”</w:t>
      </w:r>
      <w:r>
        <w:rPr>
          <w:rFonts w:ascii="Arial" w:eastAsia="Times New Roman" w:hAnsi="Arial" w:cs="Arial"/>
          <w:color w:val="000000"/>
          <w:sz w:val="20"/>
          <w:szCs w:val="20"/>
        </w:rPr>
        <w:t xml:space="preserve"> Additional information required by this Item will be set forth under the captions “Proposal No. 1—Election of Directors,” “Corporate Governance and Board Matters,” and “Audit-Related Matters” in our Definitive Proxy Statement for our 2021 Annual Meeting o</w:t>
      </w:r>
      <w:r>
        <w:rPr>
          <w:rFonts w:ascii="Arial" w:eastAsia="Times New Roman" w:hAnsi="Arial" w:cs="Arial"/>
          <w:color w:val="000000"/>
          <w:sz w:val="20"/>
          <w:szCs w:val="20"/>
        </w:rPr>
        <w:t xml:space="preserve">f Stockholders (the “2021 Proxy Statement”). Such information is incorporated herein by reference. Our 2021 Proxy Statement will be filed with the Securities and Exchange Commission within 120 days after the conclusion of our fiscal year ended October 31, </w:t>
      </w:r>
      <w:r>
        <w:rPr>
          <w:rFonts w:ascii="Arial" w:eastAsia="Times New Roman" w:hAnsi="Arial" w:cs="Arial"/>
          <w:color w:val="000000"/>
          <w:sz w:val="20"/>
          <w:szCs w:val="20"/>
        </w:rPr>
        <w:t>2020.</w:t>
      </w:r>
    </w:p>
    <w:p w14:paraId="5CE73F53" w14:textId="77777777" w:rsidR="00000000" w:rsidRDefault="001D0688">
      <w:pPr>
        <w:ind w:firstLine="720"/>
        <w:jc w:val="both"/>
        <w:divId w:val="2029209997"/>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shd w:val="clear" w:color="auto" w:fill="FFFFFF"/>
        </w:rPr>
        <w:t>n April 13, 2020, w</w:t>
      </w:r>
      <w:r>
        <w:rPr>
          <w:rFonts w:ascii="Arial" w:eastAsia="Times New Roman" w:hAnsi="Arial" w:cs="Arial"/>
          <w:color w:val="000000"/>
          <w:sz w:val="20"/>
          <w:szCs w:val="20"/>
        </w:rPr>
        <w:t>e filed our Annual CEO Certification as required by Section 303A.12 of the NYSE Listed Company Manual.</w:t>
      </w:r>
    </w:p>
    <w:p w14:paraId="2E753589" w14:textId="77777777" w:rsidR="00000000" w:rsidRDefault="001D0688">
      <w:pPr>
        <w:jc w:val="both"/>
        <w:divId w:val="879172728"/>
        <w:rPr>
          <w:rFonts w:eastAsia="Times New Roman"/>
        </w:rPr>
      </w:pPr>
      <w:r>
        <w:rPr>
          <w:rFonts w:ascii="Arial" w:eastAsia="Times New Roman" w:hAnsi="Arial" w:cs="Arial"/>
          <w:b/>
          <w:bCs/>
          <w:color w:val="0046AD"/>
          <w:sz w:val="20"/>
          <w:szCs w:val="20"/>
        </w:rPr>
        <w:t>Code of Business Conduct</w:t>
      </w:r>
    </w:p>
    <w:p w14:paraId="61938F33" w14:textId="77777777" w:rsidR="00000000" w:rsidRDefault="001D0688">
      <w:pPr>
        <w:ind w:firstLine="720"/>
        <w:jc w:val="both"/>
        <w:divId w:val="1245412799"/>
        <w:rPr>
          <w:rFonts w:eastAsia="Times New Roman"/>
        </w:rPr>
      </w:pPr>
      <w:r>
        <w:rPr>
          <w:rFonts w:ascii="Arial" w:eastAsia="Times New Roman" w:hAnsi="Arial" w:cs="Arial"/>
          <w:color w:val="000000"/>
          <w:sz w:val="20"/>
          <w:szCs w:val="20"/>
        </w:rPr>
        <w:t xml:space="preserve">We have adopted and posted on our website (www.abm.com) the ABM Code of Business Conduct. Our Code of </w:t>
      </w:r>
      <w:r>
        <w:rPr>
          <w:rFonts w:ascii="Arial" w:eastAsia="Times New Roman" w:hAnsi="Arial" w:cs="Arial"/>
          <w:color w:val="000000"/>
          <w:sz w:val="20"/>
          <w:szCs w:val="20"/>
        </w:rPr>
        <w:t>Business Conduct qualifies as a “code of ethics” within the meaning of Item 406 of Regulation S-K. Our Code of Business Conduct applies to all of our directors, officers, and employees, including our Principal Executive Officer, Principal Financial Officer</w:t>
      </w:r>
      <w:r>
        <w:rPr>
          <w:rFonts w:ascii="Arial" w:eastAsia="Times New Roman" w:hAnsi="Arial" w:cs="Arial"/>
          <w:color w:val="000000"/>
          <w:sz w:val="20"/>
          <w:szCs w:val="20"/>
        </w:rPr>
        <w:t>, and Principal Accounting Officer. If any amendments are made to the Code of Business Conduct or if any waiver, including any implicit waiver, from a provision of the Code of Business Conduct is granted to our Principal Executive Officer, Principal Financ</w:t>
      </w:r>
      <w:r>
        <w:rPr>
          <w:rFonts w:ascii="Arial" w:eastAsia="Times New Roman" w:hAnsi="Arial" w:cs="Arial"/>
          <w:color w:val="000000"/>
          <w:sz w:val="20"/>
          <w:szCs w:val="20"/>
        </w:rPr>
        <w:t xml:space="preserve">ial Officer, or Principal Accounting Officer, we will disclose the nature of such amendment or waiver on our website at the address specified above. </w:t>
      </w:r>
    </w:p>
    <w:p w14:paraId="74E98DD6" w14:textId="77777777" w:rsidR="00000000" w:rsidRDefault="001D0688">
      <w:pPr>
        <w:divId w:val="674068450"/>
        <w:rPr>
          <w:rFonts w:eastAsia="Times New Roman"/>
        </w:rPr>
      </w:pPr>
      <w:r>
        <w:rPr>
          <w:rFonts w:ascii="Arial" w:eastAsia="Times New Roman" w:hAnsi="Arial" w:cs="Arial"/>
          <w:b/>
          <w:bCs/>
          <w:color w:val="0046AD"/>
          <w:sz w:val="20"/>
          <w:szCs w:val="20"/>
        </w:rPr>
        <w:t>ITEM 11. EXECUTIVE COMPENSATION.</w:t>
      </w:r>
    </w:p>
    <w:p w14:paraId="3EF343AD" w14:textId="77777777" w:rsidR="00000000" w:rsidRDefault="001D0688">
      <w:pPr>
        <w:ind w:firstLine="720"/>
        <w:jc w:val="both"/>
        <w:divId w:val="855122543"/>
        <w:rPr>
          <w:rFonts w:eastAsia="Times New Roman"/>
        </w:rPr>
      </w:pPr>
      <w:r>
        <w:rPr>
          <w:rFonts w:ascii="Arial" w:eastAsia="Times New Roman" w:hAnsi="Arial" w:cs="Arial"/>
          <w:color w:val="000000"/>
          <w:sz w:val="20"/>
          <w:szCs w:val="20"/>
        </w:rPr>
        <w:t xml:space="preserve">Information with respect to executive compensation required by this Item </w:t>
      </w:r>
      <w:r>
        <w:rPr>
          <w:rFonts w:ascii="Arial" w:eastAsia="Times New Roman" w:hAnsi="Arial" w:cs="Arial"/>
          <w:color w:val="000000"/>
          <w:sz w:val="20"/>
          <w:szCs w:val="20"/>
        </w:rPr>
        <w:t>will be set forth under the captions “Director Compensation for Fiscal Year 2020,” “Executive Compensation,” and “Corporate Governance and Board Matters—Compensation Committee Interlocks and Insider Participation” in our 2021 Proxy Statement and is incorpo</w:t>
      </w:r>
      <w:r>
        <w:rPr>
          <w:rFonts w:ascii="Arial" w:eastAsia="Times New Roman" w:hAnsi="Arial" w:cs="Arial"/>
          <w:color w:val="000000"/>
          <w:sz w:val="20"/>
          <w:szCs w:val="20"/>
        </w:rPr>
        <w:t>rated herein by reference.</w:t>
      </w:r>
    </w:p>
    <w:p w14:paraId="15782449" w14:textId="77777777" w:rsidR="00000000" w:rsidRDefault="001D0688">
      <w:pPr>
        <w:divId w:val="10880899"/>
        <w:rPr>
          <w:rFonts w:eastAsia="Times New Roman"/>
        </w:rPr>
      </w:pPr>
      <w:r>
        <w:rPr>
          <w:rFonts w:ascii="Arial" w:eastAsia="Times New Roman" w:hAnsi="Arial" w:cs="Arial"/>
          <w:b/>
          <w:bCs/>
          <w:color w:val="0046AD"/>
          <w:sz w:val="20"/>
          <w:szCs w:val="20"/>
        </w:rPr>
        <w:t>ITEM 12. SECURITY OWNERSHIP OF CERTAIN BENEFICIAL OWNERS AND MANAGEMENT AND RELATED STOCKHOLDER MATTERS.</w:t>
      </w:r>
    </w:p>
    <w:p w14:paraId="3D14AF3B" w14:textId="77777777" w:rsidR="00000000" w:rsidRDefault="001D0688">
      <w:pPr>
        <w:ind w:firstLine="720"/>
        <w:jc w:val="both"/>
        <w:divId w:val="900557417"/>
        <w:rPr>
          <w:rFonts w:eastAsia="Times New Roman"/>
        </w:rPr>
      </w:pPr>
      <w:r>
        <w:rPr>
          <w:rFonts w:ascii="Arial" w:eastAsia="Times New Roman" w:hAnsi="Arial" w:cs="Arial"/>
          <w:color w:val="000000"/>
          <w:sz w:val="20"/>
          <w:szCs w:val="20"/>
        </w:rPr>
        <w:t>Information with respect to security ownership of certain beneficial owners and management and equity compensation plan info</w:t>
      </w:r>
      <w:r>
        <w:rPr>
          <w:rFonts w:ascii="Arial" w:eastAsia="Times New Roman" w:hAnsi="Arial" w:cs="Arial"/>
          <w:color w:val="000000"/>
          <w:sz w:val="20"/>
          <w:szCs w:val="20"/>
        </w:rPr>
        <w:t>rmation and related stockholder matters required by this Item will be set forth under the captions “General Information—Security Ownership of Certain Beneficial Owners,” “General Information—Security Ownership of Directors and Executive Officers,” and “Gen</w:t>
      </w:r>
      <w:r>
        <w:rPr>
          <w:rFonts w:ascii="Arial" w:eastAsia="Times New Roman" w:hAnsi="Arial" w:cs="Arial"/>
          <w:color w:val="000000"/>
          <w:sz w:val="20"/>
          <w:szCs w:val="20"/>
        </w:rPr>
        <w:t>eral Information—Equity Compensation Plan Information” in our 2021 Proxy Statement and is incorporated herein by reference.</w:t>
      </w:r>
    </w:p>
    <w:p w14:paraId="5D933270" w14:textId="77777777" w:rsidR="00000000" w:rsidRDefault="001D0688">
      <w:pPr>
        <w:divId w:val="1739326606"/>
        <w:rPr>
          <w:rFonts w:eastAsia="Times New Roman"/>
        </w:rPr>
      </w:pPr>
      <w:r>
        <w:rPr>
          <w:rFonts w:ascii="Arial" w:eastAsia="Times New Roman" w:hAnsi="Arial" w:cs="Arial"/>
          <w:b/>
          <w:bCs/>
          <w:color w:val="0046AD"/>
          <w:sz w:val="20"/>
          <w:szCs w:val="20"/>
        </w:rPr>
        <w:t>ITEM 13. CERTAIN RELATIONSHIPS AND RELATED TRANSACTIONS, AND DIRECTOR INDEPENDENCE.</w:t>
      </w:r>
    </w:p>
    <w:p w14:paraId="7302E1E1" w14:textId="77777777" w:rsidR="00000000" w:rsidRDefault="001D0688">
      <w:pPr>
        <w:ind w:firstLine="720"/>
        <w:jc w:val="both"/>
        <w:divId w:val="925042154"/>
        <w:rPr>
          <w:rFonts w:eastAsia="Times New Roman"/>
        </w:rPr>
      </w:pPr>
      <w:r>
        <w:rPr>
          <w:rFonts w:ascii="Arial" w:eastAsia="Times New Roman" w:hAnsi="Arial" w:cs="Arial"/>
          <w:color w:val="000000"/>
          <w:sz w:val="20"/>
          <w:szCs w:val="20"/>
        </w:rPr>
        <w:t>Information with respect to certain relationship</w:t>
      </w:r>
      <w:r>
        <w:rPr>
          <w:rFonts w:ascii="Arial" w:eastAsia="Times New Roman" w:hAnsi="Arial" w:cs="Arial"/>
          <w:color w:val="000000"/>
          <w:sz w:val="20"/>
          <w:szCs w:val="20"/>
        </w:rPr>
        <w:t>s and related transactions and with respect to director independence required by this Item will be set forth under the captions “General Information—Certain Relationships and Transactions with Related Persons” and “Corporate Governance and Board Matters” i</w:t>
      </w:r>
      <w:r>
        <w:rPr>
          <w:rFonts w:ascii="Arial" w:eastAsia="Times New Roman" w:hAnsi="Arial" w:cs="Arial"/>
          <w:color w:val="000000"/>
          <w:sz w:val="20"/>
          <w:szCs w:val="20"/>
        </w:rPr>
        <w:t>n our 2021 Proxy Statement and is incorporated herein by reference.</w:t>
      </w:r>
    </w:p>
    <w:p w14:paraId="50A063DB" w14:textId="77777777" w:rsidR="00000000" w:rsidRDefault="001D0688">
      <w:pPr>
        <w:divId w:val="1585141424"/>
        <w:rPr>
          <w:rFonts w:eastAsia="Times New Roman"/>
        </w:rPr>
      </w:pPr>
      <w:r>
        <w:rPr>
          <w:rFonts w:ascii="Arial" w:eastAsia="Times New Roman" w:hAnsi="Arial" w:cs="Arial"/>
          <w:b/>
          <w:bCs/>
          <w:color w:val="0046AD"/>
          <w:sz w:val="20"/>
          <w:szCs w:val="20"/>
        </w:rPr>
        <w:t>ITEM 14. PRINCIPAL ACCOUNTING FEES AND SERVICES.</w:t>
      </w:r>
    </w:p>
    <w:p w14:paraId="3423B0C9" w14:textId="77777777" w:rsidR="00000000" w:rsidRDefault="001D0688">
      <w:pPr>
        <w:ind w:firstLine="720"/>
        <w:jc w:val="both"/>
        <w:divId w:val="1005402253"/>
        <w:rPr>
          <w:rFonts w:eastAsia="Times New Roman"/>
        </w:rPr>
      </w:pPr>
      <w:r>
        <w:rPr>
          <w:rFonts w:ascii="Arial" w:eastAsia="Times New Roman" w:hAnsi="Arial" w:cs="Arial"/>
          <w:color w:val="000000"/>
          <w:sz w:val="20"/>
          <w:szCs w:val="20"/>
        </w:rPr>
        <w:t>Information with respect to our Audit Committee’s pre-approval policy for audit services and our principal accounting fees and services req</w:t>
      </w:r>
      <w:r>
        <w:rPr>
          <w:rFonts w:ascii="Arial" w:eastAsia="Times New Roman" w:hAnsi="Arial" w:cs="Arial"/>
          <w:color w:val="000000"/>
          <w:sz w:val="20"/>
          <w:szCs w:val="20"/>
        </w:rPr>
        <w:t>uired by this Item will be set forth under the caption “Audit-Related Matters” in our 2021 Proxy Statement and is incorporated herein by reference.</w:t>
      </w:r>
    </w:p>
    <w:p w14:paraId="5841DBE5" w14:textId="77777777" w:rsidR="00000000" w:rsidRDefault="001D0688">
      <w:pPr>
        <w:jc w:val="center"/>
        <w:divId w:val="103115349"/>
        <w:rPr>
          <w:rFonts w:eastAsia="Times New Roman"/>
        </w:rPr>
      </w:pPr>
      <w:r>
        <w:rPr>
          <w:rFonts w:ascii="Arial" w:eastAsia="Times New Roman" w:hAnsi="Arial" w:cs="Arial"/>
          <w:color w:val="000000"/>
          <w:sz w:val="20"/>
          <w:szCs w:val="20"/>
        </w:rPr>
        <w:t>98</w:t>
      </w:r>
    </w:p>
    <w:p w14:paraId="719DC7F7" w14:textId="77777777" w:rsidR="00000000" w:rsidRDefault="001D0688">
      <w:pPr>
        <w:rPr>
          <w:rFonts w:eastAsia="Times New Roman"/>
        </w:rPr>
      </w:pPr>
      <w:r>
        <w:rPr>
          <w:rFonts w:eastAsia="Times New Roman"/>
        </w:rPr>
        <w:pict w14:anchorId="4A1F9F51">
          <v:rect id="_x0000_i1135" style="width:0;height:1.5pt" o:hralign="center" o:hrstd="t" o:hr="t" fillcolor="#a0a0a0" stroked="f"/>
        </w:pict>
      </w:r>
    </w:p>
    <w:p w14:paraId="4D0D3E86" w14:textId="77777777" w:rsidR="00000000" w:rsidRDefault="001D0688">
      <w:pPr>
        <w:divId w:val="101075476"/>
        <w:rPr>
          <w:rFonts w:eastAsia="Times New Roman"/>
        </w:rPr>
      </w:pPr>
    </w:p>
    <w:p w14:paraId="102474D2" w14:textId="77777777" w:rsidR="00000000" w:rsidRDefault="001D0688">
      <w:pPr>
        <w:jc w:val="center"/>
        <w:divId w:val="1643459000"/>
        <w:rPr>
          <w:rFonts w:eastAsia="Times New Roman"/>
        </w:rPr>
      </w:pPr>
      <w:r>
        <w:rPr>
          <w:rFonts w:ascii="Arial" w:eastAsia="Times New Roman" w:hAnsi="Arial" w:cs="Arial"/>
          <w:b/>
          <w:bCs/>
          <w:color w:val="0046AD"/>
          <w:sz w:val="20"/>
          <w:szCs w:val="20"/>
        </w:rPr>
        <w:t>PART IV</w:t>
      </w:r>
      <w:r>
        <w:rPr>
          <w:rFonts w:ascii="Arial" w:eastAsia="Times New Roman" w:hAnsi="Arial" w:cs="Arial"/>
          <w:color w:val="0046AD"/>
          <w:sz w:val="16"/>
          <w:szCs w:val="16"/>
        </w:rPr>
        <w:t> </w:t>
      </w:r>
    </w:p>
    <w:p w14:paraId="61A26378" w14:textId="77777777" w:rsidR="00000000" w:rsidRDefault="001D0688">
      <w:pPr>
        <w:divId w:val="1956255642"/>
        <w:rPr>
          <w:rFonts w:eastAsia="Times New Roman"/>
        </w:rPr>
      </w:pPr>
      <w:r>
        <w:rPr>
          <w:rFonts w:ascii="Arial" w:eastAsia="Times New Roman" w:hAnsi="Arial" w:cs="Arial"/>
          <w:b/>
          <w:bCs/>
          <w:color w:val="0046AD"/>
          <w:sz w:val="20"/>
          <w:szCs w:val="20"/>
        </w:rPr>
        <w:t>ITEM 15. EXHIBITS, FINANCIAL STATEMENT SCHEDULES.</w:t>
      </w:r>
    </w:p>
    <w:p w14:paraId="2DCEE1DD" w14:textId="77777777" w:rsidR="00000000" w:rsidRDefault="001D0688">
      <w:pPr>
        <w:jc w:val="both"/>
        <w:divId w:val="2060744133"/>
        <w:rPr>
          <w:rFonts w:eastAsia="Times New Roman"/>
        </w:rPr>
      </w:pPr>
      <w:r>
        <w:rPr>
          <w:rFonts w:ascii="Arial" w:eastAsia="Times New Roman" w:hAnsi="Arial" w:cs="Arial"/>
          <w:color w:val="000000"/>
          <w:sz w:val="19"/>
          <w:szCs w:val="19"/>
        </w:rPr>
        <w:t>(a)The following documents are filed as part of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7777"/>
        <w:gridCol w:w="37"/>
        <w:gridCol w:w="71"/>
        <w:gridCol w:w="316"/>
        <w:gridCol w:w="36"/>
      </w:tblGrid>
      <w:tr w:rsidR="00000000" w14:paraId="4DA13AE3" w14:textId="77777777">
        <w:trPr>
          <w:divId w:val="916668037"/>
        </w:trPr>
        <w:tc>
          <w:tcPr>
            <w:tcW w:w="50" w:type="pct"/>
            <w:vAlign w:val="center"/>
            <w:hideMark/>
          </w:tcPr>
          <w:p w14:paraId="74BBAB02" w14:textId="77777777" w:rsidR="00000000" w:rsidRDefault="001D0688">
            <w:pPr>
              <w:jc w:val="both"/>
              <w:rPr>
                <w:rFonts w:eastAsia="Times New Roman"/>
              </w:rPr>
            </w:pPr>
          </w:p>
        </w:tc>
        <w:tc>
          <w:tcPr>
            <w:tcW w:w="4689" w:type="pct"/>
            <w:vAlign w:val="center"/>
            <w:hideMark/>
          </w:tcPr>
          <w:p w14:paraId="5E9C4FC1" w14:textId="77777777" w:rsidR="00000000" w:rsidRDefault="001D0688">
            <w:pPr>
              <w:rPr>
                <w:rFonts w:eastAsia="Times New Roman"/>
                <w:sz w:val="20"/>
                <w:szCs w:val="20"/>
              </w:rPr>
            </w:pPr>
          </w:p>
        </w:tc>
        <w:tc>
          <w:tcPr>
            <w:tcW w:w="5" w:type="pct"/>
            <w:vAlign w:val="center"/>
            <w:hideMark/>
          </w:tcPr>
          <w:p w14:paraId="2DAC8BD6" w14:textId="77777777" w:rsidR="00000000" w:rsidRDefault="001D0688">
            <w:pPr>
              <w:rPr>
                <w:rFonts w:eastAsia="Times New Roman"/>
                <w:sz w:val="20"/>
                <w:szCs w:val="20"/>
              </w:rPr>
            </w:pPr>
          </w:p>
        </w:tc>
        <w:tc>
          <w:tcPr>
            <w:tcW w:w="50" w:type="pct"/>
            <w:vAlign w:val="center"/>
            <w:hideMark/>
          </w:tcPr>
          <w:p w14:paraId="4F7D59B9" w14:textId="77777777" w:rsidR="00000000" w:rsidRDefault="001D0688">
            <w:pPr>
              <w:rPr>
                <w:rFonts w:eastAsia="Times New Roman"/>
                <w:sz w:val="20"/>
                <w:szCs w:val="20"/>
              </w:rPr>
            </w:pPr>
          </w:p>
        </w:tc>
        <w:tc>
          <w:tcPr>
            <w:tcW w:w="200" w:type="pct"/>
            <w:vAlign w:val="center"/>
            <w:hideMark/>
          </w:tcPr>
          <w:p w14:paraId="16E7E4E7" w14:textId="77777777" w:rsidR="00000000" w:rsidRDefault="001D0688">
            <w:pPr>
              <w:rPr>
                <w:rFonts w:eastAsia="Times New Roman"/>
                <w:sz w:val="20"/>
                <w:szCs w:val="20"/>
              </w:rPr>
            </w:pPr>
          </w:p>
        </w:tc>
        <w:tc>
          <w:tcPr>
            <w:tcW w:w="5" w:type="pct"/>
            <w:vAlign w:val="center"/>
            <w:hideMark/>
          </w:tcPr>
          <w:p w14:paraId="59452B76" w14:textId="77777777" w:rsidR="00000000" w:rsidRDefault="001D0688">
            <w:pPr>
              <w:rPr>
                <w:rFonts w:eastAsia="Times New Roman"/>
                <w:sz w:val="20"/>
                <w:szCs w:val="20"/>
              </w:rPr>
            </w:pPr>
          </w:p>
        </w:tc>
      </w:tr>
      <w:tr w:rsidR="00000000" w14:paraId="43D79E0B" w14:textId="77777777">
        <w:trPr>
          <w:divId w:val="916668037"/>
        </w:trPr>
        <w:tc>
          <w:tcPr>
            <w:tcW w:w="0" w:type="auto"/>
            <w:gridSpan w:val="3"/>
            <w:shd w:val="clear" w:color="auto" w:fill="DCE2EF"/>
            <w:tcMar>
              <w:top w:w="30" w:type="dxa"/>
              <w:left w:w="20" w:type="dxa"/>
              <w:bottom w:w="30" w:type="dxa"/>
              <w:right w:w="20" w:type="dxa"/>
            </w:tcMar>
            <w:vAlign w:val="bottom"/>
            <w:hideMark/>
          </w:tcPr>
          <w:p w14:paraId="3D5CFB52" w14:textId="77777777" w:rsidR="00000000" w:rsidRDefault="001D0688">
            <w:pPr>
              <w:divId w:val="954335424"/>
              <w:rPr>
                <w:rFonts w:eastAsia="Times New Roman"/>
              </w:rPr>
            </w:pPr>
            <w:r>
              <w:rPr>
                <w:rFonts w:ascii="Arial" w:eastAsia="Times New Roman" w:hAnsi="Arial" w:cs="Arial"/>
                <w:color w:val="000000"/>
                <w:sz w:val="19"/>
                <w:szCs w:val="19"/>
              </w:rPr>
              <w:t>1</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Financial Statements</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Index to Consolidated Financial Statements</w:t>
            </w:r>
          </w:p>
        </w:tc>
        <w:tc>
          <w:tcPr>
            <w:tcW w:w="0" w:type="auto"/>
            <w:gridSpan w:val="3"/>
            <w:shd w:val="clear" w:color="auto" w:fill="DCE2EF"/>
            <w:tcMar>
              <w:top w:w="0" w:type="dxa"/>
              <w:left w:w="20" w:type="dxa"/>
              <w:bottom w:w="0" w:type="dxa"/>
              <w:right w:w="20" w:type="dxa"/>
            </w:tcMar>
            <w:vAlign w:val="center"/>
            <w:hideMark/>
          </w:tcPr>
          <w:p w14:paraId="33223EFF" w14:textId="77777777" w:rsidR="00000000" w:rsidRDefault="001D0688">
            <w:pPr>
              <w:rPr>
                <w:rFonts w:eastAsia="Times New Roman"/>
              </w:rPr>
            </w:pPr>
          </w:p>
        </w:tc>
      </w:tr>
      <w:tr w:rsidR="00000000" w14:paraId="229C2077" w14:textId="77777777">
        <w:trPr>
          <w:divId w:val="916668037"/>
        </w:trPr>
        <w:tc>
          <w:tcPr>
            <w:tcW w:w="0" w:type="auto"/>
            <w:gridSpan w:val="3"/>
            <w:shd w:val="clear" w:color="auto" w:fill="FFFFFF"/>
            <w:tcMar>
              <w:top w:w="30" w:type="dxa"/>
              <w:left w:w="20" w:type="dxa"/>
              <w:bottom w:w="30" w:type="dxa"/>
              <w:right w:w="20" w:type="dxa"/>
            </w:tcMar>
            <w:vAlign w:val="bottom"/>
            <w:hideMark/>
          </w:tcPr>
          <w:p w14:paraId="41D6EAEE" w14:textId="77777777" w:rsidR="00000000" w:rsidRDefault="001D0688">
            <w:pPr>
              <w:divId w:val="1587691471"/>
              <w:rPr>
                <w:rFonts w:eastAsia="Times New Roman"/>
              </w:rPr>
            </w:pPr>
            <w:hyperlink w:anchor="ifefa58cec8564209b9c0a3ca41dbda61_85" w:history="1">
              <w:r>
                <w:rPr>
                  <w:rStyle w:val="a3"/>
                  <w:rFonts w:ascii="Arial" w:eastAsia="Times New Roman" w:hAnsi="Arial" w:cs="Arial"/>
                  <w:sz w:val="19"/>
                  <w:szCs w:val="19"/>
                  <w:u w:val="none"/>
                </w:rPr>
                <w:t>Report of Independent Registered Public Accounting Firm</w:t>
              </w:r>
            </w:hyperlink>
          </w:p>
        </w:tc>
        <w:tc>
          <w:tcPr>
            <w:tcW w:w="0" w:type="auto"/>
            <w:gridSpan w:val="3"/>
            <w:shd w:val="clear" w:color="auto" w:fill="FFFFFF"/>
            <w:tcMar>
              <w:top w:w="30" w:type="dxa"/>
              <w:left w:w="20" w:type="dxa"/>
              <w:bottom w:w="30" w:type="dxa"/>
              <w:right w:w="20" w:type="dxa"/>
            </w:tcMar>
            <w:vAlign w:val="bottom"/>
            <w:hideMark/>
          </w:tcPr>
          <w:p w14:paraId="6CFF8B9E" w14:textId="77777777" w:rsidR="00000000" w:rsidRDefault="001D0688">
            <w:pPr>
              <w:jc w:val="right"/>
              <w:rPr>
                <w:rFonts w:eastAsia="Times New Roman"/>
              </w:rPr>
            </w:pPr>
            <w:hyperlink w:anchor="ifefa58cec8564209b9c0a3ca41dbda61_85" w:history="1">
              <w:r>
                <w:rPr>
                  <w:rStyle w:val="a3"/>
                  <w:rFonts w:ascii="Arial" w:eastAsia="Times New Roman" w:hAnsi="Arial" w:cs="Arial"/>
                  <w:sz w:val="19"/>
                  <w:szCs w:val="19"/>
                </w:rPr>
                <w:t>45</w:t>
              </w:r>
            </w:hyperlink>
          </w:p>
        </w:tc>
      </w:tr>
      <w:tr w:rsidR="00000000" w14:paraId="58FC13A6" w14:textId="77777777">
        <w:trPr>
          <w:divId w:val="916668037"/>
        </w:trPr>
        <w:tc>
          <w:tcPr>
            <w:tcW w:w="0" w:type="auto"/>
            <w:gridSpan w:val="3"/>
            <w:shd w:val="clear" w:color="auto" w:fill="DCE2EF"/>
            <w:tcMar>
              <w:top w:w="30" w:type="dxa"/>
              <w:left w:w="20" w:type="dxa"/>
              <w:bottom w:w="30" w:type="dxa"/>
              <w:right w:w="20" w:type="dxa"/>
            </w:tcMar>
            <w:vAlign w:val="bottom"/>
            <w:hideMark/>
          </w:tcPr>
          <w:p w14:paraId="5A9636A4" w14:textId="77777777" w:rsidR="00000000" w:rsidRDefault="001D0688">
            <w:pPr>
              <w:divId w:val="1976717425"/>
              <w:rPr>
                <w:rFonts w:eastAsia="Times New Roman"/>
              </w:rPr>
            </w:pPr>
            <w:hyperlink w:anchor="ifefa58cec8564209b9c0a3ca41dbda61_88" w:history="1">
              <w:r>
                <w:rPr>
                  <w:rStyle w:val="a3"/>
                  <w:rFonts w:ascii="Arial" w:eastAsia="Times New Roman" w:hAnsi="Arial" w:cs="Arial"/>
                  <w:sz w:val="19"/>
                  <w:szCs w:val="19"/>
                  <w:u w:val="none"/>
                </w:rPr>
                <w:t>Consolidated Balance Sheets at October 31, 20</w:t>
              </w:r>
            </w:hyperlink>
            <w:hyperlink w:anchor="ifefa58cec8564209b9c0a3ca41dbda61_88" w:history="1">
              <w:r>
                <w:rPr>
                  <w:rStyle w:val="a3"/>
                  <w:rFonts w:ascii="Arial" w:eastAsia="Times New Roman" w:hAnsi="Arial" w:cs="Arial"/>
                  <w:sz w:val="19"/>
                  <w:szCs w:val="19"/>
                  <w:u w:val="none"/>
                </w:rPr>
                <w:t>20</w:t>
              </w:r>
            </w:hyperlink>
            <w:hyperlink w:anchor="ifefa58cec8564209b9c0a3ca41dbda61_88" w:history="1">
              <w:r>
                <w:rPr>
                  <w:rStyle w:val="a3"/>
                  <w:rFonts w:ascii="Arial" w:eastAsia="Times New Roman" w:hAnsi="Arial" w:cs="Arial"/>
                  <w:sz w:val="19"/>
                  <w:szCs w:val="19"/>
                  <w:u w:val="none"/>
                </w:rPr>
                <w:t xml:space="preserve"> and </w:t>
              </w:r>
            </w:hyperlink>
            <w:hyperlink w:anchor="ifefa58cec8564209b9c0a3ca41dbda61_88" w:history="1">
              <w:r>
                <w:rPr>
                  <w:rStyle w:val="a3"/>
                  <w:rFonts w:ascii="Arial" w:eastAsia="Times New Roman" w:hAnsi="Arial" w:cs="Arial"/>
                  <w:color w:val="3051F2"/>
                  <w:sz w:val="19"/>
                  <w:szCs w:val="19"/>
                  <w:u w:val="none"/>
                </w:rPr>
                <w:t>20</w:t>
              </w:r>
            </w:hyperlink>
            <w:hyperlink w:anchor="ifefa58cec8564209b9c0a3ca41dbda61_88" w:history="1">
              <w:r>
                <w:rPr>
                  <w:rStyle w:val="a3"/>
                  <w:rFonts w:ascii="Arial" w:eastAsia="Times New Roman" w:hAnsi="Arial" w:cs="Arial"/>
                  <w:color w:val="3051F2"/>
                  <w:sz w:val="19"/>
                  <w:szCs w:val="19"/>
                  <w:u w:val="none"/>
                </w:rPr>
                <w:t>1</w:t>
              </w:r>
            </w:hyperlink>
            <w:r>
              <w:rPr>
                <w:rFonts w:ascii="Arial" w:eastAsia="Times New Roman" w:hAnsi="Arial" w:cs="Arial"/>
                <w:color w:val="3051F2"/>
                <w:sz w:val="19"/>
                <w:szCs w:val="19"/>
              </w:rPr>
              <w:t>9</w:t>
            </w:r>
          </w:p>
        </w:tc>
        <w:tc>
          <w:tcPr>
            <w:tcW w:w="0" w:type="auto"/>
            <w:gridSpan w:val="3"/>
            <w:shd w:val="clear" w:color="auto" w:fill="DCE2EF"/>
            <w:tcMar>
              <w:top w:w="30" w:type="dxa"/>
              <w:left w:w="20" w:type="dxa"/>
              <w:bottom w:w="30" w:type="dxa"/>
              <w:right w:w="20" w:type="dxa"/>
            </w:tcMar>
            <w:vAlign w:val="bottom"/>
            <w:hideMark/>
          </w:tcPr>
          <w:p w14:paraId="4FBB215F" w14:textId="77777777" w:rsidR="00000000" w:rsidRDefault="001D0688">
            <w:pPr>
              <w:jc w:val="right"/>
              <w:rPr>
                <w:rFonts w:eastAsia="Times New Roman"/>
              </w:rPr>
            </w:pPr>
            <w:hyperlink w:anchor="ifefa58cec8564209b9c0a3ca41dbda61_88" w:history="1">
              <w:r>
                <w:rPr>
                  <w:rStyle w:val="a3"/>
                  <w:rFonts w:ascii="Arial" w:eastAsia="Times New Roman" w:hAnsi="Arial" w:cs="Arial"/>
                  <w:sz w:val="19"/>
                  <w:szCs w:val="19"/>
                </w:rPr>
                <w:t>50</w:t>
              </w:r>
            </w:hyperlink>
          </w:p>
        </w:tc>
      </w:tr>
      <w:tr w:rsidR="00000000" w14:paraId="54ACAEA6" w14:textId="77777777">
        <w:trPr>
          <w:divId w:val="916668037"/>
        </w:trPr>
        <w:tc>
          <w:tcPr>
            <w:tcW w:w="0" w:type="auto"/>
            <w:gridSpan w:val="3"/>
            <w:shd w:val="clear" w:color="auto" w:fill="FFFFFF"/>
            <w:tcMar>
              <w:top w:w="30" w:type="dxa"/>
              <w:left w:w="20" w:type="dxa"/>
              <w:bottom w:w="30" w:type="dxa"/>
              <w:right w:w="20" w:type="dxa"/>
            </w:tcMar>
            <w:vAlign w:val="bottom"/>
            <w:hideMark/>
          </w:tcPr>
          <w:p w14:paraId="598AB4D9" w14:textId="77777777" w:rsidR="00000000" w:rsidRDefault="001D0688">
            <w:pPr>
              <w:divId w:val="522019000"/>
              <w:rPr>
                <w:rFonts w:eastAsia="Times New Roman"/>
              </w:rPr>
            </w:pPr>
            <w:r>
              <w:rPr>
                <w:rFonts w:ascii="Arial" w:eastAsia="Times New Roman" w:hAnsi="Arial" w:cs="Arial"/>
                <w:color w:val="0000FF"/>
                <w:sz w:val="19"/>
                <w:szCs w:val="19"/>
              </w:rPr>
              <w:t xml:space="preserve">Consolidated Statements of Comprehensive (Loss) Income for the Years Ended October 31, 2020, 2019, </w:t>
            </w:r>
          </w:p>
          <w:p w14:paraId="3948D81A" w14:textId="77777777" w:rsidR="00000000" w:rsidRDefault="001D0688">
            <w:pPr>
              <w:divId w:val="403836174"/>
              <w:rPr>
                <w:rFonts w:eastAsia="Times New Roman"/>
              </w:rPr>
            </w:pPr>
            <w:r>
              <w:rPr>
                <w:rFonts w:ascii="Arial" w:eastAsia="Times New Roman" w:hAnsi="Arial" w:cs="Arial"/>
                <w:color w:val="0000FF"/>
                <w:sz w:val="19"/>
                <w:szCs w:val="19"/>
              </w:rPr>
              <w:t>and 2018</w:t>
            </w:r>
          </w:p>
        </w:tc>
        <w:tc>
          <w:tcPr>
            <w:tcW w:w="0" w:type="auto"/>
            <w:gridSpan w:val="3"/>
            <w:shd w:val="clear" w:color="auto" w:fill="FFFFFF"/>
            <w:tcMar>
              <w:top w:w="30" w:type="dxa"/>
              <w:left w:w="20" w:type="dxa"/>
              <w:bottom w:w="30" w:type="dxa"/>
              <w:right w:w="20" w:type="dxa"/>
            </w:tcMar>
            <w:vAlign w:val="bottom"/>
            <w:hideMark/>
          </w:tcPr>
          <w:p w14:paraId="3A972D2B" w14:textId="77777777" w:rsidR="00000000" w:rsidRDefault="001D0688">
            <w:pPr>
              <w:jc w:val="right"/>
              <w:rPr>
                <w:rFonts w:eastAsia="Times New Roman"/>
              </w:rPr>
            </w:pPr>
            <w:hyperlink w:anchor="ifefa58cec8564209b9c0a3ca41dbda61_94" w:history="1">
              <w:r>
                <w:rPr>
                  <w:rStyle w:val="a3"/>
                  <w:rFonts w:ascii="Arial" w:eastAsia="Times New Roman" w:hAnsi="Arial" w:cs="Arial"/>
                  <w:sz w:val="19"/>
                  <w:szCs w:val="19"/>
                </w:rPr>
                <w:t>51</w:t>
              </w:r>
            </w:hyperlink>
          </w:p>
        </w:tc>
      </w:tr>
      <w:tr w:rsidR="00000000" w14:paraId="33D53D8F" w14:textId="77777777">
        <w:trPr>
          <w:divId w:val="916668037"/>
        </w:trPr>
        <w:tc>
          <w:tcPr>
            <w:tcW w:w="0" w:type="auto"/>
            <w:gridSpan w:val="3"/>
            <w:shd w:val="clear" w:color="auto" w:fill="DCE2EF"/>
            <w:tcMar>
              <w:top w:w="30" w:type="dxa"/>
              <w:left w:w="20" w:type="dxa"/>
              <w:bottom w:w="30" w:type="dxa"/>
              <w:right w:w="20" w:type="dxa"/>
            </w:tcMar>
            <w:vAlign w:val="bottom"/>
            <w:hideMark/>
          </w:tcPr>
          <w:p w14:paraId="7FB502F2" w14:textId="77777777" w:rsidR="00000000" w:rsidRDefault="001D0688">
            <w:pPr>
              <w:divId w:val="1708212746"/>
              <w:rPr>
                <w:rFonts w:eastAsia="Times New Roman"/>
              </w:rPr>
            </w:pPr>
            <w:hyperlink w:anchor="ifefa58cec8564209b9c0a3ca41dbda61_100" w:history="1">
              <w:r>
                <w:rPr>
                  <w:rStyle w:val="a3"/>
                  <w:rFonts w:ascii="Arial" w:eastAsia="Times New Roman" w:hAnsi="Arial" w:cs="Arial"/>
                  <w:sz w:val="19"/>
                  <w:szCs w:val="19"/>
                  <w:u w:val="none"/>
                </w:rPr>
                <w:t>Consolidated Statements of Stockholders’ Equity for the Years Ended October 31, 20</w:t>
              </w:r>
            </w:hyperlink>
            <w:hyperlink w:anchor="ifefa58cec8564209b9c0a3ca41dbda61_100" w:history="1">
              <w:r>
                <w:rPr>
                  <w:rStyle w:val="a3"/>
                  <w:rFonts w:ascii="Arial" w:eastAsia="Times New Roman" w:hAnsi="Arial" w:cs="Arial"/>
                  <w:sz w:val="19"/>
                  <w:szCs w:val="19"/>
                  <w:u w:val="none"/>
                </w:rPr>
                <w:t>20</w:t>
              </w:r>
            </w:hyperlink>
            <w:hyperlink w:anchor="ifefa58cec8564209b9c0a3ca41dbda61_100" w:history="1">
              <w:r>
                <w:rPr>
                  <w:rStyle w:val="a3"/>
                  <w:rFonts w:ascii="Arial" w:eastAsia="Times New Roman" w:hAnsi="Arial" w:cs="Arial"/>
                  <w:sz w:val="19"/>
                  <w:szCs w:val="19"/>
                  <w:u w:val="none"/>
                </w:rPr>
                <w:t>, 201</w:t>
              </w:r>
            </w:hyperlink>
            <w:hyperlink w:anchor="ifefa58cec8564209b9c0a3ca41dbda61_100" w:history="1">
              <w:r>
                <w:rPr>
                  <w:rStyle w:val="a3"/>
                  <w:rFonts w:ascii="Arial" w:eastAsia="Times New Roman" w:hAnsi="Arial" w:cs="Arial"/>
                  <w:sz w:val="19"/>
                  <w:szCs w:val="19"/>
                  <w:u w:val="none"/>
                </w:rPr>
                <w:t>9</w:t>
              </w:r>
            </w:hyperlink>
            <w:hyperlink w:anchor="ifefa58cec8564209b9c0a3ca41dbda61_100" w:history="1">
              <w:r>
                <w:rPr>
                  <w:rStyle w:val="a3"/>
                  <w:rFonts w:ascii="Arial" w:eastAsia="Times New Roman" w:hAnsi="Arial" w:cs="Arial"/>
                  <w:sz w:val="19"/>
                  <w:szCs w:val="19"/>
                  <w:u w:val="none"/>
                </w:rPr>
                <w:t>, and 201</w:t>
              </w:r>
            </w:hyperlink>
            <w:hyperlink w:anchor="ifefa58cec8564209b9c0a3ca41dbda61_100" w:history="1">
              <w:r>
                <w:rPr>
                  <w:rStyle w:val="a3"/>
                  <w:rFonts w:ascii="Arial" w:eastAsia="Times New Roman" w:hAnsi="Arial" w:cs="Arial"/>
                  <w:sz w:val="19"/>
                  <w:szCs w:val="19"/>
                  <w:u w:val="none"/>
                </w:rPr>
                <w:t>8</w:t>
              </w:r>
            </w:hyperlink>
          </w:p>
        </w:tc>
        <w:tc>
          <w:tcPr>
            <w:tcW w:w="0" w:type="auto"/>
            <w:gridSpan w:val="3"/>
            <w:shd w:val="clear" w:color="auto" w:fill="DCE2EF"/>
            <w:tcMar>
              <w:top w:w="30" w:type="dxa"/>
              <w:left w:w="20" w:type="dxa"/>
              <w:bottom w:w="30" w:type="dxa"/>
              <w:right w:w="20" w:type="dxa"/>
            </w:tcMar>
            <w:vAlign w:val="bottom"/>
            <w:hideMark/>
          </w:tcPr>
          <w:p w14:paraId="5E3F0CA7" w14:textId="77777777" w:rsidR="00000000" w:rsidRDefault="001D0688">
            <w:pPr>
              <w:jc w:val="right"/>
              <w:rPr>
                <w:rFonts w:eastAsia="Times New Roman"/>
              </w:rPr>
            </w:pPr>
            <w:hyperlink w:anchor="ifefa58cec8564209b9c0a3ca41dbda61_100" w:history="1">
              <w:r>
                <w:rPr>
                  <w:rStyle w:val="a3"/>
                  <w:rFonts w:ascii="Arial" w:eastAsia="Times New Roman" w:hAnsi="Arial" w:cs="Arial"/>
                  <w:sz w:val="19"/>
                  <w:szCs w:val="19"/>
                </w:rPr>
                <w:t>52</w:t>
              </w:r>
            </w:hyperlink>
          </w:p>
        </w:tc>
      </w:tr>
      <w:tr w:rsidR="00000000" w14:paraId="15EF5CFB" w14:textId="77777777">
        <w:trPr>
          <w:divId w:val="916668037"/>
        </w:trPr>
        <w:tc>
          <w:tcPr>
            <w:tcW w:w="0" w:type="auto"/>
            <w:gridSpan w:val="3"/>
            <w:shd w:val="clear" w:color="auto" w:fill="FFFFFF"/>
            <w:tcMar>
              <w:top w:w="30" w:type="dxa"/>
              <w:left w:w="20" w:type="dxa"/>
              <w:bottom w:w="30" w:type="dxa"/>
              <w:right w:w="20" w:type="dxa"/>
            </w:tcMar>
            <w:vAlign w:val="bottom"/>
            <w:hideMark/>
          </w:tcPr>
          <w:p w14:paraId="16A75717" w14:textId="77777777" w:rsidR="00000000" w:rsidRDefault="001D0688">
            <w:pPr>
              <w:divId w:val="350643104"/>
              <w:rPr>
                <w:rFonts w:eastAsia="Times New Roman"/>
              </w:rPr>
            </w:pPr>
            <w:hyperlink w:anchor="ifefa58cec8564209b9c0a3ca41dbda61_106" w:history="1">
              <w:r>
                <w:rPr>
                  <w:rStyle w:val="a3"/>
                  <w:rFonts w:ascii="Arial" w:eastAsia="Times New Roman" w:hAnsi="Arial" w:cs="Arial"/>
                  <w:sz w:val="19"/>
                  <w:szCs w:val="19"/>
                  <w:u w:val="none"/>
                </w:rPr>
                <w:t>Consolidated Statements of Cash Flows for the Years Ended October 31, 2020, 2019, and 2018</w:t>
              </w:r>
            </w:hyperlink>
          </w:p>
        </w:tc>
        <w:tc>
          <w:tcPr>
            <w:tcW w:w="0" w:type="auto"/>
            <w:gridSpan w:val="3"/>
            <w:shd w:val="clear" w:color="auto" w:fill="FFFFFF"/>
            <w:tcMar>
              <w:top w:w="30" w:type="dxa"/>
              <w:left w:w="20" w:type="dxa"/>
              <w:bottom w:w="30" w:type="dxa"/>
              <w:right w:w="20" w:type="dxa"/>
            </w:tcMar>
            <w:vAlign w:val="bottom"/>
            <w:hideMark/>
          </w:tcPr>
          <w:p w14:paraId="2CC4D36A" w14:textId="77777777" w:rsidR="00000000" w:rsidRDefault="001D0688">
            <w:pPr>
              <w:jc w:val="right"/>
              <w:rPr>
                <w:rFonts w:eastAsia="Times New Roman"/>
              </w:rPr>
            </w:pPr>
            <w:hyperlink w:anchor="ifefa58cec8564209b9c0a3ca41dbda61_106" w:history="1">
              <w:r>
                <w:rPr>
                  <w:rStyle w:val="a3"/>
                  <w:rFonts w:ascii="Arial" w:eastAsia="Times New Roman" w:hAnsi="Arial" w:cs="Arial"/>
                  <w:sz w:val="19"/>
                  <w:szCs w:val="19"/>
                </w:rPr>
                <w:t>53</w:t>
              </w:r>
            </w:hyperlink>
          </w:p>
        </w:tc>
      </w:tr>
      <w:tr w:rsidR="00000000" w14:paraId="3F7C131B" w14:textId="77777777">
        <w:trPr>
          <w:divId w:val="916668037"/>
          <w:trHeight w:val="240"/>
        </w:trPr>
        <w:tc>
          <w:tcPr>
            <w:tcW w:w="0" w:type="auto"/>
            <w:gridSpan w:val="3"/>
            <w:shd w:val="clear" w:color="auto" w:fill="DCE2EF"/>
            <w:tcMar>
              <w:top w:w="0" w:type="dxa"/>
              <w:left w:w="20" w:type="dxa"/>
              <w:bottom w:w="0" w:type="dxa"/>
              <w:right w:w="20" w:type="dxa"/>
            </w:tcMar>
            <w:vAlign w:val="center"/>
            <w:hideMark/>
          </w:tcPr>
          <w:p w14:paraId="1ACECA00"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A281A0D" w14:textId="77777777" w:rsidR="00000000" w:rsidRDefault="001D0688">
            <w:pPr>
              <w:rPr>
                <w:rFonts w:eastAsia="Times New Roman"/>
                <w:sz w:val="20"/>
                <w:szCs w:val="20"/>
              </w:rPr>
            </w:pPr>
          </w:p>
        </w:tc>
      </w:tr>
      <w:tr w:rsidR="00000000" w14:paraId="7C453ECE" w14:textId="77777777">
        <w:trPr>
          <w:divId w:val="916668037"/>
        </w:trPr>
        <w:tc>
          <w:tcPr>
            <w:tcW w:w="0" w:type="auto"/>
            <w:gridSpan w:val="3"/>
            <w:shd w:val="clear" w:color="auto" w:fill="FFFFFF"/>
            <w:tcMar>
              <w:top w:w="30" w:type="dxa"/>
              <w:left w:w="20" w:type="dxa"/>
              <w:bottom w:w="30" w:type="dxa"/>
              <w:right w:w="20" w:type="dxa"/>
            </w:tcMar>
            <w:vAlign w:val="bottom"/>
            <w:hideMark/>
          </w:tcPr>
          <w:p w14:paraId="15F5B6FF" w14:textId="77777777" w:rsidR="00000000" w:rsidRDefault="001D0688">
            <w:pPr>
              <w:divId w:val="427779111"/>
              <w:rPr>
                <w:rFonts w:eastAsia="Times New Roman"/>
              </w:rPr>
            </w:pPr>
            <w:r>
              <w:rPr>
                <w:rFonts w:ascii="Arial" w:eastAsia="Times New Roman" w:hAnsi="Arial" w:cs="Arial"/>
                <w:color w:val="000000"/>
                <w:sz w:val="19"/>
                <w:szCs w:val="19"/>
              </w:rPr>
              <w:t>2.</w:t>
            </w:r>
            <w:r>
              <w:rPr>
                <w:rFonts w:ascii="Arial" w:eastAsia="Times New Roman" w:hAnsi="Arial" w:cs="Arial"/>
                <w:b/>
                <w:bCs/>
                <w:i/>
                <w:iCs/>
                <w:color w:val="000000"/>
                <w:sz w:val="19"/>
                <w:szCs w:val="19"/>
              </w:rPr>
              <w:t xml:space="preserve"> Financial Statement Schedule</w:t>
            </w:r>
          </w:p>
        </w:tc>
        <w:tc>
          <w:tcPr>
            <w:tcW w:w="0" w:type="auto"/>
            <w:gridSpan w:val="3"/>
            <w:shd w:val="clear" w:color="auto" w:fill="FFFFFF"/>
            <w:tcMar>
              <w:top w:w="0" w:type="dxa"/>
              <w:left w:w="20" w:type="dxa"/>
              <w:bottom w:w="0" w:type="dxa"/>
              <w:right w:w="20" w:type="dxa"/>
            </w:tcMar>
            <w:vAlign w:val="center"/>
            <w:hideMark/>
          </w:tcPr>
          <w:p w14:paraId="0E7A135B" w14:textId="77777777" w:rsidR="00000000" w:rsidRDefault="001D0688">
            <w:pPr>
              <w:rPr>
                <w:rFonts w:eastAsia="Times New Roman"/>
              </w:rPr>
            </w:pPr>
          </w:p>
        </w:tc>
      </w:tr>
      <w:tr w:rsidR="00000000" w14:paraId="3799AA98" w14:textId="77777777">
        <w:trPr>
          <w:divId w:val="916668037"/>
        </w:trPr>
        <w:tc>
          <w:tcPr>
            <w:tcW w:w="0" w:type="auto"/>
            <w:gridSpan w:val="3"/>
            <w:shd w:val="clear" w:color="auto" w:fill="DCE2EF"/>
            <w:tcMar>
              <w:top w:w="30" w:type="dxa"/>
              <w:left w:w="20" w:type="dxa"/>
              <w:bottom w:w="30" w:type="dxa"/>
              <w:right w:w="20" w:type="dxa"/>
            </w:tcMar>
            <w:vAlign w:val="bottom"/>
            <w:hideMark/>
          </w:tcPr>
          <w:p w14:paraId="0787603F" w14:textId="77777777" w:rsidR="00000000" w:rsidRDefault="001D0688">
            <w:pPr>
              <w:divId w:val="1188910199"/>
              <w:rPr>
                <w:rFonts w:eastAsia="Times New Roman"/>
              </w:rPr>
            </w:pPr>
            <w:hyperlink w:anchor="ifefa58cec8564209b9c0a3ca41dbda61_250" w:history="1">
              <w:r>
                <w:rPr>
                  <w:rStyle w:val="a3"/>
                  <w:rFonts w:ascii="Arial" w:eastAsia="Times New Roman" w:hAnsi="Arial" w:cs="Arial"/>
                  <w:sz w:val="19"/>
                  <w:szCs w:val="19"/>
                  <w:u w:val="none"/>
                </w:rPr>
                <w:t>Valuation and Qualifying Accounts for the Years Ended October 31, 2020, 2019, and 2018</w:t>
              </w:r>
            </w:hyperlink>
          </w:p>
        </w:tc>
        <w:tc>
          <w:tcPr>
            <w:tcW w:w="0" w:type="auto"/>
            <w:gridSpan w:val="3"/>
            <w:shd w:val="clear" w:color="auto" w:fill="DCE2EF"/>
            <w:tcMar>
              <w:top w:w="30" w:type="dxa"/>
              <w:left w:w="20" w:type="dxa"/>
              <w:bottom w:w="30" w:type="dxa"/>
              <w:right w:w="20" w:type="dxa"/>
            </w:tcMar>
            <w:vAlign w:val="bottom"/>
            <w:hideMark/>
          </w:tcPr>
          <w:p w14:paraId="6F840AA7" w14:textId="77777777" w:rsidR="00000000" w:rsidRDefault="001D0688">
            <w:pPr>
              <w:jc w:val="right"/>
              <w:rPr>
                <w:rFonts w:eastAsia="Times New Roman"/>
              </w:rPr>
            </w:pPr>
            <w:hyperlink w:anchor="ifefa58cec8564209b9c0a3ca41dbda61_250" w:history="1">
              <w:r>
                <w:rPr>
                  <w:rStyle w:val="a3"/>
                  <w:rFonts w:ascii="Arial" w:eastAsia="Times New Roman" w:hAnsi="Arial" w:cs="Arial"/>
                  <w:sz w:val="19"/>
                  <w:szCs w:val="19"/>
                </w:rPr>
                <w:t>100</w:t>
              </w:r>
            </w:hyperlink>
          </w:p>
        </w:tc>
      </w:tr>
      <w:tr w:rsidR="00000000" w14:paraId="4450C867" w14:textId="77777777">
        <w:trPr>
          <w:divId w:val="916668037"/>
          <w:trHeight w:val="240"/>
        </w:trPr>
        <w:tc>
          <w:tcPr>
            <w:tcW w:w="0" w:type="auto"/>
            <w:gridSpan w:val="3"/>
            <w:shd w:val="clear" w:color="auto" w:fill="FFFFFF"/>
            <w:tcMar>
              <w:top w:w="0" w:type="dxa"/>
              <w:left w:w="20" w:type="dxa"/>
              <w:bottom w:w="0" w:type="dxa"/>
              <w:right w:w="20" w:type="dxa"/>
            </w:tcMar>
            <w:vAlign w:val="center"/>
            <w:hideMark/>
          </w:tcPr>
          <w:p w14:paraId="1D3261DD"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10A31" w14:textId="77777777" w:rsidR="00000000" w:rsidRDefault="001D0688">
            <w:pPr>
              <w:rPr>
                <w:rFonts w:eastAsia="Times New Roman"/>
                <w:sz w:val="20"/>
                <w:szCs w:val="20"/>
              </w:rPr>
            </w:pPr>
          </w:p>
        </w:tc>
      </w:tr>
      <w:tr w:rsidR="00000000" w14:paraId="028E7F64" w14:textId="77777777">
        <w:trPr>
          <w:divId w:val="916668037"/>
        </w:trPr>
        <w:tc>
          <w:tcPr>
            <w:tcW w:w="0" w:type="auto"/>
            <w:gridSpan w:val="3"/>
            <w:shd w:val="clear" w:color="auto" w:fill="DCE2EF"/>
            <w:tcMar>
              <w:top w:w="30" w:type="dxa"/>
              <w:left w:w="20" w:type="dxa"/>
              <w:bottom w:w="30" w:type="dxa"/>
              <w:right w:w="20" w:type="dxa"/>
            </w:tcMar>
            <w:vAlign w:val="bottom"/>
            <w:hideMark/>
          </w:tcPr>
          <w:p w14:paraId="6A24DFA6" w14:textId="77777777" w:rsidR="00000000" w:rsidRDefault="001D0688">
            <w:pPr>
              <w:divId w:val="59526798"/>
              <w:rPr>
                <w:rFonts w:eastAsia="Times New Roman"/>
              </w:rPr>
            </w:pPr>
            <w:r>
              <w:rPr>
                <w:rFonts w:ascii="Arial" w:eastAsia="Times New Roman" w:hAnsi="Arial" w:cs="Arial"/>
                <w:color w:val="000000"/>
                <w:sz w:val="19"/>
                <w:szCs w:val="19"/>
              </w:rPr>
              <w:t>3.</w:t>
            </w:r>
            <w:r>
              <w:rPr>
                <w:rFonts w:ascii="Arial" w:eastAsia="Times New Roman" w:hAnsi="Arial" w:cs="Arial"/>
                <w:b/>
                <w:bCs/>
                <w:i/>
                <w:iCs/>
                <w:color w:val="000000"/>
                <w:sz w:val="19"/>
                <w:szCs w:val="19"/>
              </w:rPr>
              <w:t xml:space="preserve"> Exhibits</w:t>
            </w:r>
          </w:p>
        </w:tc>
        <w:tc>
          <w:tcPr>
            <w:tcW w:w="0" w:type="auto"/>
            <w:gridSpan w:val="3"/>
            <w:shd w:val="clear" w:color="auto" w:fill="DCE2EF"/>
            <w:tcMar>
              <w:top w:w="0" w:type="dxa"/>
              <w:left w:w="20" w:type="dxa"/>
              <w:bottom w:w="0" w:type="dxa"/>
              <w:right w:w="20" w:type="dxa"/>
            </w:tcMar>
            <w:vAlign w:val="center"/>
            <w:hideMark/>
          </w:tcPr>
          <w:p w14:paraId="23A4C10B" w14:textId="77777777" w:rsidR="00000000" w:rsidRDefault="001D0688">
            <w:pPr>
              <w:rPr>
                <w:rFonts w:eastAsia="Times New Roman"/>
              </w:rPr>
            </w:pPr>
          </w:p>
        </w:tc>
      </w:tr>
      <w:tr w:rsidR="00000000" w14:paraId="09B87319" w14:textId="77777777">
        <w:trPr>
          <w:divId w:val="916668037"/>
        </w:trPr>
        <w:tc>
          <w:tcPr>
            <w:tcW w:w="0" w:type="auto"/>
            <w:gridSpan w:val="3"/>
            <w:shd w:val="clear" w:color="auto" w:fill="FFFFFF"/>
            <w:tcMar>
              <w:top w:w="30" w:type="dxa"/>
              <w:left w:w="20" w:type="dxa"/>
              <w:bottom w:w="30" w:type="dxa"/>
              <w:right w:w="20" w:type="dxa"/>
            </w:tcMar>
            <w:vAlign w:val="bottom"/>
            <w:hideMark/>
          </w:tcPr>
          <w:p w14:paraId="2FB9E23E" w14:textId="77777777" w:rsidR="00000000" w:rsidRDefault="001D0688">
            <w:pPr>
              <w:divId w:val="1213690958"/>
              <w:rPr>
                <w:rFonts w:eastAsia="Times New Roman"/>
              </w:rPr>
            </w:pPr>
            <w:hyperlink w:anchor="ifefa58cec8564209b9c0a3ca41dbda61_253" w:history="1">
              <w:r>
                <w:rPr>
                  <w:rStyle w:val="a3"/>
                  <w:rFonts w:ascii="Arial" w:eastAsia="Times New Roman" w:hAnsi="Arial" w:cs="Arial"/>
                  <w:sz w:val="19"/>
                  <w:szCs w:val="19"/>
                  <w:u w:val="none"/>
                </w:rPr>
                <w:t>Exhibit Index</w:t>
              </w:r>
            </w:hyperlink>
          </w:p>
        </w:tc>
        <w:tc>
          <w:tcPr>
            <w:tcW w:w="0" w:type="auto"/>
            <w:gridSpan w:val="3"/>
            <w:shd w:val="clear" w:color="auto" w:fill="FFFFFF"/>
            <w:tcMar>
              <w:top w:w="30" w:type="dxa"/>
              <w:left w:w="20" w:type="dxa"/>
              <w:bottom w:w="30" w:type="dxa"/>
              <w:right w:w="20" w:type="dxa"/>
            </w:tcMar>
            <w:vAlign w:val="bottom"/>
            <w:hideMark/>
          </w:tcPr>
          <w:p w14:paraId="09291FDF" w14:textId="77777777" w:rsidR="00000000" w:rsidRDefault="001D0688">
            <w:pPr>
              <w:jc w:val="right"/>
              <w:rPr>
                <w:rFonts w:eastAsia="Times New Roman"/>
              </w:rPr>
            </w:pPr>
            <w:hyperlink w:anchor="ifefa58cec8564209b9c0a3ca41dbda61_253" w:history="1">
              <w:r>
                <w:rPr>
                  <w:rStyle w:val="a3"/>
                  <w:rFonts w:ascii="Arial" w:eastAsia="Times New Roman" w:hAnsi="Arial" w:cs="Arial"/>
                  <w:sz w:val="19"/>
                  <w:szCs w:val="19"/>
                </w:rPr>
                <w:t>101</w:t>
              </w:r>
            </w:hyperlink>
          </w:p>
        </w:tc>
      </w:tr>
      <w:tr w:rsidR="00000000" w14:paraId="50056AB1" w14:textId="77777777">
        <w:trPr>
          <w:divId w:val="916668037"/>
        </w:trPr>
        <w:tc>
          <w:tcPr>
            <w:tcW w:w="0" w:type="auto"/>
            <w:gridSpan w:val="3"/>
            <w:vAlign w:val="center"/>
            <w:hideMark/>
          </w:tcPr>
          <w:p w14:paraId="04244BB2" w14:textId="77777777" w:rsidR="00000000" w:rsidRDefault="001D0688">
            <w:pPr>
              <w:jc w:val="right"/>
              <w:rPr>
                <w:rFonts w:eastAsia="Times New Roman"/>
              </w:rPr>
            </w:pPr>
          </w:p>
        </w:tc>
        <w:tc>
          <w:tcPr>
            <w:tcW w:w="0" w:type="auto"/>
            <w:gridSpan w:val="3"/>
            <w:vAlign w:val="center"/>
            <w:hideMark/>
          </w:tcPr>
          <w:p w14:paraId="7F789552" w14:textId="77777777" w:rsidR="00000000" w:rsidRDefault="001D0688">
            <w:pPr>
              <w:rPr>
                <w:rFonts w:eastAsia="Times New Roman"/>
                <w:sz w:val="20"/>
                <w:szCs w:val="20"/>
              </w:rPr>
            </w:pPr>
          </w:p>
        </w:tc>
      </w:tr>
      <w:tr w:rsidR="00000000" w14:paraId="1A4DEBCB" w14:textId="77777777">
        <w:trPr>
          <w:divId w:val="916668037"/>
        </w:trPr>
        <w:tc>
          <w:tcPr>
            <w:tcW w:w="0" w:type="auto"/>
            <w:gridSpan w:val="3"/>
            <w:vAlign w:val="center"/>
            <w:hideMark/>
          </w:tcPr>
          <w:p w14:paraId="7ADAE489" w14:textId="77777777" w:rsidR="00000000" w:rsidRDefault="001D0688">
            <w:pPr>
              <w:rPr>
                <w:rFonts w:eastAsia="Times New Roman"/>
                <w:sz w:val="20"/>
                <w:szCs w:val="20"/>
              </w:rPr>
            </w:pPr>
          </w:p>
        </w:tc>
        <w:tc>
          <w:tcPr>
            <w:tcW w:w="0" w:type="auto"/>
            <w:gridSpan w:val="3"/>
            <w:vAlign w:val="center"/>
            <w:hideMark/>
          </w:tcPr>
          <w:p w14:paraId="3A7E4C9D" w14:textId="77777777" w:rsidR="00000000" w:rsidRDefault="001D0688">
            <w:pPr>
              <w:rPr>
                <w:rFonts w:eastAsia="Times New Roman"/>
                <w:sz w:val="20"/>
                <w:szCs w:val="20"/>
              </w:rPr>
            </w:pPr>
          </w:p>
        </w:tc>
      </w:tr>
      <w:tr w:rsidR="00000000" w14:paraId="43EABDBF" w14:textId="77777777">
        <w:trPr>
          <w:divId w:val="916668037"/>
        </w:trPr>
        <w:tc>
          <w:tcPr>
            <w:tcW w:w="0" w:type="auto"/>
            <w:gridSpan w:val="3"/>
            <w:vAlign w:val="center"/>
            <w:hideMark/>
          </w:tcPr>
          <w:p w14:paraId="3A5B8C89" w14:textId="77777777" w:rsidR="00000000" w:rsidRDefault="001D0688">
            <w:pPr>
              <w:rPr>
                <w:rFonts w:eastAsia="Times New Roman"/>
                <w:sz w:val="20"/>
                <w:szCs w:val="20"/>
              </w:rPr>
            </w:pPr>
          </w:p>
        </w:tc>
        <w:tc>
          <w:tcPr>
            <w:tcW w:w="0" w:type="auto"/>
            <w:gridSpan w:val="3"/>
            <w:vAlign w:val="center"/>
            <w:hideMark/>
          </w:tcPr>
          <w:p w14:paraId="652B29AD" w14:textId="77777777" w:rsidR="00000000" w:rsidRDefault="001D0688">
            <w:pPr>
              <w:rPr>
                <w:rFonts w:eastAsia="Times New Roman"/>
                <w:sz w:val="20"/>
                <w:szCs w:val="20"/>
              </w:rPr>
            </w:pPr>
          </w:p>
        </w:tc>
      </w:tr>
      <w:tr w:rsidR="00000000" w14:paraId="5CCB96E7" w14:textId="77777777">
        <w:trPr>
          <w:divId w:val="916668037"/>
        </w:trPr>
        <w:tc>
          <w:tcPr>
            <w:tcW w:w="0" w:type="auto"/>
            <w:gridSpan w:val="3"/>
            <w:vAlign w:val="center"/>
            <w:hideMark/>
          </w:tcPr>
          <w:p w14:paraId="1F7E1172" w14:textId="77777777" w:rsidR="00000000" w:rsidRDefault="001D0688">
            <w:pPr>
              <w:rPr>
                <w:rFonts w:eastAsia="Times New Roman"/>
                <w:sz w:val="20"/>
                <w:szCs w:val="20"/>
              </w:rPr>
            </w:pPr>
          </w:p>
        </w:tc>
        <w:tc>
          <w:tcPr>
            <w:tcW w:w="0" w:type="auto"/>
            <w:gridSpan w:val="3"/>
            <w:vAlign w:val="center"/>
            <w:hideMark/>
          </w:tcPr>
          <w:p w14:paraId="426FF9B6" w14:textId="77777777" w:rsidR="00000000" w:rsidRDefault="001D0688">
            <w:pPr>
              <w:rPr>
                <w:rFonts w:eastAsia="Times New Roman"/>
                <w:sz w:val="20"/>
                <w:szCs w:val="20"/>
              </w:rPr>
            </w:pPr>
          </w:p>
        </w:tc>
      </w:tr>
    </w:tbl>
    <w:p w14:paraId="09690951" w14:textId="77777777" w:rsidR="00000000" w:rsidRDefault="001D0688">
      <w:pPr>
        <w:divId w:val="2088459150"/>
        <w:rPr>
          <w:rFonts w:eastAsia="Times New Roman"/>
        </w:rPr>
      </w:pPr>
    </w:p>
    <w:p w14:paraId="1D972366" w14:textId="77777777" w:rsidR="00000000" w:rsidRDefault="001D0688">
      <w:pPr>
        <w:jc w:val="center"/>
        <w:divId w:val="102650264"/>
        <w:rPr>
          <w:rFonts w:eastAsia="Times New Roman"/>
        </w:rPr>
      </w:pPr>
      <w:r>
        <w:rPr>
          <w:rFonts w:ascii="Arial" w:eastAsia="Times New Roman" w:hAnsi="Arial" w:cs="Arial"/>
          <w:color w:val="000000"/>
          <w:sz w:val="20"/>
          <w:szCs w:val="20"/>
        </w:rPr>
        <w:t>99</w:t>
      </w:r>
    </w:p>
    <w:p w14:paraId="4A35B1A8" w14:textId="77777777" w:rsidR="00000000" w:rsidRDefault="001D0688">
      <w:pPr>
        <w:rPr>
          <w:rFonts w:eastAsia="Times New Roman"/>
        </w:rPr>
      </w:pPr>
      <w:r>
        <w:rPr>
          <w:rFonts w:eastAsia="Times New Roman"/>
        </w:rPr>
        <w:pict w14:anchorId="3A2FC74F">
          <v:rect id="_x0000_i1136" style="width:0;height:1.5pt" o:hralign="center" o:hrstd="t" o:hr="t" fillcolor="#a0a0a0" stroked="f"/>
        </w:pict>
      </w:r>
    </w:p>
    <w:p w14:paraId="08ED5D51" w14:textId="77777777" w:rsidR="00000000" w:rsidRDefault="001D0688">
      <w:pPr>
        <w:divId w:val="1128621381"/>
        <w:rPr>
          <w:rFonts w:eastAsia="Times New Roman"/>
        </w:rPr>
      </w:pPr>
    </w:p>
    <w:p w14:paraId="15219364" w14:textId="77777777" w:rsidR="00000000" w:rsidRDefault="001D0688">
      <w:pPr>
        <w:jc w:val="center"/>
        <w:divId w:val="824930053"/>
        <w:rPr>
          <w:rFonts w:eastAsia="Times New Roman"/>
        </w:rPr>
      </w:pPr>
      <w:r>
        <w:rPr>
          <w:rFonts w:ascii="Arial" w:eastAsia="Times New Roman" w:hAnsi="Arial" w:cs="Arial"/>
          <w:b/>
          <w:bCs/>
          <w:color w:val="0046AD"/>
          <w:sz w:val="20"/>
          <w:szCs w:val="20"/>
        </w:rPr>
        <w:t>ABM INDUSTRIES INCORPORATED AND SUBSIDIARIES</w:t>
      </w:r>
    </w:p>
    <w:p w14:paraId="44202830" w14:textId="77777777" w:rsidR="00000000" w:rsidRDefault="001D0688">
      <w:pPr>
        <w:jc w:val="center"/>
        <w:divId w:val="1155800045"/>
        <w:rPr>
          <w:rFonts w:eastAsia="Times New Roman"/>
        </w:rPr>
      </w:pPr>
      <w:r>
        <w:rPr>
          <w:rFonts w:ascii="Arial" w:eastAsia="Times New Roman" w:hAnsi="Arial" w:cs="Arial"/>
          <w:b/>
          <w:bCs/>
          <w:color w:val="0046AD"/>
          <w:sz w:val="20"/>
          <w:szCs w:val="20"/>
        </w:rPr>
        <w:t xml:space="preserve">SCHEDULE II—VALUATION AND QUALIFYING ACCOUNTS </w:t>
      </w:r>
    </w:p>
    <w:p w14:paraId="20B29082" w14:textId="77777777" w:rsidR="00000000" w:rsidRDefault="001D0688">
      <w:pPr>
        <w:ind w:hanging="360"/>
        <w:jc w:val="center"/>
        <w:divId w:val="188975700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3030"/>
        <w:gridCol w:w="36"/>
        <w:gridCol w:w="133"/>
        <w:gridCol w:w="976"/>
        <w:gridCol w:w="36"/>
        <w:gridCol w:w="36"/>
        <w:gridCol w:w="189"/>
        <w:gridCol w:w="36"/>
        <w:gridCol w:w="82"/>
        <w:gridCol w:w="995"/>
        <w:gridCol w:w="36"/>
        <w:gridCol w:w="36"/>
        <w:gridCol w:w="135"/>
        <w:gridCol w:w="36"/>
        <w:gridCol w:w="78"/>
        <w:gridCol w:w="946"/>
        <w:gridCol w:w="36"/>
        <w:gridCol w:w="36"/>
        <w:gridCol w:w="190"/>
        <w:gridCol w:w="36"/>
        <w:gridCol w:w="133"/>
        <w:gridCol w:w="977"/>
        <w:gridCol w:w="36"/>
      </w:tblGrid>
      <w:tr w:rsidR="00000000" w14:paraId="15A1E7F6" w14:textId="77777777">
        <w:trPr>
          <w:divId w:val="196814844"/>
        </w:trPr>
        <w:tc>
          <w:tcPr>
            <w:tcW w:w="50" w:type="pct"/>
            <w:vAlign w:val="center"/>
            <w:hideMark/>
          </w:tcPr>
          <w:p w14:paraId="7D5E813F" w14:textId="77777777" w:rsidR="00000000" w:rsidRDefault="001D0688">
            <w:pPr>
              <w:ind w:hanging="360"/>
              <w:jc w:val="center"/>
              <w:rPr>
                <w:rFonts w:eastAsia="Times New Roman"/>
              </w:rPr>
            </w:pPr>
          </w:p>
        </w:tc>
        <w:tc>
          <w:tcPr>
            <w:tcW w:w="1845" w:type="pct"/>
            <w:vAlign w:val="center"/>
            <w:hideMark/>
          </w:tcPr>
          <w:p w14:paraId="2D914CAB" w14:textId="77777777" w:rsidR="00000000" w:rsidRDefault="001D0688">
            <w:pPr>
              <w:rPr>
                <w:rFonts w:eastAsia="Times New Roman"/>
                <w:sz w:val="20"/>
                <w:szCs w:val="20"/>
              </w:rPr>
            </w:pPr>
          </w:p>
        </w:tc>
        <w:tc>
          <w:tcPr>
            <w:tcW w:w="5" w:type="pct"/>
            <w:vAlign w:val="center"/>
            <w:hideMark/>
          </w:tcPr>
          <w:p w14:paraId="3A36FC7C" w14:textId="77777777" w:rsidR="00000000" w:rsidRDefault="001D0688">
            <w:pPr>
              <w:rPr>
                <w:rFonts w:eastAsia="Times New Roman"/>
                <w:sz w:val="20"/>
                <w:szCs w:val="20"/>
              </w:rPr>
            </w:pPr>
          </w:p>
        </w:tc>
        <w:tc>
          <w:tcPr>
            <w:tcW w:w="50" w:type="pct"/>
            <w:vAlign w:val="center"/>
            <w:hideMark/>
          </w:tcPr>
          <w:p w14:paraId="6A80FC02" w14:textId="77777777" w:rsidR="00000000" w:rsidRDefault="001D0688">
            <w:pPr>
              <w:rPr>
                <w:rFonts w:eastAsia="Times New Roman"/>
                <w:sz w:val="20"/>
                <w:szCs w:val="20"/>
              </w:rPr>
            </w:pPr>
          </w:p>
        </w:tc>
        <w:tc>
          <w:tcPr>
            <w:tcW w:w="610" w:type="pct"/>
            <w:vAlign w:val="center"/>
            <w:hideMark/>
          </w:tcPr>
          <w:p w14:paraId="7150C632" w14:textId="77777777" w:rsidR="00000000" w:rsidRDefault="001D0688">
            <w:pPr>
              <w:rPr>
                <w:rFonts w:eastAsia="Times New Roman"/>
                <w:sz w:val="20"/>
                <w:szCs w:val="20"/>
              </w:rPr>
            </w:pPr>
          </w:p>
        </w:tc>
        <w:tc>
          <w:tcPr>
            <w:tcW w:w="5" w:type="pct"/>
            <w:vAlign w:val="center"/>
            <w:hideMark/>
          </w:tcPr>
          <w:p w14:paraId="42D05477" w14:textId="77777777" w:rsidR="00000000" w:rsidRDefault="001D0688">
            <w:pPr>
              <w:rPr>
                <w:rFonts w:eastAsia="Times New Roman"/>
                <w:sz w:val="20"/>
                <w:szCs w:val="20"/>
              </w:rPr>
            </w:pPr>
          </w:p>
        </w:tc>
        <w:tc>
          <w:tcPr>
            <w:tcW w:w="5" w:type="pct"/>
            <w:vAlign w:val="center"/>
            <w:hideMark/>
          </w:tcPr>
          <w:p w14:paraId="4D452D13" w14:textId="77777777" w:rsidR="00000000" w:rsidRDefault="001D0688">
            <w:pPr>
              <w:rPr>
                <w:rFonts w:eastAsia="Times New Roman"/>
                <w:sz w:val="20"/>
                <w:szCs w:val="20"/>
              </w:rPr>
            </w:pPr>
          </w:p>
        </w:tc>
        <w:tc>
          <w:tcPr>
            <w:tcW w:w="136" w:type="pct"/>
            <w:vAlign w:val="center"/>
            <w:hideMark/>
          </w:tcPr>
          <w:p w14:paraId="71DF158E" w14:textId="77777777" w:rsidR="00000000" w:rsidRDefault="001D0688">
            <w:pPr>
              <w:rPr>
                <w:rFonts w:eastAsia="Times New Roman"/>
                <w:sz w:val="20"/>
                <w:szCs w:val="20"/>
              </w:rPr>
            </w:pPr>
          </w:p>
        </w:tc>
        <w:tc>
          <w:tcPr>
            <w:tcW w:w="5" w:type="pct"/>
            <w:vAlign w:val="center"/>
            <w:hideMark/>
          </w:tcPr>
          <w:p w14:paraId="164AD8C2" w14:textId="77777777" w:rsidR="00000000" w:rsidRDefault="001D0688">
            <w:pPr>
              <w:rPr>
                <w:rFonts w:eastAsia="Times New Roman"/>
                <w:sz w:val="20"/>
                <w:szCs w:val="20"/>
              </w:rPr>
            </w:pPr>
          </w:p>
        </w:tc>
        <w:tc>
          <w:tcPr>
            <w:tcW w:w="50" w:type="pct"/>
            <w:vAlign w:val="center"/>
            <w:hideMark/>
          </w:tcPr>
          <w:p w14:paraId="506A3ACE" w14:textId="77777777" w:rsidR="00000000" w:rsidRDefault="001D0688">
            <w:pPr>
              <w:rPr>
                <w:rFonts w:eastAsia="Times New Roman"/>
                <w:sz w:val="20"/>
                <w:szCs w:val="20"/>
              </w:rPr>
            </w:pPr>
          </w:p>
        </w:tc>
        <w:tc>
          <w:tcPr>
            <w:tcW w:w="610" w:type="pct"/>
            <w:vAlign w:val="center"/>
            <w:hideMark/>
          </w:tcPr>
          <w:p w14:paraId="165ED0BF" w14:textId="77777777" w:rsidR="00000000" w:rsidRDefault="001D0688">
            <w:pPr>
              <w:rPr>
                <w:rFonts w:eastAsia="Times New Roman"/>
                <w:sz w:val="20"/>
                <w:szCs w:val="20"/>
              </w:rPr>
            </w:pPr>
          </w:p>
        </w:tc>
        <w:tc>
          <w:tcPr>
            <w:tcW w:w="5" w:type="pct"/>
            <w:vAlign w:val="center"/>
            <w:hideMark/>
          </w:tcPr>
          <w:p w14:paraId="4E7AF60B" w14:textId="77777777" w:rsidR="00000000" w:rsidRDefault="001D0688">
            <w:pPr>
              <w:rPr>
                <w:rFonts w:eastAsia="Times New Roman"/>
                <w:sz w:val="20"/>
                <w:szCs w:val="20"/>
              </w:rPr>
            </w:pPr>
          </w:p>
        </w:tc>
        <w:tc>
          <w:tcPr>
            <w:tcW w:w="5" w:type="pct"/>
            <w:vAlign w:val="center"/>
            <w:hideMark/>
          </w:tcPr>
          <w:p w14:paraId="5E3DE8D9" w14:textId="77777777" w:rsidR="00000000" w:rsidRDefault="001D0688">
            <w:pPr>
              <w:rPr>
                <w:rFonts w:eastAsia="Times New Roman"/>
                <w:sz w:val="20"/>
                <w:szCs w:val="20"/>
              </w:rPr>
            </w:pPr>
          </w:p>
        </w:tc>
        <w:tc>
          <w:tcPr>
            <w:tcW w:w="136" w:type="pct"/>
            <w:vAlign w:val="center"/>
            <w:hideMark/>
          </w:tcPr>
          <w:p w14:paraId="081AB968" w14:textId="77777777" w:rsidR="00000000" w:rsidRDefault="001D0688">
            <w:pPr>
              <w:rPr>
                <w:rFonts w:eastAsia="Times New Roman"/>
                <w:sz w:val="20"/>
                <w:szCs w:val="20"/>
              </w:rPr>
            </w:pPr>
          </w:p>
        </w:tc>
        <w:tc>
          <w:tcPr>
            <w:tcW w:w="5" w:type="pct"/>
            <w:vAlign w:val="center"/>
            <w:hideMark/>
          </w:tcPr>
          <w:p w14:paraId="044785D4" w14:textId="77777777" w:rsidR="00000000" w:rsidRDefault="001D0688">
            <w:pPr>
              <w:rPr>
                <w:rFonts w:eastAsia="Times New Roman"/>
                <w:sz w:val="20"/>
                <w:szCs w:val="20"/>
              </w:rPr>
            </w:pPr>
          </w:p>
        </w:tc>
        <w:tc>
          <w:tcPr>
            <w:tcW w:w="50" w:type="pct"/>
            <w:vAlign w:val="center"/>
            <w:hideMark/>
          </w:tcPr>
          <w:p w14:paraId="46E5CE96" w14:textId="77777777" w:rsidR="00000000" w:rsidRDefault="001D0688">
            <w:pPr>
              <w:rPr>
                <w:rFonts w:eastAsia="Times New Roman"/>
                <w:sz w:val="20"/>
                <w:szCs w:val="20"/>
              </w:rPr>
            </w:pPr>
          </w:p>
        </w:tc>
        <w:tc>
          <w:tcPr>
            <w:tcW w:w="610" w:type="pct"/>
            <w:vAlign w:val="center"/>
            <w:hideMark/>
          </w:tcPr>
          <w:p w14:paraId="79332FA6" w14:textId="77777777" w:rsidR="00000000" w:rsidRDefault="001D0688">
            <w:pPr>
              <w:rPr>
                <w:rFonts w:eastAsia="Times New Roman"/>
                <w:sz w:val="20"/>
                <w:szCs w:val="20"/>
              </w:rPr>
            </w:pPr>
          </w:p>
        </w:tc>
        <w:tc>
          <w:tcPr>
            <w:tcW w:w="5" w:type="pct"/>
            <w:vAlign w:val="center"/>
            <w:hideMark/>
          </w:tcPr>
          <w:p w14:paraId="3BB7E75F" w14:textId="77777777" w:rsidR="00000000" w:rsidRDefault="001D0688">
            <w:pPr>
              <w:rPr>
                <w:rFonts w:eastAsia="Times New Roman"/>
                <w:sz w:val="20"/>
                <w:szCs w:val="20"/>
              </w:rPr>
            </w:pPr>
          </w:p>
        </w:tc>
        <w:tc>
          <w:tcPr>
            <w:tcW w:w="5" w:type="pct"/>
            <w:vAlign w:val="center"/>
            <w:hideMark/>
          </w:tcPr>
          <w:p w14:paraId="1933E8ED" w14:textId="77777777" w:rsidR="00000000" w:rsidRDefault="001D0688">
            <w:pPr>
              <w:rPr>
                <w:rFonts w:eastAsia="Times New Roman"/>
                <w:sz w:val="20"/>
                <w:szCs w:val="20"/>
              </w:rPr>
            </w:pPr>
          </w:p>
        </w:tc>
        <w:tc>
          <w:tcPr>
            <w:tcW w:w="136" w:type="pct"/>
            <w:vAlign w:val="center"/>
            <w:hideMark/>
          </w:tcPr>
          <w:p w14:paraId="777B9586" w14:textId="77777777" w:rsidR="00000000" w:rsidRDefault="001D0688">
            <w:pPr>
              <w:rPr>
                <w:rFonts w:eastAsia="Times New Roman"/>
                <w:sz w:val="20"/>
                <w:szCs w:val="20"/>
              </w:rPr>
            </w:pPr>
          </w:p>
        </w:tc>
        <w:tc>
          <w:tcPr>
            <w:tcW w:w="5" w:type="pct"/>
            <w:vAlign w:val="center"/>
            <w:hideMark/>
          </w:tcPr>
          <w:p w14:paraId="5B24362E" w14:textId="77777777" w:rsidR="00000000" w:rsidRDefault="001D0688">
            <w:pPr>
              <w:rPr>
                <w:rFonts w:eastAsia="Times New Roman"/>
                <w:sz w:val="20"/>
                <w:szCs w:val="20"/>
              </w:rPr>
            </w:pPr>
          </w:p>
        </w:tc>
        <w:tc>
          <w:tcPr>
            <w:tcW w:w="50" w:type="pct"/>
            <w:vAlign w:val="center"/>
            <w:hideMark/>
          </w:tcPr>
          <w:p w14:paraId="173F7055" w14:textId="77777777" w:rsidR="00000000" w:rsidRDefault="001D0688">
            <w:pPr>
              <w:rPr>
                <w:rFonts w:eastAsia="Times New Roman"/>
                <w:sz w:val="20"/>
                <w:szCs w:val="20"/>
              </w:rPr>
            </w:pPr>
          </w:p>
        </w:tc>
        <w:tc>
          <w:tcPr>
            <w:tcW w:w="610" w:type="pct"/>
            <w:vAlign w:val="center"/>
            <w:hideMark/>
          </w:tcPr>
          <w:p w14:paraId="77C53CC0" w14:textId="77777777" w:rsidR="00000000" w:rsidRDefault="001D0688">
            <w:pPr>
              <w:rPr>
                <w:rFonts w:eastAsia="Times New Roman"/>
                <w:sz w:val="20"/>
                <w:szCs w:val="20"/>
              </w:rPr>
            </w:pPr>
          </w:p>
        </w:tc>
        <w:tc>
          <w:tcPr>
            <w:tcW w:w="5" w:type="pct"/>
            <w:vAlign w:val="center"/>
            <w:hideMark/>
          </w:tcPr>
          <w:p w14:paraId="64B883B7" w14:textId="77777777" w:rsidR="00000000" w:rsidRDefault="001D0688">
            <w:pPr>
              <w:rPr>
                <w:rFonts w:eastAsia="Times New Roman"/>
                <w:sz w:val="20"/>
                <w:szCs w:val="20"/>
              </w:rPr>
            </w:pPr>
          </w:p>
        </w:tc>
      </w:tr>
      <w:tr w:rsidR="00000000" w14:paraId="7A964160" w14:textId="77777777">
        <w:trPr>
          <w:divId w:val="196814844"/>
        </w:trPr>
        <w:tc>
          <w:tcPr>
            <w:tcW w:w="0" w:type="auto"/>
            <w:gridSpan w:val="3"/>
            <w:tcMar>
              <w:top w:w="30" w:type="dxa"/>
              <w:left w:w="20" w:type="dxa"/>
              <w:bottom w:w="30" w:type="dxa"/>
              <w:right w:w="20" w:type="dxa"/>
            </w:tcMar>
            <w:vAlign w:val="bottom"/>
            <w:hideMark/>
          </w:tcPr>
          <w:p w14:paraId="7F4C9218" w14:textId="77777777" w:rsidR="00000000" w:rsidRDefault="001D0688">
            <w:pPr>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378D98BB" w14:textId="77777777" w:rsidR="00000000" w:rsidRDefault="001D0688">
            <w:pPr>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Beginning of Year</w:t>
            </w:r>
          </w:p>
        </w:tc>
        <w:tc>
          <w:tcPr>
            <w:tcW w:w="0" w:type="auto"/>
            <w:gridSpan w:val="3"/>
            <w:tcMar>
              <w:top w:w="0" w:type="dxa"/>
              <w:left w:w="20" w:type="dxa"/>
              <w:bottom w:w="0" w:type="dxa"/>
              <w:right w:w="20" w:type="dxa"/>
            </w:tcMar>
            <w:vAlign w:val="center"/>
            <w:hideMark/>
          </w:tcPr>
          <w:p w14:paraId="4E291B12"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A0052EA" w14:textId="77777777" w:rsidR="00000000" w:rsidRDefault="001D0688">
            <w:pPr>
              <w:jc w:val="center"/>
              <w:rPr>
                <w:rFonts w:eastAsia="Times New Roman"/>
              </w:rPr>
            </w:pPr>
            <w:r>
              <w:rPr>
                <w:rFonts w:ascii="Arial" w:eastAsia="Times New Roman" w:hAnsi="Arial" w:cs="Arial"/>
                <w:b/>
                <w:bCs/>
                <w:color w:val="000000"/>
                <w:sz w:val="20"/>
                <w:szCs w:val="20"/>
              </w:rPr>
              <w:t>Charges to</w:t>
            </w:r>
            <w:r>
              <w:rPr>
                <w:rFonts w:ascii="Arial" w:eastAsia="Times New Roman" w:hAnsi="Arial" w:cs="Arial"/>
                <w:b/>
                <w:bCs/>
                <w:color w:val="000000"/>
                <w:sz w:val="20"/>
                <w:szCs w:val="20"/>
              </w:rPr>
              <w:br/>
              <w:t>Costs and Expenses</w:t>
            </w:r>
          </w:p>
        </w:tc>
        <w:tc>
          <w:tcPr>
            <w:tcW w:w="0" w:type="auto"/>
            <w:gridSpan w:val="3"/>
            <w:tcMar>
              <w:top w:w="0" w:type="dxa"/>
              <w:left w:w="20" w:type="dxa"/>
              <w:bottom w:w="0" w:type="dxa"/>
              <w:right w:w="20" w:type="dxa"/>
            </w:tcMar>
            <w:vAlign w:val="center"/>
            <w:hideMark/>
          </w:tcPr>
          <w:p w14:paraId="19799887"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68DD2B63" w14:textId="77777777" w:rsidR="00000000" w:rsidRDefault="001D0688">
            <w:pPr>
              <w:jc w:val="center"/>
              <w:rPr>
                <w:rFonts w:eastAsia="Times New Roman"/>
              </w:rPr>
            </w:pPr>
            <w:r>
              <w:rPr>
                <w:rFonts w:ascii="Arial" w:eastAsia="Times New Roman" w:hAnsi="Arial" w:cs="Arial"/>
                <w:b/>
                <w:bCs/>
                <w:color w:val="000000"/>
                <w:sz w:val="20"/>
                <w:szCs w:val="20"/>
              </w:rPr>
              <w:t>Write-off</w:t>
            </w:r>
            <w:r>
              <w:rPr>
                <w:rFonts w:ascii="Arial" w:eastAsia="Times New Roman" w:hAnsi="Arial" w:cs="Arial"/>
                <w:b/>
                <w:bCs/>
                <w:color w:val="000000"/>
                <w:sz w:val="20"/>
                <w:szCs w:val="20"/>
              </w:rPr>
              <w:t>s</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r>
              <w:rPr>
                <w:rFonts w:ascii="Arial" w:eastAsia="Times New Roman" w:hAnsi="Arial" w:cs="Arial"/>
                <w:b/>
                <w:bCs/>
                <w:color w:val="000000"/>
                <w:sz w:val="20"/>
                <w:szCs w:val="20"/>
              </w:rPr>
              <w:t>/ Allowance Taken</w:t>
            </w:r>
          </w:p>
        </w:tc>
        <w:tc>
          <w:tcPr>
            <w:tcW w:w="0" w:type="auto"/>
            <w:gridSpan w:val="3"/>
            <w:tcMar>
              <w:top w:w="0" w:type="dxa"/>
              <w:left w:w="20" w:type="dxa"/>
              <w:bottom w:w="0" w:type="dxa"/>
              <w:right w:w="20" w:type="dxa"/>
            </w:tcMar>
            <w:vAlign w:val="center"/>
            <w:hideMark/>
          </w:tcPr>
          <w:p w14:paraId="07D66596"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703DF31" w14:textId="77777777" w:rsidR="00000000" w:rsidRDefault="001D0688">
            <w:pPr>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End of Year</w:t>
            </w:r>
          </w:p>
        </w:tc>
      </w:tr>
      <w:tr w:rsidR="00000000" w14:paraId="45D0D199" w14:textId="77777777">
        <w:trPr>
          <w:divId w:val="196814844"/>
        </w:trPr>
        <w:tc>
          <w:tcPr>
            <w:tcW w:w="0" w:type="auto"/>
            <w:gridSpan w:val="3"/>
            <w:tcMar>
              <w:top w:w="30" w:type="dxa"/>
              <w:left w:w="20" w:type="dxa"/>
              <w:bottom w:w="30" w:type="dxa"/>
              <w:right w:w="20" w:type="dxa"/>
            </w:tcMar>
            <w:vAlign w:val="bottom"/>
            <w:hideMark/>
          </w:tcPr>
          <w:p w14:paraId="7156F343" w14:textId="77777777" w:rsidR="00000000" w:rsidRDefault="001D0688">
            <w:pPr>
              <w:rPr>
                <w:rFonts w:eastAsia="Times New Roman"/>
              </w:rPr>
            </w:pPr>
            <w:r>
              <w:rPr>
                <w:rFonts w:ascii="Arial" w:eastAsia="Times New Roman" w:hAnsi="Arial" w:cs="Arial"/>
                <w:b/>
                <w:bCs/>
                <w:color w:val="000000"/>
                <w:sz w:val="20"/>
                <w:szCs w:val="20"/>
              </w:rPr>
              <w:t>Accounts receivable and sales allowances</w:t>
            </w:r>
          </w:p>
        </w:tc>
        <w:tc>
          <w:tcPr>
            <w:tcW w:w="0" w:type="auto"/>
            <w:gridSpan w:val="3"/>
            <w:tcBorders>
              <w:top w:val="single" w:sz="8" w:space="0" w:color="000000"/>
            </w:tcBorders>
            <w:tcMar>
              <w:top w:w="0" w:type="dxa"/>
              <w:left w:w="20" w:type="dxa"/>
              <w:bottom w:w="0" w:type="dxa"/>
              <w:right w:w="20" w:type="dxa"/>
            </w:tcMar>
            <w:vAlign w:val="center"/>
            <w:hideMark/>
          </w:tcPr>
          <w:p w14:paraId="2FBF470E" w14:textId="77777777" w:rsidR="00000000" w:rsidRDefault="001D0688">
            <w:pPr>
              <w:rPr>
                <w:rFonts w:eastAsia="Times New Roman"/>
              </w:rPr>
            </w:pPr>
          </w:p>
        </w:tc>
        <w:tc>
          <w:tcPr>
            <w:tcW w:w="0" w:type="auto"/>
            <w:gridSpan w:val="3"/>
            <w:tcMar>
              <w:top w:w="0" w:type="dxa"/>
              <w:left w:w="20" w:type="dxa"/>
              <w:bottom w:w="0" w:type="dxa"/>
              <w:right w:w="20" w:type="dxa"/>
            </w:tcMar>
            <w:vAlign w:val="center"/>
            <w:hideMark/>
          </w:tcPr>
          <w:p w14:paraId="5815A559" w14:textId="77777777" w:rsidR="00000000" w:rsidRDefault="001D068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752930"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6B9F8D2" w14:textId="77777777" w:rsidR="00000000" w:rsidRDefault="001D068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8B56B8"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78AC728" w14:textId="77777777" w:rsidR="00000000" w:rsidRDefault="001D0688">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071C2D" w14:textId="77777777" w:rsidR="00000000" w:rsidRDefault="001D0688">
            <w:pPr>
              <w:rPr>
                <w:rFonts w:eastAsia="Times New Roman"/>
                <w:sz w:val="20"/>
                <w:szCs w:val="20"/>
              </w:rPr>
            </w:pPr>
          </w:p>
        </w:tc>
      </w:tr>
      <w:tr w:rsidR="00000000" w14:paraId="7774144E" w14:textId="77777777">
        <w:trPr>
          <w:divId w:val="196814844"/>
        </w:trPr>
        <w:tc>
          <w:tcPr>
            <w:tcW w:w="0" w:type="auto"/>
            <w:gridSpan w:val="3"/>
            <w:shd w:val="clear" w:color="auto" w:fill="DCE2EF"/>
            <w:tcMar>
              <w:top w:w="30" w:type="dxa"/>
              <w:left w:w="20" w:type="dxa"/>
              <w:bottom w:w="30" w:type="dxa"/>
              <w:right w:w="20" w:type="dxa"/>
            </w:tcMar>
            <w:vAlign w:val="bottom"/>
            <w:hideMark/>
          </w:tcPr>
          <w:p w14:paraId="7705BFF5" w14:textId="77777777" w:rsidR="00000000" w:rsidRDefault="001D0688">
            <w:pPr>
              <w:rPr>
                <w:rFonts w:eastAsia="Times New Roman"/>
              </w:rPr>
            </w:pPr>
            <w:r>
              <w:rPr>
                <w:rFonts w:ascii="Arial" w:eastAsia="Times New Roman" w:hAnsi="Arial" w:cs="Arial"/>
                <w:color w:val="000000"/>
                <w:sz w:val="20"/>
                <w:szCs w:val="20"/>
              </w:rPr>
              <w:t>2020</w:t>
            </w:r>
          </w:p>
        </w:tc>
        <w:tc>
          <w:tcPr>
            <w:tcW w:w="0" w:type="auto"/>
            <w:shd w:val="clear" w:color="auto" w:fill="DCE2EF"/>
            <w:tcMar>
              <w:top w:w="30" w:type="dxa"/>
              <w:left w:w="20" w:type="dxa"/>
              <w:bottom w:w="30" w:type="dxa"/>
              <w:right w:w="0" w:type="dxa"/>
            </w:tcMar>
            <w:vAlign w:val="bottom"/>
            <w:hideMark/>
          </w:tcPr>
          <w:p w14:paraId="32A210FE"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0E72A4D6" w14:textId="77777777" w:rsidR="00000000" w:rsidRDefault="001D0688">
            <w:pPr>
              <w:jc w:val="right"/>
              <w:rPr>
                <w:rFonts w:eastAsia="Times New Roman"/>
              </w:rPr>
            </w:pPr>
            <w:r>
              <w:rPr>
                <w:rFonts w:ascii="Arial" w:eastAsia="Times New Roman" w:hAnsi="Arial" w:cs="Arial"/>
                <w:color w:val="000000"/>
                <w:sz w:val="20"/>
                <w:szCs w:val="20"/>
              </w:rPr>
              <w:t>22.4 </w:t>
            </w:r>
          </w:p>
        </w:tc>
        <w:tc>
          <w:tcPr>
            <w:tcW w:w="0" w:type="auto"/>
            <w:shd w:val="clear" w:color="auto" w:fill="DCE2EF"/>
            <w:tcMar>
              <w:top w:w="30" w:type="dxa"/>
              <w:left w:w="0" w:type="dxa"/>
              <w:bottom w:w="30" w:type="dxa"/>
              <w:right w:w="20" w:type="dxa"/>
            </w:tcMar>
            <w:vAlign w:val="bottom"/>
            <w:hideMark/>
          </w:tcPr>
          <w:p w14:paraId="5F2A60E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D59DB1"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90F8C94" w14:textId="77777777" w:rsidR="00000000" w:rsidRDefault="001D0688">
            <w:pPr>
              <w:jc w:val="right"/>
              <w:rPr>
                <w:rFonts w:eastAsia="Times New Roman"/>
              </w:rPr>
            </w:pPr>
            <w:r>
              <w:rPr>
                <w:rFonts w:ascii="Arial" w:eastAsia="Times New Roman" w:hAnsi="Arial" w:cs="Arial"/>
                <w:color w:val="000000"/>
                <w:sz w:val="20"/>
                <w:szCs w:val="20"/>
              </w:rPr>
              <w:t>96.3 </w:t>
            </w:r>
          </w:p>
        </w:tc>
        <w:tc>
          <w:tcPr>
            <w:tcW w:w="0" w:type="auto"/>
            <w:shd w:val="clear" w:color="auto" w:fill="DCE2EF"/>
            <w:tcMar>
              <w:top w:w="30" w:type="dxa"/>
              <w:left w:w="0" w:type="dxa"/>
              <w:bottom w:w="30" w:type="dxa"/>
              <w:right w:w="20" w:type="dxa"/>
            </w:tcMar>
            <w:vAlign w:val="bottom"/>
            <w:hideMark/>
          </w:tcPr>
          <w:p w14:paraId="4490FE94"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83546D"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4A9937" w14:textId="77777777" w:rsidR="00000000" w:rsidRDefault="001D0688">
            <w:pPr>
              <w:jc w:val="right"/>
              <w:rPr>
                <w:rFonts w:eastAsia="Times New Roman"/>
              </w:rPr>
            </w:pPr>
            <w:r>
              <w:rPr>
                <w:rFonts w:ascii="Arial" w:eastAsia="Times New Roman" w:hAnsi="Arial" w:cs="Arial"/>
                <w:color w:val="000000"/>
                <w:sz w:val="20"/>
                <w:szCs w:val="20"/>
              </w:rPr>
              <w:t>(83.2)</w:t>
            </w:r>
          </w:p>
        </w:tc>
        <w:tc>
          <w:tcPr>
            <w:tcW w:w="0" w:type="auto"/>
            <w:shd w:val="clear" w:color="auto" w:fill="DCE2EF"/>
            <w:tcMar>
              <w:top w:w="30" w:type="dxa"/>
              <w:left w:w="0" w:type="dxa"/>
              <w:bottom w:w="30" w:type="dxa"/>
              <w:right w:w="20" w:type="dxa"/>
            </w:tcMar>
            <w:vAlign w:val="bottom"/>
            <w:hideMark/>
          </w:tcPr>
          <w:p w14:paraId="5EE48E9F"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405A15" w14:textId="77777777" w:rsidR="00000000" w:rsidRDefault="001D0688">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CCC95D2" w14:textId="77777777" w:rsidR="00000000" w:rsidRDefault="001D0688">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14:paraId="6F9C69FC" w14:textId="77777777" w:rsidR="00000000" w:rsidRDefault="001D0688">
            <w:pPr>
              <w:jc w:val="right"/>
              <w:rPr>
                <w:rFonts w:eastAsia="Times New Roman"/>
              </w:rPr>
            </w:pPr>
            <w:r>
              <w:rPr>
                <w:rFonts w:ascii="Arial" w:eastAsia="Times New Roman" w:hAnsi="Arial" w:cs="Arial"/>
                <w:color w:val="000000"/>
                <w:sz w:val="20"/>
                <w:szCs w:val="20"/>
              </w:rPr>
              <w:t>35.5 </w:t>
            </w:r>
          </w:p>
        </w:tc>
        <w:tc>
          <w:tcPr>
            <w:tcW w:w="0" w:type="auto"/>
            <w:shd w:val="clear" w:color="auto" w:fill="DCE2EF"/>
            <w:tcMar>
              <w:top w:w="30" w:type="dxa"/>
              <w:left w:w="0" w:type="dxa"/>
              <w:bottom w:w="30" w:type="dxa"/>
              <w:right w:w="20" w:type="dxa"/>
            </w:tcMar>
            <w:vAlign w:val="bottom"/>
            <w:hideMark/>
          </w:tcPr>
          <w:p w14:paraId="5E9AE5F0" w14:textId="77777777" w:rsidR="00000000" w:rsidRDefault="001D0688">
            <w:pPr>
              <w:jc w:val="right"/>
              <w:rPr>
                <w:rFonts w:eastAsia="Times New Roman"/>
              </w:rPr>
            </w:pPr>
          </w:p>
        </w:tc>
      </w:tr>
      <w:tr w:rsidR="00000000" w14:paraId="05248837" w14:textId="77777777">
        <w:trPr>
          <w:divId w:val="196814844"/>
        </w:trPr>
        <w:tc>
          <w:tcPr>
            <w:tcW w:w="0" w:type="auto"/>
            <w:gridSpan w:val="3"/>
            <w:shd w:val="clear" w:color="auto" w:fill="FFFFFF"/>
            <w:tcMar>
              <w:top w:w="30" w:type="dxa"/>
              <w:left w:w="20" w:type="dxa"/>
              <w:bottom w:w="30" w:type="dxa"/>
              <w:right w:w="20" w:type="dxa"/>
            </w:tcMar>
            <w:vAlign w:val="bottom"/>
            <w:hideMark/>
          </w:tcPr>
          <w:p w14:paraId="3B3BF8A9" w14:textId="77777777" w:rsidR="00000000" w:rsidRDefault="001D0688">
            <w:pPr>
              <w:rPr>
                <w:rFonts w:eastAsia="Times New Roman"/>
              </w:rPr>
            </w:pPr>
            <w:r>
              <w:rPr>
                <w:rFonts w:ascii="Arial" w:eastAsia="Times New Roman" w:hAnsi="Arial" w:cs="Arial"/>
                <w:color w:val="000000"/>
                <w:sz w:val="20"/>
                <w:szCs w:val="20"/>
              </w:rPr>
              <w:t>2019</w:t>
            </w:r>
          </w:p>
        </w:tc>
        <w:tc>
          <w:tcPr>
            <w:tcW w:w="0" w:type="auto"/>
            <w:gridSpan w:val="2"/>
            <w:shd w:val="clear" w:color="auto" w:fill="FFFFFF"/>
            <w:tcMar>
              <w:top w:w="30" w:type="dxa"/>
              <w:left w:w="20" w:type="dxa"/>
              <w:bottom w:w="30" w:type="dxa"/>
              <w:right w:w="0" w:type="dxa"/>
            </w:tcMar>
            <w:vAlign w:val="bottom"/>
            <w:hideMark/>
          </w:tcPr>
          <w:p w14:paraId="06BF3CD8" w14:textId="77777777" w:rsidR="00000000" w:rsidRDefault="001D0688">
            <w:pPr>
              <w:jc w:val="right"/>
              <w:rPr>
                <w:rFonts w:eastAsia="Times New Roman"/>
              </w:rPr>
            </w:pPr>
            <w:r>
              <w:rPr>
                <w:rFonts w:ascii="Arial" w:eastAsia="Times New Roman" w:hAnsi="Arial" w:cs="Arial"/>
                <w:color w:val="000000"/>
                <w:sz w:val="20"/>
                <w:szCs w:val="20"/>
              </w:rPr>
              <w:t>19.2 </w:t>
            </w:r>
          </w:p>
        </w:tc>
        <w:tc>
          <w:tcPr>
            <w:tcW w:w="0" w:type="auto"/>
            <w:shd w:val="clear" w:color="auto" w:fill="FFFFFF"/>
            <w:tcMar>
              <w:top w:w="30" w:type="dxa"/>
              <w:left w:w="0" w:type="dxa"/>
              <w:bottom w:w="30" w:type="dxa"/>
              <w:right w:w="20" w:type="dxa"/>
            </w:tcMar>
            <w:vAlign w:val="bottom"/>
            <w:hideMark/>
          </w:tcPr>
          <w:p w14:paraId="718DEEF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4E13A"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115F23" w14:textId="77777777" w:rsidR="00000000" w:rsidRDefault="001D0688">
            <w:pPr>
              <w:jc w:val="right"/>
              <w:rPr>
                <w:rFonts w:eastAsia="Times New Roman"/>
              </w:rPr>
            </w:pPr>
            <w:r>
              <w:rPr>
                <w:rFonts w:ascii="Arial" w:eastAsia="Times New Roman" w:hAnsi="Arial" w:cs="Arial"/>
                <w:color w:val="000000"/>
                <w:sz w:val="20"/>
                <w:szCs w:val="20"/>
              </w:rPr>
              <w:t>87.7 </w:t>
            </w:r>
          </w:p>
        </w:tc>
        <w:tc>
          <w:tcPr>
            <w:tcW w:w="0" w:type="auto"/>
            <w:shd w:val="clear" w:color="auto" w:fill="FFFFFF"/>
            <w:tcMar>
              <w:top w:w="30" w:type="dxa"/>
              <w:left w:w="0" w:type="dxa"/>
              <w:bottom w:w="30" w:type="dxa"/>
              <w:right w:w="20" w:type="dxa"/>
            </w:tcMar>
            <w:vAlign w:val="bottom"/>
            <w:hideMark/>
          </w:tcPr>
          <w:p w14:paraId="167B9F4E"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B21CB"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C33E7" w14:textId="77777777" w:rsidR="00000000" w:rsidRDefault="001D0688">
            <w:pPr>
              <w:jc w:val="right"/>
              <w:rPr>
                <w:rFonts w:eastAsia="Times New Roman"/>
              </w:rPr>
            </w:pPr>
            <w:r>
              <w:rPr>
                <w:rFonts w:ascii="Arial" w:eastAsia="Times New Roman" w:hAnsi="Arial" w:cs="Arial"/>
                <w:color w:val="000000"/>
                <w:sz w:val="20"/>
                <w:szCs w:val="20"/>
              </w:rPr>
              <w:t>(84.6)</w:t>
            </w:r>
          </w:p>
        </w:tc>
        <w:tc>
          <w:tcPr>
            <w:tcW w:w="0" w:type="auto"/>
            <w:shd w:val="clear" w:color="auto" w:fill="FFFFFF"/>
            <w:tcMar>
              <w:top w:w="30" w:type="dxa"/>
              <w:left w:w="0" w:type="dxa"/>
              <w:bottom w:w="30" w:type="dxa"/>
              <w:right w:w="20" w:type="dxa"/>
            </w:tcMar>
            <w:vAlign w:val="bottom"/>
            <w:hideMark/>
          </w:tcPr>
          <w:p w14:paraId="5B0FDF83" w14:textId="77777777" w:rsidR="00000000" w:rsidRDefault="001D068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E8015" w14:textId="77777777" w:rsidR="00000000" w:rsidRDefault="001D068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8450C9" w14:textId="77777777" w:rsidR="00000000" w:rsidRDefault="001D0688">
            <w:pPr>
              <w:jc w:val="right"/>
              <w:rPr>
                <w:rFonts w:eastAsia="Times New Roman"/>
              </w:rPr>
            </w:pPr>
            <w:r>
              <w:rPr>
                <w:rFonts w:ascii="Arial" w:eastAsia="Times New Roman" w:hAnsi="Arial" w:cs="Arial"/>
                <w:color w:val="000000"/>
                <w:sz w:val="20"/>
                <w:szCs w:val="20"/>
              </w:rPr>
              <w:t>22.4 </w:t>
            </w:r>
          </w:p>
        </w:tc>
        <w:tc>
          <w:tcPr>
            <w:tcW w:w="0" w:type="auto"/>
            <w:shd w:val="clear" w:color="auto" w:fill="FFFFFF"/>
            <w:tcMar>
              <w:top w:w="30" w:type="dxa"/>
              <w:left w:w="0" w:type="dxa"/>
              <w:bottom w:w="30" w:type="dxa"/>
              <w:right w:w="20" w:type="dxa"/>
            </w:tcMar>
            <w:vAlign w:val="bottom"/>
            <w:hideMark/>
          </w:tcPr>
          <w:p w14:paraId="4F1C20D6" w14:textId="77777777" w:rsidR="00000000" w:rsidRDefault="001D0688">
            <w:pPr>
              <w:jc w:val="right"/>
              <w:rPr>
                <w:rFonts w:eastAsia="Times New Roman"/>
              </w:rPr>
            </w:pPr>
          </w:p>
        </w:tc>
      </w:tr>
      <w:tr w:rsidR="00000000" w14:paraId="004A498D" w14:textId="77777777">
        <w:trPr>
          <w:divId w:val="196814844"/>
        </w:trPr>
        <w:tc>
          <w:tcPr>
            <w:tcW w:w="0" w:type="auto"/>
            <w:gridSpan w:val="3"/>
            <w:shd w:val="clear" w:color="auto" w:fill="DCE2EF"/>
            <w:tcMar>
              <w:top w:w="30" w:type="dxa"/>
              <w:left w:w="20" w:type="dxa"/>
              <w:bottom w:w="30" w:type="dxa"/>
              <w:right w:w="20" w:type="dxa"/>
            </w:tcMar>
            <w:vAlign w:val="bottom"/>
            <w:hideMark/>
          </w:tcPr>
          <w:p w14:paraId="658A4A9E" w14:textId="77777777" w:rsidR="00000000" w:rsidRDefault="001D0688">
            <w:pPr>
              <w:rPr>
                <w:rFonts w:eastAsia="Times New Roman"/>
              </w:rPr>
            </w:pPr>
            <w:r>
              <w:rPr>
                <w:rFonts w:ascii="Arial" w:eastAsia="Times New Roman" w:hAnsi="Arial" w:cs="Arial"/>
                <w:color w:val="000000"/>
                <w:sz w:val="20"/>
                <w:szCs w:val="20"/>
              </w:rPr>
              <w:t>2018</w:t>
            </w:r>
          </w:p>
        </w:tc>
        <w:tc>
          <w:tcPr>
            <w:tcW w:w="0" w:type="auto"/>
            <w:gridSpan w:val="2"/>
            <w:shd w:val="clear" w:color="auto" w:fill="DCE2EF"/>
            <w:tcMar>
              <w:top w:w="30" w:type="dxa"/>
              <w:left w:w="20" w:type="dxa"/>
              <w:bottom w:w="30" w:type="dxa"/>
              <w:right w:w="0" w:type="dxa"/>
            </w:tcMar>
            <w:vAlign w:val="bottom"/>
            <w:hideMark/>
          </w:tcPr>
          <w:p w14:paraId="055D88C9" w14:textId="77777777" w:rsidR="00000000" w:rsidRDefault="001D0688">
            <w:pPr>
              <w:jc w:val="right"/>
              <w:rPr>
                <w:rFonts w:eastAsia="Times New Roman"/>
              </w:rPr>
            </w:pPr>
            <w:r>
              <w:rPr>
                <w:rFonts w:ascii="Arial" w:eastAsia="Times New Roman" w:hAnsi="Arial" w:cs="Arial"/>
                <w:color w:val="000000"/>
                <w:sz w:val="20"/>
                <w:szCs w:val="20"/>
              </w:rPr>
              <w:t>25.5 </w:t>
            </w:r>
          </w:p>
        </w:tc>
        <w:tc>
          <w:tcPr>
            <w:tcW w:w="0" w:type="auto"/>
            <w:shd w:val="clear" w:color="auto" w:fill="DCE2EF"/>
            <w:tcMar>
              <w:top w:w="30" w:type="dxa"/>
              <w:left w:w="0" w:type="dxa"/>
              <w:bottom w:w="30" w:type="dxa"/>
              <w:right w:w="20" w:type="dxa"/>
            </w:tcMar>
            <w:vAlign w:val="bottom"/>
            <w:hideMark/>
          </w:tcPr>
          <w:p w14:paraId="70554462"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2D5ABE"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FED74E" w14:textId="77777777" w:rsidR="00000000" w:rsidRDefault="001D0688">
            <w:pPr>
              <w:jc w:val="right"/>
              <w:rPr>
                <w:rFonts w:eastAsia="Times New Roman"/>
              </w:rPr>
            </w:pPr>
            <w:r>
              <w:rPr>
                <w:rFonts w:ascii="Arial" w:eastAsia="Times New Roman" w:hAnsi="Arial" w:cs="Arial"/>
                <w:color w:val="000000"/>
                <w:sz w:val="20"/>
                <w:szCs w:val="20"/>
              </w:rPr>
              <w:t>57.4 </w:t>
            </w:r>
          </w:p>
        </w:tc>
        <w:tc>
          <w:tcPr>
            <w:tcW w:w="0" w:type="auto"/>
            <w:shd w:val="clear" w:color="auto" w:fill="DCE2EF"/>
            <w:tcMar>
              <w:top w:w="30" w:type="dxa"/>
              <w:left w:w="0" w:type="dxa"/>
              <w:bottom w:w="30" w:type="dxa"/>
              <w:right w:w="20" w:type="dxa"/>
            </w:tcMar>
            <w:vAlign w:val="bottom"/>
            <w:hideMark/>
          </w:tcPr>
          <w:p w14:paraId="7B96B295"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F4E0A05"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E34073" w14:textId="77777777" w:rsidR="00000000" w:rsidRDefault="001D0688">
            <w:pPr>
              <w:jc w:val="right"/>
              <w:rPr>
                <w:rFonts w:eastAsia="Times New Roman"/>
              </w:rPr>
            </w:pPr>
            <w:r>
              <w:rPr>
                <w:rFonts w:ascii="Arial" w:eastAsia="Times New Roman" w:hAnsi="Arial" w:cs="Arial"/>
                <w:color w:val="000000"/>
                <w:sz w:val="20"/>
                <w:szCs w:val="20"/>
              </w:rPr>
              <w:t>(63.6)</w:t>
            </w:r>
          </w:p>
        </w:tc>
        <w:tc>
          <w:tcPr>
            <w:tcW w:w="0" w:type="auto"/>
            <w:shd w:val="clear" w:color="auto" w:fill="DCE2EF"/>
            <w:tcMar>
              <w:top w:w="30" w:type="dxa"/>
              <w:left w:w="0" w:type="dxa"/>
              <w:bottom w:w="30" w:type="dxa"/>
              <w:right w:w="20" w:type="dxa"/>
            </w:tcMar>
            <w:vAlign w:val="bottom"/>
            <w:hideMark/>
          </w:tcPr>
          <w:p w14:paraId="5C2C656D" w14:textId="77777777" w:rsidR="00000000" w:rsidRDefault="001D0688">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3BE4C9" w14:textId="77777777" w:rsidR="00000000" w:rsidRDefault="001D0688">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C4B2DC" w14:textId="77777777" w:rsidR="00000000" w:rsidRDefault="001D0688">
            <w:pPr>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14:paraId="770E7277" w14:textId="77777777" w:rsidR="00000000" w:rsidRDefault="001D0688">
            <w:pPr>
              <w:jc w:val="right"/>
              <w:rPr>
                <w:rFonts w:eastAsia="Times New Roman"/>
              </w:rPr>
            </w:pPr>
          </w:p>
        </w:tc>
      </w:tr>
    </w:tbl>
    <w:p w14:paraId="3CF465B0" w14:textId="77777777" w:rsidR="00000000" w:rsidRDefault="001D0688">
      <w:pPr>
        <w:ind w:hanging="180"/>
        <w:divId w:val="320232288"/>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12"/>
          <w:szCs w:val="12"/>
        </w:rPr>
        <w:t xml:space="preserve"> </w:t>
      </w:r>
      <w:r>
        <w:rPr>
          <w:rFonts w:ascii="Arial" w:eastAsia="Times New Roman" w:hAnsi="Arial" w:cs="Arial"/>
          <w:color w:val="000000"/>
          <w:sz w:val="18"/>
          <w:szCs w:val="18"/>
        </w:rPr>
        <w:t>Write-offs are net of recoveries.</w:t>
      </w:r>
    </w:p>
    <w:p w14:paraId="06EDE503" w14:textId="77777777" w:rsidR="00000000" w:rsidRDefault="001D0688">
      <w:pPr>
        <w:jc w:val="center"/>
        <w:divId w:val="342627865"/>
        <w:rPr>
          <w:rFonts w:eastAsia="Times New Roman"/>
        </w:rPr>
      </w:pPr>
      <w:r>
        <w:rPr>
          <w:rFonts w:ascii="Arial" w:eastAsia="Times New Roman" w:hAnsi="Arial" w:cs="Arial"/>
          <w:color w:val="000000"/>
          <w:sz w:val="20"/>
          <w:szCs w:val="20"/>
        </w:rPr>
        <w:t>100</w:t>
      </w:r>
    </w:p>
    <w:p w14:paraId="6F775E4E" w14:textId="77777777" w:rsidR="00000000" w:rsidRDefault="001D0688">
      <w:pPr>
        <w:rPr>
          <w:rFonts w:eastAsia="Times New Roman"/>
        </w:rPr>
      </w:pPr>
      <w:r>
        <w:rPr>
          <w:rFonts w:eastAsia="Times New Roman"/>
        </w:rPr>
        <w:pict w14:anchorId="55FDF638">
          <v:rect id="_x0000_i1137" style="width:0;height:1.5pt" o:hralign="center" o:hrstd="t" o:hr="t" fillcolor="#a0a0a0" stroked="f"/>
        </w:pict>
      </w:r>
    </w:p>
    <w:p w14:paraId="5169DBB5" w14:textId="77777777" w:rsidR="00000000" w:rsidRDefault="001D0688">
      <w:pPr>
        <w:divId w:val="1749229329"/>
        <w:rPr>
          <w:rFonts w:eastAsia="Times New Roman"/>
        </w:rPr>
      </w:pPr>
    </w:p>
    <w:p w14:paraId="651E94E1" w14:textId="77777777" w:rsidR="00000000" w:rsidRDefault="001D0688">
      <w:pPr>
        <w:divId w:val="593440838"/>
        <w:rPr>
          <w:rFonts w:eastAsia="Times New Roman"/>
        </w:rPr>
      </w:pPr>
      <w:r>
        <w:rPr>
          <w:rFonts w:ascii="Arial" w:eastAsia="Times New Roman" w:hAnsi="Arial" w:cs="Arial"/>
          <w:b/>
          <w:bCs/>
          <w:color w:val="0046AD"/>
          <w:sz w:val="20"/>
          <w:szCs w:val="20"/>
        </w:rPr>
        <w:t xml:space="preserve">EXHIBIT </w:t>
      </w:r>
      <w:r>
        <w:rPr>
          <w:rFonts w:ascii="Arial" w:eastAsia="Times New Roman" w:hAnsi="Arial" w:cs="Arial"/>
          <w:b/>
          <w:bCs/>
          <w:color w:val="0046AD"/>
          <w:sz w:val="20"/>
          <w:szCs w:val="20"/>
        </w:rPr>
        <w:t>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765"/>
        <w:gridCol w:w="36"/>
        <w:gridCol w:w="36"/>
        <w:gridCol w:w="36"/>
        <w:gridCol w:w="36"/>
        <w:gridCol w:w="46"/>
        <w:gridCol w:w="3239"/>
        <w:gridCol w:w="36"/>
        <w:gridCol w:w="36"/>
        <w:gridCol w:w="36"/>
        <w:gridCol w:w="36"/>
        <w:gridCol w:w="91"/>
        <w:gridCol w:w="440"/>
        <w:gridCol w:w="37"/>
        <w:gridCol w:w="37"/>
        <w:gridCol w:w="37"/>
        <w:gridCol w:w="37"/>
        <w:gridCol w:w="54"/>
        <w:gridCol w:w="714"/>
        <w:gridCol w:w="39"/>
        <w:gridCol w:w="37"/>
        <w:gridCol w:w="37"/>
        <w:gridCol w:w="36"/>
        <w:gridCol w:w="92"/>
        <w:gridCol w:w="606"/>
        <w:gridCol w:w="36"/>
        <w:gridCol w:w="36"/>
        <w:gridCol w:w="36"/>
        <w:gridCol w:w="36"/>
        <w:gridCol w:w="54"/>
        <w:gridCol w:w="1374"/>
        <w:gridCol w:w="38"/>
      </w:tblGrid>
      <w:tr w:rsidR="00000000" w14:paraId="708017EE" w14:textId="77777777">
        <w:trPr>
          <w:divId w:val="2081245169"/>
        </w:trPr>
        <w:tc>
          <w:tcPr>
            <w:tcW w:w="50" w:type="pct"/>
            <w:vAlign w:val="center"/>
            <w:hideMark/>
          </w:tcPr>
          <w:p w14:paraId="61426BAE" w14:textId="77777777" w:rsidR="00000000" w:rsidRDefault="001D0688">
            <w:pPr>
              <w:rPr>
                <w:rFonts w:eastAsia="Times New Roman"/>
              </w:rPr>
            </w:pPr>
          </w:p>
        </w:tc>
        <w:tc>
          <w:tcPr>
            <w:tcW w:w="500" w:type="pct"/>
            <w:vAlign w:val="center"/>
            <w:hideMark/>
          </w:tcPr>
          <w:p w14:paraId="4C29DA49" w14:textId="77777777" w:rsidR="00000000" w:rsidRDefault="001D0688">
            <w:pPr>
              <w:rPr>
                <w:rFonts w:eastAsia="Times New Roman"/>
                <w:sz w:val="20"/>
                <w:szCs w:val="20"/>
              </w:rPr>
            </w:pPr>
          </w:p>
        </w:tc>
        <w:tc>
          <w:tcPr>
            <w:tcW w:w="5" w:type="pct"/>
            <w:vAlign w:val="center"/>
            <w:hideMark/>
          </w:tcPr>
          <w:p w14:paraId="7CA807D2" w14:textId="77777777" w:rsidR="00000000" w:rsidRDefault="001D0688">
            <w:pPr>
              <w:rPr>
                <w:rFonts w:eastAsia="Times New Roman"/>
                <w:sz w:val="20"/>
                <w:szCs w:val="20"/>
              </w:rPr>
            </w:pPr>
          </w:p>
        </w:tc>
        <w:tc>
          <w:tcPr>
            <w:tcW w:w="5" w:type="pct"/>
            <w:vAlign w:val="center"/>
            <w:hideMark/>
          </w:tcPr>
          <w:p w14:paraId="5540F34E" w14:textId="77777777" w:rsidR="00000000" w:rsidRDefault="001D0688">
            <w:pPr>
              <w:rPr>
                <w:rFonts w:eastAsia="Times New Roman"/>
                <w:sz w:val="20"/>
                <w:szCs w:val="20"/>
              </w:rPr>
            </w:pPr>
          </w:p>
        </w:tc>
        <w:tc>
          <w:tcPr>
            <w:tcW w:w="26" w:type="pct"/>
            <w:vAlign w:val="center"/>
            <w:hideMark/>
          </w:tcPr>
          <w:p w14:paraId="37C2E675" w14:textId="77777777" w:rsidR="00000000" w:rsidRDefault="001D0688">
            <w:pPr>
              <w:rPr>
                <w:rFonts w:eastAsia="Times New Roman"/>
                <w:sz w:val="20"/>
                <w:szCs w:val="20"/>
              </w:rPr>
            </w:pPr>
          </w:p>
        </w:tc>
        <w:tc>
          <w:tcPr>
            <w:tcW w:w="5" w:type="pct"/>
            <w:vAlign w:val="center"/>
            <w:hideMark/>
          </w:tcPr>
          <w:p w14:paraId="4B0FD84A" w14:textId="77777777" w:rsidR="00000000" w:rsidRDefault="001D0688">
            <w:pPr>
              <w:rPr>
                <w:rFonts w:eastAsia="Times New Roman"/>
                <w:sz w:val="20"/>
                <w:szCs w:val="20"/>
              </w:rPr>
            </w:pPr>
          </w:p>
        </w:tc>
        <w:tc>
          <w:tcPr>
            <w:tcW w:w="50" w:type="pct"/>
            <w:vAlign w:val="center"/>
            <w:hideMark/>
          </w:tcPr>
          <w:p w14:paraId="39E97B28" w14:textId="77777777" w:rsidR="00000000" w:rsidRDefault="001D0688">
            <w:pPr>
              <w:rPr>
                <w:rFonts w:eastAsia="Times New Roman"/>
                <w:sz w:val="20"/>
                <w:szCs w:val="20"/>
              </w:rPr>
            </w:pPr>
          </w:p>
        </w:tc>
        <w:tc>
          <w:tcPr>
            <w:tcW w:w="1999" w:type="pct"/>
            <w:vAlign w:val="center"/>
            <w:hideMark/>
          </w:tcPr>
          <w:p w14:paraId="4D267310" w14:textId="77777777" w:rsidR="00000000" w:rsidRDefault="001D0688">
            <w:pPr>
              <w:rPr>
                <w:rFonts w:eastAsia="Times New Roman"/>
                <w:sz w:val="20"/>
                <w:szCs w:val="20"/>
              </w:rPr>
            </w:pPr>
          </w:p>
        </w:tc>
        <w:tc>
          <w:tcPr>
            <w:tcW w:w="5" w:type="pct"/>
            <w:vAlign w:val="center"/>
            <w:hideMark/>
          </w:tcPr>
          <w:p w14:paraId="57191C3B" w14:textId="77777777" w:rsidR="00000000" w:rsidRDefault="001D0688">
            <w:pPr>
              <w:rPr>
                <w:rFonts w:eastAsia="Times New Roman"/>
                <w:sz w:val="20"/>
                <w:szCs w:val="20"/>
              </w:rPr>
            </w:pPr>
          </w:p>
        </w:tc>
        <w:tc>
          <w:tcPr>
            <w:tcW w:w="5" w:type="pct"/>
            <w:vAlign w:val="center"/>
            <w:hideMark/>
          </w:tcPr>
          <w:p w14:paraId="795CE117" w14:textId="77777777" w:rsidR="00000000" w:rsidRDefault="001D0688">
            <w:pPr>
              <w:rPr>
                <w:rFonts w:eastAsia="Times New Roman"/>
                <w:sz w:val="20"/>
                <w:szCs w:val="20"/>
              </w:rPr>
            </w:pPr>
          </w:p>
        </w:tc>
        <w:tc>
          <w:tcPr>
            <w:tcW w:w="26" w:type="pct"/>
            <w:vAlign w:val="center"/>
            <w:hideMark/>
          </w:tcPr>
          <w:p w14:paraId="7B343181" w14:textId="77777777" w:rsidR="00000000" w:rsidRDefault="001D0688">
            <w:pPr>
              <w:rPr>
                <w:rFonts w:eastAsia="Times New Roman"/>
                <w:sz w:val="20"/>
                <w:szCs w:val="20"/>
              </w:rPr>
            </w:pPr>
          </w:p>
        </w:tc>
        <w:tc>
          <w:tcPr>
            <w:tcW w:w="5" w:type="pct"/>
            <w:vAlign w:val="center"/>
            <w:hideMark/>
          </w:tcPr>
          <w:p w14:paraId="1C5C0F56" w14:textId="77777777" w:rsidR="00000000" w:rsidRDefault="001D0688">
            <w:pPr>
              <w:rPr>
                <w:rFonts w:eastAsia="Times New Roman"/>
                <w:sz w:val="20"/>
                <w:szCs w:val="20"/>
              </w:rPr>
            </w:pPr>
          </w:p>
        </w:tc>
        <w:tc>
          <w:tcPr>
            <w:tcW w:w="50" w:type="pct"/>
            <w:vAlign w:val="center"/>
            <w:hideMark/>
          </w:tcPr>
          <w:p w14:paraId="12C51842" w14:textId="77777777" w:rsidR="00000000" w:rsidRDefault="001D0688">
            <w:pPr>
              <w:rPr>
                <w:rFonts w:eastAsia="Times New Roman"/>
                <w:sz w:val="20"/>
                <w:szCs w:val="20"/>
              </w:rPr>
            </w:pPr>
          </w:p>
        </w:tc>
        <w:tc>
          <w:tcPr>
            <w:tcW w:w="244" w:type="pct"/>
            <w:vAlign w:val="center"/>
            <w:hideMark/>
          </w:tcPr>
          <w:p w14:paraId="2E40506E" w14:textId="77777777" w:rsidR="00000000" w:rsidRDefault="001D0688">
            <w:pPr>
              <w:rPr>
                <w:rFonts w:eastAsia="Times New Roman"/>
                <w:sz w:val="20"/>
                <w:szCs w:val="20"/>
              </w:rPr>
            </w:pPr>
          </w:p>
        </w:tc>
        <w:tc>
          <w:tcPr>
            <w:tcW w:w="5" w:type="pct"/>
            <w:vAlign w:val="center"/>
            <w:hideMark/>
          </w:tcPr>
          <w:p w14:paraId="745A4521" w14:textId="77777777" w:rsidR="00000000" w:rsidRDefault="001D0688">
            <w:pPr>
              <w:rPr>
                <w:rFonts w:eastAsia="Times New Roman"/>
                <w:sz w:val="20"/>
                <w:szCs w:val="20"/>
              </w:rPr>
            </w:pPr>
          </w:p>
        </w:tc>
        <w:tc>
          <w:tcPr>
            <w:tcW w:w="5" w:type="pct"/>
            <w:vAlign w:val="center"/>
            <w:hideMark/>
          </w:tcPr>
          <w:p w14:paraId="461AF388" w14:textId="77777777" w:rsidR="00000000" w:rsidRDefault="001D0688">
            <w:pPr>
              <w:rPr>
                <w:rFonts w:eastAsia="Times New Roman"/>
                <w:sz w:val="20"/>
                <w:szCs w:val="20"/>
              </w:rPr>
            </w:pPr>
          </w:p>
        </w:tc>
        <w:tc>
          <w:tcPr>
            <w:tcW w:w="26" w:type="pct"/>
            <w:vAlign w:val="center"/>
            <w:hideMark/>
          </w:tcPr>
          <w:p w14:paraId="12FD7BA8" w14:textId="77777777" w:rsidR="00000000" w:rsidRDefault="001D0688">
            <w:pPr>
              <w:rPr>
                <w:rFonts w:eastAsia="Times New Roman"/>
                <w:sz w:val="20"/>
                <w:szCs w:val="20"/>
              </w:rPr>
            </w:pPr>
          </w:p>
        </w:tc>
        <w:tc>
          <w:tcPr>
            <w:tcW w:w="5" w:type="pct"/>
            <w:vAlign w:val="center"/>
            <w:hideMark/>
          </w:tcPr>
          <w:p w14:paraId="217D87F1" w14:textId="77777777" w:rsidR="00000000" w:rsidRDefault="001D0688">
            <w:pPr>
              <w:rPr>
                <w:rFonts w:eastAsia="Times New Roman"/>
                <w:sz w:val="20"/>
                <w:szCs w:val="20"/>
              </w:rPr>
            </w:pPr>
          </w:p>
        </w:tc>
        <w:tc>
          <w:tcPr>
            <w:tcW w:w="50" w:type="pct"/>
            <w:vAlign w:val="center"/>
            <w:hideMark/>
          </w:tcPr>
          <w:p w14:paraId="67D4ECF5" w14:textId="77777777" w:rsidR="00000000" w:rsidRDefault="001D0688">
            <w:pPr>
              <w:rPr>
                <w:rFonts w:eastAsia="Times New Roman"/>
                <w:sz w:val="20"/>
                <w:szCs w:val="20"/>
              </w:rPr>
            </w:pPr>
          </w:p>
        </w:tc>
        <w:tc>
          <w:tcPr>
            <w:tcW w:w="507" w:type="pct"/>
            <w:vAlign w:val="center"/>
            <w:hideMark/>
          </w:tcPr>
          <w:p w14:paraId="6E936CFC" w14:textId="77777777" w:rsidR="00000000" w:rsidRDefault="001D0688">
            <w:pPr>
              <w:rPr>
                <w:rFonts w:eastAsia="Times New Roman"/>
                <w:sz w:val="20"/>
                <w:szCs w:val="20"/>
              </w:rPr>
            </w:pPr>
          </w:p>
        </w:tc>
        <w:tc>
          <w:tcPr>
            <w:tcW w:w="5" w:type="pct"/>
            <w:vAlign w:val="center"/>
            <w:hideMark/>
          </w:tcPr>
          <w:p w14:paraId="28C8F4A9" w14:textId="77777777" w:rsidR="00000000" w:rsidRDefault="001D0688">
            <w:pPr>
              <w:rPr>
                <w:rFonts w:eastAsia="Times New Roman"/>
                <w:sz w:val="20"/>
                <w:szCs w:val="20"/>
              </w:rPr>
            </w:pPr>
          </w:p>
        </w:tc>
        <w:tc>
          <w:tcPr>
            <w:tcW w:w="5" w:type="pct"/>
            <w:vAlign w:val="center"/>
            <w:hideMark/>
          </w:tcPr>
          <w:p w14:paraId="405ECDA3" w14:textId="77777777" w:rsidR="00000000" w:rsidRDefault="001D0688">
            <w:pPr>
              <w:rPr>
                <w:rFonts w:eastAsia="Times New Roman"/>
                <w:sz w:val="20"/>
                <w:szCs w:val="20"/>
              </w:rPr>
            </w:pPr>
          </w:p>
        </w:tc>
        <w:tc>
          <w:tcPr>
            <w:tcW w:w="26" w:type="pct"/>
            <w:vAlign w:val="center"/>
            <w:hideMark/>
          </w:tcPr>
          <w:p w14:paraId="1003C2AE" w14:textId="77777777" w:rsidR="00000000" w:rsidRDefault="001D0688">
            <w:pPr>
              <w:rPr>
                <w:rFonts w:eastAsia="Times New Roman"/>
                <w:sz w:val="20"/>
                <w:szCs w:val="20"/>
              </w:rPr>
            </w:pPr>
          </w:p>
        </w:tc>
        <w:tc>
          <w:tcPr>
            <w:tcW w:w="5" w:type="pct"/>
            <w:vAlign w:val="center"/>
            <w:hideMark/>
          </w:tcPr>
          <w:p w14:paraId="7B50463A" w14:textId="77777777" w:rsidR="00000000" w:rsidRDefault="001D0688">
            <w:pPr>
              <w:rPr>
                <w:rFonts w:eastAsia="Times New Roman"/>
                <w:sz w:val="20"/>
                <w:szCs w:val="20"/>
              </w:rPr>
            </w:pPr>
          </w:p>
        </w:tc>
        <w:tc>
          <w:tcPr>
            <w:tcW w:w="50" w:type="pct"/>
            <w:vAlign w:val="center"/>
            <w:hideMark/>
          </w:tcPr>
          <w:p w14:paraId="51A3280A" w14:textId="77777777" w:rsidR="00000000" w:rsidRDefault="001D0688">
            <w:pPr>
              <w:rPr>
                <w:rFonts w:eastAsia="Times New Roman"/>
                <w:sz w:val="20"/>
                <w:szCs w:val="20"/>
              </w:rPr>
            </w:pPr>
          </w:p>
        </w:tc>
        <w:tc>
          <w:tcPr>
            <w:tcW w:w="332" w:type="pct"/>
            <w:vAlign w:val="center"/>
            <w:hideMark/>
          </w:tcPr>
          <w:p w14:paraId="7B43E2F8" w14:textId="77777777" w:rsidR="00000000" w:rsidRDefault="001D0688">
            <w:pPr>
              <w:rPr>
                <w:rFonts w:eastAsia="Times New Roman"/>
                <w:sz w:val="20"/>
                <w:szCs w:val="20"/>
              </w:rPr>
            </w:pPr>
          </w:p>
        </w:tc>
        <w:tc>
          <w:tcPr>
            <w:tcW w:w="5" w:type="pct"/>
            <w:vAlign w:val="center"/>
            <w:hideMark/>
          </w:tcPr>
          <w:p w14:paraId="76672E0A" w14:textId="77777777" w:rsidR="00000000" w:rsidRDefault="001D0688">
            <w:pPr>
              <w:rPr>
                <w:rFonts w:eastAsia="Times New Roman"/>
                <w:sz w:val="20"/>
                <w:szCs w:val="20"/>
              </w:rPr>
            </w:pPr>
          </w:p>
        </w:tc>
        <w:tc>
          <w:tcPr>
            <w:tcW w:w="5" w:type="pct"/>
            <w:vAlign w:val="center"/>
            <w:hideMark/>
          </w:tcPr>
          <w:p w14:paraId="6F5E2FD7" w14:textId="77777777" w:rsidR="00000000" w:rsidRDefault="001D0688">
            <w:pPr>
              <w:rPr>
                <w:rFonts w:eastAsia="Times New Roman"/>
                <w:sz w:val="20"/>
                <w:szCs w:val="20"/>
              </w:rPr>
            </w:pPr>
          </w:p>
        </w:tc>
        <w:tc>
          <w:tcPr>
            <w:tcW w:w="26" w:type="pct"/>
            <w:vAlign w:val="center"/>
            <w:hideMark/>
          </w:tcPr>
          <w:p w14:paraId="0B5E2ED7" w14:textId="77777777" w:rsidR="00000000" w:rsidRDefault="001D0688">
            <w:pPr>
              <w:rPr>
                <w:rFonts w:eastAsia="Times New Roman"/>
                <w:sz w:val="20"/>
                <w:szCs w:val="20"/>
              </w:rPr>
            </w:pPr>
          </w:p>
        </w:tc>
        <w:tc>
          <w:tcPr>
            <w:tcW w:w="5" w:type="pct"/>
            <w:vAlign w:val="center"/>
            <w:hideMark/>
          </w:tcPr>
          <w:p w14:paraId="37379897" w14:textId="77777777" w:rsidR="00000000" w:rsidRDefault="001D0688">
            <w:pPr>
              <w:rPr>
                <w:rFonts w:eastAsia="Times New Roman"/>
                <w:sz w:val="20"/>
                <w:szCs w:val="20"/>
              </w:rPr>
            </w:pPr>
          </w:p>
        </w:tc>
        <w:tc>
          <w:tcPr>
            <w:tcW w:w="50" w:type="pct"/>
            <w:vAlign w:val="center"/>
            <w:hideMark/>
          </w:tcPr>
          <w:p w14:paraId="6AE5B251" w14:textId="77777777" w:rsidR="00000000" w:rsidRDefault="001D0688">
            <w:pPr>
              <w:rPr>
                <w:rFonts w:eastAsia="Times New Roman"/>
                <w:sz w:val="20"/>
                <w:szCs w:val="20"/>
              </w:rPr>
            </w:pPr>
          </w:p>
        </w:tc>
        <w:tc>
          <w:tcPr>
            <w:tcW w:w="902" w:type="pct"/>
            <w:vAlign w:val="center"/>
            <w:hideMark/>
          </w:tcPr>
          <w:p w14:paraId="08F6C8FC" w14:textId="77777777" w:rsidR="00000000" w:rsidRDefault="001D0688">
            <w:pPr>
              <w:rPr>
                <w:rFonts w:eastAsia="Times New Roman"/>
                <w:sz w:val="20"/>
                <w:szCs w:val="20"/>
              </w:rPr>
            </w:pPr>
          </w:p>
        </w:tc>
        <w:tc>
          <w:tcPr>
            <w:tcW w:w="5" w:type="pct"/>
            <w:vAlign w:val="center"/>
            <w:hideMark/>
          </w:tcPr>
          <w:p w14:paraId="7E893340" w14:textId="77777777" w:rsidR="00000000" w:rsidRDefault="001D0688">
            <w:pPr>
              <w:rPr>
                <w:rFonts w:eastAsia="Times New Roman"/>
                <w:sz w:val="20"/>
                <w:szCs w:val="20"/>
              </w:rPr>
            </w:pPr>
          </w:p>
        </w:tc>
      </w:tr>
      <w:tr w:rsidR="00000000" w14:paraId="39381BB5" w14:textId="77777777">
        <w:trPr>
          <w:divId w:val="2081245169"/>
          <w:trHeight w:val="300"/>
        </w:trPr>
        <w:tc>
          <w:tcPr>
            <w:tcW w:w="0" w:type="auto"/>
            <w:gridSpan w:val="3"/>
            <w:tcMar>
              <w:top w:w="30" w:type="dxa"/>
              <w:left w:w="20" w:type="dxa"/>
              <w:bottom w:w="30" w:type="dxa"/>
              <w:right w:w="20" w:type="dxa"/>
            </w:tcMar>
            <w:hideMark/>
          </w:tcPr>
          <w:p w14:paraId="7D23050F" w14:textId="77777777" w:rsidR="00000000" w:rsidRDefault="001D0688">
            <w:pPr>
              <w:jc w:val="center"/>
              <w:rPr>
                <w:rFonts w:eastAsia="Times New Roman"/>
              </w:rPr>
            </w:pPr>
            <w:r>
              <w:rPr>
                <w:rFonts w:ascii="Arial" w:eastAsia="Times New Roman" w:hAnsi="Arial" w:cs="Arial"/>
                <w:b/>
                <w:bCs/>
                <w:color w:val="000000"/>
                <w:sz w:val="20"/>
                <w:szCs w:val="20"/>
              </w:rPr>
              <w:t>Exhibit</w:t>
            </w:r>
          </w:p>
        </w:tc>
        <w:tc>
          <w:tcPr>
            <w:tcW w:w="0" w:type="auto"/>
            <w:gridSpan w:val="3"/>
            <w:tcMar>
              <w:top w:w="0" w:type="dxa"/>
              <w:left w:w="20" w:type="dxa"/>
              <w:bottom w:w="0" w:type="dxa"/>
              <w:right w:w="20" w:type="dxa"/>
            </w:tcMar>
            <w:vAlign w:val="center"/>
            <w:hideMark/>
          </w:tcPr>
          <w:p w14:paraId="43861D8A" w14:textId="77777777" w:rsidR="00000000" w:rsidRDefault="001D0688">
            <w:pPr>
              <w:jc w:val="center"/>
              <w:rPr>
                <w:rFonts w:eastAsia="Times New Roman"/>
              </w:rPr>
            </w:pPr>
          </w:p>
        </w:tc>
        <w:tc>
          <w:tcPr>
            <w:tcW w:w="0" w:type="auto"/>
            <w:gridSpan w:val="3"/>
            <w:vMerge w:val="restart"/>
            <w:tcMar>
              <w:top w:w="30" w:type="dxa"/>
              <w:left w:w="20" w:type="dxa"/>
              <w:bottom w:w="30" w:type="dxa"/>
              <w:right w:w="20" w:type="dxa"/>
            </w:tcMar>
            <w:hideMark/>
          </w:tcPr>
          <w:p w14:paraId="0B28122D" w14:textId="77777777" w:rsidR="00000000" w:rsidRDefault="001D0688">
            <w:pPr>
              <w:jc w:val="center"/>
              <w:rPr>
                <w:rFonts w:eastAsia="Times New Roman"/>
              </w:rPr>
            </w:pPr>
            <w:r>
              <w:rPr>
                <w:rFonts w:ascii="Arial" w:eastAsia="Times New Roman" w:hAnsi="Arial" w:cs="Arial"/>
                <w:b/>
                <w:bCs/>
                <w:color w:val="000000"/>
                <w:sz w:val="20"/>
                <w:szCs w:val="20"/>
              </w:rPr>
              <w:t>Exhibit Description</w:t>
            </w:r>
          </w:p>
        </w:tc>
        <w:tc>
          <w:tcPr>
            <w:tcW w:w="0" w:type="auto"/>
            <w:gridSpan w:val="3"/>
            <w:vMerge w:val="restart"/>
            <w:tcMar>
              <w:top w:w="0" w:type="dxa"/>
              <w:left w:w="20" w:type="dxa"/>
              <w:bottom w:w="0" w:type="dxa"/>
              <w:right w:w="20" w:type="dxa"/>
            </w:tcMar>
            <w:vAlign w:val="center"/>
            <w:hideMark/>
          </w:tcPr>
          <w:p w14:paraId="1B4DF010" w14:textId="77777777" w:rsidR="00000000" w:rsidRDefault="001D0688">
            <w:pPr>
              <w:jc w:val="center"/>
              <w:rPr>
                <w:rFonts w:eastAsia="Times New Roman"/>
              </w:rPr>
            </w:pPr>
          </w:p>
        </w:tc>
        <w:tc>
          <w:tcPr>
            <w:tcW w:w="0" w:type="auto"/>
            <w:gridSpan w:val="21"/>
            <w:tcMar>
              <w:top w:w="30" w:type="dxa"/>
              <w:left w:w="20" w:type="dxa"/>
              <w:bottom w:w="30" w:type="dxa"/>
              <w:right w:w="20" w:type="dxa"/>
            </w:tcMar>
            <w:hideMark/>
          </w:tcPr>
          <w:p w14:paraId="17FF53A2" w14:textId="77777777" w:rsidR="00000000" w:rsidRDefault="001D0688">
            <w:pPr>
              <w:jc w:val="center"/>
              <w:rPr>
                <w:rFonts w:eastAsia="Times New Roman"/>
              </w:rPr>
            </w:pPr>
            <w:r>
              <w:rPr>
                <w:rFonts w:ascii="Arial" w:eastAsia="Times New Roman" w:hAnsi="Arial" w:cs="Arial"/>
                <w:b/>
                <w:bCs/>
                <w:color w:val="000000"/>
                <w:sz w:val="20"/>
                <w:szCs w:val="20"/>
              </w:rPr>
              <w:t>Incorporated by Reference</w:t>
            </w:r>
          </w:p>
        </w:tc>
      </w:tr>
      <w:tr w:rsidR="00000000" w14:paraId="516C480B" w14:textId="77777777">
        <w:trPr>
          <w:divId w:val="2081245169"/>
          <w:trHeight w:val="300"/>
        </w:trPr>
        <w:tc>
          <w:tcPr>
            <w:tcW w:w="0" w:type="auto"/>
            <w:gridSpan w:val="3"/>
            <w:tcMar>
              <w:top w:w="30" w:type="dxa"/>
              <w:left w:w="20" w:type="dxa"/>
              <w:bottom w:w="30" w:type="dxa"/>
              <w:right w:w="20" w:type="dxa"/>
            </w:tcMar>
            <w:hideMark/>
          </w:tcPr>
          <w:p w14:paraId="388BCEE3" w14:textId="77777777" w:rsidR="00000000" w:rsidRDefault="001D0688">
            <w:pPr>
              <w:jc w:val="center"/>
              <w:rPr>
                <w:rFonts w:eastAsia="Times New Roman"/>
              </w:rPr>
            </w:pPr>
            <w:r>
              <w:rPr>
                <w:rFonts w:ascii="Arial" w:eastAsia="Times New Roman" w:hAnsi="Arial" w:cs="Arial"/>
                <w:b/>
                <w:bCs/>
                <w:color w:val="000000"/>
                <w:sz w:val="20"/>
                <w:szCs w:val="20"/>
              </w:rPr>
              <w:t>No.</w:t>
            </w:r>
          </w:p>
        </w:tc>
        <w:tc>
          <w:tcPr>
            <w:tcW w:w="0" w:type="auto"/>
            <w:gridSpan w:val="3"/>
            <w:tcMar>
              <w:top w:w="0" w:type="dxa"/>
              <w:left w:w="20" w:type="dxa"/>
              <w:bottom w:w="0" w:type="dxa"/>
              <w:right w:w="20" w:type="dxa"/>
            </w:tcMar>
            <w:vAlign w:val="center"/>
            <w:hideMark/>
          </w:tcPr>
          <w:p w14:paraId="668CB606" w14:textId="77777777" w:rsidR="00000000" w:rsidRDefault="001D0688">
            <w:pPr>
              <w:jc w:val="center"/>
              <w:rPr>
                <w:rFonts w:eastAsia="Times New Roman"/>
              </w:rPr>
            </w:pPr>
          </w:p>
        </w:tc>
        <w:tc>
          <w:tcPr>
            <w:tcW w:w="0" w:type="auto"/>
            <w:gridSpan w:val="3"/>
            <w:vMerge/>
            <w:vAlign w:val="center"/>
            <w:hideMark/>
          </w:tcPr>
          <w:p w14:paraId="3F300309" w14:textId="77777777" w:rsidR="00000000" w:rsidRDefault="001D0688">
            <w:pPr>
              <w:rPr>
                <w:rFonts w:eastAsia="Times New Roman"/>
              </w:rPr>
            </w:pPr>
          </w:p>
        </w:tc>
        <w:tc>
          <w:tcPr>
            <w:tcW w:w="0" w:type="auto"/>
            <w:gridSpan w:val="3"/>
            <w:vMerge/>
            <w:vAlign w:val="center"/>
            <w:hideMark/>
          </w:tcPr>
          <w:p w14:paraId="2FF1379A" w14:textId="77777777" w:rsidR="00000000" w:rsidRDefault="001D068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3EEE5C9" w14:textId="77777777" w:rsidR="00000000" w:rsidRDefault="001D0688">
            <w:pPr>
              <w:jc w:val="center"/>
              <w:rPr>
                <w:rFonts w:eastAsia="Times New Roman"/>
              </w:rPr>
            </w:pPr>
            <w:r>
              <w:rPr>
                <w:rFonts w:ascii="Arial" w:eastAsia="Times New Roman" w:hAnsi="Arial" w:cs="Arial"/>
                <w:b/>
                <w:bCs/>
                <w:color w:val="000000"/>
                <w:sz w:val="20"/>
                <w:szCs w:val="20"/>
              </w:rPr>
              <w:t>Form</w:t>
            </w:r>
          </w:p>
        </w:tc>
        <w:tc>
          <w:tcPr>
            <w:tcW w:w="0" w:type="auto"/>
            <w:gridSpan w:val="3"/>
            <w:tcBorders>
              <w:top w:val="single" w:sz="8" w:space="0" w:color="000000"/>
            </w:tcBorders>
            <w:tcMar>
              <w:top w:w="0" w:type="dxa"/>
              <w:left w:w="20" w:type="dxa"/>
              <w:bottom w:w="0" w:type="dxa"/>
              <w:right w:w="20" w:type="dxa"/>
            </w:tcMar>
            <w:vAlign w:val="center"/>
            <w:hideMark/>
          </w:tcPr>
          <w:p w14:paraId="0EF23DDE"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7E3C2C0F" w14:textId="77777777" w:rsidR="00000000" w:rsidRDefault="001D0688">
            <w:pPr>
              <w:jc w:val="center"/>
              <w:rPr>
                <w:rFonts w:eastAsia="Times New Roman"/>
              </w:rPr>
            </w:pPr>
            <w:r>
              <w:rPr>
                <w:rFonts w:ascii="Arial" w:eastAsia="Times New Roman" w:hAnsi="Arial" w:cs="Arial"/>
                <w:b/>
                <w:bCs/>
                <w:color w:val="000000"/>
                <w:sz w:val="20"/>
                <w:szCs w:val="20"/>
              </w:rPr>
              <w:t>File No.</w:t>
            </w:r>
          </w:p>
        </w:tc>
        <w:tc>
          <w:tcPr>
            <w:tcW w:w="0" w:type="auto"/>
            <w:gridSpan w:val="3"/>
            <w:tcBorders>
              <w:top w:val="single" w:sz="8" w:space="0" w:color="000000"/>
            </w:tcBorders>
            <w:tcMar>
              <w:top w:w="0" w:type="dxa"/>
              <w:left w:w="20" w:type="dxa"/>
              <w:bottom w:w="0" w:type="dxa"/>
              <w:right w:w="20" w:type="dxa"/>
            </w:tcMar>
            <w:vAlign w:val="center"/>
            <w:hideMark/>
          </w:tcPr>
          <w:p w14:paraId="6573476A"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287930A" w14:textId="77777777" w:rsidR="00000000" w:rsidRDefault="001D0688">
            <w:pPr>
              <w:jc w:val="center"/>
              <w:rPr>
                <w:rFonts w:eastAsia="Times New Roman"/>
              </w:rPr>
            </w:pPr>
            <w:r>
              <w:rPr>
                <w:rFonts w:ascii="Arial" w:eastAsia="Times New Roman" w:hAnsi="Arial" w:cs="Arial"/>
                <w:b/>
                <w:bCs/>
                <w:color w:val="000000"/>
                <w:sz w:val="20"/>
                <w:szCs w:val="20"/>
              </w:rPr>
              <w:t>Exhibit</w:t>
            </w:r>
          </w:p>
        </w:tc>
        <w:tc>
          <w:tcPr>
            <w:tcW w:w="0" w:type="auto"/>
            <w:gridSpan w:val="3"/>
            <w:tcBorders>
              <w:top w:val="single" w:sz="8" w:space="0" w:color="000000"/>
            </w:tcBorders>
            <w:tcMar>
              <w:top w:w="0" w:type="dxa"/>
              <w:left w:w="20" w:type="dxa"/>
              <w:bottom w:w="0" w:type="dxa"/>
              <w:right w:w="20" w:type="dxa"/>
            </w:tcMar>
            <w:vAlign w:val="center"/>
            <w:hideMark/>
          </w:tcPr>
          <w:p w14:paraId="76209ED3"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C7A0DB2" w14:textId="77777777" w:rsidR="00000000" w:rsidRDefault="001D0688">
            <w:pPr>
              <w:jc w:val="center"/>
              <w:rPr>
                <w:rFonts w:eastAsia="Times New Roman"/>
              </w:rPr>
            </w:pPr>
            <w:r>
              <w:rPr>
                <w:rFonts w:ascii="Arial" w:eastAsia="Times New Roman" w:hAnsi="Arial" w:cs="Arial"/>
                <w:b/>
                <w:bCs/>
                <w:color w:val="000000"/>
                <w:sz w:val="20"/>
                <w:szCs w:val="20"/>
              </w:rPr>
              <w:t>Filing Date</w:t>
            </w:r>
          </w:p>
        </w:tc>
      </w:tr>
      <w:tr w:rsidR="00000000" w14:paraId="0833348E" w14:textId="77777777">
        <w:trPr>
          <w:divId w:val="2081245169"/>
        </w:trPr>
        <w:tc>
          <w:tcPr>
            <w:tcW w:w="0" w:type="auto"/>
            <w:gridSpan w:val="3"/>
            <w:tcBorders>
              <w:top w:val="single" w:sz="8" w:space="0" w:color="000000"/>
            </w:tcBorders>
            <w:shd w:val="clear" w:color="auto" w:fill="DCE2EF"/>
            <w:tcMar>
              <w:top w:w="30" w:type="dxa"/>
              <w:left w:w="20" w:type="dxa"/>
              <w:bottom w:w="30" w:type="dxa"/>
              <w:right w:w="20" w:type="dxa"/>
            </w:tcMar>
            <w:hideMark/>
          </w:tcPr>
          <w:p w14:paraId="4214BACB" w14:textId="77777777" w:rsidR="00000000" w:rsidRDefault="001D0688">
            <w:pPr>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14:paraId="304ECDB2" w14:textId="77777777" w:rsidR="00000000" w:rsidRDefault="001D0688">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5A35F83C" w14:textId="77777777" w:rsidR="00000000" w:rsidRDefault="001D0688">
            <w:pPr>
              <w:divId w:val="212625188"/>
              <w:rPr>
                <w:rFonts w:eastAsia="Times New Roman"/>
              </w:rPr>
            </w:pPr>
            <w:hyperlink r:id="rId14" w:history="1">
              <w:r>
                <w:rPr>
                  <w:rStyle w:val="a3"/>
                  <w:rFonts w:ascii="Arial" w:eastAsia="Times New Roman" w:hAnsi="Arial" w:cs="Arial"/>
                  <w:sz w:val="20"/>
                  <w:szCs w:val="20"/>
                </w:rPr>
                <w:t>Underwriting Agreement, dated March 14, 2018, among ABM Industries Incorporated, Goldman Sachs &amp; Co LLC, and UBS Securities LLC</w:t>
              </w:r>
            </w:hyperlink>
          </w:p>
        </w:tc>
        <w:tc>
          <w:tcPr>
            <w:tcW w:w="0" w:type="auto"/>
            <w:gridSpan w:val="3"/>
            <w:shd w:val="clear" w:color="auto" w:fill="DCE2EF"/>
            <w:tcMar>
              <w:top w:w="0" w:type="dxa"/>
              <w:left w:w="20" w:type="dxa"/>
              <w:bottom w:w="0" w:type="dxa"/>
              <w:right w:w="20" w:type="dxa"/>
            </w:tcMar>
            <w:vAlign w:val="center"/>
            <w:hideMark/>
          </w:tcPr>
          <w:p w14:paraId="6380F614" w14:textId="77777777" w:rsidR="00000000" w:rsidRDefault="001D0688">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656D46C3"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2C409D74"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45E5333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04EAE182"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41D9FCDC" w14:textId="77777777" w:rsidR="00000000" w:rsidRDefault="001D0688">
            <w:pPr>
              <w:jc w:val="center"/>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14:paraId="62C66C72" w14:textId="77777777" w:rsidR="00000000" w:rsidRDefault="001D0688">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14:paraId="713B3A29" w14:textId="77777777" w:rsidR="00000000" w:rsidRDefault="001D0688">
            <w:pPr>
              <w:jc w:val="center"/>
              <w:rPr>
                <w:rFonts w:eastAsia="Times New Roman"/>
              </w:rPr>
            </w:pPr>
            <w:r>
              <w:rPr>
                <w:rFonts w:ascii="Arial" w:eastAsia="Times New Roman" w:hAnsi="Arial" w:cs="Arial"/>
                <w:color w:val="000000"/>
                <w:sz w:val="20"/>
                <w:szCs w:val="20"/>
              </w:rPr>
              <w:t>March 19, 2018</w:t>
            </w:r>
          </w:p>
        </w:tc>
      </w:tr>
      <w:tr w:rsidR="00000000" w14:paraId="5C98DBD8" w14:textId="77777777">
        <w:trPr>
          <w:divId w:val="2081245169"/>
        </w:trPr>
        <w:tc>
          <w:tcPr>
            <w:tcW w:w="0" w:type="auto"/>
            <w:gridSpan w:val="3"/>
            <w:shd w:val="clear" w:color="auto" w:fill="FFFFFF"/>
            <w:tcMar>
              <w:top w:w="30" w:type="dxa"/>
              <w:left w:w="20" w:type="dxa"/>
              <w:bottom w:w="30" w:type="dxa"/>
              <w:right w:w="20" w:type="dxa"/>
            </w:tcMar>
            <w:hideMark/>
          </w:tcPr>
          <w:p w14:paraId="2F73D03A" w14:textId="77777777" w:rsidR="00000000" w:rsidRDefault="001D0688">
            <w:pP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09081418"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5F79A17" w14:textId="77777777" w:rsidR="00000000" w:rsidRDefault="001D0688">
            <w:pPr>
              <w:divId w:val="2037341753"/>
              <w:rPr>
                <w:rFonts w:eastAsia="Times New Roman"/>
              </w:rPr>
            </w:pPr>
            <w:hyperlink r:id="rId15" w:history="1">
              <w:r>
                <w:rPr>
                  <w:rStyle w:val="a3"/>
                  <w:rFonts w:ascii="Arial" w:eastAsia="Times New Roman" w:hAnsi="Arial" w:cs="Arial"/>
                  <w:sz w:val="20"/>
                  <w:szCs w:val="20"/>
                </w:rPr>
                <w:t>Agreement and Plan of Merger, dated July 11, 2017, among GCA Holding Corp., ABM Industries Incorporated, Grade Sub One, Inc., Grade Sub Two, LLC and Thomas H. Lee Equity Fund VII, L.P. and Broad Street Principal Investments Holdings, L.P., acting jointly a</w:t>
              </w:r>
              <w:r>
                <w:rPr>
                  <w:rStyle w:val="a3"/>
                  <w:rFonts w:ascii="Arial" w:eastAsia="Times New Roman" w:hAnsi="Arial" w:cs="Arial"/>
                  <w:sz w:val="20"/>
                  <w:szCs w:val="20"/>
                </w:rPr>
                <w:t>s the Securityholder Representative</w:t>
              </w:r>
            </w:hyperlink>
          </w:p>
        </w:tc>
        <w:tc>
          <w:tcPr>
            <w:tcW w:w="0" w:type="auto"/>
            <w:gridSpan w:val="3"/>
            <w:shd w:val="clear" w:color="auto" w:fill="FFFFFF"/>
            <w:tcMar>
              <w:top w:w="0" w:type="dxa"/>
              <w:left w:w="20" w:type="dxa"/>
              <w:bottom w:w="0" w:type="dxa"/>
              <w:right w:w="20" w:type="dxa"/>
            </w:tcMar>
            <w:vAlign w:val="center"/>
            <w:hideMark/>
          </w:tcPr>
          <w:p w14:paraId="56DF0EC4"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464647B3"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11397758"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A4323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A27AAF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ED5D185" w14:textId="77777777" w:rsidR="00000000" w:rsidRDefault="001D0688">
            <w:pPr>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5BD3995B"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FAF212E" w14:textId="77777777" w:rsidR="00000000" w:rsidRDefault="001D0688">
            <w:pPr>
              <w:jc w:val="center"/>
              <w:rPr>
                <w:rFonts w:eastAsia="Times New Roman"/>
              </w:rPr>
            </w:pPr>
            <w:r>
              <w:rPr>
                <w:rFonts w:ascii="Arial" w:eastAsia="Times New Roman" w:hAnsi="Arial" w:cs="Arial"/>
                <w:color w:val="000000"/>
                <w:sz w:val="20"/>
                <w:szCs w:val="20"/>
              </w:rPr>
              <w:t>July 14, 2017</w:t>
            </w:r>
          </w:p>
        </w:tc>
      </w:tr>
      <w:tr w:rsidR="00000000" w14:paraId="0E8D20E7" w14:textId="77777777">
        <w:trPr>
          <w:divId w:val="2081245169"/>
        </w:trPr>
        <w:tc>
          <w:tcPr>
            <w:tcW w:w="0" w:type="auto"/>
            <w:gridSpan w:val="3"/>
            <w:shd w:val="clear" w:color="auto" w:fill="DCE2EF"/>
            <w:tcMar>
              <w:top w:w="30" w:type="dxa"/>
              <w:left w:w="20" w:type="dxa"/>
              <w:bottom w:w="30" w:type="dxa"/>
              <w:right w:w="20" w:type="dxa"/>
            </w:tcMar>
            <w:hideMark/>
          </w:tcPr>
          <w:p w14:paraId="6F36CA27" w14:textId="77777777" w:rsidR="00000000" w:rsidRDefault="001D0688">
            <w:pPr>
              <w:rPr>
                <w:rFonts w:eastAsia="Times New Roman"/>
              </w:rPr>
            </w:pPr>
            <w:r>
              <w:rPr>
                <w:rFonts w:ascii="Arial" w:eastAsia="Times New Roman" w:hAnsi="Arial" w:cs="Arial"/>
                <w:color w:val="000000"/>
                <w:sz w:val="20"/>
                <w:szCs w:val="20"/>
              </w:rPr>
              <w:t>3.1</w:t>
            </w:r>
          </w:p>
        </w:tc>
        <w:tc>
          <w:tcPr>
            <w:tcW w:w="0" w:type="auto"/>
            <w:gridSpan w:val="3"/>
            <w:shd w:val="clear" w:color="auto" w:fill="DCE2EF"/>
            <w:tcMar>
              <w:top w:w="0" w:type="dxa"/>
              <w:left w:w="20" w:type="dxa"/>
              <w:bottom w:w="0" w:type="dxa"/>
              <w:right w:w="20" w:type="dxa"/>
            </w:tcMar>
            <w:vAlign w:val="center"/>
            <w:hideMark/>
          </w:tcPr>
          <w:p w14:paraId="23F62E75"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366114BF" w14:textId="77777777" w:rsidR="00000000" w:rsidRDefault="001D0688">
            <w:pPr>
              <w:divId w:val="1541432642"/>
              <w:rPr>
                <w:rFonts w:eastAsia="Times New Roman"/>
              </w:rPr>
            </w:pPr>
            <w:hyperlink r:id="rId16" w:history="1">
              <w:r>
                <w:rPr>
                  <w:rStyle w:val="a3"/>
                  <w:rFonts w:ascii="Arial" w:eastAsia="Times New Roman" w:hAnsi="Arial" w:cs="Arial"/>
                  <w:sz w:val="20"/>
                  <w:szCs w:val="20"/>
                </w:rPr>
                <w:t>Restated Certificate of Incorporation of ABM Industries Incorporated, dated March 26, 2020</w:t>
              </w:r>
            </w:hyperlink>
          </w:p>
        </w:tc>
        <w:tc>
          <w:tcPr>
            <w:tcW w:w="0" w:type="auto"/>
            <w:gridSpan w:val="3"/>
            <w:shd w:val="clear" w:color="auto" w:fill="DCE2EF"/>
            <w:tcMar>
              <w:top w:w="0" w:type="dxa"/>
              <w:left w:w="20" w:type="dxa"/>
              <w:bottom w:w="0" w:type="dxa"/>
              <w:right w:w="20" w:type="dxa"/>
            </w:tcMar>
            <w:vAlign w:val="center"/>
            <w:hideMark/>
          </w:tcPr>
          <w:p w14:paraId="4565BFD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6B7DC737"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53506B9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F3C34D4"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53C392F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0E9E16E" w14:textId="77777777" w:rsidR="00000000" w:rsidRDefault="001D0688">
            <w:pPr>
              <w:jc w:val="center"/>
              <w:rPr>
                <w:rFonts w:eastAsia="Times New Roman"/>
              </w:rPr>
            </w:pPr>
            <w:r>
              <w:rPr>
                <w:rFonts w:ascii="Arial" w:eastAsia="Times New Roman" w:hAnsi="Arial" w:cs="Arial"/>
                <w:color w:val="000000"/>
                <w:sz w:val="20"/>
                <w:szCs w:val="20"/>
              </w:rPr>
              <w:t>3.1</w:t>
            </w:r>
          </w:p>
        </w:tc>
        <w:tc>
          <w:tcPr>
            <w:tcW w:w="0" w:type="auto"/>
            <w:gridSpan w:val="3"/>
            <w:shd w:val="clear" w:color="auto" w:fill="DCE2EF"/>
            <w:tcMar>
              <w:top w:w="0" w:type="dxa"/>
              <w:left w:w="20" w:type="dxa"/>
              <w:bottom w:w="0" w:type="dxa"/>
              <w:right w:w="20" w:type="dxa"/>
            </w:tcMar>
            <w:vAlign w:val="center"/>
            <w:hideMark/>
          </w:tcPr>
          <w:p w14:paraId="7779E850"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AD23D7A" w14:textId="77777777" w:rsidR="00000000" w:rsidRDefault="001D0688">
            <w:pPr>
              <w:jc w:val="center"/>
              <w:rPr>
                <w:rFonts w:eastAsia="Times New Roman"/>
              </w:rPr>
            </w:pPr>
            <w:r>
              <w:rPr>
                <w:rFonts w:ascii="Arial" w:eastAsia="Times New Roman" w:hAnsi="Arial" w:cs="Arial"/>
                <w:color w:val="000000"/>
                <w:sz w:val="20"/>
                <w:szCs w:val="20"/>
              </w:rPr>
              <w:t>March 27, 2020</w:t>
            </w:r>
          </w:p>
        </w:tc>
      </w:tr>
      <w:tr w:rsidR="00000000" w14:paraId="6944ABA1" w14:textId="77777777">
        <w:trPr>
          <w:divId w:val="2081245169"/>
        </w:trPr>
        <w:tc>
          <w:tcPr>
            <w:tcW w:w="0" w:type="auto"/>
            <w:gridSpan w:val="3"/>
            <w:shd w:val="clear" w:color="auto" w:fill="FFFFFF"/>
            <w:tcMar>
              <w:top w:w="30" w:type="dxa"/>
              <w:left w:w="20" w:type="dxa"/>
              <w:bottom w:w="30" w:type="dxa"/>
              <w:right w:w="20" w:type="dxa"/>
            </w:tcMar>
            <w:hideMark/>
          </w:tcPr>
          <w:p w14:paraId="5733FE81" w14:textId="77777777" w:rsidR="00000000" w:rsidRDefault="001D0688">
            <w:pPr>
              <w:rPr>
                <w:rFonts w:eastAsia="Times New Roman"/>
              </w:rPr>
            </w:pPr>
            <w:r>
              <w:rPr>
                <w:rFonts w:ascii="Arial" w:eastAsia="Times New Roman" w:hAnsi="Arial" w:cs="Arial"/>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14:paraId="00B78AB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C52090B" w14:textId="77777777" w:rsidR="00000000" w:rsidRDefault="001D0688">
            <w:pPr>
              <w:divId w:val="982123687"/>
              <w:rPr>
                <w:rFonts w:eastAsia="Times New Roman"/>
              </w:rPr>
            </w:pPr>
            <w:hyperlink r:id="rId17" w:history="1">
              <w:r>
                <w:rPr>
                  <w:rStyle w:val="a3"/>
                  <w:rFonts w:ascii="Arial" w:eastAsia="Times New Roman" w:hAnsi="Arial" w:cs="Arial"/>
                  <w:sz w:val="20"/>
                  <w:szCs w:val="20"/>
                </w:rPr>
                <w:t>Amended and Restated Bylaws of ABM Industries Incorporated, dated March 26, 2020</w:t>
              </w:r>
            </w:hyperlink>
          </w:p>
        </w:tc>
        <w:tc>
          <w:tcPr>
            <w:tcW w:w="0" w:type="auto"/>
            <w:gridSpan w:val="3"/>
            <w:shd w:val="clear" w:color="auto" w:fill="FFFFFF"/>
            <w:tcMar>
              <w:top w:w="0" w:type="dxa"/>
              <w:left w:w="20" w:type="dxa"/>
              <w:bottom w:w="0" w:type="dxa"/>
              <w:right w:w="20" w:type="dxa"/>
            </w:tcMar>
            <w:vAlign w:val="center"/>
            <w:hideMark/>
          </w:tcPr>
          <w:p w14:paraId="1231AE1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6EF4A3C"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74FF9448"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0BE8845C"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22A7265"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17376A3" w14:textId="77777777" w:rsidR="00000000" w:rsidRDefault="001D0688">
            <w:pPr>
              <w:jc w:val="center"/>
              <w:rPr>
                <w:rFonts w:eastAsia="Times New Roman"/>
              </w:rPr>
            </w:pPr>
            <w:r>
              <w:rPr>
                <w:rFonts w:ascii="Arial" w:eastAsia="Times New Roman" w:hAnsi="Arial" w:cs="Arial"/>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14:paraId="259B456D"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0C323E3" w14:textId="77777777" w:rsidR="00000000" w:rsidRDefault="001D0688">
            <w:pPr>
              <w:jc w:val="center"/>
              <w:rPr>
                <w:rFonts w:eastAsia="Times New Roman"/>
              </w:rPr>
            </w:pPr>
            <w:r>
              <w:rPr>
                <w:rFonts w:ascii="Arial" w:eastAsia="Times New Roman" w:hAnsi="Arial" w:cs="Arial"/>
                <w:color w:val="000000"/>
                <w:sz w:val="20"/>
                <w:szCs w:val="20"/>
              </w:rPr>
              <w:t>March 27, 2020</w:t>
            </w:r>
          </w:p>
        </w:tc>
      </w:tr>
      <w:tr w:rsidR="00000000" w14:paraId="69B8AEF9" w14:textId="77777777">
        <w:trPr>
          <w:divId w:val="2081245169"/>
        </w:trPr>
        <w:tc>
          <w:tcPr>
            <w:tcW w:w="0" w:type="auto"/>
            <w:gridSpan w:val="3"/>
            <w:shd w:val="clear" w:color="auto" w:fill="DCE2EF"/>
            <w:tcMar>
              <w:top w:w="30" w:type="dxa"/>
              <w:left w:w="20" w:type="dxa"/>
              <w:bottom w:w="30" w:type="dxa"/>
              <w:right w:w="20" w:type="dxa"/>
            </w:tcMar>
            <w:hideMark/>
          </w:tcPr>
          <w:p w14:paraId="0A793C79" w14:textId="77777777" w:rsidR="00000000" w:rsidRDefault="001D0688">
            <w:pPr>
              <w:rPr>
                <w:rFonts w:eastAsia="Times New Roman"/>
              </w:rPr>
            </w:pPr>
            <w:r>
              <w:rPr>
                <w:rFonts w:ascii="Arial" w:eastAsia="Times New Roman" w:hAnsi="Arial" w:cs="Arial"/>
                <w:color w:val="000000"/>
                <w:sz w:val="20"/>
                <w:szCs w:val="20"/>
              </w:rPr>
              <w:t>4.1‡</w:t>
            </w:r>
          </w:p>
        </w:tc>
        <w:tc>
          <w:tcPr>
            <w:tcW w:w="0" w:type="auto"/>
            <w:gridSpan w:val="3"/>
            <w:shd w:val="clear" w:color="auto" w:fill="DCE2EF"/>
            <w:tcMar>
              <w:top w:w="0" w:type="dxa"/>
              <w:left w:w="20" w:type="dxa"/>
              <w:bottom w:w="0" w:type="dxa"/>
              <w:right w:w="20" w:type="dxa"/>
            </w:tcMar>
            <w:vAlign w:val="center"/>
            <w:hideMark/>
          </w:tcPr>
          <w:p w14:paraId="6811A088"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0748728D" w14:textId="77777777" w:rsidR="00000000" w:rsidRDefault="001D0688">
            <w:pPr>
              <w:divId w:val="263811358"/>
              <w:rPr>
                <w:rFonts w:eastAsia="Times New Roman"/>
              </w:rPr>
            </w:pPr>
            <w:hyperlink r:id="rId18" w:history="1">
              <w:r>
                <w:rPr>
                  <w:rStyle w:val="a3"/>
                  <w:rFonts w:ascii="Arial" w:eastAsia="Times New Roman" w:hAnsi="Arial" w:cs="Arial"/>
                  <w:sz w:val="20"/>
                  <w:szCs w:val="20"/>
                </w:rPr>
                <w:t>Description of Registrant’s Securities</w:t>
              </w:r>
            </w:hyperlink>
          </w:p>
        </w:tc>
        <w:tc>
          <w:tcPr>
            <w:tcW w:w="0" w:type="auto"/>
            <w:gridSpan w:val="3"/>
            <w:shd w:val="clear" w:color="auto" w:fill="DCE2EF"/>
            <w:tcMar>
              <w:top w:w="0" w:type="dxa"/>
              <w:left w:w="20" w:type="dxa"/>
              <w:bottom w:w="0" w:type="dxa"/>
              <w:right w:w="20" w:type="dxa"/>
            </w:tcMar>
            <w:vAlign w:val="center"/>
            <w:hideMark/>
          </w:tcPr>
          <w:p w14:paraId="015F4958"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8D585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82AAE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BE2D55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81FC67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0CDAB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2F1CA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86C31A0" w14:textId="77777777" w:rsidR="00000000" w:rsidRDefault="001D0688">
            <w:pPr>
              <w:rPr>
                <w:rFonts w:eastAsia="Times New Roman"/>
                <w:sz w:val="20"/>
                <w:szCs w:val="20"/>
              </w:rPr>
            </w:pPr>
          </w:p>
        </w:tc>
      </w:tr>
      <w:tr w:rsidR="00000000" w14:paraId="67DB51C1" w14:textId="77777777">
        <w:trPr>
          <w:divId w:val="2081245169"/>
        </w:trPr>
        <w:tc>
          <w:tcPr>
            <w:tcW w:w="0" w:type="auto"/>
            <w:gridSpan w:val="3"/>
            <w:shd w:val="clear" w:color="auto" w:fill="FFFFFF"/>
            <w:tcMar>
              <w:top w:w="30" w:type="dxa"/>
              <w:left w:w="20" w:type="dxa"/>
              <w:bottom w:w="30" w:type="dxa"/>
              <w:right w:w="20" w:type="dxa"/>
            </w:tcMar>
            <w:hideMark/>
          </w:tcPr>
          <w:p w14:paraId="6D1D7D5E" w14:textId="77777777" w:rsidR="00000000" w:rsidRDefault="001D0688">
            <w:pP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1F5F631B"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69C246" w14:textId="77777777" w:rsidR="00000000" w:rsidRDefault="001D0688">
            <w:pPr>
              <w:divId w:val="1060399802"/>
              <w:rPr>
                <w:rFonts w:eastAsia="Times New Roman"/>
              </w:rPr>
            </w:pPr>
            <w:hyperlink r:id="rId19" w:history="1">
              <w:r>
                <w:rPr>
                  <w:rStyle w:val="a3"/>
                  <w:rFonts w:ascii="Arial" w:eastAsia="Times New Roman" w:hAnsi="Arial" w:cs="Arial"/>
                  <w:sz w:val="20"/>
                  <w:szCs w:val="20"/>
                </w:rPr>
                <w:t xml:space="preserve">Shareholders’ Agreement, dated September 1, 2017, among ABM Industries Incorporated, Thomas H. Lee Equity Fund VII, L.P., Thomas H. Lee Parallel Fund VII, </w:t>
              </w:r>
              <w:r>
                <w:rPr>
                  <w:rStyle w:val="a3"/>
                  <w:rFonts w:ascii="Arial" w:eastAsia="Times New Roman" w:hAnsi="Arial" w:cs="Arial"/>
                  <w:sz w:val="20"/>
                  <w:szCs w:val="20"/>
                </w:rPr>
                <w:t>L.P., Thomas H. Lee Parallel (Cayman) Fund VII, L.P., THL Executive Fund VII, L.P., THL Fund VII Coinvestment Partners, L.P., Broad Street Principal Investments Holdings, L.P., Bridge Street 2015, L.P., MBD 2015, L.P., Stone Street 2015, L.P., 2015 Employe</w:t>
              </w:r>
              <w:r>
                <w:rPr>
                  <w:rStyle w:val="a3"/>
                  <w:rFonts w:ascii="Arial" w:eastAsia="Times New Roman" w:hAnsi="Arial" w:cs="Arial"/>
                  <w:sz w:val="20"/>
                  <w:szCs w:val="20"/>
                </w:rPr>
                <w:t>e Offshore Aggregator, L.P., and Goldman Sachs &amp; Co. LLC</w:t>
              </w:r>
            </w:hyperlink>
          </w:p>
        </w:tc>
        <w:tc>
          <w:tcPr>
            <w:tcW w:w="0" w:type="auto"/>
            <w:gridSpan w:val="3"/>
            <w:shd w:val="clear" w:color="auto" w:fill="FFFFFF"/>
            <w:tcMar>
              <w:top w:w="0" w:type="dxa"/>
              <w:left w:w="20" w:type="dxa"/>
              <w:bottom w:w="0" w:type="dxa"/>
              <w:right w:w="20" w:type="dxa"/>
            </w:tcMar>
            <w:vAlign w:val="center"/>
            <w:hideMark/>
          </w:tcPr>
          <w:p w14:paraId="594ECB7F"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3EE1BFB2"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7583F377"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2201A55"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49F23B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8291DF5"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0C6F25F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F10F031" w14:textId="77777777" w:rsidR="00000000" w:rsidRDefault="001D0688">
            <w:pPr>
              <w:jc w:val="center"/>
              <w:rPr>
                <w:rFonts w:eastAsia="Times New Roman"/>
              </w:rPr>
            </w:pPr>
            <w:r>
              <w:rPr>
                <w:rFonts w:ascii="Arial" w:eastAsia="Times New Roman" w:hAnsi="Arial" w:cs="Arial"/>
                <w:color w:val="000000"/>
                <w:sz w:val="20"/>
                <w:szCs w:val="20"/>
              </w:rPr>
              <w:t>September 8, 2017</w:t>
            </w:r>
          </w:p>
        </w:tc>
      </w:tr>
      <w:tr w:rsidR="00000000" w14:paraId="79E5F33A" w14:textId="77777777">
        <w:trPr>
          <w:divId w:val="2081245169"/>
        </w:trPr>
        <w:tc>
          <w:tcPr>
            <w:tcW w:w="0" w:type="auto"/>
            <w:gridSpan w:val="3"/>
            <w:shd w:val="clear" w:color="auto" w:fill="DCE2EF"/>
            <w:tcMar>
              <w:top w:w="30" w:type="dxa"/>
              <w:left w:w="20" w:type="dxa"/>
              <w:bottom w:w="30" w:type="dxa"/>
              <w:right w:w="20" w:type="dxa"/>
            </w:tcMar>
            <w:hideMark/>
          </w:tcPr>
          <w:p w14:paraId="63DC3DAA" w14:textId="77777777" w:rsidR="00000000" w:rsidRDefault="001D0688">
            <w:pP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133699D2"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0B7D8D1" w14:textId="77777777" w:rsidR="00000000" w:rsidRDefault="001D0688">
            <w:pPr>
              <w:divId w:val="353969768"/>
              <w:rPr>
                <w:rFonts w:eastAsia="Times New Roman"/>
              </w:rPr>
            </w:pPr>
            <w:hyperlink r:id="rId20" w:history="1">
              <w:r>
                <w:rPr>
                  <w:rStyle w:val="a3"/>
                  <w:rFonts w:ascii="Arial" w:eastAsia="Times New Roman" w:hAnsi="Arial" w:cs="Arial"/>
                  <w:sz w:val="20"/>
                  <w:szCs w:val="20"/>
                </w:rPr>
                <w:t>Credit Agreement, dated as of September 1, 2017, by and among ABM Industries Incorporated, a Delaware corporation, certain subsidiaries of ABM Industries I</w:t>
              </w:r>
              <w:r>
                <w:rPr>
                  <w:rStyle w:val="a3"/>
                  <w:rFonts w:ascii="Arial" w:eastAsia="Times New Roman" w:hAnsi="Arial" w:cs="Arial"/>
                  <w:sz w:val="20"/>
                  <w:szCs w:val="20"/>
                </w:rPr>
                <w:t>ncorporated from time to time party thereto, the lenders from time to time party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14:paraId="1805A75D"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2BF261AB"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0C99B085"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F159828"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7A7B3F6C"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53D0D0A" w14:textId="77777777" w:rsidR="00000000" w:rsidRDefault="001D0688">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722A2DBE"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729CE8E" w14:textId="77777777" w:rsidR="00000000" w:rsidRDefault="001D0688">
            <w:pPr>
              <w:jc w:val="center"/>
              <w:rPr>
                <w:rFonts w:eastAsia="Times New Roman"/>
              </w:rPr>
            </w:pPr>
            <w:r>
              <w:rPr>
                <w:rFonts w:ascii="Arial" w:eastAsia="Times New Roman" w:hAnsi="Arial" w:cs="Arial"/>
                <w:color w:val="000000"/>
                <w:sz w:val="20"/>
                <w:szCs w:val="20"/>
              </w:rPr>
              <w:t>September 8, 2017</w:t>
            </w:r>
          </w:p>
        </w:tc>
      </w:tr>
      <w:tr w:rsidR="00000000" w14:paraId="686CB1E1" w14:textId="77777777">
        <w:trPr>
          <w:divId w:val="2081245169"/>
        </w:trPr>
        <w:tc>
          <w:tcPr>
            <w:tcW w:w="0" w:type="auto"/>
            <w:gridSpan w:val="3"/>
            <w:shd w:val="clear" w:color="auto" w:fill="FFFFFF"/>
            <w:tcMar>
              <w:top w:w="30" w:type="dxa"/>
              <w:left w:w="20" w:type="dxa"/>
              <w:bottom w:w="30" w:type="dxa"/>
              <w:right w:w="20" w:type="dxa"/>
            </w:tcMar>
            <w:hideMark/>
          </w:tcPr>
          <w:p w14:paraId="05B0E984" w14:textId="77777777" w:rsidR="00000000" w:rsidRDefault="001D0688">
            <w:pP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14:paraId="6EFB20BA"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236D1E" w14:textId="77777777" w:rsidR="00000000" w:rsidRDefault="001D0688">
            <w:pPr>
              <w:divId w:val="2098404079"/>
              <w:rPr>
                <w:rFonts w:eastAsia="Times New Roman"/>
              </w:rPr>
            </w:pPr>
            <w:hyperlink r:id="rId21" w:history="1">
              <w:r>
                <w:rPr>
                  <w:rStyle w:val="a3"/>
                  <w:rFonts w:ascii="Arial" w:eastAsia="Times New Roman" w:hAnsi="Arial" w:cs="Arial"/>
                  <w:sz w:val="20"/>
                  <w:szCs w:val="20"/>
                </w:rPr>
                <w:t>Letter Agreement, dated November 6, 2017, between ABM Industries Incorporated and Bank of America, N.A., as Swingline Lender with respect to the Credit Ag</w:t>
              </w:r>
              <w:r>
                <w:rPr>
                  <w:rStyle w:val="a3"/>
                  <w:rFonts w:ascii="Arial" w:eastAsia="Times New Roman" w:hAnsi="Arial" w:cs="Arial"/>
                  <w:sz w:val="20"/>
                  <w:szCs w:val="20"/>
                </w:rPr>
                <w:t>reement dated as of September 1, 2017, among ABM Industries Incorporated, the Designated Borrowers party thereto, the Lenders party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14:paraId="711DE0F3"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24BCE4E"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51363BE9"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8A52E9D"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63FA161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0C2FA258" w14:textId="77777777" w:rsidR="00000000" w:rsidRDefault="001D0688">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14:paraId="1A73BFD8"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5938BF2" w14:textId="77777777" w:rsidR="00000000" w:rsidRDefault="001D0688">
            <w:pPr>
              <w:jc w:val="center"/>
              <w:rPr>
                <w:rFonts w:eastAsia="Times New Roman"/>
              </w:rPr>
            </w:pPr>
            <w:r>
              <w:rPr>
                <w:rFonts w:ascii="Arial" w:eastAsia="Times New Roman" w:hAnsi="Arial" w:cs="Arial"/>
                <w:color w:val="000000"/>
                <w:sz w:val="20"/>
                <w:szCs w:val="20"/>
              </w:rPr>
              <w:t>December 22, 2017</w:t>
            </w:r>
          </w:p>
        </w:tc>
      </w:tr>
      <w:tr w:rsidR="00000000" w14:paraId="0116962A" w14:textId="77777777">
        <w:trPr>
          <w:divId w:val="2081245169"/>
        </w:trPr>
        <w:tc>
          <w:tcPr>
            <w:tcW w:w="0" w:type="auto"/>
            <w:gridSpan w:val="3"/>
            <w:shd w:val="clear" w:color="auto" w:fill="DCE2EF"/>
            <w:tcMar>
              <w:top w:w="30" w:type="dxa"/>
              <w:left w:w="20" w:type="dxa"/>
              <w:bottom w:w="30" w:type="dxa"/>
              <w:right w:w="20" w:type="dxa"/>
            </w:tcMar>
            <w:hideMark/>
          </w:tcPr>
          <w:p w14:paraId="2CF10551" w14:textId="77777777" w:rsidR="00000000" w:rsidRDefault="001D0688">
            <w:pP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3565C294"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BE66C8D" w14:textId="77777777" w:rsidR="00000000" w:rsidRDefault="001D0688">
            <w:pPr>
              <w:divId w:val="1347903237"/>
              <w:rPr>
                <w:rFonts w:eastAsia="Times New Roman"/>
              </w:rPr>
            </w:pPr>
            <w:hyperlink r:id="rId22" w:history="1">
              <w:r>
                <w:rPr>
                  <w:rStyle w:val="a3"/>
                  <w:rFonts w:ascii="Arial" w:eastAsia="Times New Roman" w:hAnsi="Arial" w:cs="Arial"/>
                  <w:sz w:val="20"/>
                  <w:szCs w:val="20"/>
                </w:rPr>
                <w:t>First Amendment, dated as of July 3, 2018, to the Credit Agreement dated September 1, 2017, by and among ABM Industries Inco</w:t>
              </w:r>
              <w:r>
                <w:rPr>
                  <w:rStyle w:val="a3"/>
                  <w:rFonts w:ascii="Arial" w:eastAsia="Times New Roman" w:hAnsi="Arial" w:cs="Arial"/>
                  <w:sz w:val="20"/>
                  <w:szCs w:val="20"/>
                </w:rPr>
                <w:t>rporated, a Delaware corporation, the Designated Borrowers identified on the signature pages thereto, the Guarantors identified on the signature pages thereto, the Lenders identified on the signature pages thereto, and Bank of America, N.A., as administrat</w:t>
              </w:r>
              <w:r>
                <w:rPr>
                  <w:rStyle w:val="a3"/>
                  <w:rFonts w:ascii="Arial" w:eastAsia="Times New Roman" w:hAnsi="Arial" w:cs="Arial"/>
                  <w:sz w:val="20"/>
                  <w:szCs w:val="20"/>
                </w:rPr>
                <w:t>ive agent</w:t>
              </w:r>
            </w:hyperlink>
          </w:p>
        </w:tc>
        <w:tc>
          <w:tcPr>
            <w:tcW w:w="0" w:type="auto"/>
            <w:gridSpan w:val="3"/>
            <w:shd w:val="clear" w:color="auto" w:fill="DCE2EF"/>
            <w:tcMar>
              <w:top w:w="0" w:type="dxa"/>
              <w:left w:w="20" w:type="dxa"/>
              <w:bottom w:w="0" w:type="dxa"/>
              <w:right w:w="20" w:type="dxa"/>
            </w:tcMar>
            <w:vAlign w:val="center"/>
            <w:hideMark/>
          </w:tcPr>
          <w:p w14:paraId="71DF2D51"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9DA834D"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6EEBD2A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7FD148D"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730A54F0"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E6974B8"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5EAFA8A9"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E631F1" w14:textId="77777777" w:rsidR="00000000" w:rsidRDefault="001D0688">
            <w:pPr>
              <w:jc w:val="center"/>
              <w:rPr>
                <w:rFonts w:eastAsia="Times New Roman"/>
              </w:rPr>
            </w:pPr>
            <w:r>
              <w:rPr>
                <w:rFonts w:ascii="Arial" w:eastAsia="Times New Roman" w:hAnsi="Arial" w:cs="Arial"/>
                <w:color w:val="000000"/>
                <w:sz w:val="20"/>
                <w:szCs w:val="20"/>
              </w:rPr>
              <w:t>September 7, 2018</w:t>
            </w:r>
          </w:p>
        </w:tc>
      </w:tr>
    </w:tbl>
    <w:p w14:paraId="5A8B71CB" w14:textId="77777777" w:rsidR="00000000" w:rsidRDefault="001D0688">
      <w:pPr>
        <w:jc w:val="center"/>
        <w:divId w:val="348486091"/>
        <w:rPr>
          <w:rFonts w:eastAsia="Times New Roman"/>
        </w:rPr>
      </w:pPr>
      <w:r>
        <w:rPr>
          <w:rFonts w:ascii="Arial" w:eastAsia="Times New Roman" w:hAnsi="Arial" w:cs="Arial"/>
          <w:color w:val="000000"/>
          <w:sz w:val="20"/>
          <w:szCs w:val="20"/>
        </w:rPr>
        <w:t>101</w:t>
      </w:r>
    </w:p>
    <w:p w14:paraId="32995CDA" w14:textId="77777777" w:rsidR="00000000" w:rsidRDefault="001D0688">
      <w:pPr>
        <w:rPr>
          <w:rFonts w:eastAsia="Times New Roman"/>
        </w:rPr>
      </w:pPr>
      <w:r>
        <w:rPr>
          <w:rFonts w:eastAsia="Times New Roman"/>
        </w:rPr>
        <w:pict w14:anchorId="0ADB97FE">
          <v:rect id="_x0000_i1138" style="width:0;height:1.5pt" o:hralign="center" o:hrstd="t" o:hr="t" fillcolor="#a0a0a0" stroked="f"/>
        </w:pict>
      </w:r>
    </w:p>
    <w:p w14:paraId="408BEFE9" w14:textId="77777777" w:rsidR="00000000" w:rsidRDefault="001D0688">
      <w:pPr>
        <w:divId w:val="2721791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797"/>
        <w:gridCol w:w="36"/>
        <w:gridCol w:w="36"/>
        <w:gridCol w:w="36"/>
        <w:gridCol w:w="36"/>
        <w:gridCol w:w="39"/>
        <w:gridCol w:w="3297"/>
        <w:gridCol w:w="38"/>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6"/>
      </w:tblGrid>
      <w:tr w:rsidR="00000000" w14:paraId="37215D4E" w14:textId="77777777">
        <w:trPr>
          <w:divId w:val="1672950264"/>
        </w:trPr>
        <w:tc>
          <w:tcPr>
            <w:tcW w:w="50" w:type="pct"/>
            <w:vAlign w:val="center"/>
            <w:hideMark/>
          </w:tcPr>
          <w:p w14:paraId="537F99E1" w14:textId="77777777" w:rsidR="00000000" w:rsidRDefault="001D0688">
            <w:pPr>
              <w:rPr>
                <w:rFonts w:eastAsia="Times New Roman"/>
              </w:rPr>
            </w:pPr>
          </w:p>
        </w:tc>
        <w:tc>
          <w:tcPr>
            <w:tcW w:w="500" w:type="pct"/>
            <w:vAlign w:val="center"/>
            <w:hideMark/>
          </w:tcPr>
          <w:p w14:paraId="613F3D94" w14:textId="77777777" w:rsidR="00000000" w:rsidRDefault="001D0688">
            <w:pPr>
              <w:rPr>
                <w:rFonts w:eastAsia="Times New Roman"/>
                <w:sz w:val="20"/>
                <w:szCs w:val="20"/>
              </w:rPr>
            </w:pPr>
          </w:p>
        </w:tc>
        <w:tc>
          <w:tcPr>
            <w:tcW w:w="5" w:type="pct"/>
            <w:vAlign w:val="center"/>
            <w:hideMark/>
          </w:tcPr>
          <w:p w14:paraId="522A45BC" w14:textId="77777777" w:rsidR="00000000" w:rsidRDefault="001D0688">
            <w:pPr>
              <w:rPr>
                <w:rFonts w:eastAsia="Times New Roman"/>
                <w:sz w:val="20"/>
                <w:szCs w:val="20"/>
              </w:rPr>
            </w:pPr>
          </w:p>
        </w:tc>
        <w:tc>
          <w:tcPr>
            <w:tcW w:w="5" w:type="pct"/>
            <w:vAlign w:val="center"/>
            <w:hideMark/>
          </w:tcPr>
          <w:p w14:paraId="3AC21783" w14:textId="77777777" w:rsidR="00000000" w:rsidRDefault="001D0688">
            <w:pPr>
              <w:rPr>
                <w:rFonts w:eastAsia="Times New Roman"/>
                <w:sz w:val="20"/>
                <w:szCs w:val="20"/>
              </w:rPr>
            </w:pPr>
          </w:p>
        </w:tc>
        <w:tc>
          <w:tcPr>
            <w:tcW w:w="26" w:type="pct"/>
            <w:vAlign w:val="center"/>
            <w:hideMark/>
          </w:tcPr>
          <w:p w14:paraId="430CCABD" w14:textId="77777777" w:rsidR="00000000" w:rsidRDefault="001D0688">
            <w:pPr>
              <w:rPr>
                <w:rFonts w:eastAsia="Times New Roman"/>
                <w:sz w:val="20"/>
                <w:szCs w:val="20"/>
              </w:rPr>
            </w:pPr>
          </w:p>
        </w:tc>
        <w:tc>
          <w:tcPr>
            <w:tcW w:w="5" w:type="pct"/>
            <w:vAlign w:val="center"/>
            <w:hideMark/>
          </w:tcPr>
          <w:p w14:paraId="5CCA9FCE" w14:textId="77777777" w:rsidR="00000000" w:rsidRDefault="001D0688">
            <w:pPr>
              <w:rPr>
                <w:rFonts w:eastAsia="Times New Roman"/>
                <w:sz w:val="20"/>
                <w:szCs w:val="20"/>
              </w:rPr>
            </w:pPr>
          </w:p>
        </w:tc>
        <w:tc>
          <w:tcPr>
            <w:tcW w:w="50" w:type="pct"/>
            <w:vAlign w:val="center"/>
            <w:hideMark/>
          </w:tcPr>
          <w:p w14:paraId="6461984C" w14:textId="77777777" w:rsidR="00000000" w:rsidRDefault="001D0688">
            <w:pPr>
              <w:rPr>
                <w:rFonts w:eastAsia="Times New Roman"/>
                <w:sz w:val="20"/>
                <w:szCs w:val="20"/>
              </w:rPr>
            </w:pPr>
          </w:p>
        </w:tc>
        <w:tc>
          <w:tcPr>
            <w:tcW w:w="1999" w:type="pct"/>
            <w:vAlign w:val="center"/>
            <w:hideMark/>
          </w:tcPr>
          <w:p w14:paraId="0F1C7C1F" w14:textId="77777777" w:rsidR="00000000" w:rsidRDefault="001D0688">
            <w:pPr>
              <w:rPr>
                <w:rFonts w:eastAsia="Times New Roman"/>
                <w:sz w:val="20"/>
                <w:szCs w:val="20"/>
              </w:rPr>
            </w:pPr>
          </w:p>
        </w:tc>
        <w:tc>
          <w:tcPr>
            <w:tcW w:w="5" w:type="pct"/>
            <w:vAlign w:val="center"/>
            <w:hideMark/>
          </w:tcPr>
          <w:p w14:paraId="52D262F0" w14:textId="77777777" w:rsidR="00000000" w:rsidRDefault="001D0688">
            <w:pPr>
              <w:rPr>
                <w:rFonts w:eastAsia="Times New Roman"/>
                <w:sz w:val="20"/>
                <w:szCs w:val="20"/>
              </w:rPr>
            </w:pPr>
          </w:p>
        </w:tc>
        <w:tc>
          <w:tcPr>
            <w:tcW w:w="5" w:type="pct"/>
            <w:vAlign w:val="center"/>
            <w:hideMark/>
          </w:tcPr>
          <w:p w14:paraId="6C2A7B6F" w14:textId="77777777" w:rsidR="00000000" w:rsidRDefault="001D0688">
            <w:pPr>
              <w:rPr>
                <w:rFonts w:eastAsia="Times New Roman"/>
                <w:sz w:val="20"/>
                <w:szCs w:val="20"/>
              </w:rPr>
            </w:pPr>
          </w:p>
        </w:tc>
        <w:tc>
          <w:tcPr>
            <w:tcW w:w="26" w:type="pct"/>
            <w:vAlign w:val="center"/>
            <w:hideMark/>
          </w:tcPr>
          <w:p w14:paraId="34CE40E5" w14:textId="77777777" w:rsidR="00000000" w:rsidRDefault="001D0688">
            <w:pPr>
              <w:rPr>
                <w:rFonts w:eastAsia="Times New Roman"/>
                <w:sz w:val="20"/>
                <w:szCs w:val="20"/>
              </w:rPr>
            </w:pPr>
          </w:p>
        </w:tc>
        <w:tc>
          <w:tcPr>
            <w:tcW w:w="5" w:type="pct"/>
            <w:vAlign w:val="center"/>
            <w:hideMark/>
          </w:tcPr>
          <w:p w14:paraId="679C567F" w14:textId="77777777" w:rsidR="00000000" w:rsidRDefault="001D0688">
            <w:pPr>
              <w:rPr>
                <w:rFonts w:eastAsia="Times New Roman"/>
                <w:sz w:val="20"/>
                <w:szCs w:val="20"/>
              </w:rPr>
            </w:pPr>
          </w:p>
        </w:tc>
        <w:tc>
          <w:tcPr>
            <w:tcW w:w="50" w:type="pct"/>
            <w:vAlign w:val="center"/>
            <w:hideMark/>
          </w:tcPr>
          <w:p w14:paraId="73AF4703" w14:textId="77777777" w:rsidR="00000000" w:rsidRDefault="001D0688">
            <w:pPr>
              <w:rPr>
                <w:rFonts w:eastAsia="Times New Roman"/>
                <w:sz w:val="20"/>
                <w:szCs w:val="20"/>
              </w:rPr>
            </w:pPr>
          </w:p>
        </w:tc>
        <w:tc>
          <w:tcPr>
            <w:tcW w:w="244" w:type="pct"/>
            <w:vAlign w:val="center"/>
            <w:hideMark/>
          </w:tcPr>
          <w:p w14:paraId="2644281E" w14:textId="77777777" w:rsidR="00000000" w:rsidRDefault="001D0688">
            <w:pPr>
              <w:rPr>
                <w:rFonts w:eastAsia="Times New Roman"/>
                <w:sz w:val="20"/>
                <w:szCs w:val="20"/>
              </w:rPr>
            </w:pPr>
          </w:p>
        </w:tc>
        <w:tc>
          <w:tcPr>
            <w:tcW w:w="5" w:type="pct"/>
            <w:vAlign w:val="center"/>
            <w:hideMark/>
          </w:tcPr>
          <w:p w14:paraId="1FC3BB47" w14:textId="77777777" w:rsidR="00000000" w:rsidRDefault="001D0688">
            <w:pPr>
              <w:rPr>
                <w:rFonts w:eastAsia="Times New Roman"/>
                <w:sz w:val="20"/>
                <w:szCs w:val="20"/>
              </w:rPr>
            </w:pPr>
          </w:p>
        </w:tc>
        <w:tc>
          <w:tcPr>
            <w:tcW w:w="5" w:type="pct"/>
            <w:vAlign w:val="center"/>
            <w:hideMark/>
          </w:tcPr>
          <w:p w14:paraId="32F444FF" w14:textId="77777777" w:rsidR="00000000" w:rsidRDefault="001D0688">
            <w:pPr>
              <w:rPr>
                <w:rFonts w:eastAsia="Times New Roman"/>
                <w:sz w:val="20"/>
                <w:szCs w:val="20"/>
              </w:rPr>
            </w:pPr>
          </w:p>
        </w:tc>
        <w:tc>
          <w:tcPr>
            <w:tcW w:w="26" w:type="pct"/>
            <w:vAlign w:val="center"/>
            <w:hideMark/>
          </w:tcPr>
          <w:p w14:paraId="6007B8EF" w14:textId="77777777" w:rsidR="00000000" w:rsidRDefault="001D0688">
            <w:pPr>
              <w:rPr>
                <w:rFonts w:eastAsia="Times New Roman"/>
                <w:sz w:val="20"/>
                <w:szCs w:val="20"/>
              </w:rPr>
            </w:pPr>
          </w:p>
        </w:tc>
        <w:tc>
          <w:tcPr>
            <w:tcW w:w="5" w:type="pct"/>
            <w:vAlign w:val="center"/>
            <w:hideMark/>
          </w:tcPr>
          <w:p w14:paraId="234EA1E9" w14:textId="77777777" w:rsidR="00000000" w:rsidRDefault="001D0688">
            <w:pPr>
              <w:rPr>
                <w:rFonts w:eastAsia="Times New Roman"/>
                <w:sz w:val="20"/>
                <w:szCs w:val="20"/>
              </w:rPr>
            </w:pPr>
          </w:p>
        </w:tc>
        <w:tc>
          <w:tcPr>
            <w:tcW w:w="50" w:type="pct"/>
            <w:vAlign w:val="center"/>
            <w:hideMark/>
          </w:tcPr>
          <w:p w14:paraId="1AA62F81" w14:textId="77777777" w:rsidR="00000000" w:rsidRDefault="001D0688">
            <w:pPr>
              <w:rPr>
                <w:rFonts w:eastAsia="Times New Roman"/>
                <w:sz w:val="20"/>
                <w:szCs w:val="20"/>
              </w:rPr>
            </w:pPr>
          </w:p>
        </w:tc>
        <w:tc>
          <w:tcPr>
            <w:tcW w:w="507" w:type="pct"/>
            <w:vAlign w:val="center"/>
            <w:hideMark/>
          </w:tcPr>
          <w:p w14:paraId="747922C1" w14:textId="77777777" w:rsidR="00000000" w:rsidRDefault="001D0688">
            <w:pPr>
              <w:rPr>
                <w:rFonts w:eastAsia="Times New Roman"/>
                <w:sz w:val="20"/>
                <w:szCs w:val="20"/>
              </w:rPr>
            </w:pPr>
          </w:p>
        </w:tc>
        <w:tc>
          <w:tcPr>
            <w:tcW w:w="5" w:type="pct"/>
            <w:vAlign w:val="center"/>
            <w:hideMark/>
          </w:tcPr>
          <w:p w14:paraId="66373D79" w14:textId="77777777" w:rsidR="00000000" w:rsidRDefault="001D0688">
            <w:pPr>
              <w:rPr>
                <w:rFonts w:eastAsia="Times New Roman"/>
                <w:sz w:val="20"/>
                <w:szCs w:val="20"/>
              </w:rPr>
            </w:pPr>
          </w:p>
        </w:tc>
        <w:tc>
          <w:tcPr>
            <w:tcW w:w="5" w:type="pct"/>
            <w:vAlign w:val="center"/>
            <w:hideMark/>
          </w:tcPr>
          <w:p w14:paraId="703E326E" w14:textId="77777777" w:rsidR="00000000" w:rsidRDefault="001D0688">
            <w:pPr>
              <w:rPr>
                <w:rFonts w:eastAsia="Times New Roman"/>
                <w:sz w:val="20"/>
                <w:szCs w:val="20"/>
              </w:rPr>
            </w:pPr>
          </w:p>
        </w:tc>
        <w:tc>
          <w:tcPr>
            <w:tcW w:w="26" w:type="pct"/>
            <w:vAlign w:val="center"/>
            <w:hideMark/>
          </w:tcPr>
          <w:p w14:paraId="1D21A03F" w14:textId="77777777" w:rsidR="00000000" w:rsidRDefault="001D0688">
            <w:pPr>
              <w:rPr>
                <w:rFonts w:eastAsia="Times New Roman"/>
                <w:sz w:val="20"/>
                <w:szCs w:val="20"/>
              </w:rPr>
            </w:pPr>
          </w:p>
        </w:tc>
        <w:tc>
          <w:tcPr>
            <w:tcW w:w="5" w:type="pct"/>
            <w:vAlign w:val="center"/>
            <w:hideMark/>
          </w:tcPr>
          <w:p w14:paraId="2E0D5526" w14:textId="77777777" w:rsidR="00000000" w:rsidRDefault="001D0688">
            <w:pPr>
              <w:rPr>
                <w:rFonts w:eastAsia="Times New Roman"/>
                <w:sz w:val="20"/>
                <w:szCs w:val="20"/>
              </w:rPr>
            </w:pPr>
          </w:p>
        </w:tc>
        <w:tc>
          <w:tcPr>
            <w:tcW w:w="50" w:type="pct"/>
            <w:vAlign w:val="center"/>
            <w:hideMark/>
          </w:tcPr>
          <w:p w14:paraId="5088587D" w14:textId="77777777" w:rsidR="00000000" w:rsidRDefault="001D0688">
            <w:pPr>
              <w:rPr>
                <w:rFonts w:eastAsia="Times New Roman"/>
                <w:sz w:val="20"/>
                <w:szCs w:val="20"/>
              </w:rPr>
            </w:pPr>
          </w:p>
        </w:tc>
        <w:tc>
          <w:tcPr>
            <w:tcW w:w="332" w:type="pct"/>
            <w:vAlign w:val="center"/>
            <w:hideMark/>
          </w:tcPr>
          <w:p w14:paraId="19B78A68" w14:textId="77777777" w:rsidR="00000000" w:rsidRDefault="001D0688">
            <w:pPr>
              <w:rPr>
                <w:rFonts w:eastAsia="Times New Roman"/>
                <w:sz w:val="20"/>
                <w:szCs w:val="20"/>
              </w:rPr>
            </w:pPr>
          </w:p>
        </w:tc>
        <w:tc>
          <w:tcPr>
            <w:tcW w:w="5" w:type="pct"/>
            <w:vAlign w:val="center"/>
            <w:hideMark/>
          </w:tcPr>
          <w:p w14:paraId="314566D6" w14:textId="77777777" w:rsidR="00000000" w:rsidRDefault="001D0688">
            <w:pPr>
              <w:rPr>
                <w:rFonts w:eastAsia="Times New Roman"/>
                <w:sz w:val="20"/>
                <w:szCs w:val="20"/>
              </w:rPr>
            </w:pPr>
          </w:p>
        </w:tc>
        <w:tc>
          <w:tcPr>
            <w:tcW w:w="5" w:type="pct"/>
            <w:vAlign w:val="center"/>
            <w:hideMark/>
          </w:tcPr>
          <w:p w14:paraId="4E86FC47" w14:textId="77777777" w:rsidR="00000000" w:rsidRDefault="001D0688">
            <w:pPr>
              <w:rPr>
                <w:rFonts w:eastAsia="Times New Roman"/>
                <w:sz w:val="20"/>
                <w:szCs w:val="20"/>
              </w:rPr>
            </w:pPr>
          </w:p>
        </w:tc>
        <w:tc>
          <w:tcPr>
            <w:tcW w:w="26" w:type="pct"/>
            <w:vAlign w:val="center"/>
            <w:hideMark/>
          </w:tcPr>
          <w:p w14:paraId="2B891626" w14:textId="77777777" w:rsidR="00000000" w:rsidRDefault="001D0688">
            <w:pPr>
              <w:rPr>
                <w:rFonts w:eastAsia="Times New Roman"/>
                <w:sz w:val="20"/>
                <w:szCs w:val="20"/>
              </w:rPr>
            </w:pPr>
          </w:p>
        </w:tc>
        <w:tc>
          <w:tcPr>
            <w:tcW w:w="5" w:type="pct"/>
            <w:vAlign w:val="center"/>
            <w:hideMark/>
          </w:tcPr>
          <w:p w14:paraId="452367ED" w14:textId="77777777" w:rsidR="00000000" w:rsidRDefault="001D0688">
            <w:pPr>
              <w:rPr>
                <w:rFonts w:eastAsia="Times New Roman"/>
                <w:sz w:val="20"/>
                <w:szCs w:val="20"/>
              </w:rPr>
            </w:pPr>
          </w:p>
        </w:tc>
        <w:tc>
          <w:tcPr>
            <w:tcW w:w="50" w:type="pct"/>
            <w:vAlign w:val="center"/>
            <w:hideMark/>
          </w:tcPr>
          <w:p w14:paraId="7A56CACF" w14:textId="77777777" w:rsidR="00000000" w:rsidRDefault="001D0688">
            <w:pPr>
              <w:rPr>
                <w:rFonts w:eastAsia="Times New Roman"/>
                <w:sz w:val="20"/>
                <w:szCs w:val="20"/>
              </w:rPr>
            </w:pPr>
          </w:p>
        </w:tc>
        <w:tc>
          <w:tcPr>
            <w:tcW w:w="902" w:type="pct"/>
            <w:vAlign w:val="center"/>
            <w:hideMark/>
          </w:tcPr>
          <w:p w14:paraId="6EAF4DA0" w14:textId="77777777" w:rsidR="00000000" w:rsidRDefault="001D0688">
            <w:pPr>
              <w:rPr>
                <w:rFonts w:eastAsia="Times New Roman"/>
                <w:sz w:val="20"/>
                <w:szCs w:val="20"/>
              </w:rPr>
            </w:pPr>
          </w:p>
        </w:tc>
        <w:tc>
          <w:tcPr>
            <w:tcW w:w="5" w:type="pct"/>
            <w:vAlign w:val="center"/>
            <w:hideMark/>
          </w:tcPr>
          <w:p w14:paraId="5641D8A7" w14:textId="77777777" w:rsidR="00000000" w:rsidRDefault="001D0688">
            <w:pPr>
              <w:rPr>
                <w:rFonts w:eastAsia="Times New Roman"/>
                <w:sz w:val="20"/>
                <w:szCs w:val="20"/>
              </w:rPr>
            </w:pPr>
          </w:p>
        </w:tc>
      </w:tr>
      <w:tr w:rsidR="00000000" w14:paraId="391A8C5F" w14:textId="77777777">
        <w:trPr>
          <w:divId w:val="1672950264"/>
        </w:trPr>
        <w:tc>
          <w:tcPr>
            <w:tcW w:w="0" w:type="auto"/>
            <w:gridSpan w:val="3"/>
            <w:shd w:val="clear" w:color="auto" w:fill="FFFFFF"/>
            <w:tcMar>
              <w:top w:w="30" w:type="dxa"/>
              <w:left w:w="20" w:type="dxa"/>
              <w:bottom w:w="30" w:type="dxa"/>
              <w:right w:w="20" w:type="dxa"/>
            </w:tcMar>
            <w:hideMark/>
          </w:tcPr>
          <w:p w14:paraId="16053CA0" w14:textId="77777777" w:rsidR="00000000" w:rsidRDefault="001D0688">
            <w:pPr>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14:paraId="61F37DF2"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33931E" w14:textId="77777777" w:rsidR="00000000" w:rsidRDefault="001D0688">
            <w:pPr>
              <w:divId w:val="12804280"/>
              <w:rPr>
                <w:rFonts w:eastAsia="Times New Roman"/>
              </w:rPr>
            </w:pPr>
            <w:hyperlink r:id="rId23" w:history="1">
              <w:r>
                <w:rPr>
                  <w:rStyle w:val="a3"/>
                  <w:rFonts w:ascii="Arial" w:eastAsia="Times New Roman" w:hAnsi="Arial" w:cs="Arial"/>
                  <w:sz w:val="20"/>
                  <w:szCs w:val="20"/>
                </w:rPr>
                <w:t>Second Amendment, dated as of September 5, 2018, to the Credit Agreement dated September 1, 2017, by and among ABM Industries Incorporated, a Delaware corp</w:t>
              </w:r>
              <w:r>
                <w:rPr>
                  <w:rStyle w:val="a3"/>
                  <w:rFonts w:ascii="Arial" w:eastAsia="Times New Roman" w:hAnsi="Arial" w:cs="Arial"/>
                  <w:sz w:val="20"/>
                  <w:szCs w:val="20"/>
                </w:rPr>
                <w:t>oration, the Designated Borrowers identified on the signature pages thereto, the Guarantors identified on the signature pages thereto, the Lenders identified on the signature pages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14:paraId="369FB672"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827175F"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7EB856D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00E7C927"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71C913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DFCDA94" w14:textId="77777777" w:rsidR="00000000" w:rsidRDefault="001D0688">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14:paraId="685A4A0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AD644CE" w14:textId="77777777" w:rsidR="00000000" w:rsidRDefault="001D0688">
            <w:pPr>
              <w:jc w:val="center"/>
              <w:rPr>
                <w:rFonts w:eastAsia="Times New Roman"/>
              </w:rPr>
            </w:pPr>
            <w:r>
              <w:rPr>
                <w:rFonts w:ascii="Arial" w:eastAsia="Times New Roman" w:hAnsi="Arial" w:cs="Arial"/>
                <w:color w:val="000000"/>
                <w:sz w:val="20"/>
                <w:szCs w:val="20"/>
              </w:rPr>
              <w:t>September 7, 2018</w:t>
            </w:r>
          </w:p>
        </w:tc>
      </w:tr>
      <w:tr w:rsidR="00000000" w14:paraId="1DB55A57" w14:textId="77777777">
        <w:trPr>
          <w:divId w:val="1672950264"/>
        </w:trPr>
        <w:tc>
          <w:tcPr>
            <w:tcW w:w="0" w:type="auto"/>
            <w:gridSpan w:val="3"/>
            <w:shd w:val="clear" w:color="auto" w:fill="DCE2EF"/>
            <w:tcMar>
              <w:top w:w="30" w:type="dxa"/>
              <w:left w:w="20" w:type="dxa"/>
              <w:bottom w:w="30" w:type="dxa"/>
              <w:right w:w="20" w:type="dxa"/>
            </w:tcMar>
            <w:hideMark/>
          </w:tcPr>
          <w:p w14:paraId="4A87E3F7" w14:textId="77777777" w:rsidR="00000000" w:rsidRDefault="001D0688">
            <w:pPr>
              <w:rPr>
                <w:rFonts w:eastAsia="Times New Roman"/>
              </w:rPr>
            </w:pPr>
            <w:r>
              <w:rPr>
                <w:rFonts w:ascii="Arial" w:eastAsia="Times New Roman" w:hAnsi="Arial" w:cs="Arial"/>
                <w:color w:val="000000"/>
                <w:sz w:val="20"/>
                <w:szCs w:val="20"/>
              </w:rPr>
              <w:t>10.6</w:t>
            </w:r>
          </w:p>
        </w:tc>
        <w:tc>
          <w:tcPr>
            <w:tcW w:w="0" w:type="auto"/>
            <w:gridSpan w:val="3"/>
            <w:shd w:val="clear" w:color="auto" w:fill="DCE2EF"/>
            <w:tcMar>
              <w:top w:w="0" w:type="dxa"/>
              <w:left w:w="20" w:type="dxa"/>
              <w:bottom w:w="0" w:type="dxa"/>
              <w:right w:w="20" w:type="dxa"/>
            </w:tcMar>
            <w:vAlign w:val="center"/>
            <w:hideMark/>
          </w:tcPr>
          <w:p w14:paraId="5A415132"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6D4DC89" w14:textId="77777777" w:rsidR="00000000" w:rsidRDefault="001D0688">
            <w:pPr>
              <w:divId w:val="225380407"/>
              <w:rPr>
                <w:rFonts w:eastAsia="Times New Roman"/>
              </w:rPr>
            </w:pPr>
            <w:hyperlink r:id="rId24" w:history="1">
              <w:r>
                <w:rPr>
                  <w:rStyle w:val="a3"/>
                  <w:rFonts w:ascii="Arial" w:eastAsia="Times New Roman" w:hAnsi="Arial" w:cs="Arial"/>
                  <w:sz w:val="20"/>
                  <w:szCs w:val="20"/>
                </w:rPr>
                <w:t>Third Amendment, dated as of May 28, 2020, to the Credit Agreement dated September 1, 2017, by an</w:t>
              </w:r>
              <w:r>
                <w:rPr>
                  <w:rStyle w:val="a3"/>
                  <w:rFonts w:ascii="Arial" w:eastAsia="Times New Roman" w:hAnsi="Arial" w:cs="Arial"/>
                  <w:sz w:val="20"/>
                  <w:szCs w:val="20"/>
                </w:rPr>
                <w:t>d among ABM Industries Incorporated, a Delaware corporation, the Designated Borrowers identified on the signature pages thereto, the Guarantors identified on the signature pages thereto, the Lenders identified on the signatures pages thereto and Bank of Am</w:t>
              </w:r>
              <w:r>
                <w:rPr>
                  <w:rStyle w:val="a3"/>
                  <w:rFonts w:ascii="Arial" w:eastAsia="Times New Roman" w:hAnsi="Arial" w:cs="Arial"/>
                  <w:sz w:val="20"/>
                  <w:szCs w:val="20"/>
                </w:rPr>
                <w:t xml:space="preserve">erica, N.A., as administrative agent </w:t>
              </w:r>
            </w:hyperlink>
          </w:p>
        </w:tc>
        <w:tc>
          <w:tcPr>
            <w:tcW w:w="0" w:type="auto"/>
            <w:gridSpan w:val="3"/>
            <w:shd w:val="clear" w:color="auto" w:fill="DCE2EF"/>
            <w:tcMar>
              <w:top w:w="0" w:type="dxa"/>
              <w:left w:w="20" w:type="dxa"/>
              <w:bottom w:w="0" w:type="dxa"/>
              <w:right w:w="20" w:type="dxa"/>
            </w:tcMar>
            <w:vAlign w:val="center"/>
            <w:hideMark/>
          </w:tcPr>
          <w:p w14:paraId="7F1D206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B71D954" w14:textId="77777777" w:rsidR="00000000" w:rsidRDefault="001D0688">
            <w:pPr>
              <w:jc w:val="center"/>
              <w:rPr>
                <w:rFonts w:eastAsia="Times New Roman"/>
              </w:rPr>
            </w:pPr>
            <w:r>
              <w:rPr>
                <w:rFonts w:ascii="Arial" w:eastAsia="Times New Roman" w:hAnsi="Arial" w:cs="Arial"/>
                <w:color w:val="000000"/>
                <w:sz w:val="20"/>
                <w:szCs w:val="20"/>
              </w:rPr>
              <w:t xml:space="preserve">10-Q </w:t>
            </w:r>
          </w:p>
        </w:tc>
        <w:tc>
          <w:tcPr>
            <w:tcW w:w="0" w:type="auto"/>
            <w:gridSpan w:val="3"/>
            <w:shd w:val="clear" w:color="auto" w:fill="DCE2EF"/>
            <w:tcMar>
              <w:top w:w="0" w:type="dxa"/>
              <w:left w:w="20" w:type="dxa"/>
              <w:bottom w:w="0" w:type="dxa"/>
              <w:right w:w="20" w:type="dxa"/>
            </w:tcMar>
            <w:vAlign w:val="center"/>
            <w:hideMark/>
          </w:tcPr>
          <w:p w14:paraId="79AB3C5C"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9379540"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24658D98"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6F5D5C9"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00176A7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D5D41E3" w14:textId="77777777" w:rsidR="00000000" w:rsidRDefault="001D0688">
            <w:pPr>
              <w:jc w:val="center"/>
              <w:rPr>
                <w:rFonts w:eastAsia="Times New Roman"/>
              </w:rPr>
            </w:pPr>
            <w:r>
              <w:rPr>
                <w:rFonts w:ascii="Arial" w:eastAsia="Times New Roman" w:hAnsi="Arial" w:cs="Arial"/>
                <w:color w:val="000000"/>
                <w:sz w:val="20"/>
                <w:szCs w:val="20"/>
              </w:rPr>
              <w:t>June 18, 2020</w:t>
            </w:r>
          </w:p>
        </w:tc>
      </w:tr>
      <w:tr w:rsidR="00000000" w14:paraId="631E9570" w14:textId="77777777">
        <w:trPr>
          <w:divId w:val="1672950264"/>
        </w:trPr>
        <w:tc>
          <w:tcPr>
            <w:tcW w:w="0" w:type="auto"/>
            <w:gridSpan w:val="3"/>
            <w:shd w:val="clear" w:color="auto" w:fill="FFFFFF"/>
            <w:tcMar>
              <w:top w:w="30" w:type="dxa"/>
              <w:left w:w="20" w:type="dxa"/>
              <w:bottom w:w="30" w:type="dxa"/>
              <w:right w:w="20" w:type="dxa"/>
            </w:tcMar>
            <w:hideMark/>
          </w:tcPr>
          <w:p w14:paraId="5157778C" w14:textId="77777777" w:rsidR="00000000" w:rsidRDefault="001D0688">
            <w:pPr>
              <w:rPr>
                <w:rFonts w:eastAsia="Times New Roman"/>
              </w:rPr>
            </w:pPr>
            <w:r>
              <w:rPr>
                <w:rFonts w:ascii="Arial" w:eastAsia="Times New Roman" w:hAnsi="Arial" w:cs="Arial"/>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14:paraId="23921BB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3D0302" w14:textId="77777777" w:rsidR="00000000" w:rsidRDefault="001D0688">
            <w:pPr>
              <w:divId w:val="542407506"/>
              <w:rPr>
                <w:rFonts w:eastAsia="Times New Roman"/>
              </w:rPr>
            </w:pPr>
            <w:hyperlink r:id="rId25" w:history="1">
              <w:r>
                <w:rPr>
                  <w:rStyle w:val="a3"/>
                  <w:rFonts w:ascii="Arial" w:eastAsia="Times New Roman" w:hAnsi="Arial" w:cs="Arial"/>
                  <w:sz w:val="20"/>
                  <w:szCs w:val="20"/>
                </w:rPr>
                <w:t>ABM Executive Retiree Healthcare and Dental Plan</w:t>
              </w:r>
            </w:hyperlink>
          </w:p>
        </w:tc>
        <w:tc>
          <w:tcPr>
            <w:tcW w:w="0" w:type="auto"/>
            <w:gridSpan w:val="3"/>
            <w:shd w:val="clear" w:color="auto" w:fill="FFFFFF"/>
            <w:tcMar>
              <w:top w:w="0" w:type="dxa"/>
              <w:left w:w="20" w:type="dxa"/>
              <w:bottom w:w="0" w:type="dxa"/>
              <w:right w:w="20" w:type="dxa"/>
            </w:tcMar>
            <w:vAlign w:val="center"/>
            <w:hideMark/>
          </w:tcPr>
          <w:p w14:paraId="3AA935E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0886828B"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2B4ABFE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DAFC2BF"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ACF197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60FC7DC" w14:textId="77777777" w:rsidR="00000000" w:rsidRDefault="001D0688">
            <w:pPr>
              <w:jc w:val="center"/>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14:paraId="66732B85"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B597D08" w14:textId="77777777" w:rsidR="00000000" w:rsidRDefault="001D0688">
            <w:pPr>
              <w:jc w:val="center"/>
              <w:rPr>
                <w:rFonts w:eastAsia="Times New Roman"/>
              </w:rPr>
            </w:pPr>
            <w:r>
              <w:rPr>
                <w:rFonts w:ascii="Arial" w:eastAsia="Times New Roman" w:hAnsi="Arial" w:cs="Arial"/>
                <w:color w:val="000000"/>
                <w:sz w:val="20"/>
                <w:szCs w:val="20"/>
              </w:rPr>
              <w:t>January 14, 2005</w:t>
            </w:r>
          </w:p>
        </w:tc>
      </w:tr>
      <w:tr w:rsidR="00000000" w14:paraId="21A53630" w14:textId="77777777">
        <w:trPr>
          <w:divId w:val="1672950264"/>
        </w:trPr>
        <w:tc>
          <w:tcPr>
            <w:tcW w:w="0" w:type="auto"/>
            <w:gridSpan w:val="3"/>
            <w:shd w:val="clear" w:color="auto" w:fill="DCE2EF"/>
            <w:tcMar>
              <w:top w:w="30" w:type="dxa"/>
              <w:left w:w="20" w:type="dxa"/>
              <w:bottom w:w="30" w:type="dxa"/>
              <w:right w:w="20" w:type="dxa"/>
            </w:tcMar>
            <w:hideMark/>
          </w:tcPr>
          <w:p w14:paraId="2757DB81" w14:textId="77777777" w:rsidR="00000000" w:rsidRDefault="001D0688">
            <w:pPr>
              <w:rPr>
                <w:rFonts w:eastAsia="Times New Roman"/>
              </w:rPr>
            </w:pPr>
            <w:r>
              <w:rPr>
                <w:rFonts w:ascii="Arial" w:eastAsia="Times New Roman" w:hAnsi="Arial" w:cs="Arial"/>
                <w:color w:val="000000"/>
                <w:sz w:val="20"/>
                <w:szCs w:val="20"/>
              </w:rPr>
              <w:t>10.8*</w:t>
            </w:r>
          </w:p>
        </w:tc>
        <w:tc>
          <w:tcPr>
            <w:tcW w:w="0" w:type="auto"/>
            <w:gridSpan w:val="3"/>
            <w:shd w:val="clear" w:color="auto" w:fill="DCE2EF"/>
            <w:tcMar>
              <w:top w:w="0" w:type="dxa"/>
              <w:left w:w="20" w:type="dxa"/>
              <w:bottom w:w="0" w:type="dxa"/>
              <w:right w:w="20" w:type="dxa"/>
            </w:tcMar>
            <w:vAlign w:val="center"/>
            <w:hideMark/>
          </w:tcPr>
          <w:p w14:paraId="708CBA54"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1D519E1" w14:textId="77777777" w:rsidR="00000000" w:rsidRDefault="001D0688">
            <w:pPr>
              <w:divId w:val="665595974"/>
              <w:rPr>
                <w:rFonts w:eastAsia="Times New Roman"/>
              </w:rPr>
            </w:pPr>
            <w:hyperlink r:id="rId26" w:history="1">
              <w:r>
                <w:rPr>
                  <w:rStyle w:val="a3"/>
                  <w:rFonts w:ascii="Arial" w:eastAsia="Times New Roman" w:hAnsi="Arial" w:cs="Arial"/>
                  <w:sz w:val="20"/>
                  <w:szCs w:val="20"/>
                </w:rPr>
                <w:t>Director Retirement Plan Distribution Election Form, as revised June 16, 2006</w:t>
              </w:r>
            </w:hyperlink>
          </w:p>
        </w:tc>
        <w:tc>
          <w:tcPr>
            <w:tcW w:w="0" w:type="auto"/>
            <w:gridSpan w:val="3"/>
            <w:shd w:val="clear" w:color="auto" w:fill="DCE2EF"/>
            <w:tcMar>
              <w:top w:w="0" w:type="dxa"/>
              <w:left w:w="20" w:type="dxa"/>
              <w:bottom w:w="0" w:type="dxa"/>
              <w:right w:w="20" w:type="dxa"/>
            </w:tcMar>
            <w:vAlign w:val="center"/>
            <w:hideMark/>
          </w:tcPr>
          <w:p w14:paraId="474EC632"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341656DD"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580F28F0"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8A2520F"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632DF3D"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8AB268A"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68F24DE1"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2A29119" w14:textId="77777777" w:rsidR="00000000" w:rsidRDefault="001D0688">
            <w:pPr>
              <w:jc w:val="center"/>
              <w:rPr>
                <w:rFonts w:eastAsia="Times New Roman"/>
              </w:rPr>
            </w:pPr>
            <w:r>
              <w:rPr>
                <w:rFonts w:ascii="Arial" w:eastAsia="Times New Roman" w:hAnsi="Arial" w:cs="Arial"/>
                <w:color w:val="000000"/>
                <w:sz w:val="20"/>
                <w:szCs w:val="20"/>
              </w:rPr>
              <w:t>September 8, 2006</w:t>
            </w:r>
          </w:p>
        </w:tc>
      </w:tr>
      <w:tr w:rsidR="00000000" w14:paraId="2D42EB5A" w14:textId="77777777">
        <w:trPr>
          <w:divId w:val="1672950264"/>
        </w:trPr>
        <w:tc>
          <w:tcPr>
            <w:tcW w:w="0" w:type="auto"/>
            <w:gridSpan w:val="3"/>
            <w:shd w:val="clear" w:color="auto" w:fill="FFFFFF"/>
            <w:tcMar>
              <w:top w:w="30" w:type="dxa"/>
              <w:left w:w="20" w:type="dxa"/>
              <w:bottom w:w="30" w:type="dxa"/>
              <w:right w:w="20" w:type="dxa"/>
            </w:tcMar>
            <w:hideMark/>
          </w:tcPr>
          <w:p w14:paraId="5A1C9B90" w14:textId="77777777" w:rsidR="00000000" w:rsidRDefault="001D0688">
            <w:pPr>
              <w:rPr>
                <w:rFonts w:eastAsia="Times New Roman"/>
              </w:rPr>
            </w:pPr>
            <w:r>
              <w:rPr>
                <w:rFonts w:ascii="Arial" w:eastAsia="Times New Roman" w:hAnsi="Arial" w:cs="Arial"/>
                <w:color w:val="000000"/>
                <w:sz w:val="20"/>
                <w:szCs w:val="20"/>
              </w:rPr>
              <w:t>10.9*</w:t>
            </w:r>
          </w:p>
        </w:tc>
        <w:tc>
          <w:tcPr>
            <w:tcW w:w="0" w:type="auto"/>
            <w:gridSpan w:val="3"/>
            <w:shd w:val="clear" w:color="auto" w:fill="FFFFFF"/>
            <w:tcMar>
              <w:top w:w="0" w:type="dxa"/>
              <w:left w:w="20" w:type="dxa"/>
              <w:bottom w:w="0" w:type="dxa"/>
              <w:right w:w="20" w:type="dxa"/>
            </w:tcMar>
            <w:vAlign w:val="center"/>
            <w:hideMark/>
          </w:tcPr>
          <w:p w14:paraId="1688D222"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F22EA2" w14:textId="77777777" w:rsidR="00000000" w:rsidRDefault="001D0688">
            <w:pPr>
              <w:divId w:val="2049716277"/>
              <w:rPr>
                <w:rFonts w:eastAsia="Times New Roman"/>
              </w:rPr>
            </w:pPr>
            <w:hyperlink r:id="rId27" w:history="1">
              <w:r>
                <w:rPr>
                  <w:rStyle w:val="a3"/>
                  <w:rFonts w:ascii="Arial" w:eastAsia="Times New Roman" w:hAnsi="Arial" w:cs="Arial"/>
                  <w:sz w:val="20"/>
                  <w:szCs w:val="20"/>
                </w:rPr>
                <w:t>Deferred Compensation Plan for Non-Employee Directors, as amended and restated December 13, 2010</w:t>
              </w:r>
            </w:hyperlink>
          </w:p>
        </w:tc>
        <w:tc>
          <w:tcPr>
            <w:tcW w:w="0" w:type="auto"/>
            <w:gridSpan w:val="3"/>
            <w:shd w:val="clear" w:color="auto" w:fill="FFFFFF"/>
            <w:tcMar>
              <w:top w:w="0" w:type="dxa"/>
              <w:left w:w="20" w:type="dxa"/>
              <w:bottom w:w="0" w:type="dxa"/>
              <w:right w:w="20" w:type="dxa"/>
            </w:tcMar>
            <w:vAlign w:val="center"/>
            <w:hideMark/>
          </w:tcPr>
          <w:p w14:paraId="7AF3ACE1"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713C1E22"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2A5CFBD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C36E3FD"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0D53C2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F7246F7" w14:textId="77777777" w:rsidR="00000000" w:rsidRDefault="001D0688">
            <w:pPr>
              <w:jc w:val="center"/>
              <w:rPr>
                <w:rFonts w:eastAsia="Times New Roman"/>
              </w:rPr>
            </w:pPr>
            <w:r>
              <w:rPr>
                <w:rFonts w:ascii="Arial" w:eastAsia="Times New Roman" w:hAnsi="Arial" w:cs="Arial"/>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14:paraId="1E1949A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B2A3513" w14:textId="77777777" w:rsidR="00000000" w:rsidRDefault="001D0688">
            <w:pPr>
              <w:jc w:val="center"/>
              <w:rPr>
                <w:rFonts w:eastAsia="Times New Roman"/>
              </w:rPr>
            </w:pPr>
            <w:r>
              <w:rPr>
                <w:rFonts w:ascii="Arial" w:eastAsia="Times New Roman" w:hAnsi="Arial" w:cs="Arial"/>
                <w:color w:val="000000"/>
                <w:sz w:val="20"/>
                <w:szCs w:val="20"/>
              </w:rPr>
              <w:t>December 23, 2010</w:t>
            </w:r>
          </w:p>
        </w:tc>
      </w:tr>
      <w:tr w:rsidR="00000000" w14:paraId="44FFB035" w14:textId="77777777">
        <w:trPr>
          <w:divId w:val="1672950264"/>
        </w:trPr>
        <w:tc>
          <w:tcPr>
            <w:tcW w:w="0" w:type="auto"/>
            <w:gridSpan w:val="3"/>
            <w:shd w:val="clear" w:color="auto" w:fill="DCE2EF"/>
            <w:tcMar>
              <w:top w:w="30" w:type="dxa"/>
              <w:left w:w="20" w:type="dxa"/>
              <w:bottom w:w="30" w:type="dxa"/>
              <w:right w:w="20" w:type="dxa"/>
            </w:tcMar>
            <w:hideMark/>
          </w:tcPr>
          <w:p w14:paraId="7B4BA02D" w14:textId="77777777" w:rsidR="00000000" w:rsidRDefault="001D0688">
            <w:pPr>
              <w:rPr>
                <w:rFonts w:eastAsia="Times New Roman"/>
              </w:rPr>
            </w:pPr>
            <w:r>
              <w:rPr>
                <w:rFonts w:ascii="Arial" w:eastAsia="Times New Roman" w:hAnsi="Arial" w:cs="Arial"/>
                <w:color w:val="000000"/>
                <w:sz w:val="20"/>
                <w:szCs w:val="20"/>
              </w:rPr>
              <w:t>10.10*</w:t>
            </w:r>
          </w:p>
        </w:tc>
        <w:tc>
          <w:tcPr>
            <w:tcW w:w="0" w:type="auto"/>
            <w:gridSpan w:val="3"/>
            <w:shd w:val="clear" w:color="auto" w:fill="DCE2EF"/>
            <w:tcMar>
              <w:top w:w="0" w:type="dxa"/>
              <w:left w:w="20" w:type="dxa"/>
              <w:bottom w:w="0" w:type="dxa"/>
              <w:right w:w="20" w:type="dxa"/>
            </w:tcMar>
            <w:vAlign w:val="center"/>
            <w:hideMark/>
          </w:tcPr>
          <w:p w14:paraId="1F4CDF4D"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31F57AD" w14:textId="77777777" w:rsidR="00000000" w:rsidRDefault="001D0688">
            <w:pPr>
              <w:divId w:val="1838571871"/>
              <w:rPr>
                <w:rFonts w:eastAsia="Times New Roman"/>
              </w:rPr>
            </w:pPr>
            <w:hyperlink r:id="rId28" w:history="1">
              <w:r>
                <w:rPr>
                  <w:rStyle w:val="a3"/>
                  <w:rFonts w:ascii="Arial" w:eastAsia="Times New Roman" w:hAnsi="Arial" w:cs="Arial"/>
                  <w:sz w:val="20"/>
                  <w:szCs w:val="20"/>
                </w:rPr>
                <w:t>Form of Director’s Indemnification Agreement</w:t>
              </w:r>
            </w:hyperlink>
          </w:p>
        </w:tc>
        <w:tc>
          <w:tcPr>
            <w:tcW w:w="0" w:type="auto"/>
            <w:gridSpan w:val="3"/>
            <w:shd w:val="clear" w:color="auto" w:fill="DCE2EF"/>
            <w:tcMar>
              <w:top w:w="0" w:type="dxa"/>
              <w:left w:w="20" w:type="dxa"/>
              <w:bottom w:w="0" w:type="dxa"/>
              <w:right w:w="20" w:type="dxa"/>
            </w:tcMar>
            <w:vAlign w:val="center"/>
            <w:hideMark/>
          </w:tcPr>
          <w:p w14:paraId="4473655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A044846"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315574B4"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66AFDF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19E187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91D735B" w14:textId="77777777" w:rsidR="00000000" w:rsidRDefault="001D0688">
            <w:pPr>
              <w:jc w:val="center"/>
              <w:rPr>
                <w:rFonts w:eastAsia="Times New Roman"/>
              </w:rPr>
            </w:pPr>
            <w:r>
              <w:rPr>
                <w:rFonts w:ascii="Arial" w:eastAsia="Times New Roman" w:hAnsi="Arial" w:cs="Arial"/>
                <w:color w:val="000000"/>
                <w:sz w:val="20"/>
                <w:szCs w:val="20"/>
              </w:rPr>
              <w:t>10.9</w:t>
            </w:r>
          </w:p>
        </w:tc>
        <w:tc>
          <w:tcPr>
            <w:tcW w:w="0" w:type="auto"/>
            <w:gridSpan w:val="3"/>
            <w:shd w:val="clear" w:color="auto" w:fill="DCE2EF"/>
            <w:tcMar>
              <w:top w:w="0" w:type="dxa"/>
              <w:left w:w="20" w:type="dxa"/>
              <w:bottom w:w="0" w:type="dxa"/>
              <w:right w:w="20" w:type="dxa"/>
            </w:tcMar>
            <w:vAlign w:val="center"/>
            <w:hideMark/>
          </w:tcPr>
          <w:p w14:paraId="29DF5A01"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88C9A13" w14:textId="77777777" w:rsidR="00000000" w:rsidRDefault="001D0688">
            <w:pPr>
              <w:jc w:val="center"/>
              <w:rPr>
                <w:rFonts w:eastAsia="Times New Roman"/>
              </w:rPr>
            </w:pPr>
            <w:r>
              <w:rPr>
                <w:rFonts w:ascii="Arial" w:eastAsia="Times New Roman" w:hAnsi="Arial" w:cs="Arial"/>
                <w:color w:val="000000"/>
                <w:sz w:val="20"/>
                <w:szCs w:val="20"/>
              </w:rPr>
              <w:t>December 21, 2018</w:t>
            </w:r>
          </w:p>
        </w:tc>
      </w:tr>
      <w:tr w:rsidR="00000000" w14:paraId="46A40F1A" w14:textId="77777777">
        <w:trPr>
          <w:divId w:val="1672950264"/>
        </w:trPr>
        <w:tc>
          <w:tcPr>
            <w:tcW w:w="0" w:type="auto"/>
            <w:gridSpan w:val="3"/>
            <w:shd w:val="clear" w:color="auto" w:fill="FFFFFF"/>
            <w:tcMar>
              <w:top w:w="30" w:type="dxa"/>
              <w:left w:w="20" w:type="dxa"/>
              <w:bottom w:w="30" w:type="dxa"/>
              <w:right w:w="20" w:type="dxa"/>
            </w:tcMar>
            <w:hideMark/>
          </w:tcPr>
          <w:p w14:paraId="2017AAE9" w14:textId="77777777" w:rsidR="00000000" w:rsidRDefault="001D0688">
            <w:pPr>
              <w:rPr>
                <w:rFonts w:eastAsia="Times New Roman"/>
              </w:rPr>
            </w:pPr>
            <w:r>
              <w:rPr>
                <w:rFonts w:ascii="Arial" w:eastAsia="Times New Roman" w:hAnsi="Arial" w:cs="Arial"/>
                <w:color w:val="000000"/>
                <w:sz w:val="20"/>
                <w:szCs w:val="20"/>
              </w:rPr>
              <w:t>10.11*</w:t>
            </w:r>
          </w:p>
        </w:tc>
        <w:tc>
          <w:tcPr>
            <w:tcW w:w="0" w:type="auto"/>
            <w:gridSpan w:val="3"/>
            <w:shd w:val="clear" w:color="auto" w:fill="FFFFFF"/>
            <w:tcMar>
              <w:top w:w="0" w:type="dxa"/>
              <w:left w:w="20" w:type="dxa"/>
              <w:bottom w:w="0" w:type="dxa"/>
              <w:right w:w="20" w:type="dxa"/>
            </w:tcMar>
            <w:vAlign w:val="center"/>
            <w:hideMark/>
          </w:tcPr>
          <w:p w14:paraId="47047553"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15D256" w14:textId="77777777" w:rsidR="00000000" w:rsidRDefault="001D0688">
            <w:pPr>
              <w:divId w:val="426312686"/>
              <w:rPr>
                <w:rFonts w:eastAsia="Times New Roman"/>
              </w:rPr>
            </w:pPr>
            <w:hyperlink r:id="rId29" w:history="1">
              <w:r>
                <w:rPr>
                  <w:rStyle w:val="a3"/>
                  <w:rFonts w:ascii="Arial" w:eastAsia="Times New Roman" w:hAnsi="Arial" w:cs="Arial"/>
                  <w:sz w:val="20"/>
                  <w:szCs w:val="20"/>
                </w:rPr>
                <w:t>ABM Executive Officer Incentive Plan, as amended and restated June 3, 2008</w:t>
              </w:r>
            </w:hyperlink>
          </w:p>
        </w:tc>
        <w:tc>
          <w:tcPr>
            <w:tcW w:w="0" w:type="auto"/>
            <w:gridSpan w:val="3"/>
            <w:shd w:val="clear" w:color="auto" w:fill="FFFFFF"/>
            <w:tcMar>
              <w:top w:w="0" w:type="dxa"/>
              <w:left w:w="20" w:type="dxa"/>
              <w:bottom w:w="0" w:type="dxa"/>
              <w:right w:w="20" w:type="dxa"/>
            </w:tcMar>
            <w:vAlign w:val="center"/>
            <w:hideMark/>
          </w:tcPr>
          <w:p w14:paraId="0D32F746"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7744FD96"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2CC1566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01DAC61"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D6AC6B9"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569DF7" w14:textId="77777777" w:rsidR="00000000" w:rsidRDefault="001D0688">
            <w:pPr>
              <w:jc w:val="center"/>
              <w:rPr>
                <w:rFonts w:eastAsia="Times New Roman"/>
              </w:rPr>
            </w:pPr>
            <w:r>
              <w:rPr>
                <w:rFonts w:ascii="Arial" w:eastAsia="Times New Roman" w:hAnsi="Arial" w:cs="Arial"/>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14:paraId="69F7091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5256517" w14:textId="77777777" w:rsidR="00000000" w:rsidRDefault="001D0688">
            <w:pPr>
              <w:jc w:val="center"/>
              <w:rPr>
                <w:rFonts w:eastAsia="Times New Roman"/>
              </w:rPr>
            </w:pPr>
            <w:r>
              <w:rPr>
                <w:rFonts w:ascii="Arial" w:eastAsia="Times New Roman" w:hAnsi="Arial" w:cs="Arial"/>
                <w:color w:val="000000"/>
                <w:sz w:val="20"/>
                <w:szCs w:val="20"/>
              </w:rPr>
              <w:t>September 8, 2008</w:t>
            </w:r>
          </w:p>
        </w:tc>
      </w:tr>
      <w:tr w:rsidR="00000000" w14:paraId="463BF2DA" w14:textId="77777777">
        <w:trPr>
          <w:divId w:val="1672950264"/>
        </w:trPr>
        <w:tc>
          <w:tcPr>
            <w:tcW w:w="0" w:type="auto"/>
            <w:gridSpan w:val="3"/>
            <w:shd w:val="clear" w:color="auto" w:fill="DCE2EF"/>
            <w:tcMar>
              <w:top w:w="30" w:type="dxa"/>
              <w:left w:w="20" w:type="dxa"/>
              <w:bottom w:w="30" w:type="dxa"/>
              <w:right w:w="20" w:type="dxa"/>
            </w:tcMar>
            <w:hideMark/>
          </w:tcPr>
          <w:p w14:paraId="1EE439EE" w14:textId="77777777" w:rsidR="00000000" w:rsidRDefault="001D0688">
            <w:pPr>
              <w:rPr>
                <w:rFonts w:eastAsia="Times New Roman"/>
              </w:rPr>
            </w:pPr>
            <w:r>
              <w:rPr>
                <w:rFonts w:ascii="Arial" w:eastAsia="Times New Roman" w:hAnsi="Arial" w:cs="Arial"/>
                <w:color w:val="000000"/>
                <w:sz w:val="20"/>
                <w:szCs w:val="20"/>
              </w:rPr>
              <w:t>10.12*</w:t>
            </w:r>
          </w:p>
        </w:tc>
        <w:tc>
          <w:tcPr>
            <w:tcW w:w="0" w:type="auto"/>
            <w:gridSpan w:val="3"/>
            <w:shd w:val="clear" w:color="auto" w:fill="DCE2EF"/>
            <w:tcMar>
              <w:top w:w="0" w:type="dxa"/>
              <w:left w:w="20" w:type="dxa"/>
              <w:bottom w:w="0" w:type="dxa"/>
              <w:right w:w="20" w:type="dxa"/>
            </w:tcMar>
            <w:vAlign w:val="center"/>
            <w:hideMark/>
          </w:tcPr>
          <w:p w14:paraId="348F1F00"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71A51E09" w14:textId="77777777" w:rsidR="00000000" w:rsidRDefault="001D0688">
            <w:pPr>
              <w:divId w:val="1284919422"/>
              <w:rPr>
                <w:rFonts w:eastAsia="Times New Roman"/>
              </w:rPr>
            </w:pPr>
            <w:hyperlink r:id="rId30" w:history="1">
              <w:r>
                <w:rPr>
                  <w:rStyle w:val="a3"/>
                  <w:rFonts w:ascii="Arial" w:eastAsia="Times New Roman" w:hAnsi="Arial" w:cs="Arial"/>
                  <w:sz w:val="20"/>
                  <w:szCs w:val="20"/>
                </w:rPr>
                <w:t>2006 Equity Incentive Plan, as amended and restated March 7, 2018</w:t>
              </w:r>
            </w:hyperlink>
          </w:p>
        </w:tc>
        <w:tc>
          <w:tcPr>
            <w:tcW w:w="0" w:type="auto"/>
            <w:gridSpan w:val="3"/>
            <w:shd w:val="clear" w:color="auto" w:fill="DCE2EF"/>
            <w:tcMar>
              <w:top w:w="0" w:type="dxa"/>
              <w:left w:w="20" w:type="dxa"/>
              <w:bottom w:w="0" w:type="dxa"/>
              <w:right w:w="20" w:type="dxa"/>
            </w:tcMar>
            <w:vAlign w:val="center"/>
            <w:hideMark/>
          </w:tcPr>
          <w:p w14:paraId="667E33B5"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2928B16"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14:paraId="1AEE86CA"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BB5A4E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12845AF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AA23A73"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3CA938A0"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2EE2CDD" w14:textId="77777777" w:rsidR="00000000" w:rsidRDefault="001D0688">
            <w:pPr>
              <w:jc w:val="center"/>
              <w:rPr>
                <w:rFonts w:eastAsia="Times New Roman"/>
              </w:rPr>
            </w:pPr>
            <w:r>
              <w:rPr>
                <w:rFonts w:ascii="Arial" w:eastAsia="Times New Roman" w:hAnsi="Arial" w:cs="Arial"/>
                <w:color w:val="000000"/>
                <w:sz w:val="20"/>
                <w:szCs w:val="20"/>
              </w:rPr>
              <w:t>March 8, 2018</w:t>
            </w:r>
          </w:p>
        </w:tc>
      </w:tr>
      <w:tr w:rsidR="00000000" w14:paraId="42308FCB" w14:textId="77777777">
        <w:trPr>
          <w:divId w:val="1672950264"/>
        </w:trPr>
        <w:tc>
          <w:tcPr>
            <w:tcW w:w="0" w:type="auto"/>
            <w:gridSpan w:val="3"/>
            <w:shd w:val="clear" w:color="auto" w:fill="FFFFFF"/>
            <w:tcMar>
              <w:top w:w="30" w:type="dxa"/>
              <w:left w:w="20" w:type="dxa"/>
              <w:bottom w:w="30" w:type="dxa"/>
              <w:right w:w="20" w:type="dxa"/>
            </w:tcMar>
            <w:hideMark/>
          </w:tcPr>
          <w:p w14:paraId="04E06380" w14:textId="77777777" w:rsidR="00000000" w:rsidRDefault="001D0688">
            <w:pPr>
              <w:rPr>
                <w:rFonts w:eastAsia="Times New Roman"/>
              </w:rPr>
            </w:pPr>
            <w:r>
              <w:rPr>
                <w:rFonts w:ascii="Arial" w:eastAsia="Times New Roman" w:hAnsi="Arial" w:cs="Arial"/>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14:paraId="2F55D1D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60ACC8" w14:textId="77777777" w:rsidR="00000000" w:rsidRDefault="001D0688">
            <w:pPr>
              <w:divId w:val="120803708"/>
              <w:rPr>
                <w:rFonts w:eastAsia="Times New Roman"/>
              </w:rPr>
            </w:pPr>
            <w:hyperlink r:id="rId31" w:history="1">
              <w:r>
                <w:rPr>
                  <w:rStyle w:val="a3"/>
                  <w:rFonts w:ascii="Arial" w:eastAsia="Times New Roman" w:hAnsi="Arial" w:cs="Arial"/>
                  <w:sz w:val="20"/>
                  <w:szCs w:val="20"/>
                </w:rPr>
                <w:t xml:space="preserve">Statement of Terms and Conditions Applicable to Options, Restricted Stock and Restricted Stock Units and Performance Shares Granted to Employees Pursuant to </w:t>
              </w:r>
              <w:r>
                <w:rPr>
                  <w:rStyle w:val="a3"/>
                  <w:rFonts w:ascii="Arial" w:eastAsia="Times New Roman" w:hAnsi="Arial" w:cs="Arial"/>
                  <w:sz w:val="20"/>
                  <w:szCs w:val="20"/>
                </w:rPr>
                <w:t>the 2006 Equity Incentive Plan, as amended and restated December 9, 2013</w:t>
              </w:r>
            </w:hyperlink>
          </w:p>
        </w:tc>
        <w:tc>
          <w:tcPr>
            <w:tcW w:w="0" w:type="auto"/>
            <w:gridSpan w:val="3"/>
            <w:shd w:val="clear" w:color="auto" w:fill="FFFFFF"/>
            <w:tcMar>
              <w:top w:w="0" w:type="dxa"/>
              <w:left w:w="20" w:type="dxa"/>
              <w:bottom w:w="0" w:type="dxa"/>
              <w:right w:w="20" w:type="dxa"/>
            </w:tcMar>
            <w:vAlign w:val="center"/>
            <w:hideMark/>
          </w:tcPr>
          <w:p w14:paraId="39D12F8D"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91A0539" w14:textId="77777777" w:rsidR="00000000" w:rsidRDefault="001D0688">
            <w:pPr>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14:paraId="66471CB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1269856"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0AF09F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61EF438"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4C8BE2DB"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D8AD595" w14:textId="77777777" w:rsidR="00000000" w:rsidRDefault="001D0688">
            <w:pPr>
              <w:jc w:val="center"/>
              <w:rPr>
                <w:rFonts w:eastAsia="Times New Roman"/>
              </w:rPr>
            </w:pPr>
            <w:r>
              <w:rPr>
                <w:rFonts w:ascii="Arial" w:eastAsia="Times New Roman" w:hAnsi="Arial" w:cs="Arial"/>
                <w:color w:val="000000"/>
                <w:sz w:val="20"/>
                <w:szCs w:val="20"/>
              </w:rPr>
              <w:t>December 12, 2013</w:t>
            </w:r>
          </w:p>
        </w:tc>
      </w:tr>
      <w:tr w:rsidR="00000000" w14:paraId="1D915235" w14:textId="77777777">
        <w:trPr>
          <w:divId w:val="1672950264"/>
        </w:trPr>
        <w:tc>
          <w:tcPr>
            <w:tcW w:w="0" w:type="auto"/>
            <w:gridSpan w:val="3"/>
            <w:shd w:val="clear" w:color="auto" w:fill="DCE2EF"/>
            <w:tcMar>
              <w:top w:w="30" w:type="dxa"/>
              <w:left w:w="20" w:type="dxa"/>
              <w:bottom w:w="30" w:type="dxa"/>
              <w:right w:w="20" w:type="dxa"/>
            </w:tcMar>
            <w:hideMark/>
          </w:tcPr>
          <w:p w14:paraId="5C093057" w14:textId="77777777" w:rsidR="00000000" w:rsidRDefault="001D0688">
            <w:pPr>
              <w:rPr>
                <w:rFonts w:eastAsia="Times New Roman"/>
              </w:rPr>
            </w:pPr>
            <w:r>
              <w:rPr>
                <w:rFonts w:ascii="Arial" w:eastAsia="Times New Roman" w:hAnsi="Arial" w:cs="Arial"/>
                <w:color w:val="000000"/>
                <w:sz w:val="20"/>
                <w:szCs w:val="20"/>
              </w:rPr>
              <w:t>10.14*</w:t>
            </w:r>
          </w:p>
        </w:tc>
        <w:tc>
          <w:tcPr>
            <w:tcW w:w="0" w:type="auto"/>
            <w:gridSpan w:val="3"/>
            <w:shd w:val="clear" w:color="auto" w:fill="DCE2EF"/>
            <w:tcMar>
              <w:top w:w="0" w:type="dxa"/>
              <w:left w:w="20" w:type="dxa"/>
              <w:bottom w:w="0" w:type="dxa"/>
              <w:right w:w="20" w:type="dxa"/>
            </w:tcMar>
            <w:vAlign w:val="center"/>
            <w:hideMark/>
          </w:tcPr>
          <w:p w14:paraId="67907263"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B8138AD" w14:textId="77777777" w:rsidR="00000000" w:rsidRDefault="001D0688">
            <w:pPr>
              <w:divId w:val="639652426"/>
              <w:rPr>
                <w:rFonts w:eastAsia="Times New Roman"/>
              </w:rPr>
            </w:pPr>
            <w:hyperlink r:id="rId32" w:history="1">
              <w:r>
                <w:rPr>
                  <w:rStyle w:val="a3"/>
                  <w:rFonts w:ascii="Arial" w:eastAsia="Times New Roman" w:hAnsi="Arial" w:cs="Arial"/>
                  <w:sz w:val="20"/>
                  <w:szCs w:val="20"/>
                </w:rPr>
                <w:t>Statement of Terms and Conditions Applicable to Options, Restricted Stock and Restricted Stock Units and Performance Shares Granted to Employees Pursuant t</w:t>
              </w:r>
              <w:r>
                <w:rPr>
                  <w:rStyle w:val="a3"/>
                  <w:rFonts w:ascii="Arial" w:eastAsia="Times New Roman" w:hAnsi="Arial" w:cs="Arial"/>
                  <w:sz w:val="20"/>
                  <w:szCs w:val="20"/>
                </w:rPr>
                <w:t>o the 2006 Equity Incentive Plan, for Awards Granted on or after March 4, 2015</w:t>
              </w:r>
            </w:hyperlink>
          </w:p>
        </w:tc>
        <w:tc>
          <w:tcPr>
            <w:tcW w:w="0" w:type="auto"/>
            <w:gridSpan w:val="3"/>
            <w:shd w:val="clear" w:color="auto" w:fill="DCE2EF"/>
            <w:tcMar>
              <w:top w:w="0" w:type="dxa"/>
              <w:left w:w="20" w:type="dxa"/>
              <w:bottom w:w="0" w:type="dxa"/>
              <w:right w:w="20" w:type="dxa"/>
            </w:tcMar>
            <w:vAlign w:val="center"/>
            <w:hideMark/>
          </w:tcPr>
          <w:p w14:paraId="1768103A"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0E435093"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4776C02A"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1B6DDE8"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F6BCE2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5D12CFF" w14:textId="77777777" w:rsidR="00000000" w:rsidRDefault="001D0688">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74B8299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821A3AF" w14:textId="77777777" w:rsidR="00000000" w:rsidRDefault="001D0688">
            <w:pPr>
              <w:jc w:val="center"/>
              <w:rPr>
                <w:rFonts w:eastAsia="Times New Roman"/>
              </w:rPr>
            </w:pPr>
            <w:r>
              <w:rPr>
                <w:rFonts w:ascii="Arial" w:eastAsia="Times New Roman" w:hAnsi="Arial" w:cs="Arial"/>
                <w:color w:val="000000"/>
                <w:sz w:val="20"/>
                <w:szCs w:val="20"/>
              </w:rPr>
              <w:t>June 3, 2015</w:t>
            </w:r>
          </w:p>
        </w:tc>
      </w:tr>
      <w:tr w:rsidR="00000000" w14:paraId="20CB5625" w14:textId="77777777">
        <w:trPr>
          <w:divId w:val="1672950264"/>
        </w:trPr>
        <w:tc>
          <w:tcPr>
            <w:tcW w:w="0" w:type="auto"/>
            <w:gridSpan w:val="3"/>
            <w:shd w:val="clear" w:color="auto" w:fill="FFFFFF"/>
            <w:tcMar>
              <w:top w:w="30" w:type="dxa"/>
              <w:left w:w="20" w:type="dxa"/>
              <w:bottom w:w="30" w:type="dxa"/>
              <w:right w:w="20" w:type="dxa"/>
            </w:tcMar>
            <w:hideMark/>
          </w:tcPr>
          <w:p w14:paraId="6B0B88BA" w14:textId="77777777" w:rsidR="00000000" w:rsidRDefault="001D0688">
            <w:pPr>
              <w:rPr>
                <w:rFonts w:eastAsia="Times New Roman"/>
              </w:rPr>
            </w:pPr>
            <w:r>
              <w:rPr>
                <w:rFonts w:ascii="Arial" w:eastAsia="Times New Roman" w:hAnsi="Arial" w:cs="Arial"/>
                <w:color w:val="000000"/>
                <w:sz w:val="20"/>
                <w:szCs w:val="20"/>
              </w:rPr>
              <w:t>10.15*</w:t>
            </w:r>
          </w:p>
        </w:tc>
        <w:tc>
          <w:tcPr>
            <w:tcW w:w="0" w:type="auto"/>
            <w:gridSpan w:val="3"/>
            <w:shd w:val="clear" w:color="auto" w:fill="FFFFFF"/>
            <w:tcMar>
              <w:top w:w="0" w:type="dxa"/>
              <w:left w:w="20" w:type="dxa"/>
              <w:bottom w:w="0" w:type="dxa"/>
              <w:right w:w="20" w:type="dxa"/>
            </w:tcMar>
            <w:vAlign w:val="center"/>
            <w:hideMark/>
          </w:tcPr>
          <w:p w14:paraId="348940BB"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8514D6" w14:textId="77777777" w:rsidR="00000000" w:rsidRDefault="001D0688">
            <w:pPr>
              <w:divId w:val="1921788832"/>
              <w:rPr>
                <w:rFonts w:eastAsia="Times New Roman"/>
              </w:rPr>
            </w:pPr>
            <w:hyperlink r:id="rId33" w:history="1">
              <w:r>
                <w:rPr>
                  <w:rStyle w:val="a3"/>
                  <w:rFonts w:ascii="Arial" w:eastAsia="Times New Roman" w:hAnsi="Arial" w:cs="Arial"/>
                  <w:sz w:val="20"/>
                  <w:szCs w:val="20"/>
                </w:rPr>
                <w:t xml:space="preserve">Statement of Terms and Conditions Applicable to Options, Restricted Stock and Restricted Stock Units and Performance Shares Granted to Employees Pursuant </w:t>
              </w:r>
              <w:r>
                <w:rPr>
                  <w:rStyle w:val="a3"/>
                  <w:rFonts w:ascii="Arial" w:eastAsia="Times New Roman" w:hAnsi="Arial" w:cs="Arial"/>
                  <w:sz w:val="20"/>
                  <w:szCs w:val="20"/>
                </w:rPr>
                <w:t>to the 2006 Equity Incentive Plan, for Awards Granted on or after January 1, 2020</w:t>
              </w:r>
            </w:hyperlink>
          </w:p>
        </w:tc>
        <w:tc>
          <w:tcPr>
            <w:tcW w:w="0" w:type="auto"/>
            <w:gridSpan w:val="3"/>
            <w:shd w:val="clear" w:color="auto" w:fill="FFFFFF"/>
            <w:tcMar>
              <w:top w:w="0" w:type="dxa"/>
              <w:left w:w="20" w:type="dxa"/>
              <w:bottom w:w="0" w:type="dxa"/>
              <w:right w:w="20" w:type="dxa"/>
            </w:tcMar>
            <w:vAlign w:val="center"/>
            <w:hideMark/>
          </w:tcPr>
          <w:p w14:paraId="5C7D137B"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4561494C"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4045CCDD"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0D1157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0319EF9"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0AAC6C09"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13B943E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56DCFD7" w14:textId="77777777" w:rsidR="00000000" w:rsidRDefault="001D0688">
            <w:pPr>
              <w:jc w:val="center"/>
              <w:rPr>
                <w:rFonts w:eastAsia="Times New Roman"/>
              </w:rPr>
            </w:pPr>
            <w:r>
              <w:rPr>
                <w:rFonts w:ascii="Arial" w:eastAsia="Times New Roman" w:hAnsi="Arial" w:cs="Arial"/>
                <w:color w:val="000000"/>
                <w:sz w:val="20"/>
                <w:szCs w:val="20"/>
              </w:rPr>
              <w:t>March 5, 2020</w:t>
            </w:r>
          </w:p>
        </w:tc>
      </w:tr>
      <w:tr w:rsidR="00000000" w14:paraId="5C2D4131" w14:textId="77777777">
        <w:trPr>
          <w:divId w:val="1672950264"/>
        </w:trPr>
        <w:tc>
          <w:tcPr>
            <w:tcW w:w="0" w:type="auto"/>
            <w:gridSpan w:val="3"/>
            <w:shd w:val="clear" w:color="auto" w:fill="DCE2EF"/>
            <w:tcMar>
              <w:top w:w="30" w:type="dxa"/>
              <w:left w:w="20" w:type="dxa"/>
              <w:bottom w:w="30" w:type="dxa"/>
              <w:right w:w="20" w:type="dxa"/>
            </w:tcMar>
            <w:hideMark/>
          </w:tcPr>
          <w:p w14:paraId="33B47BF2" w14:textId="77777777" w:rsidR="00000000" w:rsidRDefault="001D0688">
            <w:pPr>
              <w:rPr>
                <w:rFonts w:eastAsia="Times New Roman"/>
              </w:rPr>
            </w:pPr>
            <w:r>
              <w:rPr>
                <w:rFonts w:ascii="Arial" w:eastAsia="Times New Roman" w:hAnsi="Arial" w:cs="Arial"/>
                <w:color w:val="000000"/>
                <w:sz w:val="20"/>
                <w:szCs w:val="20"/>
              </w:rPr>
              <w:t>10.16*‡</w:t>
            </w:r>
          </w:p>
        </w:tc>
        <w:tc>
          <w:tcPr>
            <w:tcW w:w="0" w:type="auto"/>
            <w:gridSpan w:val="3"/>
            <w:shd w:val="clear" w:color="auto" w:fill="DCE2EF"/>
            <w:tcMar>
              <w:top w:w="0" w:type="dxa"/>
              <w:left w:w="20" w:type="dxa"/>
              <w:bottom w:w="0" w:type="dxa"/>
              <w:right w:w="20" w:type="dxa"/>
            </w:tcMar>
            <w:vAlign w:val="center"/>
            <w:hideMark/>
          </w:tcPr>
          <w:p w14:paraId="2E03B6BA"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F85BFCE" w14:textId="77777777" w:rsidR="00000000" w:rsidRDefault="001D0688">
            <w:pPr>
              <w:divId w:val="1012300425"/>
              <w:rPr>
                <w:rFonts w:eastAsia="Times New Roman"/>
              </w:rPr>
            </w:pPr>
            <w:hyperlink r:id="rId34" w:history="1">
              <w:r>
                <w:rPr>
                  <w:rStyle w:val="a3"/>
                  <w:rFonts w:ascii="Arial" w:eastAsia="Times New Roman" w:hAnsi="Arial" w:cs="Arial"/>
                  <w:sz w:val="20"/>
                  <w:szCs w:val="20"/>
                </w:rPr>
                <w:t>Statement of Terms and Conditions Applicable to Options, Restricted Stock, Restricted Stock Units and Performance Shares Granted to Employees Pursuant to the 2006 Equity Incentive Plan, for Awards Granted on July 14, 2020</w:t>
              </w:r>
            </w:hyperlink>
          </w:p>
        </w:tc>
        <w:tc>
          <w:tcPr>
            <w:tcW w:w="0" w:type="auto"/>
            <w:gridSpan w:val="3"/>
            <w:shd w:val="clear" w:color="auto" w:fill="DCE2EF"/>
            <w:tcMar>
              <w:top w:w="0" w:type="dxa"/>
              <w:left w:w="20" w:type="dxa"/>
              <w:bottom w:w="0" w:type="dxa"/>
              <w:right w:w="20" w:type="dxa"/>
            </w:tcMar>
            <w:vAlign w:val="center"/>
            <w:hideMark/>
          </w:tcPr>
          <w:p w14:paraId="291C318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A5E7C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B8C8C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FB693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2FF29B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1EEF0D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9A793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F2A1326" w14:textId="77777777" w:rsidR="00000000" w:rsidRDefault="001D0688">
            <w:pPr>
              <w:rPr>
                <w:rFonts w:eastAsia="Times New Roman"/>
                <w:sz w:val="20"/>
                <w:szCs w:val="20"/>
              </w:rPr>
            </w:pPr>
          </w:p>
        </w:tc>
      </w:tr>
      <w:tr w:rsidR="00000000" w14:paraId="30B5CC82" w14:textId="77777777">
        <w:trPr>
          <w:divId w:val="1672950264"/>
        </w:trPr>
        <w:tc>
          <w:tcPr>
            <w:tcW w:w="0" w:type="auto"/>
            <w:gridSpan w:val="3"/>
            <w:shd w:val="clear" w:color="auto" w:fill="FFFFFF"/>
            <w:tcMar>
              <w:top w:w="30" w:type="dxa"/>
              <w:left w:w="20" w:type="dxa"/>
              <w:bottom w:w="30" w:type="dxa"/>
              <w:right w:w="20" w:type="dxa"/>
            </w:tcMar>
            <w:hideMark/>
          </w:tcPr>
          <w:p w14:paraId="4F2ACAF8" w14:textId="77777777" w:rsidR="00000000" w:rsidRDefault="001D0688">
            <w:pPr>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14:paraId="37B96196"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E19AFF" w14:textId="77777777" w:rsidR="00000000" w:rsidRDefault="001D0688">
            <w:pPr>
              <w:divId w:val="30107672"/>
              <w:rPr>
                <w:rFonts w:eastAsia="Times New Roman"/>
              </w:rPr>
            </w:pPr>
            <w:hyperlink r:id="rId35" w:history="1">
              <w:r>
                <w:rPr>
                  <w:rStyle w:val="a3"/>
                  <w:rFonts w:ascii="Arial" w:eastAsia="Times New Roman" w:hAnsi="Arial" w:cs="Arial"/>
                  <w:sz w:val="20"/>
                  <w:szCs w:val="20"/>
                </w:rPr>
                <w:t xml:space="preserve">Statement of Terms and Conditions Applicable to Options, Restricted Stock, Restricted Stock Units and Performance Shares Granted to Employees Pursuant to the 2006 Equity Incentive Plan, for Awards Granted </w:t>
              </w:r>
              <w:r>
                <w:rPr>
                  <w:rStyle w:val="a3"/>
                  <w:rFonts w:ascii="Arial" w:eastAsia="Times New Roman" w:hAnsi="Arial" w:cs="Arial"/>
                  <w:sz w:val="20"/>
                  <w:szCs w:val="20"/>
                </w:rPr>
                <w:t>with a Two-Year Vesting Schedule</w:t>
              </w:r>
            </w:hyperlink>
          </w:p>
        </w:tc>
        <w:tc>
          <w:tcPr>
            <w:tcW w:w="0" w:type="auto"/>
            <w:gridSpan w:val="3"/>
            <w:shd w:val="clear" w:color="auto" w:fill="FFFFFF"/>
            <w:tcMar>
              <w:top w:w="0" w:type="dxa"/>
              <w:left w:w="20" w:type="dxa"/>
              <w:bottom w:w="0" w:type="dxa"/>
              <w:right w:w="20" w:type="dxa"/>
            </w:tcMar>
            <w:vAlign w:val="center"/>
            <w:hideMark/>
          </w:tcPr>
          <w:p w14:paraId="33040ADE"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1C58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A2E46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21AEB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37A3A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8D1D7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0777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E3AECD" w14:textId="77777777" w:rsidR="00000000" w:rsidRDefault="001D0688">
            <w:pPr>
              <w:rPr>
                <w:rFonts w:eastAsia="Times New Roman"/>
                <w:sz w:val="20"/>
                <w:szCs w:val="20"/>
              </w:rPr>
            </w:pPr>
          </w:p>
        </w:tc>
      </w:tr>
    </w:tbl>
    <w:p w14:paraId="49736F7E" w14:textId="77777777" w:rsidR="00000000" w:rsidRDefault="001D0688">
      <w:pPr>
        <w:jc w:val="center"/>
        <w:divId w:val="236600671"/>
        <w:rPr>
          <w:rFonts w:eastAsia="Times New Roman"/>
        </w:rPr>
      </w:pPr>
      <w:r>
        <w:rPr>
          <w:rFonts w:ascii="Arial" w:eastAsia="Times New Roman" w:hAnsi="Arial" w:cs="Arial"/>
          <w:color w:val="000000"/>
          <w:sz w:val="20"/>
          <w:szCs w:val="20"/>
        </w:rPr>
        <w:t>102</w:t>
      </w:r>
    </w:p>
    <w:p w14:paraId="6C890D90" w14:textId="77777777" w:rsidR="00000000" w:rsidRDefault="001D0688">
      <w:pPr>
        <w:rPr>
          <w:rFonts w:eastAsia="Times New Roman"/>
        </w:rPr>
      </w:pPr>
      <w:r>
        <w:rPr>
          <w:rFonts w:eastAsia="Times New Roman"/>
        </w:rPr>
        <w:pict w14:anchorId="25628FFE">
          <v:rect id="_x0000_i1139" style="width:0;height:1.5pt" o:hralign="center" o:hrstd="t" o:hr="t" fillcolor="#a0a0a0" stroked="f"/>
        </w:pict>
      </w:r>
    </w:p>
    <w:p w14:paraId="60DA3084" w14:textId="77777777" w:rsidR="00000000" w:rsidRDefault="001D0688">
      <w:pPr>
        <w:divId w:val="139539304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806"/>
        <w:gridCol w:w="36"/>
        <w:gridCol w:w="36"/>
        <w:gridCol w:w="36"/>
        <w:gridCol w:w="36"/>
        <w:gridCol w:w="39"/>
        <w:gridCol w:w="3297"/>
        <w:gridCol w:w="38"/>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7"/>
      </w:tblGrid>
      <w:tr w:rsidR="00000000" w14:paraId="55645223" w14:textId="77777777">
        <w:trPr>
          <w:divId w:val="1671758753"/>
        </w:trPr>
        <w:tc>
          <w:tcPr>
            <w:tcW w:w="50" w:type="pct"/>
            <w:vAlign w:val="center"/>
            <w:hideMark/>
          </w:tcPr>
          <w:p w14:paraId="2D8424AD" w14:textId="77777777" w:rsidR="00000000" w:rsidRDefault="001D0688">
            <w:pPr>
              <w:rPr>
                <w:rFonts w:eastAsia="Times New Roman"/>
              </w:rPr>
            </w:pPr>
          </w:p>
        </w:tc>
        <w:tc>
          <w:tcPr>
            <w:tcW w:w="500" w:type="pct"/>
            <w:vAlign w:val="center"/>
            <w:hideMark/>
          </w:tcPr>
          <w:p w14:paraId="417FC9D4" w14:textId="77777777" w:rsidR="00000000" w:rsidRDefault="001D0688">
            <w:pPr>
              <w:rPr>
                <w:rFonts w:eastAsia="Times New Roman"/>
                <w:sz w:val="20"/>
                <w:szCs w:val="20"/>
              </w:rPr>
            </w:pPr>
          </w:p>
        </w:tc>
        <w:tc>
          <w:tcPr>
            <w:tcW w:w="5" w:type="pct"/>
            <w:vAlign w:val="center"/>
            <w:hideMark/>
          </w:tcPr>
          <w:p w14:paraId="5E6EA0B5" w14:textId="77777777" w:rsidR="00000000" w:rsidRDefault="001D0688">
            <w:pPr>
              <w:rPr>
                <w:rFonts w:eastAsia="Times New Roman"/>
                <w:sz w:val="20"/>
                <w:szCs w:val="20"/>
              </w:rPr>
            </w:pPr>
          </w:p>
        </w:tc>
        <w:tc>
          <w:tcPr>
            <w:tcW w:w="5" w:type="pct"/>
            <w:vAlign w:val="center"/>
            <w:hideMark/>
          </w:tcPr>
          <w:p w14:paraId="55181FA9" w14:textId="77777777" w:rsidR="00000000" w:rsidRDefault="001D0688">
            <w:pPr>
              <w:rPr>
                <w:rFonts w:eastAsia="Times New Roman"/>
                <w:sz w:val="20"/>
                <w:szCs w:val="20"/>
              </w:rPr>
            </w:pPr>
          </w:p>
        </w:tc>
        <w:tc>
          <w:tcPr>
            <w:tcW w:w="26" w:type="pct"/>
            <w:vAlign w:val="center"/>
            <w:hideMark/>
          </w:tcPr>
          <w:p w14:paraId="1983836B" w14:textId="77777777" w:rsidR="00000000" w:rsidRDefault="001D0688">
            <w:pPr>
              <w:rPr>
                <w:rFonts w:eastAsia="Times New Roman"/>
                <w:sz w:val="20"/>
                <w:szCs w:val="20"/>
              </w:rPr>
            </w:pPr>
          </w:p>
        </w:tc>
        <w:tc>
          <w:tcPr>
            <w:tcW w:w="5" w:type="pct"/>
            <w:vAlign w:val="center"/>
            <w:hideMark/>
          </w:tcPr>
          <w:p w14:paraId="65555E5C" w14:textId="77777777" w:rsidR="00000000" w:rsidRDefault="001D0688">
            <w:pPr>
              <w:rPr>
                <w:rFonts w:eastAsia="Times New Roman"/>
                <w:sz w:val="20"/>
                <w:szCs w:val="20"/>
              </w:rPr>
            </w:pPr>
          </w:p>
        </w:tc>
        <w:tc>
          <w:tcPr>
            <w:tcW w:w="50" w:type="pct"/>
            <w:vAlign w:val="center"/>
            <w:hideMark/>
          </w:tcPr>
          <w:p w14:paraId="1711DBFF" w14:textId="77777777" w:rsidR="00000000" w:rsidRDefault="001D0688">
            <w:pPr>
              <w:rPr>
                <w:rFonts w:eastAsia="Times New Roman"/>
                <w:sz w:val="20"/>
                <w:szCs w:val="20"/>
              </w:rPr>
            </w:pPr>
          </w:p>
        </w:tc>
        <w:tc>
          <w:tcPr>
            <w:tcW w:w="1999" w:type="pct"/>
            <w:vAlign w:val="center"/>
            <w:hideMark/>
          </w:tcPr>
          <w:p w14:paraId="233180AF" w14:textId="77777777" w:rsidR="00000000" w:rsidRDefault="001D0688">
            <w:pPr>
              <w:rPr>
                <w:rFonts w:eastAsia="Times New Roman"/>
                <w:sz w:val="20"/>
                <w:szCs w:val="20"/>
              </w:rPr>
            </w:pPr>
          </w:p>
        </w:tc>
        <w:tc>
          <w:tcPr>
            <w:tcW w:w="5" w:type="pct"/>
            <w:vAlign w:val="center"/>
            <w:hideMark/>
          </w:tcPr>
          <w:p w14:paraId="3D227225" w14:textId="77777777" w:rsidR="00000000" w:rsidRDefault="001D0688">
            <w:pPr>
              <w:rPr>
                <w:rFonts w:eastAsia="Times New Roman"/>
                <w:sz w:val="20"/>
                <w:szCs w:val="20"/>
              </w:rPr>
            </w:pPr>
          </w:p>
        </w:tc>
        <w:tc>
          <w:tcPr>
            <w:tcW w:w="5" w:type="pct"/>
            <w:vAlign w:val="center"/>
            <w:hideMark/>
          </w:tcPr>
          <w:p w14:paraId="6D81D499" w14:textId="77777777" w:rsidR="00000000" w:rsidRDefault="001D0688">
            <w:pPr>
              <w:rPr>
                <w:rFonts w:eastAsia="Times New Roman"/>
                <w:sz w:val="20"/>
                <w:szCs w:val="20"/>
              </w:rPr>
            </w:pPr>
          </w:p>
        </w:tc>
        <w:tc>
          <w:tcPr>
            <w:tcW w:w="26" w:type="pct"/>
            <w:vAlign w:val="center"/>
            <w:hideMark/>
          </w:tcPr>
          <w:p w14:paraId="28C5E5A6" w14:textId="77777777" w:rsidR="00000000" w:rsidRDefault="001D0688">
            <w:pPr>
              <w:rPr>
                <w:rFonts w:eastAsia="Times New Roman"/>
                <w:sz w:val="20"/>
                <w:szCs w:val="20"/>
              </w:rPr>
            </w:pPr>
          </w:p>
        </w:tc>
        <w:tc>
          <w:tcPr>
            <w:tcW w:w="5" w:type="pct"/>
            <w:vAlign w:val="center"/>
            <w:hideMark/>
          </w:tcPr>
          <w:p w14:paraId="4B07D2B7" w14:textId="77777777" w:rsidR="00000000" w:rsidRDefault="001D0688">
            <w:pPr>
              <w:rPr>
                <w:rFonts w:eastAsia="Times New Roman"/>
                <w:sz w:val="20"/>
                <w:szCs w:val="20"/>
              </w:rPr>
            </w:pPr>
          </w:p>
        </w:tc>
        <w:tc>
          <w:tcPr>
            <w:tcW w:w="50" w:type="pct"/>
            <w:vAlign w:val="center"/>
            <w:hideMark/>
          </w:tcPr>
          <w:p w14:paraId="062BA647" w14:textId="77777777" w:rsidR="00000000" w:rsidRDefault="001D0688">
            <w:pPr>
              <w:rPr>
                <w:rFonts w:eastAsia="Times New Roman"/>
                <w:sz w:val="20"/>
                <w:szCs w:val="20"/>
              </w:rPr>
            </w:pPr>
          </w:p>
        </w:tc>
        <w:tc>
          <w:tcPr>
            <w:tcW w:w="244" w:type="pct"/>
            <w:vAlign w:val="center"/>
            <w:hideMark/>
          </w:tcPr>
          <w:p w14:paraId="5396A591" w14:textId="77777777" w:rsidR="00000000" w:rsidRDefault="001D0688">
            <w:pPr>
              <w:rPr>
                <w:rFonts w:eastAsia="Times New Roman"/>
                <w:sz w:val="20"/>
                <w:szCs w:val="20"/>
              </w:rPr>
            </w:pPr>
          </w:p>
        </w:tc>
        <w:tc>
          <w:tcPr>
            <w:tcW w:w="5" w:type="pct"/>
            <w:vAlign w:val="center"/>
            <w:hideMark/>
          </w:tcPr>
          <w:p w14:paraId="555A9938" w14:textId="77777777" w:rsidR="00000000" w:rsidRDefault="001D0688">
            <w:pPr>
              <w:rPr>
                <w:rFonts w:eastAsia="Times New Roman"/>
                <w:sz w:val="20"/>
                <w:szCs w:val="20"/>
              </w:rPr>
            </w:pPr>
          </w:p>
        </w:tc>
        <w:tc>
          <w:tcPr>
            <w:tcW w:w="5" w:type="pct"/>
            <w:vAlign w:val="center"/>
            <w:hideMark/>
          </w:tcPr>
          <w:p w14:paraId="0FB4E89E" w14:textId="77777777" w:rsidR="00000000" w:rsidRDefault="001D0688">
            <w:pPr>
              <w:rPr>
                <w:rFonts w:eastAsia="Times New Roman"/>
                <w:sz w:val="20"/>
                <w:szCs w:val="20"/>
              </w:rPr>
            </w:pPr>
          </w:p>
        </w:tc>
        <w:tc>
          <w:tcPr>
            <w:tcW w:w="26" w:type="pct"/>
            <w:vAlign w:val="center"/>
            <w:hideMark/>
          </w:tcPr>
          <w:p w14:paraId="2A4C9EC3" w14:textId="77777777" w:rsidR="00000000" w:rsidRDefault="001D0688">
            <w:pPr>
              <w:rPr>
                <w:rFonts w:eastAsia="Times New Roman"/>
                <w:sz w:val="20"/>
                <w:szCs w:val="20"/>
              </w:rPr>
            </w:pPr>
          </w:p>
        </w:tc>
        <w:tc>
          <w:tcPr>
            <w:tcW w:w="5" w:type="pct"/>
            <w:vAlign w:val="center"/>
            <w:hideMark/>
          </w:tcPr>
          <w:p w14:paraId="58735C81" w14:textId="77777777" w:rsidR="00000000" w:rsidRDefault="001D0688">
            <w:pPr>
              <w:rPr>
                <w:rFonts w:eastAsia="Times New Roman"/>
                <w:sz w:val="20"/>
                <w:szCs w:val="20"/>
              </w:rPr>
            </w:pPr>
          </w:p>
        </w:tc>
        <w:tc>
          <w:tcPr>
            <w:tcW w:w="50" w:type="pct"/>
            <w:vAlign w:val="center"/>
            <w:hideMark/>
          </w:tcPr>
          <w:p w14:paraId="5CB0AD82" w14:textId="77777777" w:rsidR="00000000" w:rsidRDefault="001D0688">
            <w:pPr>
              <w:rPr>
                <w:rFonts w:eastAsia="Times New Roman"/>
                <w:sz w:val="20"/>
                <w:szCs w:val="20"/>
              </w:rPr>
            </w:pPr>
          </w:p>
        </w:tc>
        <w:tc>
          <w:tcPr>
            <w:tcW w:w="507" w:type="pct"/>
            <w:vAlign w:val="center"/>
            <w:hideMark/>
          </w:tcPr>
          <w:p w14:paraId="00FD3C9B" w14:textId="77777777" w:rsidR="00000000" w:rsidRDefault="001D0688">
            <w:pPr>
              <w:rPr>
                <w:rFonts w:eastAsia="Times New Roman"/>
                <w:sz w:val="20"/>
                <w:szCs w:val="20"/>
              </w:rPr>
            </w:pPr>
          </w:p>
        </w:tc>
        <w:tc>
          <w:tcPr>
            <w:tcW w:w="5" w:type="pct"/>
            <w:vAlign w:val="center"/>
            <w:hideMark/>
          </w:tcPr>
          <w:p w14:paraId="0E0ABAC3" w14:textId="77777777" w:rsidR="00000000" w:rsidRDefault="001D0688">
            <w:pPr>
              <w:rPr>
                <w:rFonts w:eastAsia="Times New Roman"/>
                <w:sz w:val="20"/>
                <w:szCs w:val="20"/>
              </w:rPr>
            </w:pPr>
          </w:p>
        </w:tc>
        <w:tc>
          <w:tcPr>
            <w:tcW w:w="5" w:type="pct"/>
            <w:vAlign w:val="center"/>
            <w:hideMark/>
          </w:tcPr>
          <w:p w14:paraId="4CAB8403" w14:textId="77777777" w:rsidR="00000000" w:rsidRDefault="001D0688">
            <w:pPr>
              <w:rPr>
                <w:rFonts w:eastAsia="Times New Roman"/>
                <w:sz w:val="20"/>
                <w:szCs w:val="20"/>
              </w:rPr>
            </w:pPr>
          </w:p>
        </w:tc>
        <w:tc>
          <w:tcPr>
            <w:tcW w:w="26" w:type="pct"/>
            <w:vAlign w:val="center"/>
            <w:hideMark/>
          </w:tcPr>
          <w:p w14:paraId="6AF43CC5" w14:textId="77777777" w:rsidR="00000000" w:rsidRDefault="001D0688">
            <w:pPr>
              <w:rPr>
                <w:rFonts w:eastAsia="Times New Roman"/>
                <w:sz w:val="20"/>
                <w:szCs w:val="20"/>
              </w:rPr>
            </w:pPr>
          </w:p>
        </w:tc>
        <w:tc>
          <w:tcPr>
            <w:tcW w:w="5" w:type="pct"/>
            <w:vAlign w:val="center"/>
            <w:hideMark/>
          </w:tcPr>
          <w:p w14:paraId="36CC3346" w14:textId="77777777" w:rsidR="00000000" w:rsidRDefault="001D0688">
            <w:pPr>
              <w:rPr>
                <w:rFonts w:eastAsia="Times New Roman"/>
                <w:sz w:val="20"/>
                <w:szCs w:val="20"/>
              </w:rPr>
            </w:pPr>
          </w:p>
        </w:tc>
        <w:tc>
          <w:tcPr>
            <w:tcW w:w="50" w:type="pct"/>
            <w:vAlign w:val="center"/>
            <w:hideMark/>
          </w:tcPr>
          <w:p w14:paraId="52D7D8E0" w14:textId="77777777" w:rsidR="00000000" w:rsidRDefault="001D0688">
            <w:pPr>
              <w:rPr>
                <w:rFonts w:eastAsia="Times New Roman"/>
                <w:sz w:val="20"/>
                <w:szCs w:val="20"/>
              </w:rPr>
            </w:pPr>
          </w:p>
        </w:tc>
        <w:tc>
          <w:tcPr>
            <w:tcW w:w="332" w:type="pct"/>
            <w:vAlign w:val="center"/>
            <w:hideMark/>
          </w:tcPr>
          <w:p w14:paraId="3DA7D80D" w14:textId="77777777" w:rsidR="00000000" w:rsidRDefault="001D0688">
            <w:pPr>
              <w:rPr>
                <w:rFonts w:eastAsia="Times New Roman"/>
                <w:sz w:val="20"/>
                <w:szCs w:val="20"/>
              </w:rPr>
            </w:pPr>
          </w:p>
        </w:tc>
        <w:tc>
          <w:tcPr>
            <w:tcW w:w="5" w:type="pct"/>
            <w:vAlign w:val="center"/>
            <w:hideMark/>
          </w:tcPr>
          <w:p w14:paraId="6B1839EB" w14:textId="77777777" w:rsidR="00000000" w:rsidRDefault="001D0688">
            <w:pPr>
              <w:rPr>
                <w:rFonts w:eastAsia="Times New Roman"/>
                <w:sz w:val="20"/>
                <w:szCs w:val="20"/>
              </w:rPr>
            </w:pPr>
          </w:p>
        </w:tc>
        <w:tc>
          <w:tcPr>
            <w:tcW w:w="5" w:type="pct"/>
            <w:vAlign w:val="center"/>
            <w:hideMark/>
          </w:tcPr>
          <w:p w14:paraId="1B72EC5A" w14:textId="77777777" w:rsidR="00000000" w:rsidRDefault="001D0688">
            <w:pPr>
              <w:rPr>
                <w:rFonts w:eastAsia="Times New Roman"/>
                <w:sz w:val="20"/>
                <w:szCs w:val="20"/>
              </w:rPr>
            </w:pPr>
          </w:p>
        </w:tc>
        <w:tc>
          <w:tcPr>
            <w:tcW w:w="26" w:type="pct"/>
            <w:vAlign w:val="center"/>
            <w:hideMark/>
          </w:tcPr>
          <w:p w14:paraId="22E1F577" w14:textId="77777777" w:rsidR="00000000" w:rsidRDefault="001D0688">
            <w:pPr>
              <w:rPr>
                <w:rFonts w:eastAsia="Times New Roman"/>
                <w:sz w:val="20"/>
                <w:szCs w:val="20"/>
              </w:rPr>
            </w:pPr>
          </w:p>
        </w:tc>
        <w:tc>
          <w:tcPr>
            <w:tcW w:w="5" w:type="pct"/>
            <w:vAlign w:val="center"/>
            <w:hideMark/>
          </w:tcPr>
          <w:p w14:paraId="5192959E" w14:textId="77777777" w:rsidR="00000000" w:rsidRDefault="001D0688">
            <w:pPr>
              <w:rPr>
                <w:rFonts w:eastAsia="Times New Roman"/>
                <w:sz w:val="20"/>
                <w:szCs w:val="20"/>
              </w:rPr>
            </w:pPr>
          </w:p>
        </w:tc>
        <w:tc>
          <w:tcPr>
            <w:tcW w:w="50" w:type="pct"/>
            <w:vAlign w:val="center"/>
            <w:hideMark/>
          </w:tcPr>
          <w:p w14:paraId="7F82C1DC" w14:textId="77777777" w:rsidR="00000000" w:rsidRDefault="001D0688">
            <w:pPr>
              <w:rPr>
                <w:rFonts w:eastAsia="Times New Roman"/>
                <w:sz w:val="20"/>
                <w:szCs w:val="20"/>
              </w:rPr>
            </w:pPr>
          </w:p>
        </w:tc>
        <w:tc>
          <w:tcPr>
            <w:tcW w:w="902" w:type="pct"/>
            <w:vAlign w:val="center"/>
            <w:hideMark/>
          </w:tcPr>
          <w:p w14:paraId="5654119A" w14:textId="77777777" w:rsidR="00000000" w:rsidRDefault="001D0688">
            <w:pPr>
              <w:rPr>
                <w:rFonts w:eastAsia="Times New Roman"/>
                <w:sz w:val="20"/>
                <w:szCs w:val="20"/>
              </w:rPr>
            </w:pPr>
          </w:p>
        </w:tc>
        <w:tc>
          <w:tcPr>
            <w:tcW w:w="5" w:type="pct"/>
            <w:vAlign w:val="center"/>
            <w:hideMark/>
          </w:tcPr>
          <w:p w14:paraId="7234245F" w14:textId="77777777" w:rsidR="00000000" w:rsidRDefault="001D0688">
            <w:pPr>
              <w:rPr>
                <w:rFonts w:eastAsia="Times New Roman"/>
                <w:sz w:val="20"/>
                <w:szCs w:val="20"/>
              </w:rPr>
            </w:pPr>
          </w:p>
        </w:tc>
      </w:tr>
      <w:tr w:rsidR="00000000" w14:paraId="6AF98503" w14:textId="77777777">
        <w:trPr>
          <w:divId w:val="1671758753"/>
        </w:trPr>
        <w:tc>
          <w:tcPr>
            <w:tcW w:w="0" w:type="auto"/>
            <w:gridSpan w:val="3"/>
            <w:shd w:val="clear" w:color="auto" w:fill="DCE2EF"/>
            <w:tcMar>
              <w:top w:w="30" w:type="dxa"/>
              <w:left w:w="20" w:type="dxa"/>
              <w:bottom w:w="30" w:type="dxa"/>
              <w:right w:w="20" w:type="dxa"/>
            </w:tcMar>
            <w:hideMark/>
          </w:tcPr>
          <w:p w14:paraId="04AFEBD9" w14:textId="77777777" w:rsidR="00000000" w:rsidRDefault="001D0688">
            <w:pPr>
              <w:rPr>
                <w:rFonts w:eastAsia="Times New Roman"/>
              </w:rPr>
            </w:pPr>
            <w:r>
              <w:rPr>
                <w:rFonts w:ascii="Arial" w:eastAsia="Times New Roman" w:hAnsi="Arial" w:cs="Arial"/>
                <w:color w:val="000000"/>
                <w:sz w:val="20"/>
                <w:szCs w:val="20"/>
              </w:rPr>
              <w:t>10.18*</w:t>
            </w:r>
          </w:p>
        </w:tc>
        <w:tc>
          <w:tcPr>
            <w:tcW w:w="0" w:type="auto"/>
            <w:gridSpan w:val="3"/>
            <w:shd w:val="clear" w:color="auto" w:fill="DCE2EF"/>
            <w:tcMar>
              <w:top w:w="0" w:type="dxa"/>
              <w:left w:w="20" w:type="dxa"/>
              <w:bottom w:w="0" w:type="dxa"/>
              <w:right w:w="20" w:type="dxa"/>
            </w:tcMar>
            <w:vAlign w:val="center"/>
            <w:hideMark/>
          </w:tcPr>
          <w:p w14:paraId="6BF7A338"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163D8ED0" w14:textId="77777777" w:rsidR="00000000" w:rsidRDefault="001D0688">
            <w:pPr>
              <w:divId w:val="2025402633"/>
              <w:rPr>
                <w:rFonts w:eastAsia="Times New Roman"/>
              </w:rPr>
            </w:pPr>
            <w:hyperlink r:id="rId36"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Incent</w:t>
              </w:r>
              <w:r>
                <w:rPr>
                  <w:rStyle w:val="a3"/>
                  <w:rFonts w:ascii="Arial" w:eastAsia="Times New Roman" w:hAnsi="Arial" w:cs="Arial"/>
                  <w:sz w:val="20"/>
                  <w:szCs w:val="20"/>
                </w:rPr>
                <w:t>ive Plan, as amended and restated December 9, 2013</w:t>
              </w:r>
            </w:hyperlink>
          </w:p>
        </w:tc>
        <w:tc>
          <w:tcPr>
            <w:tcW w:w="0" w:type="auto"/>
            <w:gridSpan w:val="3"/>
            <w:shd w:val="clear" w:color="auto" w:fill="DCE2EF"/>
            <w:tcMar>
              <w:top w:w="0" w:type="dxa"/>
              <w:left w:w="20" w:type="dxa"/>
              <w:bottom w:w="0" w:type="dxa"/>
              <w:right w:w="20" w:type="dxa"/>
            </w:tcMar>
            <w:vAlign w:val="center"/>
            <w:hideMark/>
          </w:tcPr>
          <w:p w14:paraId="529C7197"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56BE9841"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68E3CCC1"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0632EB7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A802EE3"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293A191" w14:textId="77777777" w:rsidR="00000000" w:rsidRDefault="001D0688">
            <w:pPr>
              <w:jc w:val="center"/>
              <w:rPr>
                <w:rFonts w:eastAsia="Times New Roman"/>
              </w:rPr>
            </w:pPr>
            <w:r>
              <w:rPr>
                <w:rFonts w:ascii="Arial" w:eastAsia="Times New Roman" w:hAnsi="Arial" w:cs="Arial"/>
                <w:color w:val="000000"/>
                <w:sz w:val="20"/>
                <w:szCs w:val="20"/>
              </w:rPr>
              <w:t>10.16</w:t>
            </w:r>
          </w:p>
        </w:tc>
        <w:tc>
          <w:tcPr>
            <w:tcW w:w="0" w:type="auto"/>
            <w:gridSpan w:val="3"/>
            <w:shd w:val="clear" w:color="auto" w:fill="DCE2EF"/>
            <w:tcMar>
              <w:top w:w="0" w:type="dxa"/>
              <w:left w:w="20" w:type="dxa"/>
              <w:bottom w:w="0" w:type="dxa"/>
              <w:right w:w="20" w:type="dxa"/>
            </w:tcMar>
            <w:vAlign w:val="center"/>
            <w:hideMark/>
          </w:tcPr>
          <w:p w14:paraId="04AA0F1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0B12CAC4" w14:textId="77777777" w:rsidR="00000000" w:rsidRDefault="001D0688">
            <w:pPr>
              <w:jc w:val="center"/>
              <w:rPr>
                <w:rFonts w:eastAsia="Times New Roman"/>
              </w:rPr>
            </w:pPr>
            <w:r>
              <w:rPr>
                <w:rFonts w:ascii="Arial" w:eastAsia="Times New Roman" w:hAnsi="Arial" w:cs="Arial"/>
                <w:color w:val="000000"/>
                <w:sz w:val="20"/>
                <w:szCs w:val="20"/>
              </w:rPr>
              <w:t>December 18, 2013</w:t>
            </w:r>
          </w:p>
        </w:tc>
      </w:tr>
      <w:tr w:rsidR="00000000" w14:paraId="463CF52A" w14:textId="77777777">
        <w:trPr>
          <w:divId w:val="1671758753"/>
        </w:trPr>
        <w:tc>
          <w:tcPr>
            <w:tcW w:w="0" w:type="auto"/>
            <w:gridSpan w:val="3"/>
            <w:shd w:val="clear" w:color="auto" w:fill="FFFFFF"/>
            <w:tcMar>
              <w:top w:w="30" w:type="dxa"/>
              <w:left w:w="20" w:type="dxa"/>
              <w:bottom w:w="30" w:type="dxa"/>
              <w:right w:w="20" w:type="dxa"/>
            </w:tcMar>
            <w:hideMark/>
          </w:tcPr>
          <w:p w14:paraId="0170ACB2" w14:textId="77777777" w:rsidR="00000000" w:rsidRDefault="001D0688">
            <w:pPr>
              <w:rPr>
                <w:rFonts w:eastAsia="Times New Roman"/>
              </w:rPr>
            </w:pPr>
            <w:r>
              <w:rPr>
                <w:rFonts w:ascii="Arial" w:eastAsia="Times New Roman" w:hAnsi="Arial" w:cs="Arial"/>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14:paraId="5A9DCBA7"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9ABF33" w14:textId="77777777" w:rsidR="00000000" w:rsidRDefault="001D0688">
            <w:pPr>
              <w:divId w:val="1269584466"/>
              <w:rPr>
                <w:rFonts w:eastAsia="Times New Roman"/>
              </w:rPr>
            </w:pPr>
            <w:hyperlink r:id="rId37"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Incen</w:t>
              </w:r>
              <w:r>
                <w:rPr>
                  <w:rStyle w:val="a3"/>
                  <w:rFonts w:ascii="Arial" w:eastAsia="Times New Roman" w:hAnsi="Arial" w:cs="Arial"/>
                  <w:sz w:val="20"/>
                  <w:szCs w:val="20"/>
                </w:rPr>
                <w:t>tive Plan, for Awards Granted on or after March 4, 2015</w:t>
              </w:r>
            </w:hyperlink>
          </w:p>
        </w:tc>
        <w:tc>
          <w:tcPr>
            <w:tcW w:w="0" w:type="auto"/>
            <w:gridSpan w:val="3"/>
            <w:shd w:val="clear" w:color="auto" w:fill="FFFFFF"/>
            <w:tcMar>
              <w:top w:w="0" w:type="dxa"/>
              <w:left w:w="20" w:type="dxa"/>
              <w:bottom w:w="0" w:type="dxa"/>
              <w:right w:w="20" w:type="dxa"/>
            </w:tcMar>
            <w:vAlign w:val="center"/>
            <w:hideMark/>
          </w:tcPr>
          <w:p w14:paraId="35A604A9"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3D0D880F"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4B2977E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0EA75B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DB2FDA5"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6B968B4" w14:textId="77777777" w:rsidR="00000000" w:rsidRDefault="001D0688">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14:paraId="31F278FD"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E185335" w14:textId="77777777" w:rsidR="00000000" w:rsidRDefault="001D0688">
            <w:pPr>
              <w:jc w:val="center"/>
              <w:rPr>
                <w:rFonts w:eastAsia="Times New Roman"/>
              </w:rPr>
            </w:pPr>
            <w:r>
              <w:rPr>
                <w:rFonts w:ascii="Arial" w:eastAsia="Times New Roman" w:hAnsi="Arial" w:cs="Arial"/>
                <w:color w:val="000000"/>
                <w:sz w:val="20"/>
                <w:szCs w:val="20"/>
              </w:rPr>
              <w:t>June 3, 2015</w:t>
            </w:r>
          </w:p>
        </w:tc>
      </w:tr>
      <w:tr w:rsidR="00000000" w14:paraId="782527EC" w14:textId="77777777">
        <w:trPr>
          <w:divId w:val="1671758753"/>
        </w:trPr>
        <w:tc>
          <w:tcPr>
            <w:tcW w:w="0" w:type="auto"/>
            <w:gridSpan w:val="3"/>
            <w:shd w:val="clear" w:color="auto" w:fill="DCE2EF"/>
            <w:tcMar>
              <w:top w:w="30" w:type="dxa"/>
              <w:left w:w="20" w:type="dxa"/>
              <w:bottom w:w="30" w:type="dxa"/>
              <w:right w:w="20" w:type="dxa"/>
            </w:tcMar>
            <w:hideMark/>
          </w:tcPr>
          <w:p w14:paraId="2B962F17" w14:textId="77777777" w:rsidR="00000000" w:rsidRDefault="001D0688">
            <w:pPr>
              <w:rPr>
                <w:rFonts w:eastAsia="Times New Roman"/>
              </w:rPr>
            </w:pPr>
            <w:r>
              <w:rPr>
                <w:rFonts w:ascii="Arial" w:eastAsia="Times New Roman" w:hAnsi="Arial" w:cs="Arial"/>
                <w:color w:val="000000"/>
                <w:sz w:val="20"/>
                <w:szCs w:val="20"/>
              </w:rPr>
              <w:t>10.20*</w:t>
            </w:r>
          </w:p>
        </w:tc>
        <w:tc>
          <w:tcPr>
            <w:tcW w:w="0" w:type="auto"/>
            <w:gridSpan w:val="3"/>
            <w:shd w:val="clear" w:color="auto" w:fill="DCE2EF"/>
            <w:tcMar>
              <w:top w:w="0" w:type="dxa"/>
              <w:left w:w="20" w:type="dxa"/>
              <w:bottom w:w="0" w:type="dxa"/>
              <w:right w:w="20" w:type="dxa"/>
            </w:tcMar>
            <w:vAlign w:val="center"/>
            <w:hideMark/>
          </w:tcPr>
          <w:p w14:paraId="3B994F3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3818E63" w14:textId="77777777" w:rsidR="00000000" w:rsidRDefault="001D0688">
            <w:pPr>
              <w:divId w:val="615529088"/>
              <w:rPr>
                <w:rFonts w:eastAsia="Times New Roman"/>
              </w:rPr>
            </w:pPr>
            <w:hyperlink r:id="rId38"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Ince</w:t>
              </w:r>
              <w:r>
                <w:rPr>
                  <w:rStyle w:val="a3"/>
                  <w:rFonts w:ascii="Arial" w:eastAsia="Times New Roman" w:hAnsi="Arial" w:cs="Arial"/>
                  <w:sz w:val="20"/>
                  <w:szCs w:val="20"/>
                </w:rPr>
                <w:t>ntive Plan, for Awards Granted on or after January 1, 2020</w:t>
              </w:r>
            </w:hyperlink>
          </w:p>
        </w:tc>
        <w:tc>
          <w:tcPr>
            <w:tcW w:w="0" w:type="auto"/>
            <w:gridSpan w:val="3"/>
            <w:shd w:val="clear" w:color="auto" w:fill="DCE2EF"/>
            <w:tcMar>
              <w:top w:w="0" w:type="dxa"/>
              <w:left w:w="20" w:type="dxa"/>
              <w:bottom w:w="0" w:type="dxa"/>
              <w:right w:w="20" w:type="dxa"/>
            </w:tcMar>
            <w:vAlign w:val="center"/>
            <w:hideMark/>
          </w:tcPr>
          <w:p w14:paraId="1C401A6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62426C63"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2944F2EC"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528233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7FDC133A"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8DA89E3" w14:textId="77777777" w:rsidR="00000000" w:rsidRDefault="001D0688">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14:paraId="32E8A002"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214F3EB3" w14:textId="77777777" w:rsidR="00000000" w:rsidRDefault="001D0688">
            <w:pPr>
              <w:jc w:val="center"/>
              <w:rPr>
                <w:rFonts w:eastAsia="Times New Roman"/>
              </w:rPr>
            </w:pPr>
            <w:r>
              <w:rPr>
                <w:rFonts w:ascii="Arial" w:eastAsia="Times New Roman" w:hAnsi="Arial" w:cs="Arial"/>
                <w:color w:val="000000"/>
                <w:sz w:val="20"/>
                <w:szCs w:val="20"/>
              </w:rPr>
              <w:t>March 5, 2020</w:t>
            </w:r>
          </w:p>
        </w:tc>
      </w:tr>
      <w:tr w:rsidR="00000000" w14:paraId="4119E4F6" w14:textId="77777777">
        <w:trPr>
          <w:divId w:val="1671758753"/>
        </w:trPr>
        <w:tc>
          <w:tcPr>
            <w:tcW w:w="0" w:type="auto"/>
            <w:gridSpan w:val="3"/>
            <w:shd w:val="clear" w:color="auto" w:fill="FFFFFF"/>
            <w:tcMar>
              <w:top w:w="30" w:type="dxa"/>
              <w:left w:w="20" w:type="dxa"/>
              <w:bottom w:w="30" w:type="dxa"/>
              <w:right w:w="20" w:type="dxa"/>
            </w:tcMar>
            <w:hideMark/>
          </w:tcPr>
          <w:p w14:paraId="44799334" w14:textId="77777777" w:rsidR="00000000" w:rsidRDefault="001D0688">
            <w:pPr>
              <w:rPr>
                <w:rFonts w:eastAsia="Times New Roman"/>
              </w:rPr>
            </w:pPr>
            <w:r>
              <w:rPr>
                <w:rFonts w:ascii="Arial" w:eastAsia="Times New Roman" w:hAnsi="Arial" w:cs="Arial"/>
                <w:color w:val="000000"/>
                <w:sz w:val="20"/>
                <w:szCs w:val="20"/>
              </w:rPr>
              <w:t>10.21*</w:t>
            </w:r>
          </w:p>
        </w:tc>
        <w:tc>
          <w:tcPr>
            <w:tcW w:w="0" w:type="auto"/>
            <w:gridSpan w:val="3"/>
            <w:shd w:val="clear" w:color="auto" w:fill="FFFFFF"/>
            <w:tcMar>
              <w:top w:w="0" w:type="dxa"/>
              <w:left w:w="20" w:type="dxa"/>
              <w:bottom w:w="0" w:type="dxa"/>
              <w:right w:w="20" w:type="dxa"/>
            </w:tcMar>
            <w:vAlign w:val="center"/>
            <w:hideMark/>
          </w:tcPr>
          <w:p w14:paraId="0710FF25"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18EC55" w14:textId="77777777" w:rsidR="00000000" w:rsidRDefault="001D0688">
            <w:pPr>
              <w:divId w:val="1225143457"/>
              <w:rPr>
                <w:rFonts w:eastAsia="Times New Roman"/>
              </w:rPr>
            </w:pPr>
            <w:hyperlink r:id="rId39" w:history="1">
              <w:r>
                <w:rPr>
                  <w:rStyle w:val="a3"/>
                  <w:rFonts w:ascii="Arial" w:eastAsia="Times New Roman" w:hAnsi="Arial" w:cs="Arial"/>
                  <w:sz w:val="20"/>
                  <w:szCs w:val="20"/>
                </w:rPr>
                <w:t>Statement of Terms and Conditions Applicable to Restricted Stock Units Granted Pursuant to the 2006 Equity Incentive Plan to Directors Who Elect to Relinqui</w:t>
              </w:r>
              <w:r>
                <w:rPr>
                  <w:rStyle w:val="a3"/>
                  <w:rFonts w:ascii="Arial" w:eastAsia="Times New Roman" w:hAnsi="Arial" w:cs="Arial"/>
                  <w:sz w:val="20"/>
                  <w:szCs w:val="20"/>
                </w:rPr>
                <w:t>sh Their Benefits Effective November 1, 2006, as amended and restated September 8, 2010</w:t>
              </w:r>
            </w:hyperlink>
          </w:p>
        </w:tc>
        <w:tc>
          <w:tcPr>
            <w:tcW w:w="0" w:type="auto"/>
            <w:gridSpan w:val="3"/>
            <w:shd w:val="clear" w:color="auto" w:fill="FFFFFF"/>
            <w:tcMar>
              <w:top w:w="0" w:type="dxa"/>
              <w:left w:w="20" w:type="dxa"/>
              <w:bottom w:w="0" w:type="dxa"/>
              <w:right w:w="20" w:type="dxa"/>
            </w:tcMar>
            <w:vAlign w:val="center"/>
            <w:hideMark/>
          </w:tcPr>
          <w:p w14:paraId="012F5412"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0FB8EC31"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4449C96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DBF4858"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0E473FA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E626BF2" w14:textId="77777777" w:rsidR="00000000" w:rsidRDefault="001D0688">
            <w:pPr>
              <w:jc w:val="center"/>
              <w:rPr>
                <w:rFonts w:eastAsia="Times New Roman"/>
              </w:rPr>
            </w:pPr>
            <w:r>
              <w:rPr>
                <w:rFonts w:ascii="Arial" w:eastAsia="Times New Roman" w:hAnsi="Arial" w:cs="Arial"/>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14:paraId="00D4012E"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03DE227" w14:textId="77777777" w:rsidR="00000000" w:rsidRDefault="001D0688">
            <w:pPr>
              <w:jc w:val="center"/>
              <w:rPr>
                <w:rFonts w:eastAsia="Times New Roman"/>
              </w:rPr>
            </w:pPr>
            <w:r>
              <w:rPr>
                <w:rFonts w:ascii="Arial" w:eastAsia="Times New Roman" w:hAnsi="Arial" w:cs="Arial"/>
                <w:color w:val="000000"/>
                <w:sz w:val="20"/>
                <w:szCs w:val="20"/>
              </w:rPr>
              <w:t>December 23, 2010</w:t>
            </w:r>
          </w:p>
        </w:tc>
      </w:tr>
      <w:tr w:rsidR="00000000" w14:paraId="0615EF45" w14:textId="77777777">
        <w:trPr>
          <w:divId w:val="1671758753"/>
        </w:trPr>
        <w:tc>
          <w:tcPr>
            <w:tcW w:w="0" w:type="auto"/>
            <w:gridSpan w:val="3"/>
            <w:shd w:val="clear" w:color="auto" w:fill="DCE2EF"/>
            <w:tcMar>
              <w:top w:w="30" w:type="dxa"/>
              <w:left w:w="20" w:type="dxa"/>
              <w:bottom w:w="30" w:type="dxa"/>
              <w:right w:w="20" w:type="dxa"/>
            </w:tcMar>
            <w:hideMark/>
          </w:tcPr>
          <w:p w14:paraId="19717ACD" w14:textId="77777777" w:rsidR="00000000" w:rsidRDefault="001D0688">
            <w:pPr>
              <w:rPr>
                <w:rFonts w:eastAsia="Times New Roman"/>
              </w:rPr>
            </w:pPr>
            <w:r>
              <w:rPr>
                <w:rFonts w:ascii="Arial" w:eastAsia="Times New Roman" w:hAnsi="Arial" w:cs="Arial"/>
                <w:color w:val="000000"/>
                <w:sz w:val="20"/>
                <w:szCs w:val="20"/>
              </w:rPr>
              <w:t>10.22*</w:t>
            </w:r>
          </w:p>
        </w:tc>
        <w:tc>
          <w:tcPr>
            <w:tcW w:w="0" w:type="auto"/>
            <w:gridSpan w:val="3"/>
            <w:shd w:val="clear" w:color="auto" w:fill="DCE2EF"/>
            <w:tcMar>
              <w:top w:w="0" w:type="dxa"/>
              <w:left w:w="20" w:type="dxa"/>
              <w:bottom w:w="0" w:type="dxa"/>
              <w:right w:w="20" w:type="dxa"/>
            </w:tcMar>
            <w:vAlign w:val="center"/>
            <w:hideMark/>
          </w:tcPr>
          <w:p w14:paraId="3180BE40"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30F646F" w14:textId="77777777" w:rsidR="00000000" w:rsidRDefault="001D0688">
            <w:pPr>
              <w:divId w:val="317534251"/>
              <w:rPr>
                <w:rFonts w:eastAsia="Times New Roman"/>
              </w:rPr>
            </w:pPr>
            <w:hyperlink r:id="rId40" w:history="1">
              <w:r>
                <w:rPr>
                  <w:rStyle w:val="a3"/>
                  <w:rFonts w:ascii="Arial" w:eastAsia="Times New Roman" w:hAnsi="Arial" w:cs="Arial"/>
                  <w:sz w:val="20"/>
                  <w:szCs w:val="20"/>
                </w:rPr>
                <w:t>Form of Non-Qualified Stock Option Agreement - 2006 Equity Plan</w:t>
              </w:r>
            </w:hyperlink>
          </w:p>
        </w:tc>
        <w:tc>
          <w:tcPr>
            <w:tcW w:w="0" w:type="auto"/>
            <w:gridSpan w:val="3"/>
            <w:shd w:val="clear" w:color="auto" w:fill="DCE2EF"/>
            <w:tcMar>
              <w:top w:w="0" w:type="dxa"/>
              <w:left w:w="20" w:type="dxa"/>
              <w:bottom w:w="0" w:type="dxa"/>
              <w:right w:w="20" w:type="dxa"/>
            </w:tcMar>
            <w:vAlign w:val="center"/>
            <w:hideMark/>
          </w:tcPr>
          <w:p w14:paraId="708CBF3A"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62910A28"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713F848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2CCD4E9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5B4D05BE"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4E232C6" w14:textId="77777777" w:rsidR="00000000" w:rsidRDefault="001D0688">
            <w:pPr>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64C2AD38"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B7C2EA3" w14:textId="77777777" w:rsidR="00000000" w:rsidRDefault="001D0688">
            <w:pPr>
              <w:jc w:val="center"/>
              <w:rPr>
                <w:rFonts w:eastAsia="Times New Roman"/>
              </w:rPr>
            </w:pPr>
            <w:r>
              <w:rPr>
                <w:rFonts w:ascii="Arial" w:eastAsia="Times New Roman" w:hAnsi="Arial" w:cs="Arial"/>
                <w:color w:val="000000"/>
                <w:sz w:val="20"/>
                <w:szCs w:val="20"/>
              </w:rPr>
              <w:t>June 4, 2010</w:t>
            </w:r>
          </w:p>
        </w:tc>
      </w:tr>
      <w:tr w:rsidR="00000000" w14:paraId="43B0B695" w14:textId="77777777">
        <w:trPr>
          <w:divId w:val="1671758753"/>
        </w:trPr>
        <w:tc>
          <w:tcPr>
            <w:tcW w:w="0" w:type="auto"/>
            <w:gridSpan w:val="3"/>
            <w:shd w:val="clear" w:color="auto" w:fill="FFFFFF"/>
            <w:tcMar>
              <w:top w:w="30" w:type="dxa"/>
              <w:left w:w="20" w:type="dxa"/>
              <w:bottom w:w="30" w:type="dxa"/>
              <w:right w:w="20" w:type="dxa"/>
            </w:tcMar>
            <w:hideMark/>
          </w:tcPr>
          <w:p w14:paraId="1288EB8F" w14:textId="77777777" w:rsidR="00000000" w:rsidRDefault="001D0688">
            <w:pPr>
              <w:rPr>
                <w:rFonts w:eastAsia="Times New Roman"/>
              </w:rPr>
            </w:pPr>
            <w:r>
              <w:rPr>
                <w:rFonts w:ascii="Arial" w:eastAsia="Times New Roman" w:hAnsi="Arial" w:cs="Arial"/>
                <w:color w:val="000000"/>
                <w:sz w:val="20"/>
                <w:szCs w:val="20"/>
              </w:rPr>
              <w:t>10.23*</w:t>
            </w:r>
          </w:p>
        </w:tc>
        <w:tc>
          <w:tcPr>
            <w:tcW w:w="0" w:type="auto"/>
            <w:gridSpan w:val="3"/>
            <w:shd w:val="clear" w:color="auto" w:fill="FFFFFF"/>
            <w:tcMar>
              <w:top w:w="0" w:type="dxa"/>
              <w:left w:w="20" w:type="dxa"/>
              <w:bottom w:w="0" w:type="dxa"/>
              <w:right w:w="20" w:type="dxa"/>
            </w:tcMar>
            <w:vAlign w:val="center"/>
            <w:hideMark/>
          </w:tcPr>
          <w:p w14:paraId="29C176F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FE7790" w14:textId="77777777" w:rsidR="00000000" w:rsidRDefault="001D0688">
            <w:pPr>
              <w:divId w:val="2114737705"/>
              <w:rPr>
                <w:rFonts w:eastAsia="Times New Roman"/>
              </w:rPr>
            </w:pPr>
            <w:hyperlink r:id="rId41" w:history="1">
              <w:r>
                <w:rPr>
                  <w:rStyle w:val="a3"/>
                  <w:rFonts w:ascii="Arial" w:eastAsia="Times New Roman" w:hAnsi="Arial" w:cs="Arial"/>
                  <w:sz w:val="20"/>
                  <w:szCs w:val="20"/>
                </w:rPr>
                <w:t>Form of Restricted Stock Unit Agreement - 2006 Equity Plan</w:t>
              </w:r>
            </w:hyperlink>
          </w:p>
        </w:tc>
        <w:tc>
          <w:tcPr>
            <w:tcW w:w="0" w:type="auto"/>
            <w:gridSpan w:val="3"/>
            <w:shd w:val="clear" w:color="auto" w:fill="FFFFFF"/>
            <w:tcMar>
              <w:top w:w="0" w:type="dxa"/>
              <w:left w:w="20" w:type="dxa"/>
              <w:bottom w:w="0" w:type="dxa"/>
              <w:right w:w="20" w:type="dxa"/>
            </w:tcMar>
            <w:vAlign w:val="center"/>
            <w:hideMark/>
          </w:tcPr>
          <w:p w14:paraId="263DBD3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9916C42"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4AF2E210"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2D76198"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7BC7DFA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DDB1468" w14:textId="77777777" w:rsidR="00000000" w:rsidRDefault="001D0688">
            <w:pPr>
              <w:jc w:val="center"/>
              <w:rPr>
                <w:rFonts w:eastAsia="Times New Roman"/>
              </w:rPr>
            </w:pPr>
            <w:r>
              <w:rPr>
                <w:rFonts w:ascii="Arial" w:eastAsia="Times New Roman" w:hAnsi="Arial" w:cs="Arial"/>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14:paraId="18AAA96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632BE05" w14:textId="77777777" w:rsidR="00000000" w:rsidRDefault="001D0688">
            <w:pPr>
              <w:jc w:val="center"/>
              <w:rPr>
                <w:rFonts w:eastAsia="Times New Roman"/>
              </w:rPr>
            </w:pPr>
            <w:r>
              <w:rPr>
                <w:rFonts w:ascii="Arial" w:eastAsia="Times New Roman" w:hAnsi="Arial" w:cs="Arial"/>
                <w:color w:val="000000"/>
                <w:sz w:val="20"/>
                <w:szCs w:val="20"/>
              </w:rPr>
              <w:t>December 20, 2019</w:t>
            </w:r>
          </w:p>
        </w:tc>
      </w:tr>
      <w:tr w:rsidR="00000000" w14:paraId="2F26CBA3" w14:textId="77777777">
        <w:trPr>
          <w:divId w:val="1671758753"/>
        </w:trPr>
        <w:tc>
          <w:tcPr>
            <w:tcW w:w="0" w:type="auto"/>
            <w:gridSpan w:val="3"/>
            <w:shd w:val="clear" w:color="auto" w:fill="DCE2EF"/>
            <w:tcMar>
              <w:top w:w="30" w:type="dxa"/>
              <w:left w:w="20" w:type="dxa"/>
              <w:bottom w:w="30" w:type="dxa"/>
              <w:right w:w="20" w:type="dxa"/>
            </w:tcMar>
            <w:hideMark/>
          </w:tcPr>
          <w:p w14:paraId="6D595A20" w14:textId="77777777" w:rsidR="00000000" w:rsidRDefault="001D0688">
            <w:pPr>
              <w:rPr>
                <w:rFonts w:eastAsia="Times New Roman"/>
              </w:rPr>
            </w:pPr>
            <w:r>
              <w:rPr>
                <w:rFonts w:ascii="Arial" w:eastAsia="Times New Roman" w:hAnsi="Arial" w:cs="Arial"/>
                <w:color w:val="000000"/>
                <w:sz w:val="20"/>
                <w:szCs w:val="20"/>
              </w:rPr>
              <w:t>10.24*</w:t>
            </w:r>
          </w:p>
        </w:tc>
        <w:tc>
          <w:tcPr>
            <w:tcW w:w="0" w:type="auto"/>
            <w:gridSpan w:val="3"/>
            <w:shd w:val="clear" w:color="auto" w:fill="DCE2EF"/>
            <w:tcMar>
              <w:top w:w="0" w:type="dxa"/>
              <w:left w:w="20" w:type="dxa"/>
              <w:bottom w:w="0" w:type="dxa"/>
              <w:right w:w="20" w:type="dxa"/>
            </w:tcMar>
            <w:vAlign w:val="center"/>
            <w:hideMark/>
          </w:tcPr>
          <w:p w14:paraId="17E38253"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0E0B7802" w14:textId="77777777" w:rsidR="00000000" w:rsidRDefault="001D0688">
            <w:pPr>
              <w:divId w:val="273833520"/>
              <w:rPr>
                <w:rFonts w:eastAsia="Times New Roman"/>
              </w:rPr>
            </w:pPr>
            <w:hyperlink r:id="rId42" w:history="1">
              <w:r>
                <w:rPr>
                  <w:rStyle w:val="a3"/>
                  <w:rFonts w:ascii="Arial" w:eastAsia="Times New Roman" w:hAnsi="Arial" w:cs="Arial"/>
                  <w:sz w:val="20"/>
                  <w:szCs w:val="20"/>
                </w:rPr>
                <w:t>Form of Performance Share Agreement - 2006 Equity Plan</w:t>
              </w:r>
            </w:hyperlink>
          </w:p>
        </w:tc>
        <w:tc>
          <w:tcPr>
            <w:tcW w:w="0" w:type="auto"/>
            <w:gridSpan w:val="3"/>
            <w:shd w:val="clear" w:color="auto" w:fill="DCE2EF"/>
            <w:tcMar>
              <w:top w:w="0" w:type="dxa"/>
              <w:left w:w="20" w:type="dxa"/>
              <w:bottom w:w="0" w:type="dxa"/>
              <w:right w:w="20" w:type="dxa"/>
            </w:tcMar>
            <w:vAlign w:val="center"/>
            <w:hideMark/>
          </w:tcPr>
          <w:p w14:paraId="69078DA3"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61D186CC"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3E2D1F1E"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40FA806"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7ADDE1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42F3356" w14:textId="77777777" w:rsidR="00000000" w:rsidRDefault="001D0688">
            <w:pPr>
              <w:jc w:val="center"/>
              <w:rPr>
                <w:rFonts w:eastAsia="Times New Roman"/>
              </w:rPr>
            </w:pPr>
            <w:r>
              <w:rPr>
                <w:rFonts w:ascii="Arial" w:eastAsia="Times New Roman" w:hAnsi="Arial" w:cs="Arial"/>
                <w:color w:val="000000"/>
                <w:sz w:val="20"/>
                <w:szCs w:val="20"/>
              </w:rPr>
              <w:t>10.19</w:t>
            </w:r>
          </w:p>
        </w:tc>
        <w:tc>
          <w:tcPr>
            <w:tcW w:w="0" w:type="auto"/>
            <w:gridSpan w:val="3"/>
            <w:shd w:val="clear" w:color="auto" w:fill="DCE2EF"/>
            <w:tcMar>
              <w:top w:w="0" w:type="dxa"/>
              <w:left w:w="20" w:type="dxa"/>
              <w:bottom w:w="0" w:type="dxa"/>
              <w:right w:w="20" w:type="dxa"/>
            </w:tcMar>
            <w:vAlign w:val="center"/>
            <w:hideMark/>
          </w:tcPr>
          <w:p w14:paraId="51D14F8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5E57783" w14:textId="77777777" w:rsidR="00000000" w:rsidRDefault="001D0688">
            <w:pPr>
              <w:jc w:val="center"/>
              <w:rPr>
                <w:rFonts w:eastAsia="Times New Roman"/>
              </w:rPr>
            </w:pPr>
            <w:r>
              <w:rPr>
                <w:rFonts w:ascii="Arial" w:eastAsia="Times New Roman" w:hAnsi="Arial" w:cs="Arial"/>
                <w:color w:val="000000"/>
                <w:sz w:val="20"/>
                <w:szCs w:val="20"/>
              </w:rPr>
              <w:t>December 20, 2019</w:t>
            </w:r>
          </w:p>
        </w:tc>
      </w:tr>
      <w:tr w:rsidR="00000000" w14:paraId="7095C630" w14:textId="77777777">
        <w:trPr>
          <w:divId w:val="1671758753"/>
        </w:trPr>
        <w:tc>
          <w:tcPr>
            <w:tcW w:w="0" w:type="auto"/>
            <w:gridSpan w:val="3"/>
            <w:shd w:val="clear" w:color="auto" w:fill="FFFFFF"/>
            <w:tcMar>
              <w:top w:w="30" w:type="dxa"/>
              <w:left w:w="20" w:type="dxa"/>
              <w:bottom w:w="30" w:type="dxa"/>
              <w:right w:w="20" w:type="dxa"/>
            </w:tcMar>
            <w:hideMark/>
          </w:tcPr>
          <w:p w14:paraId="7E5EE708" w14:textId="77777777" w:rsidR="00000000" w:rsidRDefault="001D0688">
            <w:pPr>
              <w:rPr>
                <w:rFonts w:eastAsia="Times New Roman"/>
              </w:rPr>
            </w:pPr>
            <w:r>
              <w:rPr>
                <w:rFonts w:ascii="Arial" w:eastAsia="Times New Roman" w:hAnsi="Arial" w:cs="Arial"/>
                <w:color w:val="000000"/>
                <w:sz w:val="20"/>
                <w:szCs w:val="20"/>
              </w:rPr>
              <w:t>10.25*</w:t>
            </w:r>
          </w:p>
        </w:tc>
        <w:tc>
          <w:tcPr>
            <w:tcW w:w="0" w:type="auto"/>
            <w:gridSpan w:val="3"/>
            <w:shd w:val="clear" w:color="auto" w:fill="FFFFFF"/>
            <w:tcMar>
              <w:top w:w="0" w:type="dxa"/>
              <w:left w:w="20" w:type="dxa"/>
              <w:bottom w:w="0" w:type="dxa"/>
              <w:right w:w="20" w:type="dxa"/>
            </w:tcMar>
            <w:vAlign w:val="center"/>
            <w:hideMark/>
          </w:tcPr>
          <w:p w14:paraId="19D20E4D"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A7B6522" w14:textId="77777777" w:rsidR="00000000" w:rsidRDefault="001D0688">
            <w:pPr>
              <w:divId w:val="204873417"/>
              <w:rPr>
                <w:rFonts w:eastAsia="Times New Roman"/>
              </w:rPr>
            </w:pPr>
            <w:hyperlink r:id="rId43" w:history="1">
              <w:r>
                <w:rPr>
                  <w:rStyle w:val="a3"/>
                  <w:rFonts w:ascii="Arial" w:eastAsia="Times New Roman" w:hAnsi="Arial" w:cs="Arial"/>
                  <w:sz w:val="20"/>
                  <w:szCs w:val="20"/>
                </w:rPr>
                <w:t>Executive Stock Option Plan (aka Age-Vested Career Stock Option Plan), as amended and restated June 4, 2012</w:t>
              </w:r>
            </w:hyperlink>
          </w:p>
        </w:tc>
        <w:tc>
          <w:tcPr>
            <w:tcW w:w="0" w:type="auto"/>
            <w:gridSpan w:val="3"/>
            <w:shd w:val="clear" w:color="auto" w:fill="FFFFFF"/>
            <w:tcMar>
              <w:top w:w="0" w:type="dxa"/>
              <w:left w:w="20" w:type="dxa"/>
              <w:bottom w:w="0" w:type="dxa"/>
              <w:right w:w="20" w:type="dxa"/>
            </w:tcMar>
            <w:vAlign w:val="center"/>
            <w:hideMark/>
          </w:tcPr>
          <w:p w14:paraId="5AE395ED"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67FB975C"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39EAA4B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9BD3FAA"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6C405863"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B8BC313"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3BC7AC8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631D3C3" w14:textId="77777777" w:rsidR="00000000" w:rsidRDefault="001D0688">
            <w:pPr>
              <w:jc w:val="center"/>
              <w:rPr>
                <w:rFonts w:eastAsia="Times New Roman"/>
              </w:rPr>
            </w:pPr>
            <w:r>
              <w:rPr>
                <w:rFonts w:ascii="Arial" w:eastAsia="Times New Roman" w:hAnsi="Arial" w:cs="Arial"/>
                <w:color w:val="000000"/>
                <w:sz w:val="20"/>
                <w:szCs w:val="20"/>
              </w:rPr>
              <w:t>September 6, 2012</w:t>
            </w:r>
          </w:p>
        </w:tc>
      </w:tr>
      <w:tr w:rsidR="00000000" w14:paraId="2602FF5E" w14:textId="77777777">
        <w:trPr>
          <w:divId w:val="1671758753"/>
        </w:trPr>
        <w:tc>
          <w:tcPr>
            <w:tcW w:w="0" w:type="auto"/>
            <w:gridSpan w:val="3"/>
            <w:shd w:val="clear" w:color="auto" w:fill="DCE2EF"/>
            <w:tcMar>
              <w:top w:w="30" w:type="dxa"/>
              <w:left w:w="20" w:type="dxa"/>
              <w:bottom w:w="30" w:type="dxa"/>
              <w:right w:w="20" w:type="dxa"/>
            </w:tcMar>
            <w:hideMark/>
          </w:tcPr>
          <w:p w14:paraId="3CE12470" w14:textId="77777777" w:rsidR="00000000" w:rsidRDefault="001D0688">
            <w:pPr>
              <w:rPr>
                <w:rFonts w:eastAsia="Times New Roman"/>
              </w:rPr>
            </w:pPr>
            <w:r>
              <w:rPr>
                <w:rFonts w:ascii="Arial" w:eastAsia="Times New Roman" w:hAnsi="Arial" w:cs="Arial"/>
                <w:color w:val="000000"/>
                <w:sz w:val="20"/>
                <w:szCs w:val="20"/>
              </w:rPr>
              <w:t>10.26*</w:t>
            </w:r>
          </w:p>
        </w:tc>
        <w:tc>
          <w:tcPr>
            <w:tcW w:w="0" w:type="auto"/>
            <w:gridSpan w:val="3"/>
            <w:shd w:val="clear" w:color="auto" w:fill="DCE2EF"/>
            <w:tcMar>
              <w:top w:w="0" w:type="dxa"/>
              <w:left w:w="20" w:type="dxa"/>
              <w:bottom w:w="0" w:type="dxa"/>
              <w:right w:w="20" w:type="dxa"/>
            </w:tcMar>
            <w:vAlign w:val="center"/>
            <w:hideMark/>
          </w:tcPr>
          <w:p w14:paraId="243FA00D"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7EBD183" w14:textId="77777777" w:rsidR="00000000" w:rsidRDefault="001D0688">
            <w:pPr>
              <w:divId w:val="511379163"/>
              <w:rPr>
                <w:rFonts w:eastAsia="Times New Roman"/>
              </w:rPr>
            </w:pPr>
            <w:hyperlink r:id="rId44" w:history="1">
              <w:r>
                <w:rPr>
                  <w:rStyle w:val="a3"/>
                  <w:rFonts w:ascii="Arial" w:eastAsia="Times New Roman" w:hAnsi="Arial" w:cs="Arial"/>
                  <w:sz w:val="20"/>
                  <w:szCs w:val="20"/>
                </w:rPr>
                <w:t>Deferred Compensation Plan for Executives, amended and restated October 25, 2010</w:t>
              </w:r>
            </w:hyperlink>
          </w:p>
        </w:tc>
        <w:tc>
          <w:tcPr>
            <w:tcW w:w="0" w:type="auto"/>
            <w:gridSpan w:val="3"/>
            <w:shd w:val="clear" w:color="auto" w:fill="DCE2EF"/>
            <w:tcMar>
              <w:top w:w="0" w:type="dxa"/>
              <w:left w:w="20" w:type="dxa"/>
              <w:bottom w:w="0" w:type="dxa"/>
              <w:right w:w="20" w:type="dxa"/>
            </w:tcMar>
            <w:vAlign w:val="center"/>
            <w:hideMark/>
          </w:tcPr>
          <w:p w14:paraId="6CD170AB"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39DC4768"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52AC413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54EAC0E"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262B5D18"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89F2A8C" w14:textId="77777777" w:rsidR="00000000" w:rsidRDefault="001D0688">
            <w:pPr>
              <w:jc w:val="center"/>
              <w:rPr>
                <w:rFonts w:eastAsia="Times New Roman"/>
              </w:rPr>
            </w:pPr>
            <w:r>
              <w:rPr>
                <w:rFonts w:ascii="Arial" w:eastAsia="Times New Roman" w:hAnsi="Arial" w:cs="Arial"/>
                <w:color w:val="000000"/>
                <w:sz w:val="20"/>
                <w:szCs w:val="20"/>
              </w:rPr>
              <w:t>10.22</w:t>
            </w:r>
          </w:p>
        </w:tc>
        <w:tc>
          <w:tcPr>
            <w:tcW w:w="0" w:type="auto"/>
            <w:gridSpan w:val="3"/>
            <w:shd w:val="clear" w:color="auto" w:fill="DCE2EF"/>
            <w:tcMar>
              <w:top w:w="0" w:type="dxa"/>
              <w:left w:w="20" w:type="dxa"/>
              <w:bottom w:w="0" w:type="dxa"/>
              <w:right w:w="20" w:type="dxa"/>
            </w:tcMar>
            <w:vAlign w:val="center"/>
            <w:hideMark/>
          </w:tcPr>
          <w:p w14:paraId="3D302BF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C13FDF8" w14:textId="77777777" w:rsidR="00000000" w:rsidRDefault="001D0688">
            <w:pPr>
              <w:jc w:val="center"/>
              <w:rPr>
                <w:rFonts w:eastAsia="Times New Roman"/>
              </w:rPr>
            </w:pPr>
            <w:r>
              <w:rPr>
                <w:rFonts w:ascii="Arial" w:eastAsia="Times New Roman" w:hAnsi="Arial" w:cs="Arial"/>
                <w:color w:val="000000"/>
                <w:sz w:val="20"/>
                <w:szCs w:val="20"/>
              </w:rPr>
              <w:t>December 23, 2010</w:t>
            </w:r>
          </w:p>
        </w:tc>
      </w:tr>
      <w:tr w:rsidR="00000000" w14:paraId="163A1F1B" w14:textId="77777777">
        <w:trPr>
          <w:divId w:val="1671758753"/>
        </w:trPr>
        <w:tc>
          <w:tcPr>
            <w:tcW w:w="0" w:type="auto"/>
            <w:gridSpan w:val="3"/>
            <w:shd w:val="clear" w:color="auto" w:fill="FFFFFF"/>
            <w:tcMar>
              <w:top w:w="30" w:type="dxa"/>
              <w:left w:w="20" w:type="dxa"/>
              <w:bottom w:w="30" w:type="dxa"/>
              <w:right w:w="20" w:type="dxa"/>
            </w:tcMar>
            <w:hideMark/>
          </w:tcPr>
          <w:p w14:paraId="5C0B7EC1" w14:textId="77777777" w:rsidR="00000000" w:rsidRDefault="001D0688">
            <w:pPr>
              <w:rPr>
                <w:rFonts w:eastAsia="Times New Roman"/>
              </w:rPr>
            </w:pPr>
            <w:r>
              <w:rPr>
                <w:rFonts w:ascii="Arial" w:eastAsia="Times New Roman" w:hAnsi="Arial" w:cs="Arial"/>
                <w:color w:val="000000"/>
                <w:sz w:val="20"/>
                <w:szCs w:val="20"/>
              </w:rPr>
              <w:t>10.27*</w:t>
            </w:r>
          </w:p>
        </w:tc>
        <w:tc>
          <w:tcPr>
            <w:tcW w:w="0" w:type="auto"/>
            <w:gridSpan w:val="3"/>
            <w:shd w:val="clear" w:color="auto" w:fill="FFFFFF"/>
            <w:tcMar>
              <w:top w:w="0" w:type="dxa"/>
              <w:left w:w="20" w:type="dxa"/>
              <w:bottom w:w="0" w:type="dxa"/>
              <w:right w:w="20" w:type="dxa"/>
            </w:tcMar>
            <w:vAlign w:val="center"/>
            <w:hideMark/>
          </w:tcPr>
          <w:p w14:paraId="400AA88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EF1009" w14:textId="77777777" w:rsidR="00000000" w:rsidRDefault="001D0688">
            <w:pPr>
              <w:divId w:val="158617438"/>
              <w:rPr>
                <w:rFonts w:eastAsia="Times New Roman"/>
              </w:rPr>
            </w:pPr>
            <w:hyperlink r:id="rId45" w:history="1">
              <w:r>
                <w:rPr>
                  <w:rStyle w:val="a3"/>
                  <w:rFonts w:ascii="Arial" w:eastAsia="Times New Roman" w:hAnsi="Arial" w:cs="Arial"/>
                  <w:sz w:val="20"/>
                  <w:szCs w:val="20"/>
                </w:rPr>
                <w:t>Supplemental Executive Retirement Plan, as amended and restated June 3, 2008</w:t>
              </w:r>
            </w:hyperlink>
          </w:p>
        </w:tc>
        <w:tc>
          <w:tcPr>
            <w:tcW w:w="0" w:type="auto"/>
            <w:gridSpan w:val="3"/>
            <w:shd w:val="clear" w:color="auto" w:fill="FFFFFF"/>
            <w:tcMar>
              <w:top w:w="0" w:type="dxa"/>
              <w:left w:w="20" w:type="dxa"/>
              <w:bottom w:w="0" w:type="dxa"/>
              <w:right w:w="20" w:type="dxa"/>
            </w:tcMar>
            <w:vAlign w:val="center"/>
            <w:hideMark/>
          </w:tcPr>
          <w:p w14:paraId="35472BC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0667F4C6"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5D26043A"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67D1D0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8CF8E54"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D93FEDD" w14:textId="77777777" w:rsidR="00000000" w:rsidRDefault="001D0688">
            <w:pPr>
              <w:jc w:val="center"/>
              <w:rPr>
                <w:rFonts w:eastAsia="Times New Roman"/>
              </w:rPr>
            </w:pPr>
            <w:r>
              <w:rPr>
                <w:rFonts w:ascii="Arial" w:eastAsia="Times New Roman" w:hAnsi="Arial" w:cs="Arial"/>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14:paraId="21A52FAA"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9225C41" w14:textId="77777777" w:rsidR="00000000" w:rsidRDefault="001D0688">
            <w:pPr>
              <w:jc w:val="center"/>
              <w:rPr>
                <w:rFonts w:eastAsia="Times New Roman"/>
              </w:rPr>
            </w:pPr>
            <w:r>
              <w:rPr>
                <w:rFonts w:ascii="Arial" w:eastAsia="Times New Roman" w:hAnsi="Arial" w:cs="Arial"/>
                <w:color w:val="000000"/>
                <w:sz w:val="20"/>
                <w:szCs w:val="20"/>
              </w:rPr>
              <w:t>September 8, 2008</w:t>
            </w:r>
          </w:p>
        </w:tc>
      </w:tr>
      <w:tr w:rsidR="00000000" w14:paraId="14158472" w14:textId="77777777">
        <w:trPr>
          <w:divId w:val="1671758753"/>
        </w:trPr>
        <w:tc>
          <w:tcPr>
            <w:tcW w:w="0" w:type="auto"/>
            <w:gridSpan w:val="3"/>
            <w:shd w:val="clear" w:color="auto" w:fill="DCE2EF"/>
            <w:tcMar>
              <w:top w:w="30" w:type="dxa"/>
              <w:left w:w="20" w:type="dxa"/>
              <w:bottom w:w="30" w:type="dxa"/>
              <w:right w:w="20" w:type="dxa"/>
            </w:tcMar>
            <w:hideMark/>
          </w:tcPr>
          <w:p w14:paraId="4EC7FB17" w14:textId="77777777" w:rsidR="00000000" w:rsidRDefault="001D0688">
            <w:pPr>
              <w:rPr>
                <w:rFonts w:eastAsia="Times New Roman"/>
              </w:rPr>
            </w:pPr>
            <w:r>
              <w:rPr>
                <w:rFonts w:ascii="Arial" w:eastAsia="Times New Roman" w:hAnsi="Arial" w:cs="Arial"/>
                <w:color w:val="000000"/>
                <w:sz w:val="20"/>
                <w:szCs w:val="20"/>
              </w:rPr>
              <w:t>10.28*</w:t>
            </w:r>
          </w:p>
        </w:tc>
        <w:tc>
          <w:tcPr>
            <w:tcW w:w="0" w:type="auto"/>
            <w:gridSpan w:val="3"/>
            <w:shd w:val="clear" w:color="auto" w:fill="DCE2EF"/>
            <w:tcMar>
              <w:top w:w="0" w:type="dxa"/>
              <w:left w:w="20" w:type="dxa"/>
              <w:bottom w:w="0" w:type="dxa"/>
              <w:right w:w="20" w:type="dxa"/>
            </w:tcMar>
            <w:vAlign w:val="center"/>
            <w:hideMark/>
          </w:tcPr>
          <w:p w14:paraId="68F8889B"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19D87B0" w14:textId="77777777" w:rsidR="00000000" w:rsidRDefault="001D0688">
            <w:pPr>
              <w:divId w:val="1579050371"/>
              <w:rPr>
                <w:rFonts w:eastAsia="Times New Roman"/>
              </w:rPr>
            </w:pPr>
            <w:hyperlink r:id="rId46" w:history="1">
              <w:r>
                <w:rPr>
                  <w:rStyle w:val="a3"/>
                  <w:rFonts w:ascii="Arial" w:eastAsia="Times New Roman" w:hAnsi="Arial" w:cs="Arial"/>
                  <w:sz w:val="20"/>
                  <w:szCs w:val="20"/>
                </w:rPr>
                <w:t>Service Award Benefit Plan, as amended and restated June 3, 2008</w:t>
              </w:r>
            </w:hyperlink>
          </w:p>
        </w:tc>
        <w:tc>
          <w:tcPr>
            <w:tcW w:w="0" w:type="auto"/>
            <w:gridSpan w:val="3"/>
            <w:shd w:val="clear" w:color="auto" w:fill="DCE2EF"/>
            <w:tcMar>
              <w:top w:w="0" w:type="dxa"/>
              <w:left w:w="20" w:type="dxa"/>
              <w:bottom w:w="0" w:type="dxa"/>
              <w:right w:w="20" w:type="dxa"/>
            </w:tcMar>
            <w:vAlign w:val="center"/>
            <w:hideMark/>
          </w:tcPr>
          <w:p w14:paraId="336B3B90"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33D8C7DF"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1E789792"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5B828D"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38AC0BC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B4C9FBE" w14:textId="77777777" w:rsidR="00000000" w:rsidRDefault="001D0688">
            <w:pPr>
              <w:jc w:val="center"/>
              <w:rPr>
                <w:rFonts w:eastAsia="Times New Roman"/>
              </w:rPr>
            </w:pPr>
            <w:r>
              <w:rPr>
                <w:rFonts w:ascii="Arial" w:eastAsia="Times New Roman" w:hAnsi="Arial" w:cs="Arial"/>
                <w:color w:val="000000"/>
                <w:sz w:val="20"/>
                <w:szCs w:val="20"/>
              </w:rPr>
              <w:t>10.5</w:t>
            </w:r>
          </w:p>
        </w:tc>
        <w:tc>
          <w:tcPr>
            <w:tcW w:w="0" w:type="auto"/>
            <w:gridSpan w:val="3"/>
            <w:shd w:val="clear" w:color="auto" w:fill="DCE2EF"/>
            <w:tcMar>
              <w:top w:w="0" w:type="dxa"/>
              <w:left w:w="20" w:type="dxa"/>
              <w:bottom w:w="0" w:type="dxa"/>
              <w:right w:w="20" w:type="dxa"/>
            </w:tcMar>
            <w:vAlign w:val="center"/>
            <w:hideMark/>
          </w:tcPr>
          <w:p w14:paraId="05991CA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DEE2530" w14:textId="77777777" w:rsidR="00000000" w:rsidRDefault="001D0688">
            <w:pPr>
              <w:jc w:val="center"/>
              <w:rPr>
                <w:rFonts w:eastAsia="Times New Roman"/>
              </w:rPr>
            </w:pPr>
            <w:r>
              <w:rPr>
                <w:rFonts w:ascii="Arial" w:eastAsia="Times New Roman" w:hAnsi="Arial" w:cs="Arial"/>
                <w:color w:val="000000"/>
                <w:sz w:val="20"/>
                <w:szCs w:val="20"/>
              </w:rPr>
              <w:t>September 8, 2008</w:t>
            </w:r>
          </w:p>
        </w:tc>
      </w:tr>
      <w:tr w:rsidR="00000000" w14:paraId="2159177D" w14:textId="77777777">
        <w:trPr>
          <w:divId w:val="1671758753"/>
        </w:trPr>
        <w:tc>
          <w:tcPr>
            <w:tcW w:w="0" w:type="auto"/>
            <w:gridSpan w:val="3"/>
            <w:shd w:val="clear" w:color="auto" w:fill="FFFFFF"/>
            <w:tcMar>
              <w:top w:w="30" w:type="dxa"/>
              <w:left w:w="20" w:type="dxa"/>
              <w:bottom w:w="30" w:type="dxa"/>
              <w:right w:w="20" w:type="dxa"/>
            </w:tcMar>
            <w:hideMark/>
          </w:tcPr>
          <w:p w14:paraId="1886D35F" w14:textId="77777777" w:rsidR="00000000" w:rsidRDefault="001D0688">
            <w:pPr>
              <w:rPr>
                <w:rFonts w:eastAsia="Times New Roman"/>
              </w:rPr>
            </w:pPr>
            <w:r>
              <w:rPr>
                <w:rFonts w:ascii="Arial" w:eastAsia="Times New Roman" w:hAnsi="Arial" w:cs="Arial"/>
                <w:color w:val="000000"/>
                <w:sz w:val="20"/>
                <w:szCs w:val="20"/>
              </w:rPr>
              <w:t>10.29*</w:t>
            </w:r>
          </w:p>
        </w:tc>
        <w:tc>
          <w:tcPr>
            <w:tcW w:w="0" w:type="auto"/>
            <w:gridSpan w:val="3"/>
            <w:shd w:val="clear" w:color="auto" w:fill="FFFFFF"/>
            <w:tcMar>
              <w:top w:w="0" w:type="dxa"/>
              <w:left w:w="20" w:type="dxa"/>
              <w:bottom w:w="0" w:type="dxa"/>
              <w:right w:w="20" w:type="dxa"/>
            </w:tcMar>
            <w:vAlign w:val="center"/>
            <w:hideMark/>
          </w:tcPr>
          <w:p w14:paraId="0767A1B5"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B34717" w14:textId="77777777" w:rsidR="00000000" w:rsidRDefault="001D0688">
            <w:pPr>
              <w:divId w:val="2030911069"/>
              <w:rPr>
                <w:rFonts w:eastAsia="Times New Roman"/>
              </w:rPr>
            </w:pPr>
            <w:hyperlink r:id="rId47" w:history="1">
              <w:r>
                <w:rPr>
                  <w:rStyle w:val="a3"/>
                  <w:rFonts w:ascii="Arial" w:eastAsia="Times New Roman" w:hAnsi="Arial" w:cs="Arial"/>
                  <w:sz w:val="20"/>
                  <w:szCs w:val="20"/>
                </w:rPr>
                <w:t>Executive Severance Pay Policy, as amended and restated March 7, 2011</w:t>
              </w:r>
            </w:hyperlink>
          </w:p>
        </w:tc>
        <w:tc>
          <w:tcPr>
            <w:tcW w:w="0" w:type="auto"/>
            <w:gridSpan w:val="3"/>
            <w:shd w:val="clear" w:color="auto" w:fill="FFFFFF"/>
            <w:tcMar>
              <w:top w:w="0" w:type="dxa"/>
              <w:left w:w="20" w:type="dxa"/>
              <w:bottom w:w="0" w:type="dxa"/>
              <w:right w:w="20" w:type="dxa"/>
            </w:tcMar>
            <w:vAlign w:val="center"/>
            <w:hideMark/>
          </w:tcPr>
          <w:p w14:paraId="51BB08E2"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0F50A38A"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239EAC04"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939E8DA"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DA6AD0A"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5E493B29"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14:paraId="3A6F8EA1"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4BF7E31" w14:textId="77777777" w:rsidR="00000000" w:rsidRDefault="001D0688">
            <w:pPr>
              <w:jc w:val="center"/>
              <w:rPr>
                <w:rFonts w:eastAsia="Times New Roman"/>
              </w:rPr>
            </w:pPr>
            <w:r>
              <w:rPr>
                <w:rFonts w:ascii="Arial" w:eastAsia="Times New Roman" w:hAnsi="Arial" w:cs="Arial"/>
                <w:color w:val="000000"/>
                <w:sz w:val="20"/>
                <w:szCs w:val="20"/>
              </w:rPr>
              <w:t>March 10, 2011</w:t>
            </w:r>
          </w:p>
        </w:tc>
      </w:tr>
      <w:tr w:rsidR="00000000" w14:paraId="400263B9" w14:textId="77777777">
        <w:trPr>
          <w:divId w:val="1671758753"/>
        </w:trPr>
        <w:tc>
          <w:tcPr>
            <w:tcW w:w="0" w:type="auto"/>
            <w:gridSpan w:val="3"/>
            <w:shd w:val="clear" w:color="auto" w:fill="DCE2EF"/>
            <w:tcMar>
              <w:top w:w="30" w:type="dxa"/>
              <w:left w:w="20" w:type="dxa"/>
              <w:bottom w:w="30" w:type="dxa"/>
              <w:right w:w="20" w:type="dxa"/>
            </w:tcMar>
            <w:hideMark/>
          </w:tcPr>
          <w:p w14:paraId="71E6C949" w14:textId="77777777" w:rsidR="00000000" w:rsidRDefault="001D0688">
            <w:pPr>
              <w:rPr>
                <w:rFonts w:eastAsia="Times New Roman"/>
              </w:rPr>
            </w:pPr>
            <w:r>
              <w:rPr>
                <w:rFonts w:ascii="Arial" w:eastAsia="Times New Roman" w:hAnsi="Arial" w:cs="Arial"/>
                <w:color w:val="000000"/>
                <w:sz w:val="20"/>
                <w:szCs w:val="20"/>
              </w:rPr>
              <w:t>10.30*</w:t>
            </w:r>
          </w:p>
        </w:tc>
        <w:tc>
          <w:tcPr>
            <w:tcW w:w="0" w:type="auto"/>
            <w:gridSpan w:val="3"/>
            <w:shd w:val="clear" w:color="auto" w:fill="DCE2EF"/>
            <w:tcMar>
              <w:top w:w="0" w:type="dxa"/>
              <w:left w:w="20" w:type="dxa"/>
              <w:bottom w:w="0" w:type="dxa"/>
              <w:right w:w="20" w:type="dxa"/>
            </w:tcMar>
            <w:vAlign w:val="center"/>
            <w:hideMark/>
          </w:tcPr>
          <w:p w14:paraId="3DC4DC2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43F5821" w14:textId="77777777" w:rsidR="00000000" w:rsidRDefault="001D0688">
            <w:pPr>
              <w:divId w:val="314339767"/>
              <w:rPr>
                <w:rFonts w:eastAsia="Times New Roman"/>
              </w:rPr>
            </w:pPr>
            <w:hyperlink r:id="rId48" w:history="1">
              <w:r>
                <w:rPr>
                  <w:rStyle w:val="a3"/>
                  <w:rFonts w:ascii="Arial" w:eastAsia="Times New Roman" w:hAnsi="Arial" w:cs="Arial"/>
                  <w:sz w:val="20"/>
                  <w:szCs w:val="20"/>
                </w:rPr>
                <w:t>Amended and Restated Executive Employment Agreement, dated as of September 22, 2017, by and between ABM Industries Incorporated and Scott Salmirs</w:t>
              </w:r>
            </w:hyperlink>
          </w:p>
        </w:tc>
        <w:tc>
          <w:tcPr>
            <w:tcW w:w="0" w:type="auto"/>
            <w:gridSpan w:val="3"/>
            <w:shd w:val="clear" w:color="auto" w:fill="DCE2EF"/>
            <w:tcMar>
              <w:top w:w="0" w:type="dxa"/>
              <w:left w:w="20" w:type="dxa"/>
              <w:bottom w:w="0" w:type="dxa"/>
              <w:right w:w="20" w:type="dxa"/>
            </w:tcMar>
            <w:vAlign w:val="center"/>
            <w:hideMark/>
          </w:tcPr>
          <w:p w14:paraId="4D24C327"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65F8EDB"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6AF8194F"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AEFDCEA"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EFAE88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2AB775FC" w14:textId="77777777" w:rsidR="00000000" w:rsidRDefault="001D0688">
            <w:pPr>
              <w:jc w:val="center"/>
              <w:rPr>
                <w:rFonts w:eastAsia="Times New Roman"/>
              </w:rPr>
            </w:pPr>
            <w:r>
              <w:rPr>
                <w:rFonts w:ascii="Arial" w:eastAsia="Times New Roman" w:hAnsi="Arial" w:cs="Arial"/>
                <w:color w:val="000000"/>
                <w:sz w:val="20"/>
                <w:szCs w:val="20"/>
              </w:rPr>
              <w:t>10.28</w:t>
            </w:r>
          </w:p>
        </w:tc>
        <w:tc>
          <w:tcPr>
            <w:tcW w:w="0" w:type="auto"/>
            <w:gridSpan w:val="3"/>
            <w:shd w:val="clear" w:color="auto" w:fill="DCE2EF"/>
            <w:tcMar>
              <w:top w:w="0" w:type="dxa"/>
              <w:left w:w="20" w:type="dxa"/>
              <w:bottom w:w="0" w:type="dxa"/>
              <w:right w:w="20" w:type="dxa"/>
            </w:tcMar>
            <w:vAlign w:val="center"/>
            <w:hideMark/>
          </w:tcPr>
          <w:p w14:paraId="5B361099"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427A56F" w14:textId="77777777" w:rsidR="00000000" w:rsidRDefault="001D0688">
            <w:pPr>
              <w:jc w:val="center"/>
              <w:rPr>
                <w:rFonts w:eastAsia="Times New Roman"/>
              </w:rPr>
            </w:pPr>
            <w:r>
              <w:rPr>
                <w:rFonts w:ascii="Arial" w:eastAsia="Times New Roman" w:hAnsi="Arial" w:cs="Arial"/>
                <w:color w:val="000000"/>
                <w:sz w:val="20"/>
                <w:szCs w:val="20"/>
              </w:rPr>
              <w:t>December 22, 2017</w:t>
            </w:r>
          </w:p>
        </w:tc>
      </w:tr>
      <w:tr w:rsidR="00000000" w14:paraId="633AA6A4" w14:textId="77777777">
        <w:trPr>
          <w:divId w:val="1671758753"/>
        </w:trPr>
        <w:tc>
          <w:tcPr>
            <w:tcW w:w="0" w:type="auto"/>
            <w:gridSpan w:val="3"/>
            <w:shd w:val="clear" w:color="auto" w:fill="FFFFFF"/>
            <w:tcMar>
              <w:top w:w="30" w:type="dxa"/>
              <w:left w:w="20" w:type="dxa"/>
              <w:bottom w:w="30" w:type="dxa"/>
              <w:right w:w="20" w:type="dxa"/>
            </w:tcMar>
            <w:hideMark/>
          </w:tcPr>
          <w:p w14:paraId="36B8863A" w14:textId="77777777" w:rsidR="00000000" w:rsidRDefault="001D0688">
            <w:pPr>
              <w:rPr>
                <w:rFonts w:eastAsia="Times New Roman"/>
              </w:rPr>
            </w:pPr>
            <w:r>
              <w:rPr>
                <w:rFonts w:ascii="Arial" w:eastAsia="Times New Roman" w:hAnsi="Arial" w:cs="Arial"/>
                <w:color w:val="000000"/>
                <w:sz w:val="20"/>
                <w:szCs w:val="20"/>
              </w:rPr>
              <w:t>10.31*</w:t>
            </w:r>
          </w:p>
        </w:tc>
        <w:tc>
          <w:tcPr>
            <w:tcW w:w="0" w:type="auto"/>
            <w:gridSpan w:val="3"/>
            <w:shd w:val="clear" w:color="auto" w:fill="FFFFFF"/>
            <w:tcMar>
              <w:top w:w="0" w:type="dxa"/>
              <w:left w:w="20" w:type="dxa"/>
              <w:bottom w:w="0" w:type="dxa"/>
              <w:right w:w="20" w:type="dxa"/>
            </w:tcMar>
            <w:vAlign w:val="center"/>
            <w:hideMark/>
          </w:tcPr>
          <w:p w14:paraId="600226A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90B3DF" w14:textId="77777777" w:rsidR="00000000" w:rsidRDefault="001D0688">
            <w:pPr>
              <w:divId w:val="874001258"/>
              <w:rPr>
                <w:rFonts w:eastAsia="Times New Roman"/>
              </w:rPr>
            </w:pPr>
            <w:hyperlink r:id="rId49" w:history="1">
              <w:r>
                <w:rPr>
                  <w:rStyle w:val="a3"/>
                  <w:rFonts w:ascii="Arial" w:eastAsia="Times New Roman" w:hAnsi="Arial" w:cs="Arial"/>
                  <w:sz w:val="20"/>
                  <w:szCs w:val="20"/>
                </w:rPr>
                <w:t>Amended and Restated Change in Control Agreement, dated as of September 22, 2017, by and between ABM Industries Incorporated and Scott Salmirs</w:t>
              </w:r>
            </w:hyperlink>
          </w:p>
        </w:tc>
        <w:tc>
          <w:tcPr>
            <w:tcW w:w="0" w:type="auto"/>
            <w:gridSpan w:val="3"/>
            <w:shd w:val="clear" w:color="auto" w:fill="FFFFFF"/>
            <w:tcMar>
              <w:top w:w="0" w:type="dxa"/>
              <w:left w:w="20" w:type="dxa"/>
              <w:bottom w:w="0" w:type="dxa"/>
              <w:right w:w="20" w:type="dxa"/>
            </w:tcMar>
            <w:vAlign w:val="center"/>
            <w:hideMark/>
          </w:tcPr>
          <w:p w14:paraId="4351537E"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1FCEEAE" w14:textId="77777777" w:rsidR="00000000" w:rsidRDefault="001D0688">
            <w:pPr>
              <w:jc w:val="center"/>
              <w:rPr>
                <w:rFonts w:eastAsia="Times New Roman"/>
              </w:rPr>
            </w:pPr>
            <w:r>
              <w:rPr>
                <w:rFonts w:ascii="Arial" w:eastAsia="Times New Roman" w:hAnsi="Arial" w:cs="Arial"/>
                <w:color w:val="000000"/>
                <w:sz w:val="20"/>
                <w:szCs w:val="20"/>
              </w:rPr>
              <w:t>10-</w:t>
            </w:r>
            <w:r>
              <w:rPr>
                <w:rFonts w:ascii="Arial" w:eastAsia="Times New Roman" w:hAnsi="Arial" w:cs="Arial"/>
                <w:color w:val="000000"/>
                <w:sz w:val="20"/>
                <w:szCs w:val="20"/>
              </w:rPr>
              <w:t>K</w:t>
            </w:r>
          </w:p>
        </w:tc>
        <w:tc>
          <w:tcPr>
            <w:tcW w:w="0" w:type="auto"/>
            <w:gridSpan w:val="3"/>
            <w:shd w:val="clear" w:color="auto" w:fill="FFFFFF"/>
            <w:tcMar>
              <w:top w:w="0" w:type="dxa"/>
              <w:left w:w="20" w:type="dxa"/>
              <w:bottom w:w="0" w:type="dxa"/>
              <w:right w:w="20" w:type="dxa"/>
            </w:tcMar>
            <w:vAlign w:val="center"/>
            <w:hideMark/>
          </w:tcPr>
          <w:p w14:paraId="7F5D3DE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71BFB8A"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478DC176"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443AE06" w14:textId="77777777" w:rsidR="00000000" w:rsidRDefault="001D0688">
            <w:pPr>
              <w:jc w:val="center"/>
              <w:rPr>
                <w:rFonts w:eastAsia="Times New Roman"/>
              </w:rPr>
            </w:pPr>
            <w:r>
              <w:rPr>
                <w:rFonts w:ascii="Arial" w:eastAsia="Times New Roman" w:hAnsi="Arial" w:cs="Arial"/>
                <w:color w:val="000000"/>
                <w:sz w:val="20"/>
                <w:szCs w:val="20"/>
              </w:rPr>
              <w:t>10.29</w:t>
            </w:r>
          </w:p>
        </w:tc>
        <w:tc>
          <w:tcPr>
            <w:tcW w:w="0" w:type="auto"/>
            <w:gridSpan w:val="3"/>
            <w:shd w:val="clear" w:color="auto" w:fill="FFFFFF"/>
            <w:tcMar>
              <w:top w:w="0" w:type="dxa"/>
              <w:left w:w="20" w:type="dxa"/>
              <w:bottom w:w="0" w:type="dxa"/>
              <w:right w:w="20" w:type="dxa"/>
            </w:tcMar>
            <w:vAlign w:val="center"/>
            <w:hideMark/>
          </w:tcPr>
          <w:p w14:paraId="5377F41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BDB32DA" w14:textId="77777777" w:rsidR="00000000" w:rsidRDefault="001D0688">
            <w:pPr>
              <w:jc w:val="center"/>
              <w:rPr>
                <w:rFonts w:eastAsia="Times New Roman"/>
              </w:rPr>
            </w:pPr>
            <w:r>
              <w:rPr>
                <w:rFonts w:ascii="Arial" w:eastAsia="Times New Roman" w:hAnsi="Arial" w:cs="Arial"/>
                <w:color w:val="000000"/>
                <w:sz w:val="20"/>
                <w:szCs w:val="20"/>
              </w:rPr>
              <w:t>December 22, 2017</w:t>
            </w:r>
          </w:p>
        </w:tc>
      </w:tr>
      <w:tr w:rsidR="00000000" w14:paraId="60F905D5" w14:textId="77777777">
        <w:trPr>
          <w:divId w:val="1671758753"/>
        </w:trPr>
        <w:tc>
          <w:tcPr>
            <w:tcW w:w="0" w:type="auto"/>
            <w:gridSpan w:val="3"/>
            <w:shd w:val="clear" w:color="auto" w:fill="DCE2EF"/>
            <w:tcMar>
              <w:top w:w="30" w:type="dxa"/>
              <w:left w:w="20" w:type="dxa"/>
              <w:bottom w:w="30" w:type="dxa"/>
              <w:right w:w="20" w:type="dxa"/>
            </w:tcMar>
            <w:hideMark/>
          </w:tcPr>
          <w:p w14:paraId="5C17CC6D" w14:textId="77777777" w:rsidR="00000000" w:rsidRDefault="001D0688">
            <w:pPr>
              <w:rPr>
                <w:rFonts w:eastAsia="Times New Roman"/>
              </w:rPr>
            </w:pPr>
            <w:r>
              <w:rPr>
                <w:rFonts w:ascii="Arial" w:eastAsia="Times New Roman" w:hAnsi="Arial" w:cs="Arial"/>
                <w:color w:val="000000"/>
                <w:sz w:val="20"/>
                <w:szCs w:val="20"/>
              </w:rPr>
              <w:t>10.32*</w:t>
            </w:r>
          </w:p>
        </w:tc>
        <w:tc>
          <w:tcPr>
            <w:tcW w:w="0" w:type="auto"/>
            <w:gridSpan w:val="3"/>
            <w:shd w:val="clear" w:color="auto" w:fill="DCE2EF"/>
            <w:tcMar>
              <w:top w:w="0" w:type="dxa"/>
              <w:left w:w="20" w:type="dxa"/>
              <w:bottom w:w="0" w:type="dxa"/>
              <w:right w:w="20" w:type="dxa"/>
            </w:tcMar>
            <w:vAlign w:val="center"/>
            <w:hideMark/>
          </w:tcPr>
          <w:p w14:paraId="180A4C30"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5E199811" w14:textId="77777777" w:rsidR="00000000" w:rsidRDefault="001D0688">
            <w:pPr>
              <w:divId w:val="1951889304"/>
              <w:rPr>
                <w:rFonts w:eastAsia="Times New Roman"/>
              </w:rPr>
            </w:pPr>
            <w:hyperlink r:id="rId50" w:history="1">
              <w:r>
                <w:rPr>
                  <w:rStyle w:val="a3"/>
                  <w:rFonts w:ascii="Arial" w:eastAsia="Times New Roman" w:hAnsi="Arial" w:cs="Arial"/>
                  <w:sz w:val="20"/>
                  <w:szCs w:val="20"/>
                </w:rPr>
                <w:t>Executive Employment Agreement, dated as of November 1, 2017, by and between ABM Industries Incorporated and Scott Giacobbe</w:t>
              </w:r>
            </w:hyperlink>
          </w:p>
        </w:tc>
        <w:tc>
          <w:tcPr>
            <w:tcW w:w="0" w:type="auto"/>
            <w:gridSpan w:val="3"/>
            <w:shd w:val="clear" w:color="auto" w:fill="DCE2EF"/>
            <w:tcMar>
              <w:top w:w="0" w:type="dxa"/>
              <w:left w:w="20" w:type="dxa"/>
              <w:bottom w:w="0" w:type="dxa"/>
              <w:right w:w="20" w:type="dxa"/>
            </w:tcMar>
            <w:vAlign w:val="center"/>
            <w:hideMark/>
          </w:tcPr>
          <w:p w14:paraId="16EB9AB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679B56D0"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4D5E5ED3"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868A8C2"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221EE7BB"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6ACAED4"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79BBAFD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3055A71E" w14:textId="77777777" w:rsidR="00000000" w:rsidRDefault="001D0688">
            <w:pPr>
              <w:jc w:val="center"/>
              <w:rPr>
                <w:rFonts w:eastAsia="Times New Roman"/>
              </w:rPr>
            </w:pPr>
            <w:r>
              <w:rPr>
                <w:rFonts w:ascii="Arial" w:eastAsia="Times New Roman" w:hAnsi="Arial" w:cs="Arial"/>
                <w:color w:val="000000"/>
                <w:sz w:val="20"/>
                <w:szCs w:val="20"/>
              </w:rPr>
              <w:t>March 7, 2018</w:t>
            </w:r>
          </w:p>
        </w:tc>
      </w:tr>
      <w:tr w:rsidR="00000000" w14:paraId="6A7C58BD" w14:textId="77777777">
        <w:trPr>
          <w:divId w:val="1671758753"/>
        </w:trPr>
        <w:tc>
          <w:tcPr>
            <w:tcW w:w="0" w:type="auto"/>
            <w:gridSpan w:val="3"/>
            <w:shd w:val="clear" w:color="auto" w:fill="FFFFFF"/>
            <w:tcMar>
              <w:top w:w="30" w:type="dxa"/>
              <w:left w:w="20" w:type="dxa"/>
              <w:bottom w:w="30" w:type="dxa"/>
              <w:right w:w="20" w:type="dxa"/>
            </w:tcMar>
            <w:hideMark/>
          </w:tcPr>
          <w:p w14:paraId="4C61B7B6" w14:textId="77777777" w:rsidR="00000000" w:rsidRDefault="001D0688">
            <w:pPr>
              <w:rPr>
                <w:rFonts w:eastAsia="Times New Roman"/>
              </w:rPr>
            </w:pPr>
            <w:r>
              <w:rPr>
                <w:rFonts w:ascii="Arial" w:eastAsia="Times New Roman" w:hAnsi="Arial" w:cs="Arial"/>
                <w:color w:val="000000"/>
                <w:sz w:val="20"/>
                <w:szCs w:val="20"/>
              </w:rPr>
              <w:t>10.33*</w:t>
            </w:r>
          </w:p>
        </w:tc>
        <w:tc>
          <w:tcPr>
            <w:tcW w:w="0" w:type="auto"/>
            <w:gridSpan w:val="3"/>
            <w:shd w:val="clear" w:color="auto" w:fill="FFFFFF"/>
            <w:tcMar>
              <w:top w:w="0" w:type="dxa"/>
              <w:left w:w="20" w:type="dxa"/>
              <w:bottom w:w="0" w:type="dxa"/>
              <w:right w:w="20" w:type="dxa"/>
            </w:tcMar>
            <w:vAlign w:val="center"/>
            <w:hideMark/>
          </w:tcPr>
          <w:p w14:paraId="5BD19A35"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315BBF9" w14:textId="77777777" w:rsidR="00000000" w:rsidRDefault="001D0688">
            <w:pPr>
              <w:divId w:val="625283302"/>
              <w:rPr>
                <w:rFonts w:eastAsia="Times New Roman"/>
              </w:rPr>
            </w:pPr>
            <w:hyperlink r:id="rId51" w:history="1">
              <w:r>
                <w:rPr>
                  <w:rStyle w:val="a3"/>
                  <w:rFonts w:ascii="Arial" w:eastAsia="Times New Roman" w:hAnsi="Arial" w:cs="Arial"/>
                  <w:sz w:val="20"/>
                  <w:szCs w:val="20"/>
                </w:rPr>
                <w:t>Change in Control Agreement, dated as of November 1, 2017, by and between ABM Industries Incorporated and Scott Giacobbe</w:t>
              </w:r>
            </w:hyperlink>
          </w:p>
        </w:tc>
        <w:tc>
          <w:tcPr>
            <w:tcW w:w="0" w:type="auto"/>
            <w:gridSpan w:val="3"/>
            <w:shd w:val="clear" w:color="auto" w:fill="FFFFFF"/>
            <w:tcMar>
              <w:top w:w="0" w:type="dxa"/>
              <w:left w:w="20" w:type="dxa"/>
              <w:bottom w:w="0" w:type="dxa"/>
              <w:right w:w="20" w:type="dxa"/>
            </w:tcMar>
            <w:vAlign w:val="center"/>
            <w:hideMark/>
          </w:tcPr>
          <w:p w14:paraId="43D8F555"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7548885B"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7AA3FA06"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FBBB8D4"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5FAE989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820071C" w14:textId="77777777" w:rsidR="00000000" w:rsidRDefault="001D0688">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14:paraId="0FBD907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65D0B03" w14:textId="77777777" w:rsidR="00000000" w:rsidRDefault="001D0688">
            <w:pPr>
              <w:jc w:val="center"/>
              <w:rPr>
                <w:rFonts w:eastAsia="Times New Roman"/>
              </w:rPr>
            </w:pPr>
            <w:r>
              <w:rPr>
                <w:rFonts w:ascii="Arial" w:eastAsia="Times New Roman" w:hAnsi="Arial" w:cs="Arial"/>
                <w:color w:val="000000"/>
                <w:sz w:val="20"/>
                <w:szCs w:val="20"/>
              </w:rPr>
              <w:t>March 7, 2018</w:t>
            </w:r>
          </w:p>
        </w:tc>
      </w:tr>
      <w:tr w:rsidR="00000000" w14:paraId="6982EF8C" w14:textId="77777777">
        <w:trPr>
          <w:divId w:val="1671758753"/>
        </w:trPr>
        <w:tc>
          <w:tcPr>
            <w:tcW w:w="0" w:type="auto"/>
            <w:gridSpan w:val="3"/>
            <w:shd w:val="clear" w:color="auto" w:fill="DCE2EF"/>
            <w:tcMar>
              <w:top w:w="30" w:type="dxa"/>
              <w:left w:w="20" w:type="dxa"/>
              <w:bottom w:w="30" w:type="dxa"/>
              <w:right w:w="20" w:type="dxa"/>
            </w:tcMar>
            <w:hideMark/>
          </w:tcPr>
          <w:p w14:paraId="3F65452B" w14:textId="77777777" w:rsidR="00000000" w:rsidRDefault="001D0688">
            <w:pPr>
              <w:rPr>
                <w:rFonts w:eastAsia="Times New Roman"/>
              </w:rPr>
            </w:pPr>
            <w:r>
              <w:rPr>
                <w:rFonts w:ascii="Arial" w:eastAsia="Times New Roman" w:hAnsi="Arial" w:cs="Arial"/>
                <w:color w:val="000000"/>
                <w:sz w:val="20"/>
                <w:szCs w:val="20"/>
              </w:rPr>
              <w:t>10.34*</w:t>
            </w:r>
          </w:p>
        </w:tc>
        <w:tc>
          <w:tcPr>
            <w:tcW w:w="0" w:type="auto"/>
            <w:gridSpan w:val="3"/>
            <w:shd w:val="clear" w:color="auto" w:fill="DCE2EF"/>
            <w:tcMar>
              <w:top w:w="0" w:type="dxa"/>
              <w:left w:w="20" w:type="dxa"/>
              <w:bottom w:w="0" w:type="dxa"/>
              <w:right w:w="20" w:type="dxa"/>
            </w:tcMar>
            <w:vAlign w:val="center"/>
            <w:hideMark/>
          </w:tcPr>
          <w:p w14:paraId="2B1B5BCA"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39D0DB4" w14:textId="77777777" w:rsidR="00000000" w:rsidRDefault="001D0688">
            <w:pPr>
              <w:divId w:val="1470898324"/>
              <w:rPr>
                <w:rFonts w:eastAsia="Times New Roman"/>
              </w:rPr>
            </w:pPr>
            <w:hyperlink r:id="rId52" w:history="1">
              <w:r>
                <w:rPr>
                  <w:rStyle w:val="a3"/>
                  <w:rFonts w:ascii="Arial" w:eastAsia="Times New Roman" w:hAnsi="Arial" w:cs="Arial"/>
                  <w:sz w:val="20"/>
                  <w:szCs w:val="20"/>
                </w:rPr>
                <w:t>Amended and Restated Executive Employment Agreement, dated as of September 22, 2017, by and between ABM Industries Incorporated and D. Anthony Scaglion</w:t>
              </w:r>
              <w:r>
                <w:rPr>
                  <w:rStyle w:val="a3"/>
                  <w:rFonts w:ascii="Arial" w:eastAsia="Times New Roman" w:hAnsi="Arial" w:cs="Arial"/>
                  <w:sz w:val="20"/>
                  <w:szCs w:val="20"/>
                </w:rPr>
                <w:t>e</w:t>
              </w:r>
            </w:hyperlink>
          </w:p>
        </w:tc>
        <w:tc>
          <w:tcPr>
            <w:tcW w:w="0" w:type="auto"/>
            <w:gridSpan w:val="3"/>
            <w:shd w:val="clear" w:color="auto" w:fill="DCE2EF"/>
            <w:tcMar>
              <w:top w:w="0" w:type="dxa"/>
              <w:left w:w="20" w:type="dxa"/>
              <w:bottom w:w="0" w:type="dxa"/>
              <w:right w:w="20" w:type="dxa"/>
            </w:tcMar>
            <w:vAlign w:val="center"/>
            <w:hideMark/>
          </w:tcPr>
          <w:p w14:paraId="4B238A82"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2D856815"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71F6B2B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2032DC17"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5A322E74"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22CF8A6" w14:textId="77777777" w:rsidR="00000000" w:rsidRDefault="001D0688">
            <w:pPr>
              <w:jc w:val="center"/>
              <w:rPr>
                <w:rFonts w:eastAsia="Times New Roman"/>
              </w:rPr>
            </w:pPr>
            <w:r>
              <w:rPr>
                <w:rFonts w:ascii="Arial" w:eastAsia="Times New Roman" w:hAnsi="Arial" w:cs="Arial"/>
                <w:color w:val="000000"/>
                <w:sz w:val="20"/>
                <w:szCs w:val="20"/>
              </w:rPr>
              <w:t>10.33</w:t>
            </w:r>
          </w:p>
        </w:tc>
        <w:tc>
          <w:tcPr>
            <w:tcW w:w="0" w:type="auto"/>
            <w:gridSpan w:val="3"/>
            <w:shd w:val="clear" w:color="auto" w:fill="DCE2EF"/>
            <w:tcMar>
              <w:top w:w="0" w:type="dxa"/>
              <w:left w:w="20" w:type="dxa"/>
              <w:bottom w:w="0" w:type="dxa"/>
              <w:right w:w="20" w:type="dxa"/>
            </w:tcMar>
            <w:vAlign w:val="center"/>
            <w:hideMark/>
          </w:tcPr>
          <w:p w14:paraId="224BD059"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5184AA37" w14:textId="77777777" w:rsidR="00000000" w:rsidRDefault="001D0688">
            <w:pPr>
              <w:jc w:val="center"/>
              <w:rPr>
                <w:rFonts w:eastAsia="Times New Roman"/>
              </w:rPr>
            </w:pPr>
            <w:r>
              <w:rPr>
                <w:rFonts w:ascii="Arial" w:eastAsia="Times New Roman" w:hAnsi="Arial" w:cs="Arial"/>
                <w:color w:val="000000"/>
                <w:sz w:val="20"/>
                <w:szCs w:val="20"/>
              </w:rPr>
              <w:t>December 22, 2017</w:t>
            </w:r>
          </w:p>
        </w:tc>
      </w:tr>
    </w:tbl>
    <w:p w14:paraId="5F2CB974" w14:textId="77777777" w:rsidR="00000000" w:rsidRDefault="001D0688">
      <w:pPr>
        <w:jc w:val="center"/>
        <w:divId w:val="828599829"/>
        <w:rPr>
          <w:rFonts w:eastAsia="Times New Roman"/>
        </w:rPr>
      </w:pPr>
      <w:r>
        <w:rPr>
          <w:rFonts w:ascii="Arial" w:eastAsia="Times New Roman" w:hAnsi="Arial" w:cs="Arial"/>
          <w:color w:val="000000"/>
          <w:sz w:val="20"/>
          <w:szCs w:val="20"/>
        </w:rPr>
        <w:t>103</w:t>
      </w:r>
    </w:p>
    <w:p w14:paraId="51D3910C" w14:textId="77777777" w:rsidR="00000000" w:rsidRDefault="001D0688">
      <w:pPr>
        <w:rPr>
          <w:rFonts w:eastAsia="Times New Roman"/>
        </w:rPr>
      </w:pPr>
      <w:r>
        <w:rPr>
          <w:rFonts w:eastAsia="Times New Roman"/>
        </w:rPr>
        <w:pict w14:anchorId="513AB6E6">
          <v:rect id="_x0000_i1140" style="width:0;height:1.5pt" o:hralign="center" o:hrstd="t" o:hr="t" fillcolor="#a0a0a0" stroked="f"/>
        </w:pict>
      </w:r>
    </w:p>
    <w:p w14:paraId="3C706781" w14:textId="77777777" w:rsidR="00000000" w:rsidRDefault="001D0688">
      <w:pPr>
        <w:divId w:val="2096596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38"/>
        <w:gridCol w:w="38"/>
        <w:gridCol w:w="36"/>
        <w:gridCol w:w="36"/>
        <w:gridCol w:w="36"/>
        <w:gridCol w:w="37"/>
        <w:gridCol w:w="3287"/>
        <w:gridCol w:w="36"/>
        <w:gridCol w:w="36"/>
        <w:gridCol w:w="36"/>
        <w:gridCol w:w="36"/>
        <w:gridCol w:w="56"/>
        <w:gridCol w:w="349"/>
        <w:gridCol w:w="36"/>
        <w:gridCol w:w="36"/>
        <w:gridCol w:w="36"/>
        <w:gridCol w:w="36"/>
        <w:gridCol w:w="54"/>
        <w:gridCol w:w="790"/>
        <w:gridCol w:w="36"/>
        <w:gridCol w:w="36"/>
        <w:gridCol w:w="36"/>
        <w:gridCol w:w="36"/>
        <w:gridCol w:w="70"/>
        <w:gridCol w:w="482"/>
        <w:gridCol w:w="36"/>
        <w:gridCol w:w="36"/>
        <w:gridCol w:w="36"/>
        <w:gridCol w:w="36"/>
        <w:gridCol w:w="51"/>
        <w:gridCol w:w="1450"/>
        <w:gridCol w:w="36"/>
      </w:tblGrid>
      <w:tr w:rsidR="00000000" w14:paraId="019DD069" w14:textId="77777777">
        <w:trPr>
          <w:divId w:val="1133793077"/>
        </w:trPr>
        <w:tc>
          <w:tcPr>
            <w:tcW w:w="50" w:type="pct"/>
            <w:vAlign w:val="center"/>
            <w:hideMark/>
          </w:tcPr>
          <w:p w14:paraId="3F3F9A27" w14:textId="77777777" w:rsidR="00000000" w:rsidRDefault="001D0688">
            <w:pPr>
              <w:rPr>
                <w:rFonts w:eastAsia="Times New Roman"/>
              </w:rPr>
            </w:pPr>
          </w:p>
        </w:tc>
        <w:tc>
          <w:tcPr>
            <w:tcW w:w="500" w:type="pct"/>
            <w:vAlign w:val="center"/>
            <w:hideMark/>
          </w:tcPr>
          <w:p w14:paraId="06099F4A" w14:textId="77777777" w:rsidR="00000000" w:rsidRDefault="001D0688">
            <w:pPr>
              <w:rPr>
                <w:rFonts w:eastAsia="Times New Roman"/>
                <w:sz w:val="20"/>
                <w:szCs w:val="20"/>
              </w:rPr>
            </w:pPr>
          </w:p>
        </w:tc>
        <w:tc>
          <w:tcPr>
            <w:tcW w:w="5" w:type="pct"/>
            <w:vAlign w:val="center"/>
            <w:hideMark/>
          </w:tcPr>
          <w:p w14:paraId="3A309A8C" w14:textId="77777777" w:rsidR="00000000" w:rsidRDefault="001D0688">
            <w:pPr>
              <w:rPr>
                <w:rFonts w:eastAsia="Times New Roman"/>
                <w:sz w:val="20"/>
                <w:szCs w:val="20"/>
              </w:rPr>
            </w:pPr>
          </w:p>
        </w:tc>
        <w:tc>
          <w:tcPr>
            <w:tcW w:w="5" w:type="pct"/>
            <w:vAlign w:val="center"/>
            <w:hideMark/>
          </w:tcPr>
          <w:p w14:paraId="75A5BD54" w14:textId="77777777" w:rsidR="00000000" w:rsidRDefault="001D0688">
            <w:pPr>
              <w:rPr>
                <w:rFonts w:eastAsia="Times New Roman"/>
                <w:sz w:val="20"/>
                <w:szCs w:val="20"/>
              </w:rPr>
            </w:pPr>
          </w:p>
        </w:tc>
        <w:tc>
          <w:tcPr>
            <w:tcW w:w="26" w:type="pct"/>
            <w:vAlign w:val="center"/>
            <w:hideMark/>
          </w:tcPr>
          <w:p w14:paraId="725D42DD" w14:textId="77777777" w:rsidR="00000000" w:rsidRDefault="001D0688">
            <w:pPr>
              <w:rPr>
                <w:rFonts w:eastAsia="Times New Roman"/>
                <w:sz w:val="20"/>
                <w:szCs w:val="20"/>
              </w:rPr>
            </w:pPr>
          </w:p>
        </w:tc>
        <w:tc>
          <w:tcPr>
            <w:tcW w:w="5" w:type="pct"/>
            <w:vAlign w:val="center"/>
            <w:hideMark/>
          </w:tcPr>
          <w:p w14:paraId="7EDB0228" w14:textId="77777777" w:rsidR="00000000" w:rsidRDefault="001D0688">
            <w:pPr>
              <w:rPr>
                <w:rFonts w:eastAsia="Times New Roman"/>
                <w:sz w:val="20"/>
                <w:szCs w:val="20"/>
              </w:rPr>
            </w:pPr>
          </w:p>
        </w:tc>
        <w:tc>
          <w:tcPr>
            <w:tcW w:w="50" w:type="pct"/>
            <w:vAlign w:val="center"/>
            <w:hideMark/>
          </w:tcPr>
          <w:p w14:paraId="32EEABB2" w14:textId="77777777" w:rsidR="00000000" w:rsidRDefault="001D0688">
            <w:pPr>
              <w:rPr>
                <w:rFonts w:eastAsia="Times New Roman"/>
                <w:sz w:val="20"/>
                <w:szCs w:val="20"/>
              </w:rPr>
            </w:pPr>
          </w:p>
        </w:tc>
        <w:tc>
          <w:tcPr>
            <w:tcW w:w="1999" w:type="pct"/>
            <w:vAlign w:val="center"/>
            <w:hideMark/>
          </w:tcPr>
          <w:p w14:paraId="093DAC8D" w14:textId="77777777" w:rsidR="00000000" w:rsidRDefault="001D0688">
            <w:pPr>
              <w:rPr>
                <w:rFonts w:eastAsia="Times New Roman"/>
                <w:sz w:val="20"/>
                <w:szCs w:val="20"/>
              </w:rPr>
            </w:pPr>
          </w:p>
        </w:tc>
        <w:tc>
          <w:tcPr>
            <w:tcW w:w="5" w:type="pct"/>
            <w:vAlign w:val="center"/>
            <w:hideMark/>
          </w:tcPr>
          <w:p w14:paraId="1E114B62" w14:textId="77777777" w:rsidR="00000000" w:rsidRDefault="001D0688">
            <w:pPr>
              <w:rPr>
                <w:rFonts w:eastAsia="Times New Roman"/>
                <w:sz w:val="20"/>
                <w:szCs w:val="20"/>
              </w:rPr>
            </w:pPr>
          </w:p>
        </w:tc>
        <w:tc>
          <w:tcPr>
            <w:tcW w:w="5" w:type="pct"/>
            <w:vAlign w:val="center"/>
            <w:hideMark/>
          </w:tcPr>
          <w:p w14:paraId="18859DE2" w14:textId="77777777" w:rsidR="00000000" w:rsidRDefault="001D0688">
            <w:pPr>
              <w:rPr>
                <w:rFonts w:eastAsia="Times New Roman"/>
                <w:sz w:val="20"/>
                <w:szCs w:val="20"/>
              </w:rPr>
            </w:pPr>
          </w:p>
        </w:tc>
        <w:tc>
          <w:tcPr>
            <w:tcW w:w="26" w:type="pct"/>
            <w:vAlign w:val="center"/>
            <w:hideMark/>
          </w:tcPr>
          <w:p w14:paraId="5906B22E" w14:textId="77777777" w:rsidR="00000000" w:rsidRDefault="001D0688">
            <w:pPr>
              <w:rPr>
                <w:rFonts w:eastAsia="Times New Roman"/>
                <w:sz w:val="20"/>
                <w:szCs w:val="20"/>
              </w:rPr>
            </w:pPr>
          </w:p>
        </w:tc>
        <w:tc>
          <w:tcPr>
            <w:tcW w:w="5" w:type="pct"/>
            <w:vAlign w:val="center"/>
            <w:hideMark/>
          </w:tcPr>
          <w:p w14:paraId="70EE68B2" w14:textId="77777777" w:rsidR="00000000" w:rsidRDefault="001D0688">
            <w:pPr>
              <w:rPr>
                <w:rFonts w:eastAsia="Times New Roman"/>
                <w:sz w:val="20"/>
                <w:szCs w:val="20"/>
              </w:rPr>
            </w:pPr>
          </w:p>
        </w:tc>
        <w:tc>
          <w:tcPr>
            <w:tcW w:w="50" w:type="pct"/>
            <w:vAlign w:val="center"/>
            <w:hideMark/>
          </w:tcPr>
          <w:p w14:paraId="05337AA4" w14:textId="77777777" w:rsidR="00000000" w:rsidRDefault="001D0688">
            <w:pPr>
              <w:rPr>
                <w:rFonts w:eastAsia="Times New Roman"/>
                <w:sz w:val="20"/>
                <w:szCs w:val="20"/>
              </w:rPr>
            </w:pPr>
          </w:p>
        </w:tc>
        <w:tc>
          <w:tcPr>
            <w:tcW w:w="244" w:type="pct"/>
            <w:vAlign w:val="center"/>
            <w:hideMark/>
          </w:tcPr>
          <w:p w14:paraId="22F4905D" w14:textId="77777777" w:rsidR="00000000" w:rsidRDefault="001D0688">
            <w:pPr>
              <w:rPr>
                <w:rFonts w:eastAsia="Times New Roman"/>
                <w:sz w:val="20"/>
                <w:szCs w:val="20"/>
              </w:rPr>
            </w:pPr>
          </w:p>
        </w:tc>
        <w:tc>
          <w:tcPr>
            <w:tcW w:w="5" w:type="pct"/>
            <w:vAlign w:val="center"/>
            <w:hideMark/>
          </w:tcPr>
          <w:p w14:paraId="1B530EC3" w14:textId="77777777" w:rsidR="00000000" w:rsidRDefault="001D0688">
            <w:pPr>
              <w:rPr>
                <w:rFonts w:eastAsia="Times New Roman"/>
                <w:sz w:val="20"/>
                <w:szCs w:val="20"/>
              </w:rPr>
            </w:pPr>
          </w:p>
        </w:tc>
        <w:tc>
          <w:tcPr>
            <w:tcW w:w="5" w:type="pct"/>
            <w:vAlign w:val="center"/>
            <w:hideMark/>
          </w:tcPr>
          <w:p w14:paraId="5C6A138C" w14:textId="77777777" w:rsidR="00000000" w:rsidRDefault="001D0688">
            <w:pPr>
              <w:rPr>
                <w:rFonts w:eastAsia="Times New Roman"/>
                <w:sz w:val="20"/>
                <w:szCs w:val="20"/>
              </w:rPr>
            </w:pPr>
          </w:p>
        </w:tc>
        <w:tc>
          <w:tcPr>
            <w:tcW w:w="26" w:type="pct"/>
            <w:vAlign w:val="center"/>
            <w:hideMark/>
          </w:tcPr>
          <w:p w14:paraId="6C7CD15A" w14:textId="77777777" w:rsidR="00000000" w:rsidRDefault="001D0688">
            <w:pPr>
              <w:rPr>
                <w:rFonts w:eastAsia="Times New Roman"/>
                <w:sz w:val="20"/>
                <w:szCs w:val="20"/>
              </w:rPr>
            </w:pPr>
          </w:p>
        </w:tc>
        <w:tc>
          <w:tcPr>
            <w:tcW w:w="5" w:type="pct"/>
            <w:vAlign w:val="center"/>
            <w:hideMark/>
          </w:tcPr>
          <w:p w14:paraId="0B784E54" w14:textId="77777777" w:rsidR="00000000" w:rsidRDefault="001D0688">
            <w:pPr>
              <w:rPr>
                <w:rFonts w:eastAsia="Times New Roman"/>
                <w:sz w:val="20"/>
                <w:szCs w:val="20"/>
              </w:rPr>
            </w:pPr>
          </w:p>
        </w:tc>
        <w:tc>
          <w:tcPr>
            <w:tcW w:w="50" w:type="pct"/>
            <w:vAlign w:val="center"/>
            <w:hideMark/>
          </w:tcPr>
          <w:p w14:paraId="21619DE5" w14:textId="77777777" w:rsidR="00000000" w:rsidRDefault="001D0688">
            <w:pPr>
              <w:rPr>
                <w:rFonts w:eastAsia="Times New Roman"/>
                <w:sz w:val="20"/>
                <w:szCs w:val="20"/>
              </w:rPr>
            </w:pPr>
          </w:p>
        </w:tc>
        <w:tc>
          <w:tcPr>
            <w:tcW w:w="507" w:type="pct"/>
            <w:vAlign w:val="center"/>
            <w:hideMark/>
          </w:tcPr>
          <w:p w14:paraId="38F32891" w14:textId="77777777" w:rsidR="00000000" w:rsidRDefault="001D0688">
            <w:pPr>
              <w:rPr>
                <w:rFonts w:eastAsia="Times New Roman"/>
                <w:sz w:val="20"/>
                <w:szCs w:val="20"/>
              </w:rPr>
            </w:pPr>
          </w:p>
        </w:tc>
        <w:tc>
          <w:tcPr>
            <w:tcW w:w="5" w:type="pct"/>
            <w:vAlign w:val="center"/>
            <w:hideMark/>
          </w:tcPr>
          <w:p w14:paraId="63681C5D" w14:textId="77777777" w:rsidR="00000000" w:rsidRDefault="001D0688">
            <w:pPr>
              <w:rPr>
                <w:rFonts w:eastAsia="Times New Roman"/>
                <w:sz w:val="20"/>
                <w:szCs w:val="20"/>
              </w:rPr>
            </w:pPr>
          </w:p>
        </w:tc>
        <w:tc>
          <w:tcPr>
            <w:tcW w:w="5" w:type="pct"/>
            <w:vAlign w:val="center"/>
            <w:hideMark/>
          </w:tcPr>
          <w:p w14:paraId="2C1505E3" w14:textId="77777777" w:rsidR="00000000" w:rsidRDefault="001D0688">
            <w:pPr>
              <w:rPr>
                <w:rFonts w:eastAsia="Times New Roman"/>
                <w:sz w:val="20"/>
                <w:szCs w:val="20"/>
              </w:rPr>
            </w:pPr>
          </w:p>
        </w:tc>
        <w:tc>
          <w:tcPr>
            <w:tcW w:w="26" w:type="pct"/>
            <w:vAlign w:val="center"/>
            <w:hideMark/>
          </w:tcPr>
          <w:p w14:paraId="3D8F90BC" w14:textId="77777777" w:rsidR="00000000" w:rsidRDefault="001D0688">
            <w:pPr>
              <w:rPr>
                <w:rFonts w:eastAsia="Times New Roman"/>
                <w:sz w:val="20"/>
                <w:szCs w:val="20"/>
              </w:rPr>
            </w:pPr>
          </w:p>
        </w:tc>
        <w:tc>
          <w:tcPr>
            <w:tcW w:w="5" w:type="pct"/>
            <w:vAlign w:val="center"/>
            <w:hideMark/>
          </w:tcPr>
          <w:p w14:paraId="47B049C6" w14:textId="77777777" w:rsidR="00000000" w:rsidRDefault="001D0688">
            <w:pPr>
              <w:rPr>
                <w:rFonts w:eastAsia="Times New Roman"/>
                <w:sz w:val="20"/>
                <w:szCs w:val="20"/>
              </w:rPr>
            </w:pPr>
          </w:p>
        </w:tc>
        <w:tc>
          <w:tcPr>
            <w:tcW w:w="50" w:type="pct"/>
            <w:vAlign w:val="center"/>
            <w:hideMark/>
          </w:tcPr>
          <w:p w14:paraId="510B03BA" w14:textId="77777777" w:rsidR="00000000" w:rsidRDefault="001D0688">
            <w:pPr>
              <w:rPr>
                <w:rFonts w:eastAsia="Times New Roman"/>
                <w:sz w:val="20"/>
                <w:szCs w:val="20"/>
              </w:rPr>
            </w:pPr>
          </w:p>
        </w:tc>
        <w:tc>
          <w:tcPr>
            <w:tcW w:w="332" w:type="pct"/>
            <w:vAlign w:val="center"/>
            <w:hideMark/>
          </w:tcPr>
          <w:p w14:paraId="2E9AC565" w14:textId="77777777" w:rsidR="00000000" w:rsidRDefault="001D0688">
            <w:pPr>
              <w:rPr>
                <w:rFonts w:eastAsia="Times New Roman"/>
                <w:sz w:val="20"/>
                <w:szCs w:val="20"/>
              </w:rPr>
            </w:pPr>
          </w:p>
        </w:tc>
        <w:tc>
          <w:tcPr>
            <w:tcW w:w="5" w:type="pct"/>
            <w:vAlign w:val="center"/>
            <w:hideMark/>
          </w:tcPr>
          <w:p w14:paraId="029390D5" w14:textId="77777777" w:rsidR="00000000" w:rsidRDefault="001D0688">
            <w:pPr>
              <w:rPr>
                <w:rFonts w:eastAsia="Times New Roman"/>
                <w:sz w:val="20"/>
                <w:szCs w:val="20"/>
              </w:rPr>
            </w:pPr>
          </w:p>
        </w:tc>
        <w:tc>
          <w:tcPr>
            <w:tcW w:w="5" w:type="pct"/>
            <w:vAlign w:val="center"/>
            <w:hideMark/>
          </w:tcPr>
          <w:p w14:paraId="7227E663" w14:textId="77777777" w:rsidR="00000000" w:rsidRDefault="001D0688">
            <w:pPr>
              <w:rPr>
                <w:rFonts w:eastAsia="Times New Roman"/>
                <w:sz w:val="20"/>
                <w:szCs w:val="20"/>
              </w:rPr>
            </w:pPr>
          </w:p>
        </w:tc>
        <w:tc>
          <w:tcPr>
            <w:tcW w:w="26" w:type="pct"/>
            <w:vAlign w:val="center"/>
            <w:hideMark/>
          </w:tcPr>
          <w:p w14:paraId="7FBE47D8" w14:textId="77777777" w:rsidR="00000000" w:rsidRDefault="001D0688">
            <w:pPr>
              <w:rPr>
                <w:rFonts w:eastAsia="Times New Roman"/>
                <w:sz w:val="20"/>
                <w:szCs w:val="20"/>
              </w:rPr>
            </w:pPr>
          </w:p>
        </w:tc>
        <w:tc>
          <w:tcPr>
            <w:tcW w:w="5" w:type="pct"/>
            <w:vAlign w:val="center"/>
            <w:hideMark/>
          </w:tcPr>
          <w:p w14:paraId="41D71F2E" w14:textId="77777777" w:rsidR="00000000" w:rsidRDefault="001D0688">
            <w:pPr>
              <w:rPr>
                <w:rFonts w:eastAsia="Times New Roman"/>
                <w:sz w:val="20"/>
                <w:szCs w:val="20"/>
              </w:rPr>
            </w:pPr>
          </w:p>
        </w:tc>
        <w:tc>
          <w:tcPr>
            <w:tcW w:w="50" w:type="pct"/>
            <w:vAlign w:val="center"/>
            <w:hideMark/>
          </w:tcPr>
          <w:p w14:paraId="74D40F55" w14:textId="77777777" w:rsidR="00000000" w:rsidRDefault="001D0688">
            <w:pPr>
              <w:rPr>
                <w:rFonts w:eastAsia="Times New Roman"/>
                <w:sz w:val="20"/>
                <w:szCs w:val="20"/>
              </w:rPr>
            </w:pPr>
          </w:p>
        </w:tc>
        <w:tc>
          <w:tcPr>
            <w:tcW w:w="902" w:type="pct"/>
            <w:vAlign w:val="center"/>
            <w:hideMark/>
          </w:tcPr>
          <w:p w14:paraId="065D381A" w14:textId="77777777" w:rsidR="00000000" w:rsidRDefault="001D0688">
            <w:pPr>
              <w:rPr>
                <w:rFonts w:eastAsia="Times New Roman"/>
                <w:sz w:val="20"/>
                <w:szCs w:val="20"/>
              </w:rPr>
            </w:pPr>
          </w:p>
        </w:tc>
        <w:tc>
          <w:tcPr>
            <w:tcW w:w="5" w:type="pct"/>
            <w:vAlign w:val="center"/>
            <w:hideMark/>
          </w:tcPr>
          <w:p w14:paraId="413DF99D" w14:textId="77777777" w:rsidR="00000000" w:rsidRDefault="001D0688">
            <w:pPr>
              <w:rPr>
                <w:rFonts w:eastAsia="Times New Roman"/>
                <w:sz w:val="20"/>
                <w:szCs w:val="20"/>
              </w:rPr>
            </w:pPr>
          </w:p>
        </w:tc>
      </w:tr>
      <w:tr w:rsidR="00000000" w14:paraId="1F1EBE9B" w14:textId="77777777">
        <w:trPr>
          <w:divId w:val="1133793077"/>
        </w:trPr>
        <w:tc>
          <w:tcPr>
            <w:tcW w:w="0" w:type="auto"/>
            <w:gridSpan w:val="3"/>
            <w:shd w:val="clear" w:color="auto" w:fill="FFFFFF"/>
            <w:tcMar>
              <w:top w:w="30" w:type="dxa"/>
              <w:left w:w="20" w:type="dxa"/>
              <w:bottom w:w="30" w:type="dxa"/>
              <w:right w:w="20" w:type="dxa"/>
            </w:tcMar>
            <w:hideMark/>
          </w:tcPr>
          <w:p w14:paraId="1E50ED7D" w14:textId="77777777" w:rsidR="00000000" w:rsidRDefault="001D0688">
            <w:pPr>
              <w:rPr>
                <w:rFonts w:eastAsia="Times New Roman"/>
              </w:rPr>
            </w:pPr>
            <w:r>
              <w:rPr>
                <w:rFonts w:ascii="Arial" w:eastAsia="Times New Roman" w:hAnsi="Arial" w:cs="Arial"/>
                <w:color w:val="000000"/>
                <w:sz w:val="20"/>
                <w:szCs w:val="20"/>
              </w:rPr>
              <w:t>10.35*</w:t>
            </w:r>
          </w:p>
        </w:tc>
        <w:tc>
          <w:tcPr>
            <w:tcW w:w="0" w:type="auto"/>
            <w:gridSpan w:val="3"/>
            <w:shd w:val="clear" w:color="auto" w:fill="FFFFFF"/>
            <w:tcMar>
              <w:top w:w="0" w:type="dxa"/>
              <w:left w:w="20" w:type="dxa"/>
              <w:bottom w:w="0" w:type="dxa"/>
              <w:right w:w="20" w:type="dxa"/>
            </w:tcMar>
            <w:vAlign w:val="center"/>
            <w:hideMark/>
          </w:tcPr>
          <w:p w14:paraId="21B3A7BC"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3695AE" w14:textId="77777777" w:rsidR="00000000" w:rsidRDefault="001D0688">
            <w:pPr>
              <w:divId w:val="175854012"/>
              <w:rPr>
                <w:rFonts w:eastAsia="Times New Roman"/>
              </w:rPr>
            </w:pPr>
            <w:hyperlink r:id="rId53" w:history="1">
              <w:r>
                <w:rPr>
                  <w:rStyle w:val="a3"/>
                  <w:rFonts w:ascii="Arial" w:eastAsia="Times New Roman" w:hAnsi="Arial" w:cs="Arial"/>
                  <w:sz w:val="20"/>
                  <w:szCs w:val="20"/>
                </w:rPr>
                <w:t>Amended and Restated Change in Control Agreement, dated as of September 22, 2017, by and between ABM Industries Incorporated and D. Anthony Scaglione</w:t>
              </w:r>
            </w:hyperlink>
          </w:p>
        </w:tc>
        <w:tc>
          <w:tcPr>
            <w:tcW w:w="0" w:type="auto"/>
            <w:gridSpan w:val="3"/>
            <w:shd w:val="clear" w:color="auto" w:fill="FFFFFF"/>
            <w:tcMar>
              <w:top w:w="0" w:type="dxa"/>
              <w:left w:w="20" w:type="dxa"/>
              <w:bottom w:w="0" w:type="dxa"/>
              <w:right w:w="20" w:type="dxa"/>
            </w:tcMar>
            <w:vAlign w:val="center"/>
            <w:hideMark/>
          </w:tcPr>
          <w:p w14:paraId="3D18DCC9"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7DDADF6C"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14:paraId="50BA3702"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2DD1C79"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479A1224"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7CB6D427" w14:textId="77777777" w:rsidR="00000000" w:rsidRDefault="001D0688">
            <w:pPr>
              <w:jc w:val="center"/>
              <w:rPr>
                <w:rFonts w:eastAsia="Times New Roman"/>
              </w:rPr>
            </w:pPr>
            <w:r>
              <w:rPr>
                <w:rFonts w:ascii="Arial" w:eastAsia="Times New Roman" w:hAnsi="Arial" w:cs="Arial"/>
                <w:color w:val="000000"/>
                <w:sz w:val="20"/>
                <w:szCs w:val="20"/>
              </w:rPr>
              <w:t>10.34</w:t>
            </w:r>
          </w:p>
        </w:tc>
        <w:tc>
          <w:tcPr>
            <w:tcW w:w="0" w:type="auto"/>
            <w:gridSpan w:val="3"/>
            <w:shd w:val="clear" w:color="auto" w:fill="FFFFFF"/>
            <w:tcMar>
              <w:top w:w="0" w:type="dxa"/>
              <w:left w:w="20" w:type="dxa"/>
              <w:bottom w:w="0" w:type="dxa"/>
              <w:right w:w="20" w:type="dxa"/>
            </w:tcMar>
            <w:vAlign w:val="center"/>
            <w:hideMark/>
          </w:tcPr>
          <w:p w14:paraId="0CF5DDA6"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4F44D7FC" w14:textId="77777777" w:rsidR="00000000" w:rsidRDefault="001D0688">
            <w:pPr>
              <w:jc w:val="center"/>
              <w:rPr>
                <w:rFonts w:eastAsia="Times New Roman"/>
              </w:rPr>
            </w:pPr>
            <w:r>
              <w:rPr>
                <w:rFonts w:ascii="Arial" w:eastAsia="Times New Roman" w:hAnsi="Arial" w:cs="Arial"/>
                <w:color w:val="000000"/>
                <w:sz w:val="20"/>
                <w:szCs w:val="20"/>
              </w:rPr>
              <w:t>December 22, 2017</w:t>
            </w:r>
          </w:p>
        </w:tc>
      </w:tr>
      <w:tr w:rsidR="00000000" w14:paraId="069250A3" w14:textId="77777777">
        <w:trPr>
          <w:divId w:val="1133793077"/>
        </w:trPr>
        <w:tc>
          <w:tcPr>
            <w:tcW w:w="0" w:type="auto"/>
            <w:gridSpan w:val="3"/>
            <w:shd w:val="clear" w:color="auto" w:fill="DCE2EF"/>
            <w:tcMar>
              <w:top w:w="30" w:type="dxa"/>
              <w:left w:w="20" w:type="dxa"/>
              <w:bottom w:w="30" w:type="dxa"/>
              <w:right w:w="20" w:type="dxa"/>
            </w:tcMar>
            <w:hideMark/>
          </w:tcPr>
          <w:p w14:paraId="798314E6" w14:textId="77777777" w:rsidR="00000000" w:rsidRDefault="001D0688">
            <w:pPr>
              <w:rPr>
                <w:rFonts w:eastAsia="Times New Roman"/>
              </w:rPr>
            </w:pPr>
            <w:r>
              <w:rPr>
                <w:rFonts w:ascii="Arial" w:eastAsia="Times New Roman" w:hAnsi="Arial" w:cs="Arial"/>
                <w:color w:val="000000"/>
                <w:sz w:val="20"/>
                <w:szCs w:val="20"/>
              </w:rPr>
              <w:t>10.36*</w:t>
            </w:r>
          </w:p>
        </w:tc>
        <w:tc>
          <w:tcPr>
            <w:tcW w:w="0" w:type="auto"/>
            <w:gridSpan w:val="3"/>
            <w:shd w:val="clear" w:color="auto" w:fill="DCE2EF"/>
            <w:tcMar>
              <w:top w:w="0" w:type="dxa"/>
              <w:left w:w="20" w:type="dxa"/>
              <w:bottom w:w="0" w:type="dxa"/>
              <w:right w:w="20" w:type="dxa"/>
            </w:tcMar>
            <w:vAlign w:val="center"/>
            <w:hideMark/>
          </w:tcPr>
          <w:p w14:paraId="34C5BE88"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12B2E5E" w14:textId="77777777" w:rsidR="00000000" w:rsidRDefault="001D0688">
            <w:pPr>
              <w:divId w:val="655647032"/>
              <w:rPr>
                <w:rFonts w:eastAsia="Times New Roman"/>
              </w:rPr>
            </w:pPr>
            <w:hyperlink r:id="rId54" w:history="1">
              <w:r>
                <w:rPr>
                  <w:rStyle w:val="a3"/>
                  <w:rFonts w:ascii="Arial" w:eastAsia="Times New Roman" w:hAnsi="Arial" w:cs="Arial"/>
                  <w:sz w:val="20"/>
                  <w:szCs w:val="20"/>
                </w:rPr>
                <w:t>Executive Employment Agreement, dated as of January 1, 2018, by and between ABM Industries Incorporated and Rene Jacobsen</w:t>
              </w:r>
            </w:hyperlink>
          </w:p>
        </w:tc>
        <w:tc>
          <w:tcPr>
            <w:tcW w:w="0" w:type="auto"/>
            <w:gridSpan w:val="3"/>
            <w:shd w:val="clear" w:color="auto" w:fill="DCE2EF"/>
            <w:tcMar>
              <w:top w:w="0" w:type="dxa"/>
              <w:left w:w="20" w:type="dxa"/>
              <w:bottom w:w="0" w:type="dxa"/>
              <w:right w:w="20" w:type="dxa"/>
            </w:tcMar>
            <w:vAlign w:val="center"/>
            <w:hideMark/>
          </w:tcPr>
          <w:p w14:paraId="109E8027"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2BA70DE5"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42CCC6BC"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44F0EB25"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979C3E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F5D7079" w14:textId="77777777" w:rsidR="00000000" w:rsidRDefault="001D0688">
            <w:pPr>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14:paraId="3EB0BFF4"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DC0BFFF" w14:textId="77777777" w:rsidR="00000000" w:rsidRDefault="001D0688">
            <w:pPr>
              <w:jc w:val="center"/>
              <w:rPr>
                <w:rFonts w:eastAsia="Times New Roman"/>
              </w:rPr>
            </w:pPr>
            <w:r>
              <w:rPr>
                <w:rFonts w:ascii="Arial" w:eastAsia="Times New Roman" w:hAnsi="Arial" w:cs="Arial"/>
                <w:color w:val="000000"/>
                <w:sz w:val="20"/>
                <w:szCs w:val="20"/>
              </w:rPr>
              <w:t>March 7, 2018</w:t>
            </w:r>
          </w:p>
        </w:tc>
      </w:tr>
      <w:tr w:rsidR="00000000" w14:paraId="3B4A0508" w14:textId="77777777">
        <w:trPr>
          <w:divId w:val="1133793077"/>
        </w:trPr>
        <w:tc>
          <w:tcPr>
            <w:tcW w:w="0" w:type="auto"/>
            <w:gridSpan w:val="3"/>
            <w:shd w:val="clear" w:color="auto" w:fill="FFFFFF"/>
            <w:tcMar>
              <w:top w:w="30" w:type="dxa"/>
              <w:left w:w="20" w:type="dxa"/>
              <w:bottom w:w="30" w:type="dxa"/>
              <w:right w:w="20" w:type="dxa"/>
            </w:tcMar>
            <w:hideMark/>
          </w:tcPr>
          <w:p w14:paraId="362C3D21" w14:textId="77777777" w:rsidR="00000000" w:rsidRDefault="001D0688">
            <w:pPr>
              <w:rPr>
                <w:rFonts w:eastAsia="Times New Roman"/>
              </w:rPr>
            </w:pPr>
            <w:r>
              <w:rPr>
                <w:rFonts w:ascii="Arial" w:eastAsia="Times New Roman" w:hAnsi="Arial" w:cs="Arial"/>
                <w:color w:val="000000"/>
                <w:sz w:val="20"/>
                <w:szCs w:val="20"/>
              </w:rPr>
              <w:t>10.37*</w:t>
            </w:r>
          </w:p>
        </w:tc>
        <w:tc>
          <w:tcPr>
            <w:tcW w:w="0" w:type="auto"/>
            <w:gridSpan w:val="3"/>
            <w:shd w:val="clear" w:color="auto" w:fill="FFFFFF"/>
            <w:tcMar>
              <w:top w:w="0" w:type="dxa"/>
              <w:left w:w="20" w:type="dxa"/>
              <w:bottom w:w="0" w:type="dxa"/>
              <w:right w:w="20" w:type="dxa"/>
            </w:tcMar>
            <w:vAlign w:val="center"/>
            <w:hideMark/>
          </w:tcPr>
          <w:p w14:paraId="5A31F281"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311EB2" w14:textId="77777777" w:rsidR="00000000" w:rsidRDefault="001D0688">
            <w:pPr>
              <w:divId w:val="1134566461"/>
              <w:rPr>
                <w:rFonts w:eastAsia="Times New Roman"/>
              </w:rPr>
            </w:pPr>
            <w:hyperlink r:id="rId55" w:history="1">
              <w:r>
                <w:rPr>
                  <w:rStyle w:val="a3"/>
                  <w:rFonts w:ascii="Arial" w:eastAsia="Times New Roman" w:hAnsi="Arial" w:cs="Arial"/>
                  <w:sz w:val="20"/>
                  <w:szCs w:val="20"/>
                </w:rPr>
                <w:t>Change in Control Agreement, dated as of January 1, 2018, by and between ABM Industries Incorporated and Rene Jacobsen</w:t>
              </w:r>
            </w:hyperlink>
          </w:p>
        </w:tc>
        <w:tc>
          <w:tcPr>
            <w:tcW w:w="0" w:type="auto"/>
            <w:gridSpan w:val="3"/>
            <w:shd w:val="clear" w:color="auto" w:fill="FFFFFF"/>
            <w:tcMar>
              <w:top w:w="0" w:type="dxa"/>
              <w:left w:w="20" w:type="dxa"/>
              <w:bottom w:w="0" w:type="dxa"/>
              <w:right w:w="20" w:type="dxa"/>
            </w:tcMar>
            <w:vAlign w:val="center"/>
            <w:hideMark/>
          </w:tcPr>
          <w:p w14:paraId="7C7378B7"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74EAED74"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73A46769"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0520131F"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3A8A35FF"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63465824" w14:textId="77777777" w:rsidR="00000000" w:rsidRDefault="001D0688">
            <w:pPr>
              <w:jc w:val="center"/>
              <w:rPr>
                <w:rFonts w:eastAsia="Times New Roman"/>
              </w:rPr>
            </w:pPr>
            <w:r>
              <w:rPr>
                <w:rFonts w:ascii="Arial" w:eastAsia="Times New Roman" w:hAnsi="Arial" w:cs="Arial"/>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14:paraId="1CB05B7C"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34B267EF" w14:textId="77777777" w:rsidR="00000000" w:rsidRDefault="001D0688">
            <w:pPr>
              <w:jc w:val="center"/>
              <w:rPr>
                <w:rFonts w:eastAsia="Times New Roman"/>
              </w:rPr>
            </w:pPr>
            <w:r>
              <w:rPr>
                <w:rFonts w:ascii="Arial" w:eastAsia="Times New Roman" w:hAnsi="Arial" w:cs="Arial"/>
                <w:color w:val="000000"/>
                <w:sz w:val="20"/>
                <w:szCs w:val="20"/>
              </w:rPr>
              <w:t>March 7, 2018</w:t>
            </w:r>
          </w:p>
        </w:tc>
      </w:tr>
      <w:tr w:rsidR="00000000" w14:paraId="2822B07C" w14:textId="77777777">
        <w:trPr>
          <w:divId w:val="1133793077"/>
        </w:trPr>
        <w:tc>
          <w:tcPr>
            <w:tcW w:w="0" w:type="auto"/>
            <w:gridSpan w:val="3"/>
            <w:shd w:val="clear" w:color="auto" w:fill="DCE2EF"/>
            <w:tcMar>
              <w:top w:w="30" w:type="dxa"/>
              <w:left w:w="20" w:type="dxa"/>
              <w:bottom w:w="30" w:type="dxa"/>
              <w:right w:w="20" w:type="dxa"/>
            </w:tcMar>
            <w:hideMark/>
          </w:tcPr>
          <w:p w14:paraId="21AFC924" w14:textId="77777777" w:rsidR="00000000" w:rsidRDefault="001D0688">
            <w:pPr>
              <w:rPr>
                <w:rFonts w:eastAsia="Times New Roman"/>
              </w:rPr>
            </w:pPr>
            <w:r>
              <w:rPr>
                <w:rFonts w:ascii="Arial" w:eastAsia="Times New Roman" w:hAnsi="Arial" w:cs="Arial"/>
                <w:color w:val="000000"/>
                <w:sz w:val="20"/>
                <w:szCs w:val="20"/>
              </w:rPr>
              <w:t>10.38*</w:t>
            </w:r>
          </w:p>
        </w:tc>
        <w:tc>
          <w:tcPr>
            <w:tcW w:w="0" w:type="auto"/>
            <w:gridSpan w:val="3"/>
            <w:shd w:val="clear" w:color="auto" w:fill="DCE2EF"/>
            <w:tcMar>
              <w:top w:w="0" w:type="dxa"/>
              <w:left w:w="20" w:type="dxa"/>
              <w:bottom w:w="0" w:type="dxa"/>
              <w:right w:w="20" w:type="dxa"/>
            </w:tcMar>
            <w:vAlign w:val="center"/>
            <w:hideMark/>
          </w:tcPr>
          <w:p w14:paraId="6FC43D9F"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567CEAE8" w14:textId="77777777" w:rsidR="00000000" w:rsidRDefault="001D0688">
            <w:pPr>
              <w:divId w:val="1803886614"/>
              <w:rPr>
                <w:rFonts w:eastAsia="Times New Roman"/>
              </w:rPr>
            </w:pPr>
            <w:hyperlink r:id="rId56" w:history="1">
              <w:r>
                <w:rPr>
                  <w:rStyle w:val="a3"/>
                  <w:rFonts w:ascii="Arial" w:eastAsia="Times New Roman" w:hAnsi="Arial" w:cs="Arial"/>
                  <w:sz w:val="20"/>
                  <w:szCs w:val="20"/>
                </w:rPr>
                <w:t>Executive Employment Agreement, dated as of March 1, 2018, by and between ABM Industries Incorporated and Andrea Newborn</w:t>
              </w:r>
            </w:hyperlink>
          </w:p>
        </w:tc>
        <w:tc>
          <w:tcPr>
            <w:tcW w:w="0" w:type="auto"/>
            <w:gridSpan w:val="3"/>
            <w:shd w:val="clear" w:color="auto" w:fill="DCE2EF"/>
            <w:tcMar>
              <w:top w:w="0" w:type="dxa"/>
              <w:left w:w="20" w:type="dxa"/>
              <w:bottom w:w="0" w:type="dxa"/>
              <w:right w:w="20" w:type="dxa"/>
            </w:tcMar>
            <w:vAlign w:val="center"/>
            <w:hideMark/>
          </w:tcPr>
          <w:p w14:paraId="114CA0B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43BE95E6"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14:paraId="01897758"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1B415D5"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44B63BF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E271876" w14:textId="77777777" w:rsidR="00000000" w:rsidRDefault="001D0688">
            <w:pPr>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14:paraId="5CE2189E"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68D7569D" w14:textId="77777777" w:rsidR="00000000" w:rsidRDefault="001D0688">
            <w:pPr>
              <w:jc w:val="center"/>
              <w:rPr>
                <w:rFonts w:eastAsia="Times New Roman"/>
              </w:rPr>
            </w:pPr>
            <w:r>
              <w:rPr>
                <w:rFonts w:ascii="Arial" w:eastAsia="Times New Roman" w:hAnsi="Arial" w:cs="Arial"/>
                <w:color w:val="000000"/>
                <w:sz w:val="20"/>
                <w:szCs w:val="20"/>
              </w:rPr>
              <w:t>March 7, 2019</w:t>
            </w:r>
          </w:p>
        </w:tc>
      </w:tr>
      <w:tr w:rsidR="00000000" w14:paraId="6E28EF7F" w14:textId="77777777">
        <w:trPr>
          <w:divId w:val="1133793077"/>
        </w:trPr>
        <w:tc>
          <w:tcPr>
            <w:tcW w:w="0" w:type="auto"/>
            <w:gridSpan w:val="3"/>
            <w:shd w:val="clear" w:color="auto" w:fill="FFFFFF"/>
            <w:tcMar>
              <w:top w:w="30" w:type="dxa"/>
              <w:left w:w="20" w:type="dxa"/>
              <w:bottom w:w="30" w:type="dxa"/>
              <w:right w:w="20" w:type="dxa"/>
            </w:tcMar>
            <w:hideMark/>
          </w:tcPr>
          <w:p w14:paraId="55D94AA7" w14:textId="77777777" w:rsidR="00000000" w:rsidRDefault="001D0688">
            <w:pPr>
              <w:rPr>
                <w:rFonts w:eastAsia="Times New Roman"/>
              </w:rPr>
            </w:pPr>
            <w:r>
              <w:rPr>
                <w:rFonts w:ascii="Arial" w:eastAsia="Times New Roman" w:hAnsi="Arial" w:cs="Arial"/>
                <w:color w:val="000000"/>
                <w:sz w:val="20"/>
                <w:szCs w:val="20"/>
              </w:rPr>
              <w:t>10.39*</w:t>
            </w:r>
          </w:p>
        </w:tc>
        <w:tc>
          <w:tcPr>
            <w:tcW w:w="0" w:type="auto"/>
            <w:gridSpan w:val="3"/>
            <w:shd w:val="clear" w:color="auto" w:fill="FFFFFF"/>
            <w:tcMar>
              <w:top w:w="0" w:type="dxa"/>
              <w:left w:w="20" w:type="dxa"/>
              <w:bottom w:w="0" w:type="dxa"/>
              <w:right w:w="20" w:type="dxa"/>
            </w:tcMar>
            <w:vAlign w:val="center"/>
            <w:hideMark/>
          </w:tcPr>
          <w:p w14:paraId="0C11DF0F"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4A6F5A1" w14:textId="77777777" w:rsidR="00000000" w:rsidRDefault="001D0688">
            <w:pPr>
              <w:divId w:val="39284985"/>
              <w:rPr>
                <w:rFonts w:eastAsia="Times New Roman"/>
              </w:rPr>
            </w:pPr>
            <w:hyperlink r:id="rId57" w:history="1">
              <w:r>
                <w:rPr>
                  <w:rStyle w:val="a3"/>
                  <w:rFonts w:ascii="Arial" w:eastAsia="Times New Roman" w:hAnsi="Arial" w:cs="Arial"/>
                  <w:sz w:val="20"/>
                  <w:szCs w:val="20"/>
                </w:rPr>
                <w:t>Change in Control Agreement, dated as of March 1, 2018, by and between ABM Industries Incorporated and Andrea Newborn</w:t>
              </w:r>
            </w:hyperlink>
          </w:p>
        </w:tc>
        <w:tc>
          <w:tcPr>
            <w:tcW w:w="0" w:type="auto"/>
            <w:gridSpan w:val="3"/>
            <w:shd w:val="clear" w:color="auto" w:fill="FFFFFF"/>
            <w:tcMar>
              <w:top w:w="0" w:type="dxa"/>
              <w:left w:w="20" w:type="dxa"/>
              <w:bottom w:w="0" w:type="dxa"/>
              <w:right w:w="20" w:type="dxa"/>
            </w:tcMar>
            <w:vAlign w:val="center"/>
            <w:hideMark/>
          </w:tcPr>
          <w:p w14:paraId="3429D74A"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4434F565" w14:textId="77777777" w:rsidR="00000000" w:rsidRDefault="001D0688">
            <w:pPr>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14:paraId="3EB6F06B"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0B3212B7"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14:paraId="1B04A1CB"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1BBF9BC6" w14:textId="77777777" w:rsidR="00000000" w:rsidRDefault="001D0688">
            <w:pPr>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14:paraId="20C7C928" w14:textId="77777777" w:rsidR="00000000" w:rsidRDefault="001D0688">
            <w:pPr>
              <w:jc w:val="center"/>
              <w:rPr>
                <w:rFonts w:eastAsia="Times New Roman"/>
              </w:rPr>
            </w:pPr>
          </w:p>
        </w:tc>
        <w:tc>
          <w:tcPr>
            <w:tcW w:w="0" w:type="auto"/>
            <w:gridSpan w:val="3"/>
            <w:shd w:val="clear" w:color="auto" w:fill="FFFFFF"/>
            <w:tcMar>
              <w:top w:w="30" w:type="dxa"/>
              <w:left w:w="20" w:type="dxa"/>
              <w:bottom w:w="30" w:type="dxa"/>
              <w:right w:w="20" w:type="dxa"/>
            </w:tcMar>
            <w:hideMark/>
          </w:tcPr>
          <w:p w14:paraId="2B7CCF49" w14:textId="77777777" w:rsidR="00000000" w:rsidRDefault="001D0688">
            <w:pPr>
              <w:jc w:val="center"/>
              <w:rPr>
                <w:rFonts w:eastAsia="Times New Roman"/>
              </w:rPr>
            </w:pPr>
            <w:r>
              <w:rPr>
                <w:rFonts w:ascii="Arial" w:eastAsia="Times New Roman" w:hAnsi="Arial" w:cs="Arial"/>
                <w:color w:val="000000"/>
                <w:sz w:val="20"/>
                <w:szCs w:val="20"/>
              </w:rPr>
              <w:t>March 7, 2019</w:t>
            </w:r>
          </w:p>
        </w:tc>
      </w:tr>
      <w:tr w:rsidR="00000000" w14:paraId="0FBAEE98" w14:textId="77777777">
        <w:trPr>
          <w:divId w:val="1133793077"/>
        </w:trPr>
        <w:tc>
          <w:tcPr>
            <w:tcW w:w="0" w:type="auto"/>
            <w:gridSpan w:val="3"/>
            <w:shd w:val="clear" w:color="auto" w:fill="DCE2EF"/>
            <w:tcMar>
              <w:top w:w="30" w:type="dxa"/>
              <w:left w:w="20" w:type="dxa"/>
              <w:bottom w:w="30" w:type="dxa"/>
              <w:right w:w="20" w:type="dxa"/>
            </w:tcMar>
            <w:hideMark/>
          </w:tcPr>
          <w:p w14:paraId="3378BC05" w14:textId="77777777" w:rsidR="00000000" w:rsidRDefault="001D0688">
            <w:pPr>
              <w:rPr>
                <w:rFonts w:eastAsia="Times New Roman"/>
              </w:rPr>
            </w:pPr>
            <w:r>
              <w:rPr>
                <w:rFonts w:ascii="Arial" w:eastAsia="Times New Roman" w:hAnsi="Arial" w:cs="Arial"/>
                <w:color w:val="000000"/>
                <w:sz w:val="20"/>
                <w:szCs w:val="20"/>
              </w:rPr>
              <w:t>10.40*</w:t>
            </w:r>
          </w:p>
        </w:tc>
        <w:tc>
          <w:tcPr>
            <w:tcW w:w="0" w:type="auto"/>
            <w:gridSpan w:val="3"/>
            <w:shd w:val="clear" w:color="auto" w:fill="DCE2EF"/>
            <w:tcMar>
              <w:top w:w="0" w:type="dxa"/>
              <w:left w:w="20" w:type="dxa"/>
              <w:bottom w:w="0" w:type="dxa"/>
              <w:right w:w="20" w:type="dxa"/>
            </w:tcMar>
            <w:vAlign w:val="center"/>
            <w:hideMark/>
          </w:tcPr>
          <w:p w14:paraId="39D1E069"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39AF8C2" w14:textId="77777777" w:rsidR="00000000" w:rsidRDefault="001D0688">
            <w:pPr>
              <w:divId w:val="871497902"/>
              <w:rPr>
                <w:rFonts w:eastAsia="Times New Roman"/>
              </w:rPr>
            </w:pPr>
            <w:hyperlink r:id="rId58" w:history="1">
              <w:r>
                <w:rPr>
                  <w:rStyle w:val="a3"/>
                  <w:rFonts w:ascii="Arial" w:eastAsia="Times New Roman" w:hAnsi="Arial" w:cs="Arial"/>
                  <w:sz w:val="20"/>
                  <w:szCs w:val="20"/>
                </w:rPr>
                <w:t>Executive Employment Agreement, dated as of October 28, 2019, by and between ABM Industries Incorporated and Joshua H. Feinberg</w:t>
              </w:r>
            </w:hyperlink>
          </w:p>
        </w:tc>
        <w:tc>
          <w:tcPr>
            <w:tcW w:w="0" w:type="auto"/>
            <w:gridSpan w:val="3"/>
            <w:shd w:val="clear" w:color="auto" w:fill="DCE2EF"/>
            <w:tcMar>
              <w:top w:w="0" w:type="dxa"/>
              <w:left w:w="20" w:type="dxa"/>
              <w:bottom w:w="0" w:type="dxa"/>
              <w:right w:w="20" w:type="dxa"/>
            </w:tcMar>
            <w:vAlign w:val="center"/>
            <w:hideMark/>
          </w:tcPr>
          <w:p w14:paraId="2B45F16F"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354C09B0" w14:textId="77777777" w:rsidR="00000000" w:rsidRDefault="001D0688">
            <w:pPr>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14:paraId="411C8106"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7D8EA615" w14:textId="77777777" w:rsidR="00000000" w:rsidRDefault="001D0688">
            <w:pPr>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14:paraId="64866AD7"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13BD93A6" w14:textId="77777777" w:rsidR="00000000" w:rsidRDefault="001D0688">
            <w:pPr>
              <w:jc w:val="center"/>
              <w:rPr>
                <w:rFonts w:eastAsia="Times New Roman"/>
              </w:rPr>
            </w:pPr>
            <w:r>
              <w:rPr>
                <w:rFonts w:ascii="Arial" w:eastAsia="Times New Roman" w:hAnsi="Arial" w:cs="Arial"/>
                <w:color w:val="000000"/>
                <w:sz w:val="20"/>
                <w:szCs w:val="20"/>
              </w:rPr>
              <w:t>10.35</w:t>
            </w:r>
          </w:p>
        </w:tc>
        <w:tc>
          <w:tcPr>
            <w:tcW w:w="0" w:type="auto"/>
            <w:gridSpan w:val="3"/>
            <w:shd w:val="clear" w:color="auto" w:fill="DCE2EF"/>
            <w:tcMar>
              <w:top w:w="0" w:type="dxa"/>
              <w:left w:w="20" w:type="dxa"/>
              <w:bottom w:w="0" w:type="dxa"/>
              <w:right w:w="20" w:type="dxa"/>
            </w:tcMar>
            <w:vAlign w:val="center"/>
            <w:hideMark/>
          </w:tcPr>
          <w:p w14:paraId="6AD5FD1A" w14:textId="77777777" w:rsidR="00000000" w:rsidRDefault="001D0688">
            <w:pPr>
              <w:jc w:val="center"/>
              <w:rPr>
                <w:rFonts w:eastAsia="Times New Roman"/>
              </w:rPr>
            </w:pPr>
          </w:p>
        </w:tc>
        <w:tc>
          <w:tcPr>
            <w:tcW w:w="0" w:type="auto"/>
            <w:gridSpan w:val="3"/>
            <w:shd w:val="clear" w:color="auto" w:fill="DCE2EF"/>
            <w:tcMar>
              <w:top w:w="30" w:type="dxa"/>
              <w:left w:w="20" w:type="dxa"/>
              <w:bottom w:w="30" w:type="dxa"/>
              <w:right w:w="20" w:type="dxa"/>
            </w:tcMar>
            <w:hideMark/>
          </w:tcPr>
          <w:p w14:paraId="2E5BB852" w14:textId="77777777" w:rsidR="00000000" w:rsidRDefault="001D0688">
            <w:pPr>
              <w:jc w:val="center"/>
              <w:rPr>
                <w:rFonts w:eastAsia="Times New Roman"/>
              </w:rPr>
            </w:pPr>
            <w:r>
              <w:rPr>
                <w:rFonts w:ascii="Arial" w:eastAsia="Times New Roman" w:hAnsi="Arial" w:cs="Arial"/>
                <w:color w:val="000000"/>
                <w:sz w:val="20"/>
                <w:szCs w:val="20"/>
              </w:rPr>
              <w:t>December 20, 2019</w:t>
            </w:r>
          </w:p>
        </w:tc>
      </w:tr>
      <w:tr w:rsidR="00000000" w14:paraId="49BD2F7C" w14:textId="77777777">
        <w:trPr>
          <w:divId w:val="1133793077"/>
        </w:trPr>
        <w:tc>
          <w:tcPr>
            <w:tcW w:w="0" w:type="auto"/>
            <w:gridSpan w:val="3"/>
            <w:shd w:val="clear" w:color="auto" w:fill="FFFFFF"/>
            <w:tcMar>
              <w:top w:w="30" w:type="dxa"/>
              <w:left w:w="20" w:type="dxa"/>
              <w:bottom w:w="30" w:type="dxa"/>
              <w:right w:w="20" w:type="dxa"/>
            </w:tcMar>
            <w:hideMark/>
          </w:tcPr>
          <w:p w14:paraId="115FF7AA" w14:textId="77777777" w:rsidR="00000000" w:rsidRDefault="001D0688">
            <w:pPr>
              <w:rPr>
                <w:rFonts w:eastAsia="Times New Roman"/>
              </w:rPr>
            </w:pPr>
            <w:r>
              <w:rPr>
                <w:rFonts w:ascii="Arial" w:eastAsia="Times New Roman" w:hAnsi="Arial" w:cs="Arial"/>
                <w:color w:val="000000"/>
                <w:sz w:val="20"/>
                <w:szCs w:val="20"/>
              </w:rPr>
              <w:t>21.1‡</w:t>
            </w:r>
          </w:p>
        </w:tc>
        <w:tc>
          <w:tcPr>
            <w:tcW w:w="0" w:type="auto"/>
            <w:gridSpan w:val="3"/>
            <w:shd w:val="clear" w:color="auto" w:fill="FFFFFF"/>
            <w:tcMar>
              <w:top w:w="0" w:type="dxa"/>
              <w:left w:w="20" w:type="dxa"/>
              <w:bottom w:w="0" w:type="dxa"/>
              <w:right w:w="20" w:type="dxa"/>
            </w:tcMar>
            <w:vAlign w:val="center"/>
            <w:hideMark/>
          </w:tcPr>
          <w:p w14:paraId="29AD024F"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6D3E6A76" w14:textId="77777777" w:rsidR="00000000" w:rsidRDefault="001D0688">
            <w:pPr>
              <w:divId w:val="244654149"/>
              <w:rPr>
                <w:rFonts w:eastAsia="Times New Roman"/>
              </w:rPr>
            </w:pPr>
            <w:hyperlink r:id="rId59" w:history="1">
              <w:r>
                <w:rPr>
                  <w:rStyle w:val="a3"/>
                  <w:rFonts w:ascii="Arial" w:eastAsia="Times New Roman" w:hAnsi="Arial" w:cs="Arial"/>
                  <w:sz w:val="20"/>
                  <w:szCs w:val="20"/>
                </w:rPr>
                <w:t>Subsidiaries of the Registrant</w:t>
              </w:r>
            </w:hyperlink>
          </w:p>
        </w:tc>
        <w:tc>
          <w:tcPr>
            <w:tcW w:w="0" w:type="auto"/>
            <w:gridSpan w:val="3"/>
            <w:shd w:val="clear" w:color="auto" w:fill="FFFFFF"/>
            <w:tcMar>
              <w:top w:w="0" w:type="dxa"/>
              <w:left w:w="20" w:type="dxa"/>
              <w:bottom w:w="0" w:type="dxa"/>
              <w:right w:w="20" w:type="dxa"/>
            </w:tcMar>
            <w:vAlign w:val="center"/>
            <w:hideMark/>
          </w:tcPr>
          <w:p w14:paraId="0E8721F0"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DAB6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5AFF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0C61E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3FC1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9B492"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513F2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F157AB" w14:textId="77777777" w:rsidR="00000000" w:rsidRDefault="001D0688">
            <w:pPr>
              <w:rPr>
                <w:rFonts w:eastAsia="Times New Roman"/>
                <w:sz w:val="20"/>
                <w:szCs w:val="20"/>
              </w:rPr>
            </w:pPr>
          </w:p>
        </w:tc>
      </w:tr>
      <w:tr w:rsidR="00000000" w14:paraId="54CF3A51" w14:textId="77777777">
        <w:trPr>
          <w:divId w:val="1133793077"/>
        </w:trPr>
        <w:tc>
          <w:tcPr>
            <w:tcW w:w="0" w:type="auto"/>
            <w:gridSpan w:val="3"/>
            <w:shd w:val="clear" w:color="auto" w:fill="DCE2EF"/>
            <w:tcMar>
              <w:top w:w="30" w:type="dxa"/>
              <w:left w:w="20" w:type="dxa"/>
              <w:bottom w:w="30" w:type="dxa"/>
              <w:right w:w="20" w:type="dxa"/>
            </w:tcMar>
            <w:hideMark/>
          </w:tcPr>
          <w:p w14:paraId="79D38541" w14:textId="77777777" w:rsidR="00000000" w:rsidRDefault="001D0688">
            <w:pPr>
              <w:rPr>
                <w:rFonts w:eastAsia="Times New Roman"/>
              </w:rPr>
            </w:pPr>
            <w:r>
              <w:rPr>
                <w:rFonts w:ascii="Arial" w:eastAsia="Times New Roman" w:hAnsi="Arial" w:cs="Arial"/>
                <w:color w:val="000000"/>
                <w:sz w:val="20"/>
                <w:szCs w:val="20"/>
              </w:rPr>
              <w:t>23.1‡</w:t>
            </w:r>
          </w:p>
        </w:tc>
        <w:tc>
          <w:tcPr>
            <w:tcW w:w="0" w:type="auto"/>
            <w:gridSpan w:val="3"/>
            <w:shd w:val="clear" w:color="auto" w:fill="DCE2EF"/>
            <w:tcMar>
              <w:top w:w="0" w:type="dxa"/>
              <w:left w:w="20" w:type="dxa"/>
              <w:bottom w:w="0" w:type="dxa"/>
              <w:right w:w="20" w:type="dxa"/>
            </w:tcMar>
            <w:vAlign w:val="center"/>
            <w:hideMark/>
          </w:tcPr>
          <w:p w14:paraId="42AC0D51"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5D87BC42" w14:textId="77777777" w:rsidR="00000000" w:rsidRDefault="001D0688">
            <w:pPr>
              <w:divId w:val="40860331"/>
              <w:rPr>
                <w:rFonts w:eastAsia="Times New Roman"/>
              </w:rPr>
            </w:pPr>
            <w:hyperlink r:id="rId60" w:history="1">
              <w:r>
                <w:rPr>
                  <w:rStyle w:val="a3"/>
                  <w:rFonts w:ascii="Arial" w:eastAsia="Times New Roman" w:hAnsi="Arial" w:cs="Arial"/>
                  <w:sz w:val="20"/>
                  <w:szCs w:val="20"/>
                </w:rPr>
                <w:t>Consent of Independent Registered Public Accounting Firm</w:t>
              </w:r>
            </w:hyperlink>
          </w:p>
        </w:tc>
        <w:tc>
          <w:tcPr>
            <w:tcW w:w="0" w:type="auto"/>
            <w:gridSpan w:val="3"/>
            <w:shd w:val="clear" w:color="auto" w:fill="DCE2EF"/>
            <w:tcMar>
              <w:top w:w="0" w:type="dxa"/>
              <w:left w:w="20" w:type="dxa"/>
              <w:bottom w:w="0" w:type="dxa"/>
              <w:right w:w="20" w:type="dxa"/>
            </w:tcMar>
            <w:vAlign w:val="center"/>
            <w:hideMark/>
          </w:tcPr>
          <w:p w14:paraId="3B4E1608"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DAFF38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1DFB2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338C5B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4068A79"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9FB216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23CE69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56668CC" w14:textId="77777777" w:rsidR="00000000" w:rsidRDefault="001D0688">
            <w:pPr>
              <w:rPr>
                <w:rFonts w:eastAsia="Times New Roman"/>
                <w:sz w:val="20"/>
                <w:szCs w:val="20"/>
              </w:rPr>
            </w:pPr>
          </w:p>
        </w:tc>
      </w:tr>
      <w:tr w:rsidR="00000000" w14:paraId="40E9ACFB" w14:textId="77777777">
        <w:trPr>
          <w:divId w:val="1133793077"/>
        </w:trPr>
        <w:tc>
          <w:tcPr>
            <w:tcW w:w="0" w:type="auto"/>
            <w:gridSpan w:val="3"/>
            <w:shd w:val="clear" w:color="auto" w:fill="FFFFFF"/>
            <w:tcMar>
              <w:top w:w="30" w:type="dxa"/>
              <w:left w:w="20" w:type="dxa"/>
              <w:bottom w:w="30" w:type="dxa"/>
              <w:right w:w="20" w:type="dxa"/>
            </w:tcMar>
            <w:hideMark/>
          </w:tcPr>
          <w:p w14:paraId="2CFD17F5" w14:textId="77777777" w:rsidR="00000000" w:rsidRDefault="001D0688">
            <w:pPr>
              <w:rPr>
                <w:rFonts w:eastAsia="Times New Roman"/>
              </w:rPr>
            </w:pPr>
            <w:r>
              <w:rPr>
                <w:rFonts w:ascii="Arial" w:eastAsia="Times New Roman" w:hAnsi="Arial" w:cs="Arial"/>
                <w:color w:val="000000"/>
                <w:sz w:val="20"/>
                <w:szCs w:val="20"/>
              </w:rPr>
              <w:t>31.1‡</w:t>
            </w:r>
          </w:p>
        </w:tc>
        <w:tc>
          <w:tcPr>
            <w:tcW w:w="0" w:type="auto"/>
            <w:gridSpan w:val="3"/>
            <w:shd w:val="clear" w:color="auto" w:fill="FFFFFF"/>
            <w:tcMar>
              <w:top w:w="0" w:type="dxa"/>
              <w:left w:w="20" w:type="dxa"/>
              <w:bottom w:w="0" w:type="dxa"/>
              <w:right w:w="20" w:type="dxa"/>
            </w:tcMar>
            <w:vAlign w:val="center"/>
            <w:hideMark/>
          </w:tcPr>
          <w:p w14:paraId="048CE661"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2C6EB895" w14:textId="77777777" w:rsidR="00000000" w:rsidRDefault="001D0688">
            <w:pPr>
              <w:divId w:val="718669035"/>
              <w:rPr>
                <w:rFonts w:eastAsia="Times New Roman"/>
              </w:rPr>
            </w:pPr>
            <w:hyperlink r:id="rId61" w:history="1">
              <w:r>
                <w:rPr>
                  <w:rStyle w:val="a3"/>
                  <w:rFonts w:ascii="Arial" w:eastAsia="Times New Roman" w:hAnsi="Arial" w:cs="Arial"/>
                  <w:sz w:val="20"/>
                  <w:szCs w:val="20"/>
                </w:rPr>
                <w:t>Certification of Chief Executive Officer pursuant to Securities Exchange Act of 1934 Rule 13a-14(a) or 15d-14(a),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2EABFF73"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3B80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67581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ABD7CE"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82C511"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EDEB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43D00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06E70" w14:textId="77777777" w:rsidR="00000000" w:rsidRDefault="001D0688">
            <w:pPr>
              <w:rPr>
                <w:rFonts w:eastAsia="Times New Roman"/>
                <w:sz w:val="20"/>
                <w:szCs w:val="20"/>
              </w:rPr>
            </w:pPr>
          </w:p>
        </w:tc>
      </w:tr>
      <w:tr w:rsidR="00000000" w14:paraId="2F810222" w14:textId="77777777">
        <w:trPr>
          <w:divId w:val="1133793077"/>
        </w:trPr>
        <w:tc>
          <w:tcPr>
            <w:tcW w:w="0" w:type="auto"/>
            <w:gridSpan w:val="3"/>
            <w:shd w:val="clear" w:color="auto" w:fill="DCE2EF"/>
            <w:tcMar>
              <w:top w:w="30" w:type="dxa"/>
              <w:left w:w="20" w:type="dxa"/>
              <w:bottom w:w="30" w:type="dxa"/>
              <w:right w:w="20" w:type="dxa"/>
            </w:tcMar>
            <w:hideMark/>
          </w:tcPr>
          <w:p w14:paraId="5F9E0168" w14:textId="77777777" w:rsidR="00000000" w:rsidRDefault="001D0688">
            <w:pPr>
              <w:rPr>
                <w:rFonts w:eastAsia="Times New Roman"/>
              </w:rPr>
            </w:pPr>
            <w:r>
              <w:rPr>
                <w:rFonts w:ascii="Arial" w:eastAsia="Times New Roman" w:hAnsi="Arial" w:cs="Arial"/>
                <w:color w:val="000000"/>
                <w:sz w:val="20"/>
                <w:szCs w:val="20"/>
              </w:rPr>
              <w:t>31.2‡</w:t>
            </w:r>
          </w:p>
        </w:tc>
        <w:tc>
          <w:tcPr>
            <w:tcW w:w="0" w:type="auto"/>
            <w:gridSpan w:val="3"/>
            <w:shd w:val="clear" w:color="auto" w:fill="DCE2EF"/>
            <w:tcMar>
              <w:top w:w="0" w:type="dxa"/>
              <w:left w:w="20" w:type="dxa"/>
              <w:bottom w:w="0" w:type="dxa"/>
              <w:right w:w="20" w:type="dxa"/>
            </w:tcMar>
            <w:vAlign w:val="center"/>
            <w:hideMark/>
          </w:tcPr>
          <w:p w14:paraId="4BA8E605"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298D3598" w14:textId="77777777" w:rsidR="00000000" w:rsidRDefault="001D0688">
            <w:pPr>
              <w:divId w:val="658190297"/>
              <w:rPr>
                <w:rFonts w:eastAsia="Times New Roman"/>
              </w:rPr>
            </w:pPr>
            <w:hyperlink r:id="rId62" w:history="1">
              <w:r>
                <w:rPr>
                  <w:rStyle w:val="a3"/>
                  <w:rFonts w:ascii="Arial" w:eastAsia="Times New Roman" w:hAnsi="Arial" w:cs="Arial"/>
                  <w:sz w:val="20"/>
                  <w:szCs w:val="20"/>
                </w:rPr>
                <w:t>Certification of Chief Financial Officer pursuant to Securities Exchange Act of 1934 Rule 13a-14(a) or 15d-14(a), as adopted pursuant to Section 302 of the Sarbanes-Oxley Act of 2002</w:t>
              </w:r>
            </w:hyperlink>
          </w:p>
        </w:tc>
        <w:tc>
          <w:tcPr>
            <w:tcW w:w="0" w:type="auto"/>
            <w:gridSpan w:val="3"/>
            <w:shd w:val="clear" w:color="auto" w:fill="DCE2EF"/>
            <w:tcMar>
              <w:top w:w="0" w:type="dxa"/>
              <w:left w:w="20" w:type="dxa"/>
              <w:bottom w:w="0" w:type="dxa"/>
              <w:right w:w="20" w:type="dxa"/>
            </w:tcMar>
            <w:vAlign w:val="center"/>
            <w:hideMark/>
          </w:tcPr>
          <w:p w14:paraId="294DD1A6"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70A772"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1D4879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162C17D"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4A5A82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2300461"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724E9E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E2D6B79" w14:textId="77777777" w:rsidR="00000000" w:rsidRDefault="001D0688">
            <w:pPr>
              <w:rPr>
                <w:rFonts w:eastAsia="Times New Roman"/>
                <w:sz w:val="20"/>
                <w:szCs w:val="20"/>
              </w:rPr>
            </w:pPr>
          </w:p>
        </w:tc>
      </w:tr>
      <w:tr w:rsidR="00000000" w14:paraId="7BC64462" w14:textId="77777777">
        <w:trPr>
          <w:divId w:val="1133793077"/>
        </w:trPr>
        <w:tc>
          <w:tcPr>
            <w:tcW w:w="0" w:type="auto"/>
            <w:gridSpan w:val="3"/>
            <w:shd w:val="clear" w:color="auto" w:fill="FFFFFF"/>
            <w:tcMar>
              <w:top w:w="30" w:type="dxa"/>
              <w:left w:w="20" w:type="dxa"/>
              <w:bottom w:w="30" w:type="dxa"/>
              <w:right w:w="20" w:type="dxa"/>
            </w:tcMar>
            <w:hideMark/>
          </w:tcPr>
          <w:p w14:paraId="033BB1E4" w14:textId="77777777" w:rsidR="00000000" w:rsidRDefault="001D0688">
            <w:pPr>
              <w:rPr>
                <w:rFonts w:eastAsia="Times New Roman"/>
              </w:rPr>
            </w:pPr>
            <w:r>
              <w:rPr>
                <w:rFonts w:ascii="Arial" w:eastAsia="Times New Roman" w:hAnsi="Arial" w:cs="Arial"/>
                <w:color w:val="000000"/>
                <w:sz w:val="20"/>
                <w:szCs w:val="20"/>
              </w:rPr>
              <w:t>32.1†</w:t>
            </w:r>
          </w:p>
        </w:tc>
        <w:tc>
          <w:tcPr>
            <w:tcW w:w="0" w:type="auto"/>
            <w:gridSpan w:val="3"/>
            <w:shd w:val="clear" w:color="auto" w:fill="FFFFFF"/>
            <w:tcMar>
              <w:top w:w="0" w:type="dxa"/>
              <w:left w:w="20" w:type="dxa"/>
              <w:bottom w:w="0" w:type="dxa"/>
              <w:right w:w="20" w:type="dxa"/>
            </w:tcMar>
            <w:vAlign w:val="center"/>
            <w:hideMark/>
          </w:tcPr>
          <w:p w14:paraId="24241BA5"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18455C0B" w14:textId="77777777" w:rsidR="00000000" w:rsidRDefault="001D0688">
            <w:pPr>
              <w:divId w:val="843517612"/>
              <w:rPr>
                <w:rFonts w:eastAsia="Times New Roman"/>
              </w:rPr>
            </w:pPr>
            <w:hyperlink r:id="rId63" w:history="1">
              <w:r>
                <w:rPr>
                  <w:rStyle w:val="a3"/>
                  <w:rFonts w:ascii="Arial" w:eastAsia="Times New Roman" w:hAnsi="Arial" w:cs="Arial"/>
                  <w:sz w:val="20"/>
                  <w:szCs w:val="20"/>
                </w:rPr>
                <w:t>Certifications pursuant to Securities Exchange Act of 1934 Rule 13a-14(b) or 15d-14(b) and 18 U.S.C. Section 1350,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37E8C6F9"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6020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2933B0"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0E31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04E8B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61460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8F45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53112A" w14:textId="77777777" w:rsidR="00000000" w:rsidRDefault="001D0688">
            <w:pPr>
              <w:rPr>
                <w:rFonts w:eastAsia="Times New Roman"/>
                <w:sz w:val="20"/>
                <w:szCs w:val="20"/>
              </w:rPr>
            </w:pPr>
          </w:p>
        </w:tc>
      </w:tr>
      <w:tr w:rsidR="00000000" w14:paraId="674907FD" w14:textId="77777777">
        <w:trPr>
          <w:divId w:val="1133793077"/>
        </w:trPr>
        <w:tc>
          <w:tcPr>
            <w:tcW w:w="0" w:type="auto"/>
            <w:gridSpan w:val="3"/>
            <w:shd w:val="clear" w:color="auto" w:fill="DCE2EF"/>
            <w:tcMar>
              <w:top w:w="30" w:type="dxa"/>
              <w:left w:w="20" w:type="dxa"/>
              <w:bottom w:w="30" w:type="dxa"/>
              <w:right w:w="20" w:type="dxa"/>
            </w:tcMar>
            <w:hideMark/>
          </w:tcPr>
          <w:p w14:paraId="003A526D" w14:textId="77777777" w:rsidR="00000000" w:rsidRDefault="001D0688">
            <w:pPr>
              <w:rPr>
                <w:rFonts w:eastAsia="Times New Roman"/>
              </w:rPr>
            </w:pPr>
            <w:r>
              <w:rPr>
                <w:rFonts w:ascii="Arial" w:eastAsia="Times New Roman" w:hAnsi="Arial" w:cs="Arial"/>
                <w:color w:val="000000"/>
                <w:sz w:val="20"/>
                <w:szCs w:val="20"/>
              </w:rPr>
              <w:t>101.INS ‡</w:t>
            </w:r>
          </w:p>
        </w:tc>
        <w:tc>
          <w:tcPr>
            <w:tcW w:w="0" w:type="auto"/>
            <w:gridSpan w:val="3"/>
            <w:shd w:val="clear" w:color="auto" w:fill="DCE2EF"/>
            <w:tcMar>
              <w:top w:w="0" w:type="dxa"/>
              <w:left w:w="20" w:type="dxa"/>
              <w:bottom w:w="0" w:type="dxa"/>
              <w:right w:w="20" w:type="dxa"/>
            </w:tcMar>
            <w:vAlign w:val="center"/>
            <w:hideMark/>
          </w:tcPr>
          <w:p w14:paraId="5878C596"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2C40E8DB" w14:textId="77777777" w:rsidR="00000000" w:rsidRDefault="001D0688">
            <w:pPr>
              <w:rPr>
                <w:rFonts w:eastAsia="Times New Roman"/>
              </w:rPr>
            </w:pPr>
            <w:r>
              <w:rPr>
                <w:rFonts w:ascii="Arial" w:eastAsia="Times New Roman" w:hAnsi="Arial" w:cs="Arial"/>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DCE2EF"/>
            <w:tcMar>
              <w:top w:w="0" w:type="dxa"/>
              <w:left w:w="20" w:type="dxa"/>
              <w:bottom w:w="0" w:type="dxa"/>
              <w:right w:w="20" w:type="dxa"/>
            </w:tcMar>
            <w:vAlign w:val="center"/>
            <w:hideMark/>
          </w:tcPr>
          <w:p w14:paraId="5131E7DC"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298B5A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77D42C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786D5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608972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29B6B2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F6A11DB"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33BC6DE" w14:textId="77777777" w:rsidR="00000000" w:rsidRDefault="001D0688">
            <w:pPr>
              <w:rPr>
                <w:rFonts w:eastAsia="Times New Roman"/>
                <w:sz w:val="20"/>
                <w:szCs w:val="20"/>
              </w:rPr>
            </w:pPr>
          </w:p>
        </w:tc>
      </w:tr>
      <w:tr w:rsidR="00000000" w14:paraId="0EEF8903" w14:textId="77777777">
        <w:trPr>
          <w:divId w:val="1133793077"/>
        </w:trPr>
        <w:tc>
          <w:tcPr>
            <w:tcW w:w="0" w:type="auto"/>
            <w:gridSpan w:val="3"/>
            <w:shd w:val="clear" w:color="auto" w:fill="FFFFFF"/>
            <w:tcMar>
              <w:top w:w="30" w:type="dxa"/>
              <w:left w:w="20" w:type="dxa"/>
              <w:bottom w:w="30" w:type="dxa"/>
              <w:right w:w="20" w:type="dxa"/>
            </w:tcMar>
            <w:hideMark/>
          </w:tcPr>
          <w:p w14:paraId="77C470D7" w14:textId="77777777" w:rsidR="00000000" w:rsidRDefault="001D0688">
            <w:pPr>
              <w:rPr>
                <w:rFonts w:eastAsia="Times New Roman"/>
              </w:rPr>
            </w:pPr>
            <w:r>
              <w:rPr>
                <w:rFonts w:ascii="Arial" w:eastAsia="Times New Roman" w:hAnsi="Arial" w:cs="Arial"/>
                <w:color w:val="000000"/>
                <w:sz w:val="20"/>
                <w:szCs w:val="20"/>
              </w:rPr>
              <w:t>101.SCH ‡</w:t>
            </w:r>
          </w:p>
        </w:tc>
        <w:tc>
          <w:tcPr>
            <w:tcW w:w="0" w:type="auto"/>
            <w:gridSpan w:val="3"/>
            <w:shd w:val="clear" w:color="auto" w:fill="FFFFFF"/>
            <w:tcMar>
              <w:top w:w="0" w:type="dxa"/>
              <w:left w:w="20" w:type="dxa"/>
              <w:bottom w:w="0" w:type="dxa"/>
              <w:right w:w="20" w:type="dxa"/>
            </w:tcMar>
            <w:vAlign w:val="center"/>
            <w:hideMark/>
          </w:tcPr>
          <w:p w14:paraId="4629D294"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4D8055F3" w14:textId="77777777" w:rsidR="00000000" w:rsidRDefault="001D0688">
            <w:pPr>
              <w:rPr>
                <w:rFonts w:eastAsia="Times New Roman"/>
              </w:rPr>
            </w:pPr>
            <w:r>
              <w:rPr>
                <w:rFonts w:ascii="Arial" w:eastAsia="Times New Roman" w:hAnsi="Arial" w:cs="Arial"/>
                <w:color w:val="000000"/>
                <w:sz w:val="20"/>
                <w:szCs w:val="20"/>
              </w:rPr>
              <w:t>Inline XBRL Taxonomy Extension Schema Document</w:t>
            </w:r>
          </w:p>
        </w:tc>
        <w:tc>
          <w:tcPr>
            <w:tcW w:w="0" w:type="auto"/>
            <w:gridSpan w:val="3"/>
            <w:shd w:val="clear" w:color="auto" w:fill="FFFFFF"/>
            <w:tcMar>
              <w:top w:w="0" w:type="dxa"/>
              <w:left w:w="20" w:type="dxa"/>
              <w:bottom w:w="0" w:type="dxa"/>
              <w:right w:w="20" w:type="dxa"/>
            </w:tcMar>
            <w:vAlign w:val="center"/>
            <w:hideMark/>
          </w:tcPr>
          <w:p w14:paraId="4F6E317B"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D0C3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7B176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D16A5"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9A7E14"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E37957"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B2E1A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87EF2E" w14:textId="77777777" w:rsidR="00000000" w:rsidRDefault="001D0688">
            <w:pPr>
              <w:rPr>
                <w:rFonts w:eastAsia="Times New Roman"/>
                <w:sz w:val="20"/>
                <w:szCs w:val="20"/>
              </w:rPr>
            </w:pPr>
          </w:p>
        </w:tc>
      </w:tr>
      <w:tr w:rsidR="00000000" w14:paraId="751ED742" w14:textId="77777777">
        <w:trPr>
          <w:divId w:val="1133793077"/>
        </w:trPr>
        <w:tc>
          <w:tcPr>
            <w:tcW w:w="0" w:type="auto"/>
            <w:gridSpan w:val="3"/>
            <w:shd w:val="clear" w:color="auto" w:fill="DCE2EF"/>
            <w:tcMar>
              <w:top w:w="30" w:type="dxa"/>
              <w:left w:w="20" w:type="dxa"/>
              <w:bottom w:w="30" w:type="dxa"/>
              <w:right w:w="20" w:type="dxa"/>
            </w:tcMar>
            <w:hideMark/>
          </w:tcPr>
          <w:p w14:paraId="1667EEA4" w14:textId="77777777" w:rsidR="00000000" w:rsidRDefault="001D0688">
            <w:pPr>
              <w:rPr>
                <w:rFonts w:eastAsia="Times New Roman"/>
              </w:rPr>
            </w:pPr>
            <w:r>
              <w:rPr>
                <w:rFonts w:ascii="Arial" w:eastAsia="Times New Roman" w:hAnsi="Arial" w:cs="Arial"/>
                <w:color w:val="000000"/>
                <w:sz w:val="20"/>
                <w:szCs w:val="20"/>
              </w:rPr>
              <w:t>101.CAL‡</w:t>
            </w:r>
          </w:p>
        </w:tc>
        <w:tc>
          <w:tcPr>
            <w:tcW w:w="0" w:type="auto"/>
            <w:gridSpan w:val="3"/>
            <w:shd w:val="clear" w:color="auto" w:fill="DCE2EF"/>
            <w:tcMar>
              <w:top w:w="0" w:type="dxa"/>
              <w:left w:w="20" w:type="dxa"/>
              <w:bottom w:w="0" w:type="dxa"/>
              <w:right w:w="20" w:type="dxa"/>
            </w:tcMar>
            <w:vAlign w:val="center"/>
            <w:hideMark/>
          </w:tcPr>
          <w:p w14:paraId="2C3AC60C"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65CC843D" w14:textId="77777777" w:rsidR="00000000" w:rsidRDefault="001D0688">
            <w:pPr>
              <w:rPr>
                <w:rFonts w:eastAsia="Times New Roman"/>
              </w:rPr>
            </w:pPr>
            <w:r>
              <w:rPr>
                <w:rFonts w:ascii="Arial" w:eastAsia="Times New Roman" w:hAnsi="Arial" w:cs="Arial"/>
                <w:color w:val="000000"/>
                <w:sz w:val="20"/>
                <w:szCs w:val="20"/>
              </w:rPr>
              <w:t>Inline XBRL Taxonomy Calculation Linkbase Document</w:t>
            </w:r>
          </w:p>
        </w:tc>
        <w:tc>
          <w:tcPr>
            <w:tcW w:w="0" w:type="auto"/>
            <w:gridSpan w:val="3"/>
            <w:shd w:val="clear" w:color="auto" w:fill="DCE2EF"/>
            <w:tcMar>
              <w:top w:w="0" w:type="dxa"/>
              <w:left w:w="20" w:type="dxa"/>
              <w:bottom w:w="0" w:type="dxa"/>
              <w:right w:w="20" w:type="dxa"/>
            </w:tcMar>
            <w:vAlign w:val="center"/>
            <w:hideMark/>
          </w:tcPr>
          <w:p w14:paraId="71F9F5BE"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55753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27E3D67"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069FB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92AF14C"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F77D025"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278E5A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30DD7DB" w14:textId="77777777" w:rsidR="00000000" w:rsidRDefault="001D0688">
            <w:pPr>
              <w:rPr>
                <w:rFonts w:eastAsia="Times New Roman"/>
                <w:sz w:val="20"/>
                <w:szCs w:val="20"/>
              </w:rPr>
            </w:pPr>
          </w:p>
        </w:tc>
      </w:tr>
      <w:tr w:rsidR="00000000" w14:paraId="6E26AF09" w14:textId="77777777">
        <w:trPr>
          <w:divId w:val="1133793077"/>
        </w:trPr>
        <w:tc>
          <w:tcPr>
            <w:tcW w:w="0" w:type="auto"/>
            <w:gridSpan w:val="3"/>
            <w:shd w:val="clear" w:color="auto" w:fill="FFFFFF"/>
            <w:tcMar>
              <w:top w:w="30" w:type="dxa"/>
              <w:left w:w="20" w:type="dxa"/>
              <w:bottom w:w="30" w:type="dxa"/>
              <w:right w:w="20" w:type="dxa"/>
            </w:tcMar>
            <w:hideMark/>
          </w:tcPr>
          <w:p w14:paraId="3B34E2B5" w14:textId="77777777" w:rsidR="00000000" w:rsidRDefault="001D0688">
            <w:pPr>
              <w:rPr>
                <w:rFonts w:eastAsia="Times New Roman"/>
              </w:rPr>
            </w:pPr>
            <w:r>
              <w:rPr>
                <w:rFonts w:ascii="Arial" w:eastAsia="Times New Roman" w:hAnsi="Arial" w:cs="Arial"/>
                <w:color w:val="000000"/>
                <w:sz w:val="20"/>
                <w:szCs w:val="20"/>
              </w:rPr>
              <w:t>101.LAB ‡</w:t>
            </w:r>
          </w:p>
        </w:tc>
        <w:tc>
          <w:tcPr>
            <w:tcW w:w="0" w:type="auto"/>
            <w:gridSpan w:val="3"/>
            <w:shd w:val="clear" w:color="auto" w:fill="FFFFFF"/>
            <w:tcMar>
              <w:top w:w="0" w:type="dxa"/>
              <w:left w:w="20" w:type="dxa"/>
              <w:bottom w:w="0" w:type="dxa"/>
              <w:right w:w="20" w:type="dxa"/>
            </w:tcMar>
            <w:vAlign w:val="center"/>
            <w:hideMark/>
          </w:tcPr>
          <w:p w14:paraId="76EA0A99"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0BA58F6A" w14:textId="77777777" w:rsidR="00000000" w:rsidRDefault="001D0688">
            <w:pPr>
              <w:rPr>
                <w:rFonts w:eastAsia="Times New Roman"/>
              </w:rPr>
            </w:pPr>
            <w:r>
              <w:rPr>
                <w:rFonts w:ascii="Arial" w:eastAsia="Times New Roman" w:hAnsi="Arial" w:cs="Arial"/>
                <w:color w:val="000000"/>
                <w:sz w:val="20"/>
                <w:szCs w:val="20"/>
              </w:rPr>
              <w:t>Inline XBRL Taxonomy Label Linkbase Document</w:t>
            </w:r>
          </w:p>
        </w:tc>
        <w:tc>
          <w:tcPr>
            <w:tcW w:w="0" w:type="auto"/>
            <w:gridSpan w:val="3"/>
            <w:shd w:val="clear" w:color="auto" w:fill="FFFFFF"/>
            <w:tcMar>
              <w:top w:w="0" w:type="dxa"/>
              <w:left w:w="20" w:type="dxa"/>
              <w:bottom w:w="0" w:type="dxa"/>
              <w:right w:w="20" w:type="dxa"/>
            </w:tcMar>
            <w:vAlign w:val="center"/>
            <w:hideMark/>
          </w:tcPr>
          <w:p w14:paraId="697B847C"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684F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78554C"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6CFC5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A0E4B"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327EA"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3F1F96"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ABA6B1" w14:textId="77777777" w:rsidR="00000000" w:rsidRDefault="001D0688">
            <w:pPr>
              <w:rPr>
                <w:rFonts w:eastAsia="Times New Roman"/>
                <w:sz w:val="20"/>
                <w:szCs w:val="20"/>
              </w:rPr>
            </w:pPr>
          </w:p>
        </w:tc>
      </w:tr>
      <w:tr w:rsidR="00000000" w14:paraId="6143E9BA" w14:textId="77777777">
        <w:trPr>
          <w:divId w:val="1133793077"/>
        </w:trPr>
        <w:tc>
          <w:tcPr>
            <w:tcW w:w="0" w:type="auto"/>
            <w:gridSpan w:val="3"/>
            <w:shd w:val="clear" w:color="auto" w:fill="DCE2EF"/>
            <w:tcMar>
              <w:top w:w="30" w:type="dxa"/>
              <w:left w:w="20" w:type="dxa"/>
              <w:bottom w:w="30" w:type="dxa"/>
              <w:right w:w="20" w:type="dxa"/>
            </w:tcMar>
            <w:hideMark/>
          </w:tcPr>
          <w:p w14:paraId="5D15EB32" w14:textId="77777777" w:rsidR="00000000" w:rsidRDefault="001D0688">
            <w:pPr>
              <w:rPr>
                <w:rFonts w:eastAsia="Times New Roman"/>
              </w:rPr>
            </w:pPr>
            <w:r>
              <w:rPr>
                <w:rFonts w:ascii="Arial" w:eastAsia="Times New Roman" w:hAnsi="Arial" w:cs="Arial"/>
                <w:color w:val="000000"/>
                <w:sz w:val="20"/>
                <w:szCs w:val="20"/>
              </w:rPr>
              <w:t>101.PRE ‡</w:t>
            </w:r>
          </w:p>
        </w:tc>
        <w:tc>
          <w:tcPr>
            <w:tcW w:w="0" w:type="auto"/>
            <w:gridSpan w:val="3"/>
            <w:shd w:val="clear" w:color="auto" w:fill="DCE2EF"/>
            <w:tcMar>
              <w:top w:w="0" w:type="dxa"/>
              <w:left w:w="20" w:type="dxa"/>
              <w:bottom w:w="0" w:type="dxa"/>
              <w:right w:w="20" w:type="dxa"/>
            </w:tcMar>
            <w:vAlign w:val="center"/>
            <w:hideMark/>
          </w:tcPr>
          <w:p w14:paraId="2CECD1FB"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1440447B" w14:textId="77777777" w:rsidR="00000000" w:rsidRDefault="001D0688">
            <w:pPr>
              <w:rPr>
                <w:rFonts w:eastAsia="Times New Roman"/>
              </w:rPr>
            </w:pPr>
            <w:r>
              <w:rPr>
                <w:rFonts w:ascii="Arial" w:eastAsia="Times New Roman" w:hAnsi="Arial" w:cs="Arial"/>
                <w:color w:val="000000"/>
                <w:sz w:val="20"/>
                <w:szCs w:val="20"/>
              </w:rPr>
              <w:t>Inline XBRL Presentation Linkbase Document</w:t>
            </w:r>
          </w:p>
        </w:tc>
        <w:tc>
          <w:tcPr>
            <w:tcW w:w="0" w:type="auto"/>
            <w:gridSpan w:val="3"/>
            <w:shd w:val="clear" w:color="auto" w:fill="DCE2EF"/>
            <w:tcMar>
              <w:top w:w="0" w:type="dxa"/>
              <w:left w:w="20" w:type="dxa"/>
              <w:bottom w:w="0" w:type="dxa"/>
              <w:right w:w="20" w:type="dxa"/>
            </w:tcMar>
            <w:vAlign w:val="center"/>
            <w:hideMark/>
          </w:tcPr>
          <w:p w14:paraId="008FE24D"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E95F9E"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605FA5A"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E623EC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A0E2B0F"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96BA1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D6DBD7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09CE81" w14:textId="77777777" w:rsidR="00000000" w:rsidRDefault="001D0688">
            <w:pPr>
              <w:rPr>
                <w:rFonts w:eastAsia="Times New Roman"/>
                <w:sz w:val="20"/>
                <w:szCs w:val="20"/>
              </w:rPr>
            </w:pPr>
          </w:p>
        </w:tc>
      </w:tr>
      <w:tr w:rsidR="00000000" w14:paraId="6E1031D6" w14:textId="77777777">
        <w:trPr>
          <w:divId w:val="1133793077"/>
        </w:trPr>
        <w:tc>
          <w:tcPr>
            <w:tcW w:w="0" w:type="auto"/>
            <w:gridSpan w:val="3"/>
            <w:shd w:val="clear" w:color="auto" w:fill="FFFFFF"/>
            <w:tcMar>
              <w:top w:w="30" w:type="dxa"/>
              <w:left w:w="20" w:type="dxa"/>
              <w:bottom w:w="30" w:type="dxa"/>
              <w:right w:w="20" w:type="dxa"/>
            </w:tcMar>
            <w:hideMark/>
          </w:tcPr>
          <w:p w14:paraId="056A6DA0" w14:textId="77777777" w:rsidR="00000000" w:rsidRDefault="001D0688">
            <w:pPr>
              <w:rPr>
                <w:rFonts w:eastAsia="Times New Roman"/>
              </w:rPr>
            </w:pPr>
            <w:r>
              <w:rPr>
                <w:rFonts w:ascii="Arial" w:eastAsia="Times New Roman" w:hAnsi="Arial" w:cs="Arial"/>
                <w:color w:val="000000"/>
                <w:sz w:val="20"/>
                <w:szCs w:val="20"/>
              </w:rPr>
              <w:t>101.DEF ‡</w:t>
            </w:r>
          </w:p>
        </w:tc>
        <w:tc>
          <w:tcPr>
            <w:tcW w:w="0" w:type="auto"/>
            <w:gridSpan w:val="3"/>
            <w:shd w:val="clear" w:color="auto" w:fill="FFFFFF"/>
            <w:tcMar>
              <w:top w:w="0" w:type="dxa"/>
              <w:left w:w="20" w:type="dxa"/>
              <w:bottom w:w="0" w:type="dxa"/>
              <w:right w:w="20" w:type="dxa"/>
            </w:tcMar>
            <w:vAlign w:val="center"/>
            <w:hideMark/>
          </w:tcPr>
          <w:p w14:paraId="5EFC3990" w14:textId="77777777" w:rsidR="00000000" w:rsidRDefault="001D0688">
            <w:pPr>
              <w:rPr>
                <w:rFonts w:eastAsia="Times New Roman"/>
              </w:rPr>
            </w:pPr>
          </w:p>
        </w:tc>
        <w:tc>
          <w:tcPr>
            <w:tcW w:w="0" w:type="auto"/>
            <w:gridSpan w:val="3"/>
            <w:shd w:val="clear" w:color="auto" w:fill="FFFFFF"/>
            <w:tcMar>
              <w:top w:w="30" w:type="dxa"/>
              <w:left w:w="20" w:type="dxa"/>
              <w:bottom w:w="30" w:type="dxa"/>
              <w:right w:w="20" w:type="dxa"/>
            </w:tcMar>
            <w:hideMark/>
          </w:tcPr>
          <w:p w14:paraId="0D392A20" w14:textId="77777777" w:rsidR="00000000" w:rsidRDefault="001D0688">
            <w:pPr>
              <w:rPr>
                <w:rFonts w:eastAsia="Times New Roman"/>
              </w:rPr>
            </w:pPr>
            <w:r>
              <w:rPr>
                <w:rFonts w:ascii="Arial" w:eastAsia="Times New Roman" w:hAnsi="Arial" w:cs="Arial"/>
                <w:color w:val="000000"/>
                <w:sz w:val="20"/>
                <w:szCs w:val="20"/>
              </w:rPr>
              <w:t>Inline XBRL Taxonomy Extension Definition Linkbase Document</w:t>
            </w:r>
          </w:p>
        </w:tc>
        <w:tc>
          <w:tcPr>
            <w:tcW w:w="0" w:type="auto"/>
            <w:gridSpan w:val="3"/>
            <w:shd w:val="clear" w:color="auto" w:fill="FFFFFF"/>
            <w:tcMar>
              <w:top w:w="0" w:type="dxa"/>
              <w:left w:w="20" w:type="dxa"/>
              <w:bottom w:w="0" w:type="dxa"/>
              <w:right w:w="20" w:type="dxa"/>
            </w:tcMar>
            <w:vAlign w:val="center"/>
            <w:hideMark/>
          </w:tcPr>
          <w:p w14:paraId="6511B4D0" w14:textId="77777777" w:rsidR="00000000" w:rsidRDefault="001D0688">
            <w:pP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26953"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9F863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ECEFED"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BD524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0A5F4F"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F73AA8" w14:textId="77777777" w:rsidR="00000000" w:rsidRDefault="001D068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921A85" w14:textId="77777777" w:rsidR="00000000" w:rsidRDefault="001D0688">
            <w:pPr>
              <w:rPr>
                <w:rFonts w:eastAsia="Times New Roman"/>
                <w:sz w:val="20"/>
                <w:szCs w:val="20"/>
              </w:rPr>
            </w:pPr>
          </w:p>
        </w:tc>
      </w:tr>
      <w:tr w:rsidR="00000000" w14:paraId="55820AF8" w14:textId="77777777">
        <w:trPr>
          <w:divId w:val="1133793077"/>
        </w:trPr>
        <w:tc>
          <w:tcPr>
            <w:tcW w:w="0" w:type="auto"/>
            <w:gridSpan w:val="3"/>
            <w:shd w:val="clear" w:color="auto" w:fill="DCE2EF"/>
            <w:tcMar>
              <w:top w:w="30" w:type="dxa"/>
              <w:left w:w="20" w:type="dxa"/>
              <w:bottom w:w="30" w:type="dxa"/>
              <w:right w:w="20" w:type="dxa"/>
            </w:tcMar>
            <w:hideMark/>
          </w:tcPr>
          <w:p w14:paraId="7E54D08E" w14:textId="77777777" w:rsidR="00000000" w:rsidRDefault="001D0688">
            <w:pP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14:paraId="16D1D47F" w14:textId="77777777" w:rsidR="00000000" w:rsidRDefault="001D0688">
            <w:pPr>
              <w:rPr>
                <w:rFonts w:eastAsia="Times New Roman"/>
              </w:rPr>
            </w:pPr>
          </w:p>
        </w:tc>
        <w:tc>
          <w:tcPr>
            <w:tcW w:w="0" w:type="auto"/>
            <w:gridSpan w:val="3"/>
            <w:shd w:val="clear" w:color="auto" w:fill="DCE2EF"/>
            <w:tcMar>
              <w:top w:w="30" w:type="dxa"/>
              <w:left w:w="20" w:type="dxa"/>
              <w:bottom w:w="30" w:type="dxa"/>
              <w:right w:w="20" w:type="dxa"/>
            </w:tcMar>
            <w:hideMark/>
          </w:tcPr>
          <w:p w14:paraId="0AD1B7D3" w14:textId="77777777" w:rsidR="00000000" w:rsidRDefault="001D0688">
            <w:pPr>
              <w:rPr>
                <w:rFonts w:eastAsia="Times New Roman"/>
              </w:rPr>
            </w:pPr>
            <w:r>
              <w:rPr>
                <w:rFonts w:ascii="Arial" w:eastAsia="Times New Roman" w:hAnsi="Arial" w:cs="Arial"/>
                <w:color w:val="000000"/>
                <w:sz w:val="20"/>
                <w:szCs w:val="20"/>
              </w:rPr>
              <w:t>Cover Page Interactive Data File (formatted as Inline XBRL and contained in Exhibit 101)</w:t>
            </w:r>
          </w:p>
        </w:tc>
        <w:tc>
          <w:tcPr>
            <w:tcW w:w="0" w:type="auto"/>
            <w:gridSpan w:val="3"/>
            <w:shd w:val="clear" w:color="auto" w:fill="DCE2EF"/>
            <w:tcMar>
              <w:top w:w="0" w:type="dxa"/>
              <w:left w:w="20" w:type="dxa"/>
              <w:bottom w:w="0" w:type="dxa"/>
              <w:right w:w="20" w:type="dxa"/>
            </w:tcMar>
            <w:vAlign w:val="center"/>
            <w:hideMark/>
          </w:tcPr>
          <w:p w14:paraId="2A85C929" w14:textId="77777777" w:rsidR="00000000" w:rsidRDefault="001D0688">
            <w:pPr>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82E38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5F0C94"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726A80"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A6C7716"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213E83"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681848" w14:textId="77777777" w:rsidR="00000000" w:rsidRDefault="001D0688">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0786330" w14:textId="77777777" w:rsidR="00000000" w:rsidRDefault="001D0688">
            <w:pPr>
              <w:rPr>
                <w:rFonts w:eastAsia="Times New Roman"/>
                <w:sz w:val="20"/>
                <w:szCs w:val="20"/>
              </w:rPr>
            </w:pPr>
          </w:p>
        </w:tc>
      </w:tr>
    </w:tbl>
    <w:p w14:paraId="78EBA089" w14:textId="77777777" w:rsidR="00000000" w:rsidRDefault="001D0688">
      <w:pPr>
        <w:divId w:val="103796991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24E19C9D" w14:textId="77777777">
        <w:trPr>
          <w:divId w:val="190537868"/>
        </w:trPr>
        <w:tc>
          <w:tcPr>
            <w:tcW w:w="50" w:type="pct"/>
            <w:vAlign w:val="center"/>
            <w:hideMark/>
          </w:tcPr>
          <w:p w14:paraId="027A9CD0" w14:textId="77777777" w:rsidR="00000000" w:rsidRDefault="001D0688">
            <w:pPr>
              <w:rPr>
                <w:rFonts w:eastAsia="Times New Roman"/>
              </w:rPr>
            </w:pPr>
          </w:p>
        </w:tc>
        <w:tc>
          <w:tcPr>
            <w:tcW w:w="237" w:type="pct"/>
            <w:vAlign w:val="center"/>
            <w:hideMark/>
          </w:tcPr>
          <w:p w14:paraId="34DE808D" w14:textId="77777777" w:rsidR="00000000" w:rsidRDefault="001D0688">
            <w:pPr>
              <w:rPr>
                <w:rFonts w:eastAsia="Times New Roman"/>
                <w:sz w:val="20"/>
                <w:szCs w:val="20"/>
              </w:rPr>
            </w:pPr>
          </w:p>
        </w:tc>
        <w:tc>
          <w:tcPr>
            <w:tcW w:w="5" w:type="pct"/>
            <w:vAlign w:val="center"/>
            <w:hideMark/>
          </w:tcPr>
          <w:p w14:paraId="56F66269" w14:textId="77777777" w:rsidR="00000000" w:rsidRDefault="001D0688">
            <w:pPr>
              <w:rPr>
                <w:rFonts w:eastAsia="Times New Roman"/>
                <w:sz w:val="20"/>
                <w:szCs w:val="20"/>
              </w:rPr>
            </w:pPr>
          </w:p>
        </w:tc>
        <w:tc>
          <w:tcPr>
            <w:tcW w:w="50" w:type="pct"/>
            <w:vAlign w:val="center"/>
            <w:hideMark/>
          </w:tcPr>
          <w:p w14:paraId="452A4809" w14:textId="77777777" w:rsidR="00000000" w:rsidRDefault="001D0688">
            <w:pPr>
              <w:rPr>
                <w:rFonts w:eastAsia="Times New Roman"/>
                <w:sz w:val="20"/>
                <w:szCs w:val="20"/>
              </w:rPr>
            </w:pPr>
          </w:p>
        </w:tc>
        <w:tc>
          <w:tcPr>
            <w:tcW w:w="4652" w:type="pct"/>
            <w:vAlign w:val="center"/>
            <w:hideMark/>
          </w:tcPr>
          <w:p w14:paraId="021A5EB6" w14:textId="77777777" w:rsidR="00000000" w:rsidRDefault="001D0688">
            <w:pPr>
              <w:rPr>
                <w:rFonts w:eastAsia="Times New Roman"/>
                <w:sz w:val="20"/>
                <w:szCs w:val="20"/>
              </w:rPr>
            </w:pPr>
          </w:p>
        </w:tc>
        <w:tc>
          <w:tcPr>
            <w:tcW w:w="5" w:type="pct"/>
            <w:vAlign w:val="center"/>
            <w:hideMark/>
          </w:tcPr>
          <w:p w14:paraId="48B00CA3" w14:textId="77777777" w:rsidR="00000000" w:rsidRDefault="001D0688">
            <w:pPr>
              <w:rPr>
                <w:rFonts w:eastAsia="Times New Roman"/>
                <w:sz w:val="20"/>
                <w:szCs w:val="20"/>
              </w:rPr>
            </w:pPr>
          </w:p>
        </w:tc>
      </w:tr>
      <w:tr w:rsidR="00000000" w14:paraId="05506606" w14:textId="77777777">
        <w:trPr>
          <w:divId w:val="190537868"/>
        </w:trPr>
        <w:tc>
          <w:tcPr>
            <w:tcW w:w="0" w:type="auto"/>
            <w:gridSpan w:val="3"/>
            <w:tcMar>
              <w:top w:w="30" w:type="dxa"/>
              <w:left w:w="20" w:type="dxa"/>
              <w:bottom w:w="30" w:type="dxa"/>
              <w:right w:w="20" w:type="dxa"/>
            </w:tcMar>
            <w:hideMark/>
          </w:tcPr>
          <w:p w14:paraId="7E4203E1" w14:textId="77777777" w:rsidR="00000000" w:rsidRDefault="001D0688">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14:paraId="459BCE91" w14:textId="77777777" w:rsidR="00000000" w:rsidRDefault="001D0688">
            <w:pPr>
              <w:jc w:val="both"/>
              <w:rPr>
                <w:rFonts w:eastAsia="Times New Roman"/>
              </w:rPr>
            </w:pPr>
            <w:r>
              <w:rPr>
                <w:rFonts w:ascii="Arial" w:eastAsia="Times New Roman" w:hAnsi="Arial" w:cs="Arial"/>
                <w:color w:val="000000"/>
                <w:sz w:val="20"/>
                <w:szCs w:val="20"/>
              </w:rPr>
              <w:t>Indicates management contract or compensatory plan, contract, or arrangement</w:t>
            </w:r>
          </w:p>
        </w:tc>
      </w:tr>
      <w:tr w:rsidR="00000000" w14:paraId="78DFA416" w14:textId="77777777">
        <w:trPr>
          <w:divId w:val="190537868"/>
        </w:trPr>
        <w:tc>
          <w:tcPr>
            <w:tcW w:w="0" w:type="auto"/>
            <w:gridSpan w:val="3"/>
            <w:tcMar>
              <w:top w:w="30" w:type="dxa"/>
              <w:left w:w="20" w:type="dxa"/>
              <w:bottom w:w="30" w:type="dxa"/>
              <w:right w:w="20" w:type="dxa"/>
            </w:tcMar>
            <w:hideMark/>
          </w:tcPr>
          <w:p w14:paraId="7866A362" w14:textId="77777777" w:rsidR="00000000" w:rsidRDefault="001D0688">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14:paraId="1496D114" w14:textId="77777777" w:rsidR="00000000" w:rsidRDefault="001D0688">
            <w:pPr>
              <w:jc w:val="both"/>
              <w:rPr>
                <w:rFonts w:eastAsia="Times New Roman"/>
              </w:rPr>
            </w:pPr>
            <w:r>
              <w:rPr>
                <w:rFonts w:ascii="Arial" w:eastAsia="Times New Roman" w:hAnsi="Arial" w:cs="Arial"/>
                <w:color w:val="000000"/>
                <w:sz w:val="20"/>
                <w:szCs w:val="20"/>
              </w:rPr>
              <w:t>Indicates filed herewith</w:t>
            </w:r>
          </w:p>
        </w:tc>
      </w:tr>
      <w:tr w:rsidR="00000000" w14:paraId="383BF613" w14:textId="77777777">
        <w:trPr>
          <w:divId w:val="190537868"/>
        </w:trPr>
        <w:tc>
          <w:tcPr>
            <w:tcW w:w="0" w:type="auto"/>
            <w:gridSpan w:val="3"/>
            <w:tcMar>
              <w:top w:w="30" w:type="dxa"/>
              <w:left w:w="20" w:type="dxa"/>
              <w:bottom w:w="30" w:type="dxa"/>
              <w:right w:w="20" w:type="dxa"/>
            </w:tcMar>
            <w:hideMark/>
          </w:tcPr>
          <w:p w14:paraId="36A6C632" w14:textId="77777777" w:rsidR="00000000" w:rsidRDefault="001D0688">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14:paraId="370E3CB6" w14:textId="77777777" w:rsidR="00000000" w:rsidRDefault="001D0688">
            <w:pPr>
              <w:jc w:val="both"/>
              <w:rPr>
                <w:rFonts w:eastAsia="Times New Roman"/>
              </w:rPr>
            </w:pPr>
            <w:r>
              <w:rPr>
                <w:rFonts w:ascii="Arial" w:eastAsia="Times New Roman" w:hAnsi="Arial" w:cs="Arial"/>
                <w:color w:val="000000"/>
                <w:sz w:val="20"/>
                <w:szCs w:val="20"/>
              </w:rPr>
              <w:t>Indicates furnished herewith</w:t>
            </w:r>
          </w:p>
        </w:tc>
      </w:tr>
    </w:tbl>
    <w:p w14:paraId="6F5BF637" w14:textId="77777777" w:rsidR="00000000" w:rsidRDefault="001D0688">
      <w:pPr>
        <w:divId w:val="2105179639"/>
        <w:rPr>
          <w:rFonts w:eastAsia="Times New Roman"/>
        </w:rPr>
      </w:pPr>
    </w:p>
    <w:p w14:paraId="3601887A" w14:textId="77777777" w:rsidR="00000000" w:rsidRDefault="001D0688">
      <w:pPr>
        <w:jc w:val="center"/>
        <w:divId w:val="132911614"/>
        <w:rPr>
          <w:rFonts w:eastAsia="Times New Roman"/>
        </w:rPr>
      </w:pPr>
      <w:r>
        <w:rPr>
          <w:rFonts w:ascii="Arial" w:eastAsia="Times New Roman" w:hAnsi="Arial" w:cs="Arial"/>
          <w:color w:val="000000"/>
          <w:sz w:val="20"/>
          <w:szCs w:val="20"/>
        </w:rPr>
        <w:t>104</w:t>
      </w:r>
    </w:p>
    <w:p w14:paraId="73DD8AC2" w14:textId="77777777" w:rsidR="00000000" w:rsidRDefault="001D0688">
      <w:pPr>
        <w:rPr>
          <w:rFonts w:eastAsia="Times New Roman"/>
        </w:rPr>
      </w:pPr>
      <w:r>
        <w:rPr>
          <w:rFonts w:eastAsia="Times New Roman"/>
        </w:rPr>
        <w:pict w14:anchorId="5487752A">
          <v:rect id="_x0000_i1141" style="width:0;height:1.5pt" o:hralign="center" o:hrstd="t" o:hr="t" fillcolor="#a0a0a0" stroked="f"/>
        </w:pict>
      </w:r>
    </w:p>
    <w:p w14:paraId="15211789" w14:textId="77777777" w:rsidR="00000000" w:rsidRDefault="001D0688">
      <w:pPr>
        <w:divId w:val="638919480"/>
        <w:rPr>
          <w:rFonts w:eastAsia="Times New Roman"/>
        </w:rPr>
      </w:pPr>
    </w:p>
    <w:p w14:paraId="31909B57" w14:textId="77777777" w:rsidR="00000000" w:rsidRDefault="001D0688">
      <w:pPr>
        <w:jc w:val="center"/>
        <w:divId w:val="1816528283"/>
        <w:rPr>
          <w:rFonts w:eastAsia="Times New Roman"/>
        </w:rPr>
      </w:pPr>
      <w:r>
        <w:rPr>
          <w:rFonts w:ascii="Arial" w:eastAsia="Times New Roman" w:hAnsi="Arial" w:cs="Arial"/>
          <w:b/>
          <w:bCs/>
          <w:color w:val="000000"/>
          <w:sz w:val="20"/>
          <w:szCs w:val="20"/>
        </w:rPr>
        <w:t>SIGNATURES</w:t>
      </w:r>
    </w:p>
    <w:p w14:paraId="13A437C4" w14:textId="77777777" w:rsidR="00000000" w:rsidRDefault="001D0688">
      <w:pPr>
        <w:ind w:firstLine="720"/>
        <w:jc w:val="both"/>
        <w:divId w:val="290987043"/>
        <w:rPr>
          <w:rFonts w:eastAsia="Times New Roman"/>
        </w:rPr>
      </w:pPr>
      <w:r>
        <w:rPr>
          <w:rFonts w:ascii="Arial" w:eastAsia="Times New Roman" w:hAnsi="Arial" w:cs="Arial"/>
          <w:color w:val="000000"/>
          <w:sz w:val="20"/>
          <w:szCs w:val="20"/>
        </w:rPr>
        <w:t>Pursuant to the requirements of Section 13 or 15(d) of the Securities Exchange Act of 1934, the registrant has duly caused this report to be signed on its behalf by the undersigned, thereunto duly authorized</w:t>
      </w:r>
      <w:r>
        <w:rPr>
          <w:rFonts w:ascii="Arial" w:eastAsia="Times New Roman" w:hAnsi="Arial" w:cs="Arial"/>
          <w:color w:val="000000"/>
          <w:sz w:val="20"/>
          <w:szCs w:val="20"/>
        </w:rPr>
        <w:t>.</w:t>
      </w:r>
    </w:p>
    <w:p w14:paraId="1DFC27E8" w14:textId="77777777" w:rsidR="00000000" w:rsidRDefault="001D0688">
      <w:pPr>
        <w:jc w:val="center"/>
        <w:divId w:val="2142922926"/>
        <w:rPr>
          <w:rFonts w:eastAsia="Times New Roman"/>
        </w:rPr>
      </w:pPr>
      <w:r>
        <w:rPr>
          <w:rFonts w:ascii="Arial" w:eastAsia="Times New Roman" w:hAnsi="Arial" w:cs="Arial"/>
          <w:b/>
          <w:bCs/>
          <w:color w:val="000000"/>
          <w:sz w:val="20"/>
          <w:szCs w:val="20"/>
        </w:rPr>
        <w:t>ABM Industries Incorporated</w:t>
      </w:r>
    </w:p>
    <w:tbl>
      <w:tblPr>
        <w:tblW w:w="4985" w:type="pct"/>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14:paraId="55382584" w14:textId="77777777">
        <w:trPr>
          <w:divId w:val="307244034"/>
        </w:trPr>
        <w:tc>
          <w:tcPr>
            <w:tcW w:w="50" w:type="pct"/>
            <w:vAlign w:val="center"/>
            <w:hideMark/>
          </w:tcPr>
          <w:p w14:paraId="6D93B09E" w14:textId="77777777" w:rsidR="00000000" w:rsidRDefault="001D0688">
            <w:pPr>
              <w:jc w:val="center"/>
              <w:rPr>
                <w:rFonts w:eastAsia="Times New Roman"/>
              </w:rPr>
            </w:pPr>
          </w:p>
        </w:tc>
        <w:tc>
          <w:tcPr>
            <w:tcW w:w="861" w:type="pct"/>
            <w:vAlign w:val="center"/>
            <w:hideMark/>
          </w:tcPr>
          <w:p w14:paraId="55EB8639" w14:textId="77777777" w:rsidR="00000000" w:rsidRDefault="001D0688">
            <w:pPr>
              <w:rPr>
                <w:rFonts w:eastAsia="Times New Roman"/>
                <w:sz w:val="20"/>
                <w:szCs w:val="20"/>
              </w:rPr>
            </w:pPr>
          </w:p>
        </w:tc>
        <w:tc>
          <w:tcPr>
            <w:tcW w:w="5" w:type="pct"/>
            <w:vAlign w:val="center"/>
            <w:hideMark/>
          </w:tcPr>
          <w:p w14:paraId="4789170B" w14:textId="77777777" w:rsidR="00000000" w:rsidRDefault="001D0688">
            <w:pPr>
              <w:rPr>
                <w:rFonts w:eastAsia="Times New Roman"/>
                <w:sz w:val="20"/>
                <w:szCs w:val="20"/>
              </w:rPr>
            </w:pPr>
          </w:p>
        </w:tc>
        <w:tc>
          <w:tcPr>
            <w:tcW w:w="50" w:type="pct"/>
            <w:vAlign w:val="center"/>
            <w:hideMark/>
          </w:tcPr>
          <w:p w14:paraId="7145CEC5" w14:textId="77777777" w:rsidR="00000000" w:rsidRDefault="001D0688">
            <w:pPr>
              <w:rPr>
                <w:rFonts w:eastAsia="Times New Roman"/>
                <w:sz w:val="20"/>
                <w:szCs w:val="20"/>
              </w:rPr>
            </w:pPr>
          </w:p>
        </w:tc>
        <w:tc>
          <w:tcPr>
            <w:tcW w:w="3112" w:type="pct"/>
            <w:vAlign w:val="center"/>
            <w:hideMark/>
          </w:tcPr>
          <w:p w14:paraId="1E1A4A3D" w14:textId="77777777" w:rsidR="00000000" w:rsidRDefault="001D0688">
            <w:pPr>
              <w:rPr>
                <w:rFonts w:eastAsia="Times New Roman"/>
                <w:sz w:val="20"/>
                <w:szCs w:val="20"/>
              </w:rPr>
            </w:pPr>
          </w:p>
        </w:tc>
        <w:tc>
          <w:tcPr>
            <w:tcW w:w="5" w:type="pct"/>
            <w:vAlign w:val="center"/>
            <w:hideMark/>
          </w:tcPr>
          <w:p w14:paraId="719EC493" w14:textId="77777777" w:rsidR="00000000" w:rsidRDefault="001D0688">
            <w:pPr>
              <w:rPr>
                <w:rFonts w:eastAsia="Times New Roman"/>
                <w:sz w:val="20"/>
                <w:szCs w:val="20"/>
              </w:rPr>
            </w:pPr>
          </w:p>
        </w:tc>
        <w:tc>
          <w:tcPr>
            <w:tcW w:w="50" w:type="pct"/>
            <w:vAlign w:val="center"/>
            <w:hideMark/>
          </w:tcPr>
          <w:p w14:paraId="72E82101" w14:textId="77777777" w:rsidR="00000000" w:rsidRDefault="001D0688">
            <w:pPr>
              <w:rPr>
                <w:rFonts w:eastAsia="Times New Roman"/>
                <w:sz w:val="20"/>
                <w:szCs w:val="20"/>
              </w:rPr>
            </w:pPr>
          </w:p>
        </w:tc>
        <w:tc>
          <w:tcPr>
            <w:tcW w:w="861" w:type="pct"/>
            <w:vAlign w:val="center"/>
            <w:hideMark/>
          </w:tcPr>
          <w:p w14:paraId="4E4708E4" w14:textId="77777777" w:rsidR="00000000" w:rsidRDefault="001D0688">
            <w:pPr>
              <w:rPr>
                <w:rFonts w:eastAsia="Times New Roman"/>
                <w:sz w:val="20"/>
                <w:szCs w:val="20"/>
              </w:rPr>
            </w:pPr>
          </w:p>
        </w:tc>
        <w:tc>
          <w:tcPr>
            <w:tcW w:w="5" w:type="pct"/>
            <w:vAlign w:val="center"/>
            <w:hideMark/>
          </w:tcPr>
          <w:p w14:paraId="162CF177" w14:textId="77777777" w:rsidR="00000000" w:rsidRDefault="001D0688">
            <w:pPr>
              <w:rPr>
                <w:rFonts w:eastAsia="Times New Roman"/>
                <w:sz w:val="20"/>
                <w:szCs w:val="20"/>
              </w:rPr>
            </w:pPr>
          </w:p>
        </w:tc>
      </w:tr>
      <w:tr w:rsidR="00000000" w14:paraId="438B5D53" w14:textId="77777777">
        <w:trPr>
          <w:divId w:val="307244034"/>
        </w:trPr>
        <w:tc>
          <w:tcPr>
            <w:tcW w:w="0" w:type="auto"/>
            <w:gridSpan w:val="3"/>
            <w:tcMar>
              <w:top w:w="30" w:type="dxa"/>
              <w:left w:w="20" w:type="dxa"/>
              <w:bottom w:w="30" w:type="dxa"/>
              <w:right w:w="20" w:type="dxa"/>
            </w:tcMar>
            <w:hideMark/>
          </w:tcPr>
          <w:p w14:paraId="66041723" w14:textId="77777777" w:rsidR="00000000" w:rsidRDefault="001D0688">
            <w:pPr>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14:paraId="45F87FEB" w14:textId="77777777" w:rsidR="00000000" w:rsidRDefault="001D0688">
            <w:pPr>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14:paraId="69502AEB" w14:textId="77777777" w:rsidR="00000000" w:rsidRDefault="001D0688">
            <w:pPr>
              <w:jc w:val="center"/>
              <w:rPr>
                <w:rFonts w:eastAsia="Times New Roman"/>
              </w:rPr>
            </w:pPr>
          </w:p>
        </w:tc>
      </w:tr>
      <w:tr w:rsidR="00000000" w14:paraId="641F8A99" w14:textId="77777777">
        <w:trPr>
          <w:divId w:val="307244034"/>
        </w:trPr>
        <w:tc>
          <w:tcPr>
            <w:tcW w:w="0" w:type="auto"/>
            <w:gridSpan w:val="3"/>
            <w:tcMar>
              <w:top w:w="0" w:type="dxa"/>
              <w:left w:w="20" w:type="dxa"/>
              <w:bottom w:w="0" w:type="dxa"/>
              <w:right w:w="20" w:type="dxa"/>
            </w:tcMar>
            <w:vAlign w:val="center"/>
            <w:hideMark/>
          </w:tcPr>
          <w:p w14:paraId="54881ED4" w14:textId="77777777" w:rsidR="00000000" w:rsidRDefault="001D068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5139784" w14:textId="77777777" w:rsidR="00000000" w:rsidRDefault="001D0688">
            <w:pPr>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President and Chief Executive Officer and Director</w:t>
            </w:r>
          </w:p>
        </w:tc>
        <w:tc>
          <w:tcPr>
            <w:tcW w:w="0" w:type="auto"/>
            <w:gridSpan w:val="3"/>
            <w:tcMar>
              <w:top w:w="0" w:type="dxa"/>
              <w:left w:w="20" w:type="dxa"/>
              <w:bottom w:w="0" w:type="dxa"/>
              <w:right w:w="20" w:type="dxa"/>
            </w:tcMar>
            <w:vAlign w:val="center"/>
            <w:hideMark/>
          </w:tcPr>
          <w:p w14:paraId="5BA85707" w14:textId="77777777" w:rsidR="00000000" w:rsidRDefault="001D0688">
            <w:pPr>
              <w:jc w:val="center"/>
              <w:rPr>
                <w:rFonts w:eastAsia="Times New Roman"/>
              </w:rPr>
            </w:pPr>
          </w:p>
        </w:tc>
      </w:tr>
      <w:tr w:rsidR="00000000" w14:paraId="47A2D818" w14:textId="77777777">
        <w:trPr>
          <w:divId w:val="307244034"/>
        </w:trPr>
        <w:tc>
          <w:tcPr>
            <w:tcW w:w="0" w:type="auto"/>
            <w:gridSpan w:val="3"/>
            <w:tcMar>
              <w:top w:w="0" w:type="dxa"/>
              <w:left w:w="20" w:type="dxa"/>
              <w:bottom w:w="0" w:type="dxa"/>
              <w:right w:w="20" w:type="dxa"/>
            </w:tcMar>
            <w:vAlign w:val="center"/>
            <w:hideMark/>
          </w:tcPr>
          <w:p w14:paraId="2914EE5E"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hideMark/>
          </w:tcPr>
          <w:p w14:paraId="23095D5F"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394FDB75" w14:textId="77777777" w:rsidR="00000000" w:rsidRDefault="001D0688">
            <w:pPr>
              <w:jc w:val="center"/>
              <w:rPr>
                <w:rFonts w:eastAsia="Times New Roman"/>
              </w:rPr>
            </w:pPr>
          </w:p>
        </w:tc>
      </w:tr>
    </w:tbl>
    <w:p w14:paraId="4D48DA39" w14:textId="77777777" w:rsidR="00000000" w:rsidRDefault="001D0688">
      <w:pPr>
        <w:ind w:firstLine="720"/>
        <w:jc w:val="both"/>
        <w:divId w:val="1337878132"/>
        <w:rPr>
          <w:rFonts w:eastAsia="Times New Roman"/>
        </w:rPr>
      </w:pPr>
      <w:r>
        <w:rPr>
          <w:rFonts w:ascii="Arial" w:eastAsia="Times New Roman" w:hAnsi="Arial" w:cs="Arial"/>
          <w:color w:val="000000"/>
          <w:sz w:val="20"/>
          <w:szCs w:val="20"/>
        </w:rPr>
        <w:t>Pursuant to the requirements of the Securities Exchange Act of 1934, this report has been signed below by the following persons on behalf of ABM Industries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14:paraId="25A58F68" w14:textId="77777777">
        <w:trPr>
          <w:divId w:val="1784962742"/>
        </w:trPr>
        <w:tc>
          <w:tcPr>
            <w:tcW w:w="50" w:type="pct"/>
            <w:vAlign w:val="center"/>
            <w:hideMark/>
          </w:tcPr>
          <w:p w14:paraId="7EE89DD0" w14:textId="77777777" w:rsidR="00000000" w:rsidRDefault="001D0688">
            <w:pPr>
              <w:ind w:firstLine="720"/>
              <w:jc w:val="both"/>
              <w:rPr>
                <w:rFonts w:eastAsia="Times New Roman"/>
              </w:rPr>
            </w:pPr>
          </w:p>
        </w:tc>
        <w:tc>
          <w:tcPr>
            <w:tcW w:w="861" w:type="pct"/>
            <w:vAlign w:val="center"/>
            <w:hideMark/>
          </w:tcPr>
          <w:p w14:paraId="3CFB1DFD" w14:textId="77777777" w:rsidR="00000000" w:rsidRDefault="001D0688">
            <w:pPr>
              <w:rPr>
                <w:rFonts w:eastAsia="Times New Roman"/>
                <w:sz w:val="20"/>
                <w:szCs w:val="20"/>
              </w:rPr>
            </w:pPr>
          </w:p>
        </w:tc>
        <w:tc>
          <w:tcPr>
            <w:tcW w:w="5" w:type="pct"/>
            <w:vAlign w:val="center"/>
            <w:hideMark/>
          </w:tcPr>
          <w:p w14:paraId="08BA3C45" w14:textId="77777777" w:rsidR="00000000" w:rsidRDefault="001D0688">
            <w:pPr>
              <w:rPr>
                <w:rFonts w:eastAsia="Times New Roman"/>
                <w:sz w:val="20"/>
                <w:szCs w:val="20"/>
              </w:rPr>
            </w:pPr>
          </w:p>
        </w:tc>
        <w:tc>
          <w:tcPr>
            <w:tcW w:w="50" w:type="pct"/>
            <w:vAlign w:val="center"/>
            <w:hideMark/>
          </w:tcPr>
          <w:p w14:paraId="6BA6CFDF" w14:textId="77777777" w:rsidR="00000000" w:rsidRDefault="001D0688">
            <w:pPr>
              <w:rPr>
                <w:rFonts w:eastAsia="Times New Roman"/>
                <w:sz w:val="20"/>
                <w:szCs w:val="20"/>
              </w:rPr>
            </w:pPr>
          </w:p>
        </w:tc>
        <w:tc>
          <w:tcPr>
            <w:tcW w:w="3112" w:type="pct"/>
            <w:vAlign w:val="center"/>
            <w:hideMark/>
          </w:tcPr>
          <w:p w14:paraId="79818FAD" w14:textId="77777777" w:rsidR="00000000" w:rsidRDefault="001D0688">
            <w:pPr>
              <w:rPr>
                <w:rFonts w:eastAsia="Times New Roman"/>
                <w:sz w:val="20"/>
                <w:szCs w:val="20"/>
              </w:rPr>
            </w:pPr>
          </w:p>
        </w:tc>
        <w:tc>
          <w:tcPr>
            <w:tcW w:w="5" w:type="pct"/>
            <w:vAlign w:val="center"/>
            <w:hideMark/>
          </w:tcPr>
          <w:p w14:paraId="7A71CED0" w14:textId="77777777" w:rsidR="00000000" w:rsidRDefault="001D0688">
            <w:pPr>
              <w:rPr>
                <w:rFonts w:eastAsia="Times New Roman"/>
                <w:sz w:val="20"/>
                <w:szCs w:val="20"/>
              </w:rPr>
            </w:pPr>
          </w:p>
        </w:tc>
        <w:tc>
          <w:tcPr>
            <w:tcW w:w="50" w:type="pct"/>
            <w:vAlign w:val="center"/>
            <w:hideMark/>
          </w:tcPr>
          <w:p w14:paraId="7B180236" w14:textId="77777777" w:rsidR="00000000" w:rsidRDefault="001D0688">
            <w:pPr>
              <w:rPr>
                <w:rFonts w:eastAsia="Times New Roman"/>
                <w:sz w:val="20"/>
                <w:szCs w:val="20"/>
              </w:rPr>
            </w:pPr>
          </w:p>
        </w:tc>
        <w:tc>
          <w:tcPr>
            <w:tcW w:w="861" w:type="pct"/>
            <w:vAlign w:val="center"/>
            <w:hideMark/>
          </w:tcPr>
          <w:p w14:paraId="6319CD2C" w14:textId="77777777" w:rsidR="00000000" w:rsidRDefault="001D0688">
            <w:pPr>
              <w:rPr>
                <w:rFonts w:eastAsia="Times New Roman"/>
                <w:sz w:val="20"/>
                <w:szCs w:val="20"/>
              </w:rPr>
            </w:pPr>
          </w:p>
        </w:tc>
        <w:tc>
          <w:tcPr>
            <w:tcW w:w="5" w:type="pct"/>
            <w:vAlign w:val="center"/>
            <w:hideMark/>
          </w:tcPr>
          <w:p w14:paraId="6FE0FF0D" w14:textId="77777777" w:rsidR="00000000" w:rsidRDefault="001D0688">
            <w:pPr>
              <w:rPr>
                <w:rFonts w:eastAsia="Times New Roman"/>
                <w:sz w:val="20"/>
                <w:szCs w:val="20"/>
              </w:rPr>
            </w:pPr>
          </w:p>
        </w:tc>
      </w:tr>
      <w:tr w:rsidR="00000000" w14:paraId="274CDF16" w14:textId="77777777">
        <w:trPr>
          <w:divId w:val="1784962742"/>
        </w:trPr>
        <w:tc>
          <w:tcPr>
            <w:tcW w:w="0" w:type="auto"/>
            <w:gridSpan w:val="3"/>
            <w:tcMar>
              <w:top w:w="30" w:type="dxa"/>
              <w:left w:w="20" w:type="dxa"/>
              <w:bottom w:w="30" w:type="dxa"/>
              <w:right w:w="20" w:type="dxa"/>
            </w:tcMar>
            <w:hideMark/>
          </w:tcPr>
          <w:p w14:paraId="5B7B6205" w14:textId="77777777" w:rsidR="00000000" w:rsidRDefault="001D0688">
            <w:pPr>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14:paraId="276C4078" w14:textId="77777777" w:rsidR="00000000" w:rsidRDefault="001D0688">
            <w:pPr>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14:paraId="7EF20F96" w14:textId="77777777" w:rsidR="00000000" w:rsidRDefault="001D0688">
            <w:pPr>
              <w:jc w:val="center"/>
              <w:rPr>
                <w:rFonts w:eastAsia="Times New Roman"/>
              </w:rPr>
            </w:pPr>
          </w:p>
        </w:tc>
      </w:tr>
      <w:tr w:rsidR="00000000" w14:paraId="5C80EE10" w14:textId="77777777">
        <w:trPr>
          <w:divId w:val="1784962742"/>
        </w:trPr>
        <w:tc>
          <w:tcPr>
            <w:tcW w:w="0" w:type="auto"/>
            <w:gridSpan w:val="3"/>
            <w:tcMar>
              <w:top w:w="0" w:type="dxa"/>
              <w:left w:w="20" w:type="dxa"/>
              <w:bottom w:w="0" w:type="dxa"/>
              <w:right w:w="20" w:type="dxa"/>
            </w:tcMar>
            <w:vAlign w:val="center"/>
            <w:hideMark/>
          </w:tcPr>
          <w:p w14:paraId="4B17108E" w14:textId="77777777" w:rsidR="00000000" w:rsidRDefault="001D068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EE2EEF4" w14:textId="77777777" w:rsidR="00000000" w:rsidRDefault="001D0688">
            <w:pPr>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 xml:space="preserve">President and Chief Executive Officer and Director </w:t>
            </w:r>
            <w:r>
              <w:rPr>
                <w:rFonts w:ascii="Arial" w:eastAsia="Times New Roman" w:hAnsi="Arial" w:cs="Arial"/>
                <w:color w:val="000000"/>
                <w:sz w:val="20"/>
                <w:szCs w:val="20"/>
              </w:rPr>
              <w:br/>
              <w:t>(Principal Executive Officer)</w:t>
            </w:r>
          </w:p>
        </w:tc>
        <w:tc>
          <w:tcPr>
            <w:tcW w:w="0" w:type="auto"/>
            <w:gridSpan w:val="3"/>
            <w:tcMar>
              <w:top w:w="0" w:type="dxa"/>
              <w:left w:w="20" w:type="dxa"/>
              <w:bottom w:w="0" w:type="dxa"/>
              <w:right w:w="20" w:type="dxa"/>
            </w:tcMar>
            <w:vAlign w:val="center"/>
            <w:hideMark/>
          </w:tcPr>
          <w:p w14:paraId="72F5D889" w14:textId="77777777" w:rsidR="00000000" w:rsidRDefault="001D0688">
            <w:pPr>
              <w:jc w:val="center"/>
              <w:rPr>
                <w:rFonts w:eastAsia="Times New Roman"/>
              </w:rPr>
            </w:pPr>
          </w:p>
        </w:tc>
      </w:tr>
      <w:tr w:rsidR="00000000" w14:paraId="301966CB" w14:textId="77777777">
        <w:trPr>
          <w:divId w:val="1784962742"/>
        </w:trPr>
        <w:tc>
          <w:tcPr>
            <w:tcW w:w="0" w:type="auto"/>
            <w:gridSpan w:val="3"/>
            <w:tcMar>
              <w:top w:w="0" w:type="dxa"/>
              <w:left w:w="20" w:type="dxa"/>
              <w:bottom w:w="0" w:type="dxa"/>
              <w:right w:w="20" w:type="dxa"/>
            </w:tcMar>
            <w:vAlign w:val="center"/>
            <w:hideMark/>
          </w:tcPr>
          <w:p w14:paraId="5939C409" w14:textId="77777777" w:rsidR="00000000" w:rsidRDefault="001D0688">
            <w:pPr>
              <w:rPr>
                <w:rFonts w:eastAsia="Times New Roman"/>
                <w:sz w:val="20"/>
                <w:szCs w:val="20"/>
              </w:rPr>
            </w:pPr>
          </w:p>
        </w:tc>
        <w:tc>
          <w:tcPr>
            <w:tcW w:w="0" w:type="auto"/>
            <w:gridSpan w:val="3"/>
            <w:tcMar>
              <w:top w:w="30" w:type="dxa"/>
              <w:left w:w="20" w:type="dxa"/>
              <w:bottom w:w="30" w:type="dxa"/>
              <w:right w:w="20" w:type="dxa"/>
            </w:tcMar>
            <w:hideMark/>
          </w:tcPr>
          <w:p w14:paraId="18228083"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7EA8E300" w14:textId="77777777" w:rsidR="00000000" w:rsidRDefault="001D0688">
            <w:pPr>
              <w:jc w:val="center"/>
              <w:rPr>
                <w:rFonts w:eastAsia="Times New Roman"/>
              </w:rPr>
            </w:pPr>
          </w:p>
        </w:tc>
      </w:tr>
    </w:tbl>
    <w:p w14:paraId="598953E2" w14:textId="77777777" w:rsidR="00000000" w:rsidRDefault="001D0688">
      <w:pPr>
        <w:divId w:val="294651332"/>
        <w:rPr>
          <w:rFonts w:eastAsia="Times New Roman"/>
        </w:rPr>
      </w:pPr>
      <w:r>
        <w:rPr>
          <w:rFonts w:ascii="Arial" w:eastAsia="Times New Roman" w:hAnsi="Arial" w:cs="Arial"/>
          <w:color w:val="000000"/>
          <w:sz w:val="16"/>
          <w:szCs w:val="16"/>
        </w:rPr>
        <w:t> </w:t>
      </w:r>
    </w:p>
    <w:tbl>
      <w:tblPr>
        <w:tblW w:w="4992" w:type="pct"/>
        <w:tblCellMar>
          <w:top w:w="15" w:type="dxa"/>
          <w:left w:w="15" w:type="dxa"/>
          <w:bottom w:w="15" w:type="dxa"/>
          <w:right w:w="15" w:type="dxa"/>
        </w:tblCellMar>
        <w:tblLook w:val="04A0" w:firstRow="1" w:lastRow="0" w:firstColumn="1" w:lastColumn="0" w:noHBand="0" w:noVBand="1"/>
      </w:tblPr>
      <w:tblGrid>
        <w:gridCol w:w="68"/>
        <w:gridCol w:w="3525"/>
        <w:gridCol w:w="38"/>
        <w:gridCol w:w="69"/>
        <w:gridCol w:w="926"/>
        <w:gridCol w:w="36"/>
        <w:gridCol w:w="69"/>
        <w:gridCol w:w="3525"/>
        <w:gridCol w:w="37"/>
      </w:tblGrid>
      <w:tr w:rsidR="00000000" w14:paraId="682B5962" w14:textId="77777777">
        <w:trPr>
          <w:divId w:val="857353259"/>
        </w:trPr>
        <w:tc>
          <w:tcPr>
            <w:tcW w:w="50" w:type="pct"/>
            <w:vAlign w:val="center"/>
            <w:hideMark/>
          </w:tcPr>
          <w:p w14:paraId="0463F2A7" w14:textId="77777777" w:rsidR="00000000" w:rsidRDefault="001D0688">
            <w:pPr>
              <w:rPr>
                <w:rFonts w:eastAsia="Times New Roman"/>
              </w:rPr>
            </w:pPr>
          </w:p>
        </w:tc>
        <w:tc>
          <w:tcPr>
            <w:tcW w:w="2133" w:type="pct"/>
            <w:vAlign w:val="center"/>
            <w:hideMark/>
          </w:tcPr>
          <w:p w14:paraId="09609337" w14:textId="77777777" w:rsidR="00000000" w:rsidRDefault="001D0688">
            <w:pPr>
              <w:rPr>
                <w:rFonts w:eastAsia="Times New Roman"/>
                <w:sz w:val="20"/>
                <w:szCs w:val="20"/>
              </w:rPr>
            </w:pPr>
          </w:p>
        </w:tc>
        <w:tc>
          <w:tcPr>
            <w:tcW w:w="5" w:type="pct"/>
            <w:vAlign w:val="center"/>
            <w:hideMark/>
          </w:tcPr>
          <w:p w14:paraId="58FC4E57" w14:textId="77777777" w:rsidR="00000000" w:rsidRDefault="001D0688">
            <w:pPr>
              <w:rPr>
                <w:rFonts w:eastAsia="Times New Roman"/>
                <w:sz w:val="20"/>
                <w:szCs w:val="20"/>
              </w:rPr>
            </w:pPr>
          </w:p>
        </w:tc>
        <w:tc>
          <w:tcPr>
            <w:tcW w:w="50" w:type="pct"/>
            <w:vAlign w:val="center"/>
            <w:hideMark/>
          </w:tcPr>
          <w:p w14:paraId="625643A2" w14:textId="77777777" w:rsidR="00000000" w:rsidRDefault="001D0688">
            <w:pPr>
              <w:rPr>
                <w:rFonts w:eastAsia="Times New Roman"/>
                <w:sz w:val="20"/>
                <w:szCs w:val="20"/>
              </w:rPr>
            </w:pPr>
          </w:p>
        </w:tc>
        <w:tc>
          <w:tcPr>
            <w:tcW w:w="567" w:type="pct"/>
            <w:vAlign w:val="center"/>
            <w:hideMark/>
          </w:tcPr>
          <w:p w14:paraId="226D8A80" w14:textId="77777777" w:rsidR="00000000" w:rsidRDefault="001D0688">
            <w:pPr>
              <w:rPr>
                <w:rFonts w:eastAsia="Times New Roman"/>
                <w:sz w:val="20"/>
                <w:szCs w:val="20"/>
              </w:rPr>
            </w:pPr>
          </w:p>
        </w:tc>
        <w:tc>
          <w:tcPr>
            <w:tcW w:w="5" w:type="pct"/>
            <w:vAlign w:val="center"/>
            <w:hideMark/>
          </w:tcPr>
          <w:p w14:paraId="5F671283" w14:textId="77777777" w:rsidR="00000000" w:rsidRDefault="001D0688">
            <w:pPr>
              <w:rPr>
                <w:rFonts w:eastAsia="Times New Roman"/>
                <w:sz w:val="20"/>
                <w:szCs w:val="20"/>
              </w:rPr>
            </w:pPr>
          </w:p>
        </w:tc>
        <w:tc>
          <w:tcPr>
            <w:tcW w:w="50" w:type="pct"/>
            <w:vAlign w:val="center"/>
            <w:hideMark/>
          </w:tcPr>
          <w:p w14:paraId="103E0668" w14:textId="77777777" w:rsidR="00000000" w:rsidRDefault="001D0688">
            <w:pPr>
              <w:rPr>
                <w:rFonts w:eastAsia="Times New Roman"/>
                <w:sz w:val="20"/>
                <w:szCs w:val="20"/>
              </w:rPr>
            </w:pPr>
          </w:p>
        </w:tc>
        <w:tc>
          <w:tcPr>
            <w:tcW w:w="2133" w:type="pct"/>
            <w:vAlign w:val="center"/>
            <w:hideMark/>
          </w:tcPr>
          <w:p w14:paraId="36887CF4" w14:textId="77777777" w:rsidR="00000000" w:rsidRDefault="001D0688">
            <w:pPr>
              <w:rPr>
                <w:rFonts w:eastAsia="Times New Roman"/>
                <w:sz w:val="20"/>
                <w:szCs w:val="20"/>
              </w:rPr>
            </w:pPr>
          </w:p>
        </w:tc>
        <w:tc>
          <w:tcPr>
            <w:tcW w:w="5" w:type="pct"/>
            <w:vAlign w:val="center"/>
            <w:hideMark/>
          </w:tcPr>
          <w:p w14:paraId="2D2E66D2" w14:textId="77777777" w:rsidR="00000000" w:rsidRDefault="001D0688">
            <w:pPr>
              <w:rPr>
                <w:rFonts w:eastAsia="Times New Roman"/>
                <w:sz w:val="20"/>
                <w:szCs w:val="20"/>
              </w:rPr>
            </w:pPr>
          </w:p>
        </w:tc>
      </w:tr>
      <w:tr w:rsidR="00000000" w14:paraId="777F596D" w14:textId="77777777">
        <w:trPr>
          <w:divId w:val="857353259"/>
          <w:trHeight w:val="300"/>
        </w:trPr>
        <w:tc>
          <w:tcPr>
            <w:tcW w:w="0" w:type="auto"/>
            <w:gridSpan w:val="3"/>
            <w:tcMar>
              <w:top w:w="0" w:type="dxa"/>
              <w:left w:w="20" w:type="dxa"/>
              <w:bottom w:w="0" w:type="dxa"/>
              <w:right w:w="20" w:type="dxa"/>
            </w:tcMar>
            <w:vAlign w:val="center"/>
            <w:hideMark/>
          </w:tcPr>
          <w:p w14:paraId="6210EF4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EB929A0"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07EB1FE" w14:textId="77777777" w:rsidR="00000000" w:rsidRDefault="001D0688">
            <w:pPr>
              <w:rPr>
                <w:rFonts w:eastAsia="Times New Roman"/>
                <w:sz w:val="20"/>
                <w:szCs w:val="20"/>
              </w:rPr>
            </w:pPr>
          </w:p>
        </w:tc>
      </w:tr>
      <w:tr w:rsidR="00000000" w14:paraId="6441273E" w14:textId="77777777">
        <w:trPr>
          <w:divId w:val="857353259"/>
        </w:trPr>
        <w:tc>
          <w:tcPr>
            <w:tcW w:w="0" w:type="auto"/>
            <w:gridSpan w:val="3"/>
            <w:shd w:val="clear" w:color="auto" w:fill="FFFFFF"/>
            <w:tcMar>
              <w:top w:w="30" w:type="dxa"/>
              <w:left w:w="20" w:type="dxa"/>
              <w:bottom w:w="30" w:type="dxa"/>
              <w:right w:w="20" w:type="dxa"/>
            </w:tcMar>
            <w:hideMark/>
          </w:tcPr>
          <w:p w14:paraId="6B96A9F9" w14:textId="77777777" w:rsidR="00000000" w:rsidRDefault="001D0688">
            <w:pPr>
              <w:jc w:val="center"/>
              <w:rPr>
                <w:rFonts w:eastAsia="Times New Roman"/>
              </w:rPr>
            </w:pPr>
            <w:r>
              <w:rPr>
                <w:rFonts w:ascii="Arial" w:eastAsia="Times New Roman" w:hAnsi="Arial" w:cs="Arial"/>
                <w:color w:val="000000"/>
                <w:sz w:val="20"/>
                <w:szCs w:val="20"/>
              </w:rPr>
              <w:t>/s/ Earl R. Ellis</w:t>
            </w:r>
          </w:p>
        </w:tc>
        <w:tc>
          <w:tcPr>
            <w:tcW w:w="0" w:type="auto"/>
            <w:gridSpan w:val="3"/>
            <w:tcMar>
              <w:top w:w="30" w:type="dxa"/>
              <w:left w:w="20" w:type="dxa"/>
              <w:bottom w:w="30" w:type="dxa"/>
              <w:right w:w="20" w:type="dxa"/>
            </w:tcMar>
            <w:vAlign w:val="bottom"/>
            <w:hideMark/>
          </w:tcPr>
          <w:p w14:paraId="0E03AD92" w14:textId="77777777" w:rsidR="00000000" w:rsidRDefault="001D068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E26741C" w14:textId="77777777" w:rsidR="00000000" w:rsidRDefault="001D0688">
            <w:pPr>
              <w:jc w:val="center"/>
              <w:rPr>
                <w:rFonts w:eastAsia="Times New Roman"/>
              </w:rPr>
            </w:pPr>
            <w:r>
              <w:rPr>
                <w:rFonts w:ascii="Arial" w:eastAsia="Times New Roman" w:hAnsi="Arial" w:cs="Arial"/>
                <w:color w:val="000000"/>
                <w:sz w:val="20"/>
                <w:szCs w:val="20"/>
              </w:rPr>
              <w:t>/s/ Dean A. Chin</w:t>
            </w:r>
          </w:p>
        </w:tc>
      </w:tr>
      <w:tr w:rsidR="00000000" w14:paraId="024C164A" w14:textId="77777777">
        <w:trPr>
          <w:divId w:val="85735325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8B63E5" w14:textId="77777777" w:rsidR="00000000" w:rsidRDefault="001D0688">
            <w:pPr>
              <w:jc w:val="center"/>
              <w:rPr>
                <w:rFonts w:eastAsia="Times New Roman"/>
              </w:rPr>
            </w:pPr>
            <w:r>
              <w:rPr>
                <w:rFonts w:ascii="Arial" w:eastAsia="Times New Roman" w:hAnsi="Arial" w:cs="Arial"/>
                <w:color w:val="000000"/>
                <w:sz w:val="20"/>
                <w:szCs w:val="20"/>
              </w:rPr>
              <w:t>Earl R. Ellis</w:t>
            </w:r>
          </w:p>
          <w:p w14:paraId="28841106" w14:textId="77777777" w:rsidR="00000000" w:rsidRDefault="001D0688">
            <w:pPr>
              <w:jc w:val="center"/>
              <w:rPr>
                <w:rFonts w:eastAsia="Times New Roman"/>
              </w:rPr>
            </w:pPr>
            <w:r>
              <w:rPr>
                <w:rFonts w:ascii="Arial" w:eastAsia="Times New Roman" w:hAnsi="Arial" w:cs="Arial"/>
                <w:color w:val="000000"/>
                <w:sz w:val="20"/>
                <w:szCs w:val="20"/>
              </w:rPr>
              <w:t>Executive Vice President and</w:t>
            </w:r>
          </w:p>
          <w:p w14:paraId="6D8DDBEF" w14:textId="77777777" w:rsidR="00000000" w:rsidRDefault="001D0688">
            <w:pPr>
              <w:jc w:val="center"/>
              <w:rPr>
                <w:rFonts w:eastAsia="Times New Roman"/>
              </w:rPr>
            </w:pPr>
            <w:r>
              <w:rPr>
                <w:rFonts w:ascii="Arial" w:eastAsia="Times New Roman" w:hAnsi="Arial" w:cs="Arial"/>
                <w:color w:val="000000"/>
                <w:sz w:val="20"/>
                <w:szCs w:val="20"/>
              </w:rPr>
              <w:t>Chief Financial Officer</w:t>
            </w:r>
          </w:p>
        </w:tc>
        <w:tc>
          <w:tcPr>
            <w:tcW w:w="0" w:type="auto"/>
            <w:gridSpan w:val="3"/>
            <w:tcMar>
              <w:top w:w="30" w:type="dxa"/>
              <w:left w:w="20" w:type="dxa"/>
              <w:bottom w:w="30" w:type="dxa"/>
              <w:right w:w="20" w:type="dxa"/>
            </w:tcMar>
            <w:vAlign w:val="bottom"/>
            <w:hideMark/>
          </w:tcPr>
          <w:p w14:paraId="763B47F9" w14:textId="77777777" w:rsidR="00000000" w:rsidRDefault="001D0688">
            <w:pPr>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4507E0" w14:textId="77777777" w:rsidR="00000000" w:rsidRDefault="001D0688">
            <w:pPr>
              <w:jc w:val="center"/>
              <w:rPr>
                <w:rFonts w:eastAsia="Times New Roman"/>
              </w:rPr>
            </w:pPr>
            <w:r>
              <w:rPr>
                <w:rFonts w:ascii="Arial" w:eastAsia="Times New Roman" w:hAnsi="Arial" w:cs="Arial"/>
                <w:color w:val="000000"/>
                <w:sz w:val="20"/>
                <w:szCs w:val="20"/>
              </w:rPr>
              <w:t>Dean A. Chin</w:t>
            </w:r>
            <w:r>
              <w:rPr>
                <w:rFonts w:ascii="Arial" w:eastAsia="Times New Roman" w:hAnsi="Arial" w:cs="Arial"/>
                <w:color w:val="000000"/>
                <w:sz w:val="20"/>
                <w:szCs w:val="20"/>
              </w:rPr>
              <w:br/>
              <w:t>Senior Vice President, Chief Accounting Officer,</w:t>
            </w:r>
            <w:r>
              <w:rPr>
                <w:rFonts w:ascii="Arial" w:eastAsia="Times New Roman" w:hAnsi="Arial" w:cs="Arial"/>
                <w:color w:val="000000"/>
                <w:sz w:val="20"/>
                <w:szCs w:val="20"/>
              </w:rPr>
              <w:br/>
              <w:t>and Corporate Controller</w:t>
            </w:r>
          </w:p>
        </w:tc>
      </w:tr>
      <w:tr w:rsidR="00000000" w14:paraId="3322FCD4" w14:textId="77777777">
        <w:trPr>
          <w:divId w:val="857353259"/>
        </w:trPr>
        <w:tc>
          <w:tcPr>
            <w:tcW w:w="0" w:type="auto"/>
            <w:gridSpan w:val="3"/>
            <w:shd w:val="clear" w:color="auto" w:fill="FFFFFF"/>
            <w:tcMar>
              <w:top w:w="30" w:type="dxa"/>
              <w:left w:w="20" w:type="dxa"/>
              <w:bottom w:w="30" w:type="dxa"/>
              <w:right w:w="20" w:type="dxa"/>
            </w:tcMar>
            <w:vAlign w:val="bottom"/>
            <w:hideMark/>
          </w:tcPr>
          <w:p w14:paraId="3BFFB64D" w14:textId="77777777" w:rsidR="00000000" w:rsidRDefault="001D0688">
            <w:pPr>
              <w:jc w:val="center"/>
              <w:rPr>
                <w:rFonts w:eastAsia="Times New Roman"/>
              </w:rPr>
            </w:pPr>
            <w:r>
              <w:rPr>
                <w:rFonts w:ascii="Arial" w:eastAsia="Times New Roman" w:hAnsi="Arial" w:cs="Arial"/>
                <w:color w:val="000000"/>
                <w:sz w:val="20"/>
                <w:szCs w:val="20"/>
              </w:rPr>
              <w:t>(Principal Financial Officer)</w:t>
            </w:r>
          </w:p>
        </w:tc>
        <w:tc>
          <w:tcPr>
            <w:tcW w:w="0" w:type="auto"/>
            <w:gridSpan w:val="3"/>
            <w:tcMar>
              <w:top w:w="0" w:type="dxa"/>
              <w:left w:w="20" w:type="dxa"/>
              <w:bottom w:w="0" w:type="dxa"/>
              <w:right w:w="20" w:type="dxa"/>
            </w:tcMar>
            <w:vAlign w:val="center"/>
            <w:hideMark/>
          </w:tcPr>
          <w:p w14:paraId="5C018243"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40EF3076" w14:textId="77777777" w:rsidR="00000000" w:rsidRDefault="001D0688">
            <w:pPr>
              <w:jc w:val="center"/>
              <w:rPr>
                <w:rFonts w:eastAsia="Times New Roman"/>
              </w:rPr>
            </w:pPr>
            <w:r>
              <w:rPr>
                <w:rFonts w:ascii="Arial" w:eastAsia="Times New Roman" w:hAnsi="Arial" w:cs="Arial"/>
                <w:color w:val="000000"/>
                <w:sz w:val="20"/>
                <w:szCs w:val="20"/>
              </w:rPr>
              <w:t>(Principal Accounting Officer)</w:t>
            </w:r>
          </w:p>
        </w:tc>
      </w:tr>
      <w:tr w:rsidR="00000000" w14:paraId="47A072C3" w14:textId="77777777">
        <w:trPr>
          <w:divId w:val="857353259"/>
        </w:trPr>
        <w:tc>
          <w:tcPr>
            <w:tcW w:w="0" w:type="auto"/>
            <w:gridSpan w:val="3"/>
            <w:tcMar>
              <w:top w:w="30" w:type="dxa"/>
              <w:left w:w="20" w:type="dxa"/>
              <w:bottom w:w="30" w:type="dxa"/>
              <w:right w:w="20" w:type="dxa"/>
            </w:tcMar>
            <w:hideMark/>
          </w:tcPr>
          <w:p w14:paraId="604A2250"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171333FA" w14:textId="77777777" w:rsidR="00000000" w:rsidRDefault="001D0688">
            <w:pPr>
              <w:jc w:val="center"/>
              <w:rPr>
                <w:rFonts w:eastAsia="Times New Roman"/>
              </w:rPr>
            </w:pPr>
          </w:p>
        </w:tc>
        <w:tc>
          <w:tcPr>
            <w:tcW w:w="0" w:type="auto"/>
            <w:gridSpan w:val="3"/>
            <w:tcMar>
              <w:top w:w="30" w:type="dxa"/>
              <w:left w:w="20" w:type="dxa"/>
              <w:bottom w:w="30" w:type="dxa"/>
              <w:right w:w="20" w:type="dxa"/>
            </w:tcMar>
            <w:hideMark/>
          </w:tcPr>
          <w:p w14:paraId="56BDBA49" w14:textId="77777777" w:rsidR="00000000" w:rsidRDefault="001D0688">
            <w:pPr>
              <w:jc w:val="center"/>
              <w:rPr>
                <w:rFonts w:eastAsia="Times New Roman"/>
              </w:rPr>
            </w:pPr>
            <w:r>
              <w:rPr>
                <w:rFonts w:ascii="Arial" w:eastAsia="Times New Roman" w:hAnsi="Arial" w:cs="Arial"/>
                <w:color w:val="000000"/>
                <w:sz w:val="20"/>
                <w:szCs w:val="20"/>
              </w:rPr>
              <w:t>December 17, 2020</w:t>
            </w:r>
          </w:p>
        </w:tc>
      </w:tr>
      <w:tr w:rsidR="00000000" w14:paraId="36C44536" w14:textId="77777777">
        <w:trPr>
          <w:divId w:val="857353259"/>
          <w:trHeight w:val="300"/>
        </w:trPr>
        <w:tc>
          <w:tcPr>
            <w:tcW w:w="0" w:type="auto"/>
            <w:gridSpan w:val="3"/>
            <w:tcMar>
              <w:top w:w="0" w:type="dxa"/>
              <w:left w:w="20" w:type="dxa"/>
              <w:bottom w:w="0" w:type="dxa"/>
              <w:right w:w="20" w:type="dxa"/>
            </w:tcMar>
            <w:vAlign w:val="center"/>
            <w:hideMark/>
          </w:tcPr>
          <w:p w14:paraId="715F806C"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77CEAA6A"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4E6C9606" w14:textId="77777777" w:rsidR="00000000" w:rsidRDefault="001D0688">
            <w:pPr>
              <w:rPr>
                <w:rFonts w:eastAsia="Times New Roman"/>
                <w:sz w:val="20"/>
                <w:szCs w:val="20"/>
              </w:rPr>
            </w:pPr>
          </w:p>
        </w:tc>
      </w:tr>
      <w:tr w:rsidR="00000000" w14:paraId="02EFB735" w14:textId="77777777">
        <w:trPr>
          <w:divId w:val="857353259"/>
        </w:trPr>
        <w:tc>
          <w:tcPr>
            <w:tcW w:w="0" w:type="auto"/>
            <w:gridSpan w:val="3"/>
            <w:tcMar>
              <w:top w:w="30" w:type="dxa"/>
              <w:left w:w="20" w:type="dxa"/>
              <w:bottom w:w="30" w:type="dxa"/>
              <w:right w:w="20" w:type="dxa"/>
            </w:tcMar>
            <w:hideMark/>
          </w:tcPr>
          <w:p w14:paraId="22A00B13" w14:textId="77777777" w:rsidR="00000000" w:rsidRDefault="001D0688">
            <w:pPr>
              <w:jc w:val="center"/>
              <w:rPr>
                <w:rFonts w:eastAsia="Times New Roman"/>
              </w:rPr>
            </w:pPr>
            <w:r>
              <w:rPr>
                <w:rFonts w:ascii="Arial" w:eastAsia="Times New Roman" w:hAnsi="Arial" w:cs="Arial"/>
                <w:color w:val="000000"/>
                <w:sz w:val="20"/>
                <w:szCs w:val="20"/>
              </w:rPr>
              <w:t>/s/ Sudhakar Kesavan</w:t>
            </w:r>
          </w:p>
        </w:tc>
        <w:tc>
          <w:tcPr>
            <w:tcW w:w="0" w:type="auto"/>
            <w:gridSpan w:val="3"/>
            <w:tcMar>
              <w:top w:w="30" w:type="dxa"/>
              <w:left w:w="20" w:type="dxa"/>
              <w:bottom w:w="30" w:type="dxa"/>
              <w:right w:w="20" w:type="dxa"/>
            </w:tcMar>
            <w:vAlign w:val="bottom"/>
            <w:hideMark/>
          </w:tcPr>
          <w:p w14:paraId="70D5A54D" w14:textId="77777777" w:rsidR="00000000" w:rsidRDefault="001D068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4F336D2A" w14:textId="77777777" w:rsidR="00000000" w:rsidRDefault="001D0688">
            <w:pPr>
              <w:jc w:val="center"/>
              <w:rPr>
                <w:rFonts w:eastAsia="Times New Roman"/>
              </w:rPr>
            </w:pPr>
            <w:r>
              <w:rPr>
                <w:rFonts w:ascii="Arial" w:eastAsia="Times New Roman" w:hAnsi="Arial" w:cs="Arial"/>
                <w:color w:val="000000"/>
                <w:sz w:val="20"/>
                <w:szCs w:val="20"/>
              </w:rPr>
              <w:t>/s/ LeighAnne G. Baker</w:t>
            </w:r>
          </w:p>
        </w:tc>
      </w:tr>
      <w:tr w:rsidR="00000000" w14:paraId="44CFA275" w14:textId="77777777">
        <w:trPr>
          <w:divId w:val="857353259"/>
        </w:trPr>
        <w:tc>
          <w:tcPr>
            <w:tcW w:w="0" w:type="auto"/>
            <w:gridSpan w:val="3"/>
            <w:tcBorders>
              <w:top w:val="single" w:sz="8" w:space="0" w:color="000000"/>
            </w:tcBorders>
            <w:tcMar>
              <w:top w:w="30" w:type="dxa"/>
              <w:left w:w="20" w:type="dxa"/>
              <w:bottom w:w="30" w:type="dxa"/>
              <w:right w:w="20" w:type="dxa"/>
            </w:tcMar>
            <w:vAlign w:val="bottom"/>
            <w:hideMark/>
          </w:tcPr>
          <w:p w14:paraId="415422A7" w14:textId="77777777" w:rsidR="00000000" w:rsidRDefault="001D0688">
            <w:pPr>
              <w:jc w:val="center"/>
              <w:rPr>
                <w:rFonts w:eastAsia="Times New Roman"/>
              </w:rPr>
            </w:pPr>
            <w:r>
              <w:rPr>
                <w:rFonts w:ascii="Arial" w:eastAsia="Times New Roman" w:hAnsi="Arial" w:cs="Arial"/>
                <w:color w:val="000000"/>
                <w:sz w:val="20"/>
                <w:szCs w:val="20"/>
              </w:rPr>
              <w:t>Sudhakar Kesavan</w:t>
            </w:r>
          </w:p>
        </w:tc>
        <w:tc>
          <w:tcPr>
            <w:tcW w:w="0" w:type="auto"/>
            <w:gridSpan w:val="3"/>
            <w:tcMar>
              <w:top w:w="30" w:type="dxa"/>
              <w:left w:w="20" w:type="dxa"/>
              <w:bottom w:w="30" w:type="dxa"/>
              <w:right w:w="20" w:type="dxa"/>
            </w:tcMar>
            <w:vAlign w:val="bottom"/>
            <w:hideMark/>
          </w:tcPr>
          <w:p w14:paraId="53C23590" w14:textId="77777777" w:rsidR="00000000" w:rsidRDefault="001D0688">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C8DBE6F" w14:textId="77777777" w:rsidR="00000000" w:rsidRDefault="001D0688">
            <w:pPr>
              <w:jc w:val="center"/>
              <w:rPr>
                <w:rFonts w:eastAsia="Times New Roman"/>
              </w:rPr>
            </w:pPr>
            <w:r>
              <w:rPr>
                <w:rFonts w:ascii="Arial" w:eastAsia="Times New Roman" w:hAnsi="Arial" w:cs="Arial"/>
                <w:color w:val="000000"/>
                <w:sz w:val="20"/>
                <w:szCs w:val="20"/>
              </w:rPr>
              <w:t>LeighAnne G. Baker, Director</w:t>
            </w:r>
          </w:p>
        </w:tc>
      </w:tr>
      <w:tr w:rsidR="00000000" w14:paraId="3E271106" w14:textId="77777777">
        <w:trPr>
          <w:divId w:val="857353259"/>
        </w:trPr>
        <w:tc>
          <w:tcPr>
            <w:tcW w:w="0" w:type="auto"/>
            <w:gridSpan w:val="3"/>
            <w:tcMar>
              <w:top w:w="30" w:type="dxa"/>
              <w:left w:w="20" w:type="dxa"/>
              <w:bottom w:w="30" w:type="dxa"/>
              <w:right w:w="20" w:type="dxa"/>
            </w:tcMar>
            <w:vAlign w:val="bottom"/>
            <w:hideMark/>
          </w:tcPr>
          <w:p w14:paraId="6C983F30" w14:textId="77777777" w:rsidR="00000000" w:rsidRDefault="001D0688">
            <w:pPr>
              <w:jc w:val="center"/>
              <w:rPr>
                <w:rFonts w:eastAsia="Times New Roman"/>
              </w:rPr>
            </w:pPr>
            <w:r>
              <w:rPr>
                <w:rFonts w:ascii="Arial" w:eastAsia="Times New Roman" w:hAnsi="Arial" w:cs="Arial"/>
                <w:color w:val="000000"/>
                <w:sz w:val="20"/>
                <w:szCs w:val="20"/>
              </w:rPr>
              <w:t>Chairman of the Board and Director</w:t>
            </w:r>
          </w:p>
        </w:tc>
        <w:tc>
          <w:tcPr>
            <w:tcW w:w="0" w:type="auto"/>
            <w:gridSpan w:val="3"/>
            <w:tcMar>
              <w:top w:w="0" w:type="dxa"/>
              <w:left w:w="20" w:type="dxa"/>
              <w:bottom w:w="0" w:type="dxa"/>
              <w:right w:w="20" w:type="dxa"/>
            </w:tcMar>
            <w:vAlign w:val="center"/>
            <w:hideMark/>
          </w:tcPr>
          <w:p w14:paraId="27BD08BA" w14:textId="77777777" w:rsidR="00000000" w:rsidRDefault="001D0688">
            <w:pPr>
              <w:jc w:val="center"/>
              <w:rPr>
                <w:rFonts w:eastAsia="Times New Roman"/>
              </w:rPr>
            </w:pPr>
          </w:p>
        </w:tc>
        <w:tc>
          <w:tcPr>
            <w:tcW w:w="0" w:type="auto"/>
            <w:gridSpan w:val="3"/>
            <w:tcMar>
              <w:top w:w="30" w:type="dxa"/>
              <w:left w:w="20" w:type="dxa"/>
              <w:bottom w:w="30" w:type="dxa"/>
              <w:right w:w="20" w:type="dxa"/>
            </w:tcMar>
            <w:hideMark/>
          </w:tcPr>
          <w:p w14:paraId="1A049DD1" w14:textId="77777777" w:rsidR="00000000" w:rsidRDefault="001D0688">
            <w:pPr>
              <w:jc w:val="center"/>
              <w:rPr>
                <w:rFonts w:eastAsia="Times New Roman"/>
              </w:rPr>
            </w:pPr>
            <w:r>
              <w:rPr>
                <w:rFonts w:ascii="Arial" w:eastAsia="Times New Roman" w:hAnsi="Arial" w:cs="Arial"/>
                <w:color w:val="000000"/>
                <w:sz w:val="20"/>
                <w:szCs w:val="20"/>
              </w:rPr>
              <w:t>December 17, 2020</w:t>
            </w:r>
          </w:p>
        </w:tc>
      </w:tr>
      <w:tr w:rsidR="00000000" w14:paraId="255FF3B4" w14:textId="77777777">
        <w:trPr>
          <w:divId w:val="857353259"/>
        </w:trPr>
        <w:tc>
          <w:tcPr>
            <w:tcW w:w="0" w:type="auto"/>
            <w:gridSpan w:val="3"/>
            <w:tcMar>
              <w:top w:w="30" w:type="dxa"/>
              <w:left w:w="20" w:type="dxa"/>
              <w:bottom w:w="30" w:type="dxa"/>
              <w:right w:w="20" w:type="dxa"/>
            </w:tcMar>
            <w:hideMark/>
          </w:tcPr>
          <w:p w14:paraId="7BC4F28F"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4D9A60EB"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3684F2B6" w14:textId="77777777" w:rsidR="00000000" w:rsidRDefault="001D0688">
            <w:pPr>
              <w:rPr>
                <w:rFonts w:eastAsia="Times New Roman"/>
                <w:sz w:val="20"/>
                <w:szCs w:val="20"/>
              </w:rPr>
            </w:pPr>
          </w:p>
        </w:tc>
      </w:tr>
      <w:tr w:rsidR="00000000" w14:paraId="48442620" w14:textId="77777777">
        <w:trPr>
          <w:divId w:val="857353259"/>
          <w:trHeight w:val="300"/>
        </w:trPr>
        <w:tc>
          <w:tcPr>
            <w:tcW w:w="0" w:type="auto"/>
            <w:gridSpan w:val="3"/>
            <w:tcMar>
              <w:top w:w="0" w:type="dxa"/>
              <w:left w:w="20" w:type="dxa"/>
              <w:bottom w:w="0" w:type="dxa"/>
              <w:right w:w="20" w:type="dxa"/>
            </w:tcMar>
            <w:vAlign w:val="center"/>
            <w:hideMark/>
          </w:tcPr>
          <w:p w14:paraId="6D15141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CB065B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763AC929" w14:textId="77777777" w:rsidR="00000000" w:rsidRDefault="001D0688">
            <w:pPr>
              <w:rPr>
                <w:rFonts w:eastAsia="Times New Roman"/>
                <w:sz w:val="20"/>
                <w:szCs w:val="20"/>
              </w:rPr>
            </w:pPr>
          </w:p>
        </w:tc>
      </w:tr>
      <w:tr w:rsidR="00000000" w14:paraId="5BDC85C6" w14:textId="77777777">
        <w:trPr>
          <w:divId w:val="857353259"/>
        </w:trPr>
        <w:tc>
          <w:tcPr>
            <w:tcW w:w="0" w:type="auto"/>
            <w:gridSpan w:val="3"/>
            <w:tcMar>
              <w:top w:w="30" w:type="dxa"/>
              <w:left w:w="20" w:type="dxa"/>
              <w:bottom w:w="30" w:type="dxa"/>
              <w:right w:w="20" w:type="dxa"/>
            </w:tcMar>
            <w:hideMark/>
          </w:tcPr>
          <w:p w14:paraId="797779C1" w14:textId="77777777" w:rsidR="00000000" w:rsidRDefault="001D0688">
            <w:pPr>
              <w:jc w:val="center"/>
              <w:rPr>
                <w:rFonts w:eastAsia="Times New Roman"/>
              </w:rPr>
            </w:pPr>
            <w:r>
              <w:rPr>
                <w:rFonts w:ascii="Arial" w:eastAsia="Times New Roman" w:hAnsi="Arial" w:cs="Arial"/>
                <w:color w:val="000000"/>
                <w:sz w:val="20"/>
                <w:szCs w:val="20"/>
              </w:rPr>
              <w:t>/s/ Linda Chavez</w:t>
            </w:r>
          </w:p>
        </w:tc>
        <w:tc>
          <w:tcPr>
            <w:tcW w:w="0" w:type="auto"/>
            <w:gridSpan w:val="3"/>
            <w:tcMar>
              <w:top w:w="30" w:type="dxa"/>
              <w:left w:w="20" w:type="dxa"/>
              <w:bottom w:w="30" w:type="dxa"/>
              <w:right w:w="20" w:type="dxa"/>
            </w:tcMar>
            <w:vAlign w:val="bottom"/>
            <w:hideMark/>
          </w:tcPr>
          <w:p w14:paraId="7786E309" w14:textId="77777777" w:rsidR="00000000" w:rsidRDefault="001D0688">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0CC0CF47" w14:textId="77777777" w:rsidR="00000000" w:rsidRDefault="001D0688">
            <w:pPr>
              <w:jc w:val="center"/>
              <w:rPr>
                <w:rFonts w:eastAsia="Times New Roman"/>
              </w:rPr>
            </w:pPr>
            <w:r>
              <w:rPr>
                <w:rFonts w:ascii="Arial" w:eastAsia="Times New Roman" w:hAnsi="Arial" w:cs="Arial"/>
                <w:color w:val="000000"/>
                <w:sz w:val="20"/>
                <w:szCs w:val="20"/>
              </w:rPr>
              <w:t>/s/ Donald F. Colleran</w:t>
            </w:r>
          </w:p>
        </w:tc>
      </w:tr>
      <w:tr w:rsidR="00000000" w14:paraId="307079E4" w14:textId="77777777">
        <w:trPr>
          <w:divId w:val="857353259"/>
        </w:trPr>
        <w:tc>
          <w:tcPr>
            <w:tcW w:w="0" w:type="auto"/>
            <w:gridSpan w:val="3"/>
            <w:tcBorders>
              <w:top w:val="single" w:sz="8" w:space="0" w:color="000000"/>
            </w:tcBorders>
            <w:tcMar>
              <w:top w:w="30" w:type="dxa"/>
              <w:left w:w="20" w:type="dxa"/>
              <w:bottom w:w="30" w:type="dxa"/>
              <w:right w:w="20" w:type="dxa"/>
            </w:tcMar>
            <w:vAlign w:val="bottom"/>
            <w:hideMark/>
          </w:tcPr>
          <w:p w14:paraId="3604D280" w14:textId="77777777" w:rsidR="00000000" w:rsidRDefault="001D0688">
            <w:pPr>
              <w:jc w:val="center"/>
              <w:rPr>
                <w:rFonts w:eastAsia="Times New Roman"/>
              </w:rPr>
            </w:pPr>
            <w:r>
              <w:rPr>
                <w:rFonts w:ascii="Arial" w:eastAsia="Times New Roman" w:hAnsi="Arial" w:cs="Arial"/>
                <w:color w:val="000000"/>
                <w:sz w:val="20"/>
                <w:szCs w:val="20"/>
              </w:rPr>
              <w:t>Linda Chavez, Director</w:t>
            </w:r>
          </w:p>
        </w:tc>
        <w:tc>
          <w:tcPr>
            <w:tcW w:w="0" w:type="auto"/>
            <w:gridSpan w:val="3"/>
            <w:tcMar>
              <w:top w:w="30" w:type="dxa"/>
              <w:left w:w="20" w:type="dxa"/>
              <w:bottom w:w="30" w:type="dxa"/>
              <w:right w:w="20" w:type="dxa"/>
            </w:tcMar>
            <w:vAlign w:val="bottom"/>
            <w:hideMark/>
          </w:tcPr>
          <w:p w14:paraId="720C3C9B" w14:textId="77777777" w:rsidR="00000000" w:rsidRDefault="001D0688">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A7E0AC8" w14:textId="77777777" w:rsidR="00000000" w:rsidRDefault="001D0688">
            <w:pPr>
              <w:jc w:val="center"/>
              <w:rPr>
                <w:rFonts w:eastAsia="Times New Roman"/>
              </w:rPr>
            </w:pPr>
            <w:r>
              <w:rPr>
                <w:rFonts w:ascii="Arial" w:eastAsia="Times New Roman" w:hAnsi="Arial" w:cs="Arial"/>
                <w:color w:val="000000"/>
                <w:sz w:val="20"/>
                <w:szCs w:val="20"/>
              </w:rPr>
              <w:t>Donald F. Colleran, Director</w:t>
            </w:r>
          </w:p>
        </w:tc>
      </w:tr>
      <w:tr w:rsidR="00000000" w14:paraId="7F9F15F2" w14:textId="77777777">
        <w:trPr>
          <w:divId w:val="857353259"/>
        </w:trPr>
        <w:tc>
          <w:tcPr>
            <w:tcW w:w="0" w:type="auto"/>
            <w:gridSpan w:val="3"/>
            <w:tcMar>
              <w:top w:w="30" w:type="dxa"/>
              <w:left w:w="20" w:type="dxa"/>
              <w:bottom w:w="30" w:type="dxa"/>
              <w:right w:w="20" w:type="dxa"/>
            </w:tcMar>
            <w:hideMark/>
          </w:tcPr>
          <w:p w14:paraId="6600F47F"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4DB08FB7" w14:textId="77777777" w:rsidR="00000000" w:rsidRDefault="001D0688">
            <w:pPr>
              <w:jc w:val="center"/>
              <w:rPr>
                <w:rFonts w:eastAsia="Times New Roman"/>
              </w:rPr>
            </w:pPr>
          </w:p>
        </w:tc>
        <w:tc>
          <w:tcPr>
            <w:tcW w:w="0" w:type="auto"/>
            <w:gridSpan w:val="3"/>
            <w:tcMar>
              <w:top w:w="30" w:type="dxa"/>
              <w:left w:w="20" w:type="dxa"/>
              <w:bottom w:w="30" w:type="dxa"/>
              <w:right w:w="20" w:type="dxa"/>
            </w:tcMar>
            <w:hideMark/>
          </w:tcPr>
          <w:p w14:paraId="098648AF" w14:textId="77777777" w:rsidR="00000000" w:rsidRDefault="001D0688">
            <w:pPr>
              <w:jc w:val="center"/>
              <w:rPr>
                <w:rFonts w:eastAsia="Times New Roman"/>
              </w:rPr>
            </w:pPr>
            <w:r>
              <w:rPr>
                <w:rFonts w:ascii="Arial" w:eastAsia="Times New Roman" w:hAnsi="Arial" w:cs="Arial"/>
                <w:color w:val="000000"/>
                <w:sz w:val="20"/>
                <w:szCs w:val="20"/>
              </w:rPr>
              <w:t>December 17, 2020</w:t>
            </w:r>
          </w:p>
        </w:tc>
      </w:tr>
      <w:tr w:rsidR="00000000" w14:paraId="5EE3A585" w14:textId="77777777">
        <w:trPr>
          <w:divId w:val="857353259"/>
          <w:trHeight w:val="300"/>
        </w:trPr>
        <w:tc>
          <w:tcPr>
            <w:tcW w:w="0" w:type="auto"/>
            <w:gridSpan w:val="3"/>
            <w:tcMar>
              <w:top w:w="0" w:type="dxa"/>
              <w:left w:w="20" w:type="dxa"/>
              <w:bottom w:w="0" w:type="dxa"/>
              <w:right w:w="20" w:type="dxa"/>
            </w:tcMar>
            <w:vAlign w:val="center"/>
            <w:hideMark/>
          </w:tcPr>
          <w:p w14:paraId="1519E3D8"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1D46A3E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3A0B4F07" w14:textId="77777777" w:rsidR="00000000" w:rsidRDefault="001D0688">
            <w:pPr>
              <w:rPr>
                <w:rFonts w:eastAsia="Times New Roman"/>
                <w:sz w:val="20"/>
                <w:szCs w:val="20"/>
              </w:rPr>
            </w:pPr>
          </w:p>
        </w:tc>
      </w:tr>
      <w:tr w:rsidR="00000000" w14:paraId="69E33F7B" w14:textId="77777777">
        <w:trPr>
          <w:divId w:val="857353259"/>
        </w:trPr>
        <w:tc>
          <w:tcPr>
            <w:tcW w:w="0" w:type="auto"/>
            <w:gridSpan w:val="3"/>
            <w:tcMar>
              <w:top w:w="30" w:type="dxa"/>
              <w:left w:w="20" w:type="dxa"/>
              <w:bottom w:w="30" w:type="dxa"/>
              <w:right w:w="20" w:type="dxa"/>
            </w:tcMar>
            <w:hideMark/>
          </w:tcPr>
          <w:p w14:paraId="5E51C152" w14:textId="77777777" w:rsidR="00000000" w:rsidRDefault="001D0688">
            <w:pPr>
              <w:jc w:val="center"/>
              <w:rPr>
                <w:rFonts w:eastAsia="Times New Roman"/>
              </w:rPr>
            </w:pPr>
            <w:r>
              <w:rPr>
                <w:rFonts w:ascii="Arial" w:eastAsia="Times New Roman" w:hAnsi="Arial" w:cs="Arial"/>
                <w:color w:val="000000"/>
                <w:sz w:val="20"/>
                <w:szCs w:val="20"/>
              </w:rPr>
              <w:t>/s/ Art A. Garcia</w:t>
            </w:r>
          </w:p>
        </w:tc>
        <w:tc>
          <w:tcPr>
            <w:tcW w:w="0" w:type="auto"/>
            <w:gridSpan w:val="3"/>
            <w:tcMar>
              <w:top w:w="0" w:type="dxa"/>
              <w:left w:w="20" w:type="dxa"/>
              <w:bottom w:w="0" w:type="dxa"/>
              <w:right w:w="20" w:type="dxa"/>
            </w:tcMar>
            <w:vAlign w:val="center"/>
            <w:hideMark/>
          </w:tcPr>
          <w:p w14:paraId="0172571C"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1A848B5D" w14:textId="77777777" w:rsidR="00000000" w:rsidRDefault="001D0688">
            <w:pPr>
              <w:jc w:val="center"/>
              <w:rPr>
                <w:rFonts w:eastAsia="Times New Roman"/>
              </w:rPr>
            </w:pPr>
            <w:r>
              <w:rPr>
                <w:rFonts w:ascii="Arial" w:eastAsia="Times New Roman" w:hAnsi="Arial" w:cs="Arial"/>
                <w:color w:val="000000"/>
                <w:sz w:val="20"/>
                <w:szCs w:val="20"/>
              </w:rPr>
              <w:t>/s/ Thomas M. Gartland</w:t>
            </w:r>
          </w:p>
        </w:tc>
      </w:tr>
      <w:tr w:rsidR="00000000" w14:paraId="4393387C" w14:textId="77777777">
        <w:trPr>
          <w:divId w:val="857353259"/>
        </w:trPr>
        <w:tc>
          <w:tcPr>
            <w:tcW w:w="0" w:type="auto"/>
            <w:gridSpan w:val="3"/>
            <w:tcBorders>
              <w:top w:val="single" w:sz="8" w:space="0" w:color="000000"/>
            </w:tcBorders>
            <w:tcMar>
              <w:top w:w="30" w:type="dxa"/>
              <w:left w:w="20" w:type="dxa"/>
              <w:bottom w:w="30" w:type="dxa"/>
              <w:right w:w="20" w:type="dxa"/>
            </w:tcMar>
            <w:hideMark/>
          </w:tcPr>
          <w:p w14:paraId="4E074F13" w14:textId="77777777" w:rsidR="00000000" w:rsidRDefault="001D0688">
            <w:pPr>
              <w:jc w:val="center"/>
              <w:rPr>
                <w:rFonts w:eastAsia="Times New Roman"/>
              </w:rPr>
            </w:pPr>
            <w:r>
              <w:rPr>
                <w:rFonts w:ascii="Arial" w:eastAsia="Times New Roman" w:hAnsi="Arial" w:cs="Arial"/>
                <w:color w:val="000000"/>
                <w:sz w:val="20"/>
                <w:szCs w:val="20"/>
              </w:rPr>
              <w:t>Art A. Garcia, Director</w:t>
            </w:r>
          </w:p>
        </w:tc>
        <w:tc>
          <w:tcPr>
            <w:tcW w:w="0" w:type="auto"/>
            <w:gridSpan w:val="3"/>
            <w:tcMar>
              <w:top w:w="30" w:type="dxa"/>
              <w:left w:w="20" w:type="dxa"/>
              <w:bottom w:w="30" w:type="dxa"/>
              <w:right w:w="20" w:type="dxa"/>
            </w:tcMar>
            <w:vAlign w:val="bottom"/>
            <w:hideMark/>
          </w:tcPr>
          <w:p w14:paraId="097177F4" w14:textId="77777777" w:rsidR="00000000" w:rsidRDefault="001D0688">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61137C44" w14:textId="77777777" w:rsidR="00000000" w:rsidRDefault="001D0688">
            <w:pPr>
              <w:jc w:val="center"/>
              <w:rPr>
                <w:rFonts w:eastAsia="Times New Roman"/>
              </w:rPr>
            </w:pPr>
            <w:r>
              <w:rPr>
                <w:rFonts w:ascii="Arial" w:eastAsia="Times New Roman" w:hAnsi="Arial" w:cs="Arial"/>
                <w:color w:val="000000"/>
                <w:sz w:val="20"/>
                <w:szCs w:val="20"/>
              </w:rPr>
              <w:t>Thomas M. Gartland, Director</w:t>
            </w:r>
          </w:p>
        </w:tc>
      </w:tr>
      <w:tr w:rsidR="00000000" w14:paraId="52F8D456" w14:textId="77777777">
        <w:trPr>
          <w:divId w:val="857353259"/>
        </w:trPr>
        <w:tc>
          <w:tcPr>
            <w:tcW w:w="0" w:type="auto"/>
            <w:gridSpan w:val="3"/>
            <w:tcMar>
              <w:top w:w="30" w:type="dxa"/>
              <w:left w:w="20" w:type="dxa"/>
              <w:bottom w:w="30" w:type="dxa"/>
              <w:right w:w="20" w:type="dxa"/>
            </w:tcMar>
            <w:hideMark/>
          </w:tcPr>
          <w:p w14:paraId="01EAC996"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27443F7C" w14:textId="77777777" w:rsidR="00000000" w:rsidRDefault="001D0688">
            <w:pPr>
              <w:jc w:val="center"/>
              <w:rPr>
                <w:rFonts w:eastAsia="Times New Roman"/>
              </w:rPr>
            </w:pPr>
          </w:p>
        </w:tc>
        <w:tc>
          <w:tcPr>
            <w:tcW w:w="0" w:type="auto"/>
            <w:gridSpan w:val="3"/>
            <w:tcMar>
              <w:top w:w="30" w:type="dxa"/>
              <w:left w:w="20" w:type="dxa"/>
              <w:bottom w:w="30" w:type="dxa"/>
              <w:right w:w="20" w:type="dxa"/>
            </w:tcMar>
            <w:hideMark/>
          </w:tcPr>
          <w:p w14:paraId="0044302D" w14:textId="77777777" w:rsidR="00000000" w:rsidRDefault="001D0688">
            <w:pPr>
              <w:jc w:val="center"/>
              <w:rPr>
                <w:rFonts w:eastAsia="Times New Roman"/>
              </w:rPr>
            </w:pPr>
            <w:r>
              <w:rPr>
                <w:rFonts w:ascii="Arial" w:eastAsia="Times New Roman" w:hAnsi="Arial" w:cs="Arial"/>
                <w:color w:val="000000"/>
                <w:sz w:val="20"/>
                <w:szCs w:val="20"/>
              </w:rPr>
              <w:t>December 17, 2020</w:t>
            </w:r>
          </w:p>
        </w:tc>
      </w:tr>
      <w:tr w:rsidR="00000000" w14:paraId="77F88D8B" w14:textId="77777777">
        <w:trPr>
          <w:divId w:val="857353259"/>
          <w:trHeight w:val="300"/>
        </w:trPr>
        <w:tc>
          <w:tcPr>
            <w:tcW w:w="0" w:type="auto"/>
            <w:gridSpan w:val="3"/>
            <w:tcMar>
              <w:top w:w="0" w:type="dxa"/>
              <w:left w:w="20" w:type="dxa"/>
              <w:bottom w:w="0" w:type="dxa"/>
              <w:right w:w="20" w:type="dxa"/>
            </w:tcMar>
            <w:vAlign w:val="center"/>
            <w:hideMark/>
          </w:tcPr>
          <w:p w14:paraId="2EF6C49B"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4BE13C9C"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ADEFF65" w14:textId="77777777" w:rsidR="00000000" w:rsidRDefault="001D0688">
            <w:pPr>
              <w:rPr>
                <w:rFonts w:eastAsia="Times New Roman"/>
                <w:sz w:val="20"/>
                <w:szCs w:val="20"/>
              </w:rPr>
            </w:pPr>
          </w:p>
        </w:tc>
      </w:tr>
      <w:tr w:rsidR="00000000" w14:paraId="35412FF4" w14:textId="77777777">
        <w:trPr>
          <w:divId w:val="857353259"/>
        </w:trPr>
        <w:tc>
          <w:tcPr>
            <w:tcW w:w="0" w:type="auto"/>
            <w:gridSpan w:val="3"/>
            <w:tcMar>
              <w:top w:w="30" w:type="dxa"/>
              <w:left w:w="20" w:type="dxa"/>
              <w:bottom w:w="30" w:type="dxa"/>
              <w:right w:w="20" w:type="dxa"/>
            </w:tcMar>
            <w:hideMark/>
          </w:tcPr>
          <w:p w14:paraId="155B151F" w14:textId="77777777" w:rsidR="00000000" w:rsidRDefault="001D0688">
            <w:pPr>
              <w:jc w:val="center"/>
              <w:rPr>
                <w:rFonts w:eastAsia="Times New Roman"/>
              </w:rPr>
            </w:pPr>
            <w:r>
              <w:rPr>
                <w:rFonts w:ascii="Arial" w:eastAsia="Times New Roman" w:hAnsi="Arial" w:cs="Arial"/>
                <w:color w:val="000000"/>
                <w:sz w:val="20"/>
                <w:szCs w:val="20"/>
              </w:rPr>
              <w:t>/s/ Jill M. Golder</w:t>
            </w:r>
          </w:p>
        </w:tc>
        <w:tc>
          <w:tcPr>
            <w:tcW w:w="0" w:type="auto"/>
            <w:gridSpan w:val="3"/>
            <w:tcMar>
              <w:top w:w="0" w:type="dxa"/>
              <w:left w:w="20" w:type="dxa"/>
              <w:bottom w:w="0" w:type="dxa"/>
              <w:right w:w="20" w:type="dxa"/>
            </w:tcMar>
            <w:vAlign w:val="center"/>
            <w:hideMark/>
          </w:tcPr>
          <w:p w14:paraId="6245F10B" w14:textId="77777777" w:rsidR="00000000" w:rsidRDefault="001D0688">
            <w:pPr>
              <w:jc w:val="center"/>
              <w:rPr>
                <w:rFonts w:eastAsia="Times New Roman"/>
              </w:rPr>
            </w:pPr>
          </w:p>
        </w:tc>
        <w:tc>
          <w:tcPr>
            <w:tcW w:w="0" w:type="auto"/>
            <w:gridSpan w:val="3"/>
            <w:tcMar>
              <w:top w:w="30" w:type="dxa"/>
              <w:left w:w="20" w:type="dxa"/>
              <w:bottom w:w="30" w:type="dxa"/>
              <w:right w:w="20" w:type="dxa"/>
            </w:tcMar>
            <w:vAlign w:val="bottom"/>
            <w:hideMark/>
          </w:tcPr>
          <w:p w14:paraId="303D2856" w14:textId="77777777" w:rsidR="00000000" w:rsidRDefault="001D0688">
            <w:pPr>
              <w:jc w:val="center"/>
              <w:rPr>
                <w:rFonts w:eastAsia="Times New Roman"/>
              </w:rPr>
            </w:pPr>
            <w:r>
              <w:rPr>
                <w:rFonts w:ascii="Arial" w:eastAsia="Times New Roman" w:hAnsi="Arial" w:cs="Arial"/>
                <w:color w:val="000000"/>
                <w:sz w:val="20"/>
                <w:szCs w:val="20"/>
              </w:rPr>
              <w:t>/s/ Winifred M. Webb</w:t>
            </w:r>
          </w:p>
        </w:tc>
      </w:tr>
      <w:tr w:rsidR="00000000" w14:paraId="355BE9C9" w14:textId="77777777">
        <w:trPr>
          <w:divId w:val="857353259"/>
        </w:trPr>
        <w:tc>
          <w:tcPr>
            <w:tcW w:w="0" w:type="auto"/>
            <w:gridSpan w:val="3"/>
            <w:tcBorders>
              <w:top w:val="single" w:sz="8" w:space="0" w:color="000000"/>
            </w:tcBorders>
            <w:tcMar>
              <w:top w:w="30" w:type="dxa"/>
              <w:left w:w="20" w:type="dxa"/>
              <w:bottom w:w="30" w:type="dxa"/>
              <w:right w:w="20" w:type="dxa"/>
            </w:tcMar>
            <w:hideMark/>
          </w:tcPr>
          <w:p w14:paraId="20D96CC6" w14:textId="77777777" w:rsidR="00000000" w:rsidRDefault="001D0688">
            <w:pPr>
              <w:jc w:val="center"/>
              <w:rPr>
                <w:rFonts w:eastAsia="Times New Roman"/>
              </w:rPr>
            </w:pPr>
            <w:r>
              <w:rPr>
                <w:rFonts w:ascii="Arial" w:eastAsia="Times New Roman" w:hAnsi="Arial" w:cs="Arial"/>
                <w:color w:val="000000"/>
                <w:sz w:val="20"/>
                <w:szCs w:val="20"/>
              </w:rPr>
              <w:t>Jill M. Golder, Director</w:t>
            </w:r>
          </w:p>
        </w:tc>
        <w:tc>
          <w:tcPr>
            <w:tcW w:w="0" w:type="auto"/>
            <w:gridSpan w:val="3"/>
            <w:tcMar>
              <w:top w:w="0" w:type="dxa"/>
              <w:left w:w="20" w:type="dxa"/>
              <w:bottom w:w="0" w:type="dxa"/>
              <w:right w:w="20" w:type="dxa"/>
            </w:tcMar>
            <w:vAlign w:val="center"/>
            <w:hideMark/>
          </w:tcPr>
          <w:p w14:paraId="502EA632" w14:textId="77777777" w:rsidR="00000000" w:rsidRDefault="001D068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AAA3D5" w14:textId="77777777" w:rsidR="00000000" w:rsidRDefault="001D0688">
            <w:pPr>
              <w:jc w:val="center"/>
              <w:rPr>
                <w:rFonts w:eastAsia="Times New Roman"/>
              </w:rPr>
            </w:pPr>
            <w:r>
              <w:rPr>
                <w:rFonts w:ascii="Arial" w:eastAsia="Times New Roman" w:hAnsi="Arial" w:cs="Arial"/>
                <w:color w:val="000000"/>
                <w:sz w:val="20"/>
                <w:szCs w:val="20"/>
              </w:rPr>
              <w:t>Winifred M. Webb, Director</w:t>
            </w:r>
          </w:p>
        </w:tc>
      </w:tr>
      <w:tr w:rsidR="00000000" w14:paraId="3758CBCB" w14:textId="77777777">
        <w:trPr>
          <w:divId w:val="857353259"/>
        </w:trPr>
        <w:tc>
          <w:tcPr>
            <w:tcW w:w="0" w:type="auto"/>
            <w:gridSpan w:val="3"/>
            <w:tcMar>
              <w:top w:w="30" w:type="dxa"/>
              <w:left w:w="20" w:type="dxa"/>
              <w:bottom w:w="30" w:type="dxa"/>
              <w:right w:w="20" w:type="dxa"/>
            </w:tcMar>
            <w:hideMark/>
          </w:tcPr>
          <w:p w14:paraId="2224A1D5" w14:textId="77777777" w:rsidR="00000000" w:rsidRDefault="001D0688">
            <w:pPr>
              <w:jc w:val="center"/>
              <w:rPr>
                <w:rFonts w:eastAsia="Times New Roman"/>
              </w:rPr>
            </w:pPr>
            <w:r>
              <w:rPr>
                <w:rFonts w:ascii="Arial" w:eastAsia="Times New Roman" w:hAnsi="Arial" w:cs="Arial"/>
                <w:color w:val="000000"/>
                <w:sz w:val="20"/>
                <w:szCs w:val="20"/>
              </w:rPr>
              <w:t>December 17, 2020</w:t>
            </w:r>
          </w:p>
        </w:tc>
        <w:tc>
          <w:tcPr>
            <w:tcW w:w="0" w:type="auto"/>
            <w:gridSpan w:val="3"/>
            <w:tcMar>
              <w:top w:w="0" w:type="dxa"/>
              <w:left w:w="20" w:type="dxa"/>
              <w:bottom w:w="0" w:type="dxa"/>
              <w:right w:w="20" w:type="dxa"/>
            </w:tcMar>
            <w:vAlign w:val="center"/>
            <w:hideMark/>
          </w:tcPr>
          <w:p w14:paraId="72612BBD" w14:textId="77777777" w:rsidR="00000000" w:rsidRDefault="001D0688">
            <w:pPr>
              <w:jc w:val="center"/>
              <w:rPr>
                <w:rFonts w:eastAsia="Times New Roman"/>
              </w:rPr>
            </w:pPr>
          </w:p>
        </w:tc>
        <w:tc>
          <w:tcPr>
            <w:tcW w:w="0" w:type="auto"/>
            <w:gridSpan w:val="3"/>
            <w:tcMar>
              <w:top w:w="30" w:type="dxa"/>
              <w:left w:w="20" w:type="dxa"/>
              <w:bottom w:w="30" w:type="dxa"/>
              <w:right w:w="20" w:type="dxa"/>
            </w:tcMar>
            <w:hideMark/>
          </w:tcPr>
          <w:p w14:paraId="14D7D6D1" w14:textId="77777777" w:rsidR="00000000" w:rsidRDefault="001D0688">
            <w:pPr>
              <w:jc w:val="center"/>
              <w:rPr>
                <w:rFonts w:eastAsia="Times New Roman"/>
              </w:rPr>
            </w:pPr>
            <w:r>
              <w:rPr>
                <w:rFonts w:ascii="Arial" w:eastAsia="Times New Roman" w:hAnsi="Arial" w:cs="Arial"/>
                <w:color w:val="000000"/>
                <w:sz w:val="20"/>
                <w:szCs w:val="20"/>
              </w:rPr>
              <w:t>December 17, 2020</w:t>
            </w:r>
          </w:p>
        </w:tc>
      </w:tr>
      <w:tr w:rsidR="00000000" w14:paraId="3528801E" w14:textId="77777777">
        <w:trPr>
          <w:divId w:val="857353259"/>
          <w:trHeight w:val="300"/>
        </w:trPr>
        <w:tc>
          <w:tcPr>
            <w:tcW w:w="0" w:type="auto"/>
            <w:gridSpan w:val="3"/>
            <w:tcMar>
              <w:top w:w="0" w:type="dxa"/>
              <w:left w:w="20" w:type="dxa"/>
              <w:bottom w:w="0" w:type="dxa"/>
              <w:right w:w="20" w:type="dxa"/>
            </w:tcMar>
            <w:vAlign w:val="center"/>
            <w:hideMark/>
          </w:tcPr>
          <w:p w14:paraId="648F099A" w14:textId="77777777" w:rsidR="00000000" w:rsidRDefault="001D0688">
            <w:pPr>
              <w:jc w:val="center"/>
              <w:rPr>
                <w:rFonts w:eastAsia="Times New Roman"/>
              </w:rPr>
            </w:pPr>
          </w:p>
        </w:tc>
        <w:tc>
          <w:tcPr>
            <w:tcW w:w="0" w:type="auto"/>
            <w:gridSpan w:val="3"/>
            <w:tcMar>
              <w:top w:w="0" w:type="dxa"/>
              <w:left w:w="20" w:type="dxa"/>
              <w:bottom w:w="0" w:type="dxa"/>
              <w:right w:w="20" w:type="dxa"/>
            </w:tcMar>
            <w:vAlign w:val="center"/>
            <w:hideMark/>
          </w:tcPr>
          <w:p w14:paraId="5E70577F"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6D99B53" w14:textId="77777777" w:rsidR="00000000" w:rsidRDefault="001D0688">
            <w:pPr>
              <w:rPr>
                <w:rFonts w:eastAsia="Times New Roman"/>
                <w:sz w:val="20"/>
                <w:szCs w:val="20"/>
              </w:rPr>
            </w:pPr>
          </w:p>
        </w:tc>
      </w:tr>
      <w:tr w:rsidR="00000000" w14:paraId="3232F96E" w14:textId="77777777">
        <w:trPr>
          <w:divId w:val="857353259"/>
          <w:trHeight w:val="240"/>
        </w:trPr>
        <w:tc>
          <w:tcPr>
            <w:tcW w:w="0" w:type="auto"/>
            <w:gridSpan w:val="3"/>
            <w:tcMar>
              <w:top w:w="0" w:type="dxa"/>
              <w:left w:w="20" w:type="dxa"/>
              <w:bottom w:w="0" w:type="dxa"/>
              <w:right w:w="20" w:type="dxa"/>
            </w:tcMar>
            <w:vAlign w:val="center"/>
            <w:hideMark/>
          </w:tcPr>
          <w:p w14:paraId="6DC7C4E1"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3D8DE9B"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51E0A551" w14:textId="77777777" w:rsidR="00000000" w:rsidRDefault="001D0688">
            <w:pPr>
              <w:rPr>
                <w:rFonts w:eastAsia="Times New Roman"/>
                <w:sz w:val="20"/>
                <w:szCs w:val="20"/>
              </w:rPr>
            </w:pPr>
          </w:p>
        </w:tc>
      </w:tr>
      <w:tr w:rsidR="00000000" w14:paraId="3FE38A32" w14:textId="77777777">
        <w:trPr>
          <w:divId w:val="857353259"/>
          <w:trHeight w:val="240"/>
        </w:trPr>
        <w:tc>
          <w:tcPr>
            <w:tcW w:w="0" w:type="auto"/>
            <w:gridSpan w:val="3"/>
            <w:tcMar>
              <w:top w:w="0" w:type="dxa"/>
              <w:left w:w="20" w:type="dxa"/>
              <w:bottom w:w="0" w:type="dxa"/>
              <w:right w:w="20" w:type="dxa"/>
            </w:tcMar>
            <w:vAlign w:val="center"/>
            <w:hideMark/>
          </w:tcPr>
          <w:p w14:paraId="6897C51A"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217175FA"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8C7B125" w14:textId="77777777" w:rsidR="00000000" w:rsidRDefault="001D0688">
            <w:pPr>
              <w:rPr>
                <w:rFonts w:eastAsia="Times New Roman"/>
                <w:sz w:val="20"/>
                <w:szCs w:val="20"/>
              </w:rPr>
            </w:pPr>
          </w:p>
        </w:tc>
      </w:tr>
      <w:tr w:rsidR="00000000" w14:paraId="38D1BD11" w14:textId="77777777">
        <w:trPr>
          <w:divId w:val="857353259"/>
          <w:trHeight w:val="240"/>
        </w:trPr>
        <w:tc>
          <w:tcPr>
            <w:tcW w:w="0" w:type="auto"/>
            <w:gridSpan w:val="3"/>
            <w:tcMar>
              <w:top w:w="0" w:type="dxa"/>
              <w:left w:w="20" w:type="dxa"/>
              <w:bottom w:w="0" w:type="dxa"/>
              <w:right w:w="20" w:type="dxa"/>
            </w:tcMar>
            <w:vAlign w:val="center"/>
            <w:hideMark/>
          </w:tcPr>
          <w:p w14:paraId="17396B05"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10CB63E7" w14:textId="77777777" w:rsidR="00000000" w:rsidRDefault="001D0688">
            <w:pPr>
              <w:rPr>
                <w:rFonts w:eastAsia="Times New Roman"/>
                <w:sz w:val="20"/>
                <w:szCs w:val="20"/>
              </w:rPr>
            </w:pPr>
          </w:p>
        </w:tc>
        <w:tc>
          <w:tcPr>
            <w:tcW w:w="0" w:type="auto"/>
            <w:gridSpan w:val="3"/>
            <w:tcMar>
              <w:top w:w="0" w:type="dxa"/>
              <w:left w:w="20" w:type="dxa"/>
              <w:bottom w:w="0" w:type="dxa"/>
              <w:right w:w="20" w:type="dxa"/>
            </w:tcMar>
            <w:vAlign w:val="center"/>
            <w:hideMark/>
          </w:tcPr>
          <w:p w14:paraId="65C45A86" w14:textId="77777777" w:rsidR="00000000" w:rsidRDefault="001D0688">
            <w:pPr>
              <w:rPr>
                <w:rFonts w:eastAsia="Times New Roman"/>
                <w:sz w:val="20"/>
                <w:szCs w:val="20"/>
              </w:rPr>
            </w:pPr>
          </w:p>
        </w:tc>
      </w:tr>
    </w:tbl>
    <w:p w14:paraId="614F0EB7" w14:textId="77777777" w:rsidR="00000000" w:rsidRDefault="001D0688">
      <w:pPr>
        <w:divId w:val="347685017"/>
        <w:rPr>
          <w:rFonts w:eastAsia="Times New Roman"/>
        </w:rPr>
      </w:pPr>
    </w:p>
    <w:p w14:paraId="30F45EA5" w14:textId="77777777" w:rsidR="001D0688" w:rsidRDefault="001D0688">
      <w:pPr>
        <w:jc w:val="center"/>
        <w:divId w:val="1123574079"/>
        <w:rPr>
          <w:rFonts w:eastAsia="Times New Roman"/>
        </w:rPr>
      </w:pPr>
      <w:r>
        <w:rPr>
          <w:rFonts w:ascii="Arial" w:eastAsia="Times New Roman" w:hAnsi="Arial" w:cs="Arial"/>
          <w:color w:val="000000"/>
          <w:sz w:val="20"/>
          <w:szCs w:val="20"/>
        </w:rPr>
        <w:t>105</w:t>
      </w:r>
    </w:p>
    <w:sectPr w:rsidR="001D068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0688"/>
    <w:rsid w:val="001D0688"/>
  </w:rsids>
  <m:mathPr>
    <m:mathFont m:val="Cambria Math"/>
    <m:brkBin m:val="before"/>
    <m:brkBinSub m:val="--"/>
    <m:smallFrac m:val="0"/>
    <m:dispDef/>
    <m:lMargin m:val="0"/>
    <m:rMargin m:val="0"/>
    <m:defJc m:val="centerGroup"/>
    <m:wrapIndent m:val="1440"/>
    <m:intLim m:val="subSup"/>
    <m:naryLim m:val="undOvr"/>
  </m:mathPr>
  <w:attachedSchema w:val="http://www.abm.com/20201031"/>
  <w:attachedSchema w:val="http://fasb.org/srt/2020-01-31"/>
  <w:attachedSchema w:val="http://www.sec.gov/inlineXBRL/transformation/2015-08-31"/>
  <w:attachedSchema w:val="http://fasb.org/us-gaap/2020-01-31"/>
  <w:attachedSchema w:val="http://xbrl.sec.gov/country/2020-01-31"/>
  <w:attachedSchema w:val="http://www.xbrl.org/2003/iso4217"/>
  <w:attachedSchema w:val="http://www.xbrl.org/inlineXBRL/transformation/2015-02-26"/>
  <w:attachedSchema w:val="http://xbrl.sec.gov/dei/2020-01-31"/>
  <w:attachedSchema w:val="http://www.w3.org/1999/xlink"/>
  <w:attachedSchema w:val="http://xbrl.org/2006/xbrldi"/>
  <w:attachedSchema w:val="http://www.xbrl.org/2013/inlineXBRL"/>
  <w:attachedSchema w:val="http://www.xbrl.org/2003/instance"/>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16DC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619">
      <w:marLeft w:val="0"/>
      <w:marRight w:val="0"/>
      <w:marTop w:val="120"/>
      <w:marBottom w:val="0"/>
      <w:divBdr>
        <w:top w:val="none" w:sz="0" w:space="0" w:color="auto"/>
        <w:left w:val="none" w:sz="0" w:space="0" w:color="auto"/>
        <w:bottom w:val="none" w:sz="0" w:space="0" w:color="auto"/>
        <w:right w:val="none" w:sz="0" w:space="0" w:color="auto"/>
      </w:divBdr>
    </w:div>
    <w:div w:id="4750224">
      <w:marLeft w:val="0"/>
      <w:marRight w:val="0"/>
      <w:marTop w:val="0"/>
      <w:marBottom w:val="200"/>
      <w:divBdr>
        <w:top w:val="none" w:sz="0" w:space="0" w:color="auto"/>
        <w:left w:val="none" w:sz="0" w:space="0" w:color="auto"/>
        <w:bottom w:val="none" w:sz="0" w:space="0" w:color="auto"/>
        <w:right w:val="none" w:sz="0" w:space="0" w:color="auto"/>
      </w:divBdr>
    </w:div>
    <w:div w:id="6370715">
      <w:marLeft w:val="0"/>
      <w:marRight w:val="0"/>
      <w:marTop w:val="180"/>
      <w:marBottom w:val="0"/>
      <w:divBdr>
        <w:top w:val="none" w:sz="0" w:space="0" w:color="auto"/>
        <w:left w:val="none" w:sz="0" w:space="0" w:color="auto"/>
        <w:bottom w:val="none" w:sz="0" w:space="0" w:color="auto"/>
        <w:right w:val="none" w:sz="0" w:space="0" w:color="auto"/>
      </w:divBdr>
    </w:div>
    <w:div w:id="6443328">
      <w:marLeft w:val="0"/>
      <w:marRight w:val="0"/>
      <w:marTop w:val="180"/>
      <w:marBottom w:val="0"/>
      <w:divBdr>
        <w:top w:val="none" w:sz="0" w:space="0" w:color="auto"/>
        <w:left w:val="none" w:sz="0" w:space="0" w:color="auto"/>
        <w:bottom w:val="none" w:sz="0" w:space="0" w:color="auto"/>
        <w:right w:val="none" w:sz="0" w:space="0" w:color="auto"/>
      </w:divBdr>
    </w:div>
    <w:div w:id="6517336">
      <w:marLeft w:val="0"/>
      <w:marRight w:val="0"/>
      <w:marTop w:val="0"/>
      <w:marBottom w:val="0"/>
      <w:divBdr>
        <w:top w:val="none" w:sz="0" w:space="0" w:color="auto"/>
        <w:left w:val="none" w:sz="0" w:space="0" w:color="auto"/>
        <w:bottom w:val="none" w:sz="0" w:space="0" w:color="auto"/>
        <w:right w:val="none" w:sz="0" w:space="0" w:color="auto"/>
      </w:divBdr>
      <w:divsChild>
        <w:div w:id="939876329">
          <w:marLeft w:val="0"/>
          <w:marRight w:val="0"/>
          <w:marTop w:val="0"/>
          <w:marBottom w:val="0"/>
          <w:divBdr>
            <w:top w:val="none" w:sz="0" w:space="0" w:color="auto"/>
            <w:left w:val="none" w:sz="0" w:space="0" w:color="auto"/>
            <w:bottom w:val="none" w:sz="0" w:space="0" w:color="auto"/>
            <w:right w:val="none" w:sz="0" w:space="0" w:color="auto"/>
          </w:divBdr>
          <w:divsChild>
            <w:div w:id="13089780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880899">
      <w:marLeft w:val="0"/>
      <w:marRight w:val="0"/>
      <w:marTop w:val="180"/>
      <w:marBottom w:val="0"/>
      <w:divBdr>
        <w:top w:val="none" w:sz="0" w:space="0" w:color="auto"/>
        <w:left w:val="none" w:sz="0" w:space="0" w:color="auto"/>
        <w:bottom w:val="none" w:sz="0" w:space="0" w:color="auto"/>
        <w:right w:val="none" w:sz="0" w:space="0" w:color="auto"/>
      </w:divBdr>
    </w:div>
    <w:div w:id="12732542">
      <w:marLeft w:val="0"/>
      <w:marRight w:val="0"/>
      <w:marTop w:val="0"/>
      <w:marBottom w:val="0"/>
      <w:divBdr>
        <w:top w:val="none" w:sz="0" w:space="0" w:color="auto"/>
        <w:left w:val="none" w:sz="0" w:space="0" w:color="auto"/>
        <w:bottom w:val="none" w:sz="0" w:space="0" w:color="auto"/>
        <w:right w:val="none" w:sz="0" w:space="0" w:color="auto"/>
      </w:divBdr>
      <w:divsChild>
        <w:div w:id="725377741">
          <w:marLeft w:val="0"/>
          <w:marRight w:val="0"/>
          <w:marTop w:val="0"/>
          <w:marBottom w:val="0"/>
          <w:divBdr>
            <w:top w:val="none" w:sz="0" w:space="0" w:color="auto"/>
            <w:left w:val="none" w:sz="0" w:space="0" w:color="auto"/>
            <w:bottom w:val="none" w:sz="0" w:space="0" w:color="auto"/>
            <w:right w:val="none" w:sz="0" w:space="0" w:color="auto"/>
          </w:divBdr>
          <w:divsChild>
            <w:div w:id="15487129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119766">
      <w:marLeft w:val="0"/>
      <w:marRight w:val="0"/>
      <w:marTop w:val="180"/>
      <w:marBottom w:val="120"/>
      <w:divBdr>
        <w:top w:val="none" w:sz="0" w:space="0" w:color="auto"/>
        <w:left w:val="none" w:sz="0" w:space="0" w:color="auto"/>
        <w:bottom w:val="none" w:sz="0" w:space="0" w:color="auto"/>
        <w:right w:val="none" w:sz="0" w:space="0" w:color="auto"/>
      </w:divBdr>
    </w:div>
    <w:div w:id="15162634">
      <w:marLeft w:val="0"/>
      <w:marRight w:val="0"/>
      <w:marTop w:val="0"/>
      <w:marBottom w:val="0"/>
      <w:divBdr>
        <w:top w:val="none" w:sz="0" w:space="0" w:color="auto"/>
        <w:left w:val="none" w:sz="0" w:space="0" w:color="auto"/>
        <w:bottom w:val="none" w:sz="0" w:space="0" w:color="auto"/>
        <w:right w:val="none" w:sz="0" w:space="0" w:color="auto"/>
      </w:divBdr>
      <w:divsChild>
        <w:div w:id="1190148036">
          <w:marLeft w:val="0"/>
          <w:marRight w:val="0"/>
          <w:marTop w:val="0"/>
          <w:marBottom w:val="0"/>
          <w:divBdr>
            <w:top w:val="none" w:sz="0" w:space="0" w:color="auto"/>
            <w:left w:val="none" w:sz="0" w:space="0" w:color="auto"/>
            <w:bottom w:val="none" w:sz="0" w:space="0" w:color="auto"/>
            <w:right w:val="none" w:sz="0" w:space="0" w:color="auto"/>
          </w:divBdr>
          <w:divsChild>
            <w:div w:id="2062634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353167">
      <w:marLeft w:val="0"/>
      <w:marRight w:val="0"/>
      <w:marTop w:val="180"/>
      <w:marBottom w:val="0"/>
      <w:divBdr>
        <w:top w:val="none" w:sz="0" w:space="0" w:color="auto"/>
        <w:left w:val="none" w:sz="0" w:space="0" w:color="auto"/>
        <w:bottom w:val="none" w:sz="0" w:space="0" w:color="auto"/>
        <w:right w:val="none" w:sz="0" w:space="0" w:color="auto"/>
      </w:divBdr>
    </w:div>
    <w:div w:id="17632625">
      <w:marLeft w:val="0"/>
      <w:marRight w:val="0"/>
      <w:marTop w:val="180"/>
      <w:marBottom w:val="0"/>
      <w:divBdr>
        <w:top w:val="none" w:sz="0" w:space="0" w:color="auto"/>
        <w:left w:val="none" w:sz="0" w:space="0" w:color="auto"/>
        <w:bottom w:val="none" w:sz="0" w:space="0" w:color="auto"/>
        <w:right w:val="none" w:sz="0" w:space="0" w:color="auto"/>
      </w:divBdr>
    </w:div>
    <w:div w:id="19359585">
      <w:marLeft w:val="0"/>
      <w:marRight w:val="0"/>
      <w:marTop w:val="240"/>
      <w:marBottom w:val="0"/>
      <w:divBdr>
        <w:top w:val="none" w:sz="0" w:space="0" w:color="auto"/>
        <w:left w:val="none" w:sz="0" w:space="0" w:color="auto"/>
        <w:bottom w:val="none" w:sz="0" w:space="0" w:color="auto"/>
        <w:right w:val="none" w:sz="0" w:space="0" w:color="auto"/>
      </w:divBdr>
    </w:div>
    <w:div w:id="23557421">
      <w:marLeft w:val="0"/>
      <w:marRight w:val="0"/>
      <w:marTop w:val="240"/>
      <w:marBottom w:val="0"/>
      <w:divBdr>
        <w:top w:val="none" w:sz="0" w:space="0" w:color="auto"/>
        <w:left w:val="none" w:sz="0" w:space="0" w:color="auto"/>
        <w:bottom w:val="none" w:sz="0" w:space="0" w:color="auto"/>
        <w:right w:val="none" w:sz="0" w:space="0" w:color="auto"/>
      </w:divBdr>
    </w:div>
    <w:div w:id="30545298">
      <w:marLeft w:val="0"/>
      <w:marRight w:val="0"/>
      <w:marTop w:val="180"/>
      <w:marBottom w:val="0"/>
      <w:divBdr>
        <w:top w:val="none" w:sz="0" w:space="0" w:color="auto"/>
        <w:left w:val="none" w:sz="0" w:space="0" w:color="auto"/>
        <w:bottom w:val="none" w:sz="0" w:space="0" w:color="auto"/>
        <w:right w:val="none" w:sz="0" w:space="0" w:color="auto"/>
      </w:divBdr>
    </w:div>
    <w:div w:id="36128123">
      <w:marLeft w:val="0"/>
      <w:marRight w:val="0"/>
      <w:marTop w:val="180"/>
      <w:marBottom w:val="0"/>
      <w:divBdr>
        <w:top w:val="none" w:sz="0" w:space="0" w:color="auto"/>
        <w:left w:val="none" w:sz="0" w:space="0" w:color="auto"/>
        <w:bottom w:val="none" w:sz="0" w:space="0" w:color="auto"/>
        <w:right w:val="none" w:sz="0" w:space="0" w:color="auto"/>
      </w:divBdr>
    </w:div>
    <w:div w:id="39061487">
      <w:marLeft w:val="0"/>
      <w:marRight w:val="0"/>
      <w:marTop w:val="180"/>
      <w:marBottom w:val="0"/>
      <w:divBdr>
        <w:top w:val="none" w:sz="0" w:space="0" w:color="auto"/>
        <w:left w:val="none" w:sz="0" w:space="0" w:color="auto"/>
        <w:bottom w:val="none" w:sz="0" w:space="0" w:color="auto"/>
        <w:right w:val="none" w:sz="0" w:space="0" w:color="auto"/>
      </w:divBdr>
    </w:div>
    <w:div w:id="42143467">
      <w:marLeft w:val="0"/>
      <w:marRight w:val="0"/>
      <w:marTop w:val="180"/>
      <w:marBottom w:val="0"/>
      <w:divBdr>
        <w:top w:val="none" w:sz="0" w:space="0" w:color="auto"/>
        <w:left w:val="none" w:sz="0" w:space="0" w:color="auto"/>
        <w:bottom w:val="none" w:sz="0" w:space="0" w:color="auto"/>
        <w:right w:val="none" w:sz="0" w:space="0" w:color="auto"/>
      </w:divBdr>
    </w:div>
    <w:div w:id="46924514">
      <w:marLeft w:val="0"/>
      <w:marRight w:val="0"/>
      <w:marTop w:val="180"/>
      <w:marBottom w:val="0"/>
      <w:divBdr>
        <w:top w:val="none" w:sz="0" w:space="0" w:color="auto"/>
        <w:left w:val="none" w:sz="0" w:space="0" w:color="auto"/>
        <w:bottom w:val="none" w:sz="0" w:space="0" w:color="auto"/>
        <w:right w:val="none" w:sz="0" w:space="0" w:color="auto"/>
      </w:divBdr>
    </w:div>
    <w:div w:id="47841566">
      <w:marLeft w:val="0"/>
      <w:marRight w:val="0"/>
      <w:marTop w:val="0"/>
      <w:marBottom w:val="0"/>
      <w:divBdr>
        <w:top w:val="none" w:sz="0" w:space="0" w:color="auto"/>
        <w:left w:val="none" w:sz="0" w:space="0" w:color="auto"/>
        <w:bottom w:val="none" w:sz="0" w:space="0" w:color="auto"/>
        <w:right w:val="none" w:sz="0" w:space="0" w:color="auto"/>
      </w:divBdr>
      <w:divsChild>
        <w:div w:id="1146507293">
          <w:marLeft w:val="0"/>
          <w:marRight w:val="0"/>
          <w:marTop w:val="0"/>
          <w:marBottom w:val="0"/>
          <w:divBdr>
            <w:top w:val="none" w:sz="0" w:space="0" w:color="auto"/>
            <w:left w:val="none" w:sz="0" w:space="0" w:color="auto"/>
            <w:bottom w:val="none" w:sz="0" w:space="0" w:color="auto"/>
            <w:right w:val="none" w:sz="0" w:space="0" w:color="auto"/>
          </w:divBdr>
          <w:divsChild>
            <w:div w:id="21092782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848128">
      <w:marLeft w:val="0"/>
      <w:marRight w:val="0"/>
      <w:marTop w:val="300"/>
      <w:marBottom w:val="0"/>
      <w:divBdr>
        <w:top w:val="none" w:sz="0" w:space="0" w:color="auto"/>
        <w:left w:val="none" w:sz="0" w:space="0" w:color="auto"/>
        <w:bottom w:val="none" w:sz="0" w:space="0" w:color="auto"/>
        <w:right w:val="none" w:sz="0" w:space="0" w:color="auto"/>
      </w:divBdr>
    </w:div>
    <w:div w:id="53554298">
      <w:marLeft w:val="0"/>
      <w:marRight w:val="0"/>
      <w:marTop w:val="180"/>
      <w:marBottom w:val="0"/>
      <w:divBdr>
        <w:top w:val="none" w:sz="0" w:space="0" w:color="auto"/>
        <w:left w:val="none" w:sz="0" w:space="0" w:color="auto"/>
        <w:bottom w:val="none" w:sz="0" w:space="0" w:color="auto"/>
        <w:right w:val="none" w:sz="0" w:space="0" w:color="auto"/>
      </w:divBdr>
    </w:div>
    <w:div w:id="53747428">
      <w:marLeft w:val="0"/>
      <w:marRight w:val="0"/>
      <w:marTop w:val="180"/>
      <w:marBottom w:val="0"/>
      <w:divBdr>
        <w:top w:val="none" w:sz="0" w:space="0" w:color="auto"/>
        <w:left w:val="none" w:sz="0" w:space="0" w:color="auto"/>
        <w:bottom w:val="none" w:sz="0" w:space="0" w:color="auto"/>
        <w:right w:val="none" w:sz="0" w:space="0" w:color="auto"/>
      </w:divBdr>
    </w:div>
    <w:div w:id="54470028">
      <w:marLeft w:val="0"/>
      <w:marRight w:val="0"/>
      <w:marTop w:val="180"/>
      <w:marBottom w:val="0"/>
      <w:divBdr>
        <w:top w:val="none" w:sz="0" w:space="0" w:color="auto"/>
        <w:left w:val="none" w:sz="0" w:space="0" w:color="auto"/>
        <w:bottom w:val="none" w:sz="0" w:space="0" w:color="auto"/>
        <w:right w:val="none" w:sz="0" w:space="0" w:color="auto"/>
      </w:divBdr>
    </w:div>
    <w:div w:id="54548995">
      <w:marLeft w:val="0"/>
      <w:marRight w:val="0"/>
      <w:marTop w:val="180"/>
      <w:marBottom w:val="0"/>
      <w:divBdr>
        <w:top w:val="none" w:sz="0" w:space="0" w:color="auto"/>
        <w:left w:val="none" w:sz="0" w:space="0" w:color="auto"/>
        <w:bottom w:val="none" w:sz="0" w:space="0" w:color="auto"/>
        <w:right w:val="none" w:sz="0" w:space="0" w:color="auto"/>
      </w:divBdr>
    </w:div>
    <w:div w:id="55009437">
      <w:marLeft w:val="0"/>
      <w:marRight w:val="0"/>
      <w:marTop w:val="180"/>
      <w:marBottom w:val="0"/>
      <w:divBdr>
        <w:top w:val="none" w:sz="0" w:space="0" w:color="auto"/>
        <w:left w:val="none" w:sz="0" w:space="0" w:color="auto"/>
        <w:bottom w:val="none" w:sz="0" w:space="0" w:color="auto"/>
        <w:right w:val="none" w:sz="0" w:space="0" w:color="auto"/>
      </w:divBdr>
    </w:div>
    <w:div w:id="56905038">
      <w:marLeft w:val="0"/>
      <w:marRight w:val="0"/>
      <w:marTop w:val="0"/>
      <w:marBottom w:val="0"/>
      <w:divBdr>
        <w:top w:val="none" w:sz="0" w:space="0" w:color="auto"/>
        <w:left w:val="none" w:sz="0" w:space="0" w:color="auto"/>
        <w:bottom w:val="none" w:sz="0" w:space="0" w:color="auto"/>
        <w:right w:val="none" w:sz="0" w:space="0" w:color="auto"/>
      </w:divBdr>
      <w:divsChild>
        <w:div w:id="42099652">
          <w:marLeft w:val="0"/>
          <w:marRight w:val="0"/>
          <w:marTop w:val="0"/>
          <w:marBottom w:val="0"/>
          <w:divBdr>
            <w:top w:val="none" w:sz="0" w:space="0" w:color="auto"/>
            <w:left w:val="none" w:sz="0" w:space="0" w:color="auto"/>
            <w:bottom w:val="none" w:sz="0" w:space="0" w:color="auto"/>
            <w:right w:val="none" w:sz="0" w:space="0" w:color="auto"/>
          </w:divBdr>
          <w:divsChild>
            <w:div w:id="8772839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7364790">
      <w:marLeft w:val="0"/>
      <w:marRight w:val="0"/>
      <w:marTop w:val="0"/>
      <w:marBottom w:val="0"/>
      <w:divBdr>
        <w:top w:val="none" w:sz="0" w:space="0" w:color="auto"/>
        <w:left w:val="none" w:sz="0" w:space="0" w:color="auto"/>
        <w:bottom w:val="none" w:sz="0" w:space="0" w:color="auto"/>
        <w:right w:val="none" w:sz="0" w:space="0" w:color="auto"/>
      </w:divBdr>
      <w:divsChild>
        <w:div w:id="1740320134">
          <w:marLeft w:val="0"/>
          <w:marRight w:val="0"/>
          <w:marTop w:val="180"/>
          <w:marBottom w:val="0"/>
          <w:divBdr>
            <w:top w:val="none" w:sz="0" w:space="0" w:color="auto"/>
            <w:left w:val="none" w:sz="0" w:space="0" w:color="auto"/>
            <w:bottom w:val="none" w:sz="0" w:space="0" w:color="auto"/>
            <w:right w:val="none" w:sz="0" w:space="0" w:color="auto"/>
          </w:divBdr>
        </w:div>
      </w:divsChild>
    </w:div>
    <w:div w:id="58987340">
      <w:marLeft w:val="0"/>
      <w:marRight w:val="0"/>
      <w:marTop w:val="240"/>
      <w:marBottom w:val="0"/>
      <w:divBdr>
        <w:top w:val="none" w:sz="0" w:space="0" w:color="auto"/>
        <w:left w:val="none" w:sz="0" w:space="0" w:color="auto"/>
        <w:bottom w:val="none" w:sz="0" w:space="0" w:color="auto"/>
        <w:right w:val="none" w:sz="0" w:space="0" w:color="auto"/>
      </w:divBdr>
    </w:div>
    <w:div w:id="59329737">
      <w:marLeft w:val="0"/>
      <w:marRight w:val="0"/>
      <w:marTop w:val="180"/>
      <w:marBottom w:val="0"/>
      <w:divBdr>
        <w:top w:val="none" w:sz="0" w:space="0" w:color="auto"/>
        <w:left w:val="none" w:sz="0" w:space="0" w:color="auto"/>
        <w:bottom w:val="none" w:sz="0" w:space="0" w:color="auto"/>
        <w:right w:val="none" w:sz="0" w:space="0" w:color="auto"/>
      </w:divBdr>
    </w:div>
    <w:div w:id="61099601">
      <w:marLeft w:val="0"/>
      <w:marRight w:val="0"/>
      <w:marTop w:val="180"/>
      <w:marBottom w:val="0"/>
      <w:divBdr>
        <w:top w:val="none" w:sz="0" w:space="0" w:color="auto"/>
        <w:left w:val="none" w:sz="0" w:space="0" w:color="auto"/>
        <w:bottom w:val="none" w:sz="0" w:space="0" w:color="auto"/>
        <w:right w:val="none" w:sz="0" w:space="0" w:color="auto"/>
      </w:divBdr>
    </w:div>
    <w:div w:id="62066793">
      <w:marLeft w:val="0"/>
      <w:marRight w:val="0"/>
      <w:marTop w:val="120"/>
      <w:marBottom w:val="120"/>
      <w:divBdr>
        <w:top w:val="none" w:sz="0" w:space="0" w:color="auto"/>
        <w:left w:val="none" w:sz="0" w:space="0" w:color="auto"/>
        <w:bottom w:val="none" w:sz="0" w:space="0" w:color="auto"/>
        <w:right w:val="none" w:sz="0" w:space="0" w:color="auto"/>
      </w:divBdr>
    </w:div>
    <w:div w:id="64886101">
      <w:marLeft w:val="0"/>
      <w:marRight w:val="0"/>
      <w:marTop w:val="0"/>
      <w:marBottom w:val="0"/>
      <w:divBdr>
        <w:top w:val="none" w:sz="0" w:space="0" w:color="auto"/>
        <w:left w:val="none" w:sz="0" w:space="0" w:color="auto"/>
        <w:bottom w:val="none" w:sz="0" w:space="0" w:color="auto"/>
        <w:right w:val="none" w:sz="0" w:space="0" w:color="auto"/>
      </w:divBdr>
      <w:divsChild>
        <w:div w:id="547036552">
          <w:marLeft w:val="0"/>
          <w:marRight w:val="0"/>
          <w:marTop w:val="0"/>
          <w:marBottom w:val="0"/>
          <w:divBdr>
            <w:top w:val="none" w:sz="0" w:space="0" w:color="auto"/>
            <w:left w:val="none" w:sz="0" w:space="0" w:color="auto"/>
            <w:bottom w:val="none" w:sz="0" w:space="0" w:color="auto"/>
            <w:right w:val="none" w:sz="0" w:space="0" w:color="auto"/>
          </w:divBdr>
          <w:divsChild>
            <w:div w:id="12444926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153996">
      <w:marLeft w:val="0"/>
      <w:marRight w:val="0"/>
      <w:marTop w:val="180"/>
      <w:marBottom w:val="0"/>
      <w:divBdr>
        <w:top w:val="none" w:sz="0" w:space="0" w:color="auto"/>
        <w:left w:val="none" w:sz="0" w:space="0" w:color="auto"/>
        <w:bottom w:val="none" w:sz="0" w:space="0" w:color="auto"/>
        <w:right w:val="none" w:sz="0" w:space="0" w:color="auto"/>
      </w:divBdr>
    </w:div>
    <w:div w:id="67895368">
      <w:marLeft w:val="0"/>
      <w:marRight w:val="0"/>
      <w:marTop w:val="0"/>
      <w:marBottom w:val="120"/>
      <w:divBdr>
        <w:top w:val="none" w:sz="0" w:space="0" w:color="auto"/>
        <w:left w:val="none" w:sz="0" w:space="0" w:color="auto"/>
        <w:bottom w:val="none" w:sz="0" w:space="0" w:color="auto"/>
        <w:right w:val="none" w:sz="0" w:space="0" w:color="auto"/>
      </w:divBdr>
    </w:div>
    <w:div w:id="75833605">
      <w:marLeft w:val="0"/>
      <w:marRight w:val="0"/>
      <w:marTop w:val="180"/>
      <w:marBottom w:val="0"/>
      <w:divBdr>
        <w:top w:val="none" w:sz="0" w:space="0" w:color="auto"/>
        <w:left w:val="none" w:sz="0" w:space="0" w:color="auto"/>
        <w:bottom w:val="none" w:sz="0" w:space="0" w:color="auto"/>
        <w:right w:val="none" w:sz="0" w:space="0" w:color="auto"/>
      </w:divBdr>
    </w:div>
    <w:div w:id="76556334">
      <w:marLeft w:val="0"/>
      <w:marRight w:val="0"/>
      <w:marTop w:val="180"/>
      <w:marBottom w:val="12"/>
      <w:divBdr>
        <w:top w:val="none" w:sz="0" w:space="0" w:color="auto"/>
        <w:left w:val="none" w:sz="0" w:space="0" w:color="auto"/>
        <w:bottom w:val="none" w:sz="0" w:space="0" w:color="auto"/>
        <w:right w:val="none" w:sz="0" w:space="0" w:color="auto"/>
      </w:divBdr>
    </w:div>
    <w:div w:id="76949923">
      <w:marLeft w:val="0"/>
      <w:marRight w:val="0"/>
      <w:marTop w:val="180"/>
      <w:marBottom w:val="60"/>
      <w:divBdr>
        <w:top w:val="none" w:sz="0" w:space="0" w:color="auto"/>
        <w:left w:val="none" w:sz="0" w:space="0" w:color="auto"/>
        <w:bottom w:val="none" w:sz="0" w:space="0" w:color="auto"/>
        <w:right w:val="none" w:sz="0" w:space="0" w:color="auto"/>
      </w:divBdr>
    </w:div>
    <w:div w:id="81878985">
      <w:marLeft w:val="0"/>
      <w:marRight w:val="0"/>
      <w:marTop w:val="180"/>
      <w:marBottom w:val="0"/>
      <w:divBdr>
        <w:top w:val="none" w:sz="0" w:space="0" w:color="auto"/>
        <w:left w:val="none" w:sz="0" w:space="0" w:color="auto"/>
        <w:bottom w:val="none" w:sz="0" w:space="0" w:color="auto"/>
        <w:right w:val="none" w:sz="0" w:space="0" w:color="auto"/>
      </w:divBdr>
    </w:div>
    <w:div w:id="82146418">
      <w:marLeft w:val="0"/>
      <w:marRight w:val="0"/>
      <w:marTop w:val="0"/>
      <w:marBottom w:val="200"/>
      <w:divBdr>
        <w:top w:val="none" w:sz="0" w:space="0" w:color="auto"/>
        <w:left w:val="none" w:sz="0" w:space="0" w:color="auto"/>
        <w:bottom w:val="none" w:sz="0" w:space="0" w:color="auto"/>
        <w:right w:val="none" w:sz="0" w:space="0" w:color="auto"/>
      </w:divBdr>
    </w:div>
    <w:div w:id="82530549">
      <w:marLeft w:val="0"/>
      <w:marRight w:val="0"/>
      <w:marTop w:val="180"/>
      <w:marBottom w:val="0"/>
      <w:divBdr>
        <w:top w:val="none" w:sz="0" w:space="0" w:color="auto"/>
        <w:left w:val="none" w:sz="0" w:space="0" w:color="auto"/>
        <w:bottom w:val="none" w:sz="0" w:space="0" w:color="auto"/>
        <w:right w:val="none" w:sz="0" w:space="0" w:color="auto"/>
      </w:divBdr>
    </w:div>
    <w:div w:id="83847348">
      <w:marLeft w:val="0"/>
      <w:marRight w:val="0"/>
      <w:marTop w:val="180"/>
      <w:marBottom w:val="0"/>
      <w:divBdr>
        <w:top w:val="none" w:sz="0" w:space="0" w:color="auto"/>
        <w:left w:val="none" w:sz="0" w:space="0" w:color="auto"/>
        <w:bottom w:val="none" w:sz="0" w:space="0" w:color="auto"/>
        <w:right w:val="none" w:sz="0" w:space="0" w:color="auto"/>
      </w:divBdr>
    </w:div>
    <w:div w:id="87628188">
      <w:marLeft w:val="0"/>
      <w:marRight w:val="0"/>
      <w:marTop w:val="180"/>
      <w:marBottom w:val="0"/>
      <w:divBdr>
        <w:top w:val="none" w:sz="0" w:space="0" w:color="auto"/>
        <w:left w:val="none" w:sz="0" w:space="0" w:color="auto"/>
        <w:bottom w:val="none" w:sz="0" w:space="0" w:color="auto"/>
        <w:right w:val="none" w:sz="0" w:space="0" w:color="auto"/>
      </w:divBdr>
    </w:div>
    <w:div w:id="88503853">
      <w:marLeft w:val="0"/>
      <w:marRight w:val="0"/>
      <w:marTop w:val="180"/>
      <w:marBottom w:val="0"/>
      <w:divBdr>
        <w:top w:val="none" w:sz="0" w:space="0" w:color="auto"/>
        <w:left w:val="none" w:sz="0" w:space="0" w:color="auto"/>
        <w:bottom w:val="none" w:sz="0" w:space="0" w:color="auto"/>
        <w:right w:val="none" w:sz="0" w:space="0" w:color="auto"/>
      </w:divBdr>
    </w:div>
    <w:div w:id="89207892">
      <w:marLeft w:val="0"/>
      <w:marRight w:val="0"/>
      <w:marTop w:val="240"/>
      <w:marBottom w:val="0"/>
      <w:divBdr>
        <w:top w:val="none" w:sz="0" w:space="0" w:color="auto"/>
        <w:left w:val="none" w:sz="0" w:space="0" w:color="auto"/>
        <w:bottom w:val="none" w:sz="0" w:space="0" w:color="auto"/>
        <w:right w:val="none" w:sz="0" w:space="0" w:color="auto"/>
      </w:divBdr>
    </w:div>
    <w:div w:id="89471476">
      <w:marLeft w:val="0"/>
      <w:marRight w:val="0"/>
      <w:marTop w:val="180"/>
      <w:marBottom w:val="0"/>
      <w:divBdr>
        <w:top w:val="none" w:sz="0" w:space="0" w:color="auto"/>
        <w:left w:val="none" w:sz="0" w:space="0" w:color="auto"/>
        <w:bottom w:val="none" w:sz="0" w:space="0" w:color="auto"/>
        <w:right w:val="none" w:sz="0" w:space="0" w:color="auto"/>
      </w:divBdr>
    </w:div>
    <w:div w:id="93022160">
      <w:marLeft w:val="0"/>
      <w:marRight w:val="0"/>
      <w:marTop w:val="0"/>
      <w:marBottom w:val="0"/>
      <w:divBdr>
        <w:top w:val="none" w:sz="0" w:space="0" w:color="auto"/>
        <w:left w:val="none" w:sz="0" w:space="0" w:color="auto"/>
        <w:bottom w:val="none" w:sz="0" w:space="0" w:color="auto"/>
        <w:right w:val="none" w:sz="0" w:space="0" w:color="auto"/>
      </w:divBdr>
      <w:divsChild>
        <w:div w:id="971524942">
          <w:marLeft w:val="0"/>
          <w:marRight w:val="0"/>
          <w:marTop w:val="0"/>
          <w:marBottom w:val="0"/>
          <w:divBdr>
            <w:top w:val="none" w:sz="0" w:space="0" w:color="auto"/>
            <w:left w:val="none" w:sz="0" w:space="0" w:color="auto"/>
            <w:bottom w:val="none" w:sz="0" w:space="0" w:color="auto"/>
            <w:right w:val="none" w:sz="0" w:space="0" w:color="auto"/>
          </w:divBdr>
          <w:divsChild>
            <w:div w:id="20560037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328963">
      <w:marLeft w:val="0"/>
      <w:marRight w:val="0"/>
      <w:marTop w:val="0"/>
      <w:marBottom w:val="200"/>
      <w:divBdr>
        <w:top w:val="none" w:sz="0" w:space="0" w:color="auto"/>
        <w:left w:val="none" w:sz="0" w:space="0" w:color="auto"/>
        <w:bottom w:val="none" w:sz="0" w:space="0" w:color="auto"/>
        <w:right w:val="none" w:sz="0" w:space="0" w:color="auto"/>
      </w:divBdr>
    </w:div>
    <w:div w:id="97062867">
      <w:marLeft w:val="0"/>
      <w:marRight w:val="0"/>
      <w:marTop w:val="180"/>
      <w:marBottom w:val="0"/>
      <w:divBdr>
        <w:top w:val="none" w:sz="0" w:space="0" w:color="auto"/>
        <w:left w:val="none" w:sz="0" w:space="0" w:color="auto"/>
        <w:bottom w:val="none" w:sz="0" w:space="0" w:color="auto"/>
        <w:right w:val="none" w:sz="0" w:space="0" w:color="auto"/>
      </w:divBdr>
    </w:div>
    <w:div w:id="100230195">
      <w:marLeft w:val="0"/>
      <w:marRight w:val="0"/>
      <w:marTop w:val="180"/>
      <w:marBottom w:val="0"/>
      <w:divBdr>
        <w:top w:val="none" w:sz="0" w:space="0" w:color="auto"/>
        <w:left w:val="none" w:sz="0" w:space="0" w:color="auto"/>
        <w:bottom w:val="none" w:sz="0" w:space="0" w:color="auto"/>
        <w:right w:val="none" w:sz="0" w:space="0" w:color="auto"/>
      </w:divBdr>
    </w:div>
    <w:div w:id="100685764">
      <w:marLeft w:val="0"/>
      <w:marRight w:val="0"/>
      <w:marTop w:val="180"/>
      <w:marBottom w:val="0"/>
      <w:divBdr>
        <w:top w:val="none" w:sz="0" w:space="0" w:color="auto"/>
        <w:left w:val="none" w:sz="0" w:space="0" w:color="auto"/>
        <w:bottom w:val="none" w:sz="0" w:space="0" w:color="auto"/>
        <w:right w:val="none" w:sz="0" w:space="0" w:color="auto"/>
      </w:divBdr>
    </w:div>
    <w:div w:id="100956741">
      <w:marLeft w:val="0"/>
      <w:marRight w:val="0"/>
      <w:marTop w:val="0"/>
      <w:marBottom w:val="0"/>
      <w:divBdr>
        <w:top w:val="none" w:sz="0" w:space="0" w:color="auto"/>
        <w:left w:val="none" w:sz="0" w:space="0" w:color="auto"/>
        <w:bottom w:val="none" w:sz="0" w:space="0" w:color="auto"/>
        <w:right w:val="none" w:sz="0" w:space="0" w:color="auto"/>
      </w:divBdr>
      <w:divsChild>
        <w:div w:id="1204177065">
          <w:marLeft w:val="0"/>
          <w:marRight w:val="0"/>
          <w:marTop w:val="0"/>
          <w:marBottom w:val="0"/>
          <w:divBdr>
            <w:top w:val="none" w:sz="0" w:space="0" w:color="auto"/>
            <w:left w:val="none" w:sz="0" w:space="0" w:color="auto"/>
            <w:bottom w:val="none" w:sz="0" w:space="0" w:color="auto"/>
            <w:right w:val="none" w:sz="0" w:space="0" w:color="auto"/>
          </w:divBdr>
          <w:divsChild>
            <w:div w:id="12492673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2187901">
      <w:marLeft w:val="0"/>
      <w:marRight w:val="0"/>
      <w:marTop w:val="180"/>
      <w:marBottom w:val="0"/>
      <w:divBdr>
        <w:top w:val="none" w:sz="0" w:space="0" w:color="auto"/>
        <w:left w:val="none" w:sz="0" w:space="0" w:color="auto"/>
        <w:bottom w:val="none" w:sz="0" w:space="0" w:color="auto"/>
        <w:right w:val="none" w:sz="0" w:space="0" w:color="auto"/>
      </w:divBdr>
    </w:div>
    <w:div w:id="103311336">
      <w:marLeft w:val="0"/>
      <w:marRight w:val="0"/>
      <w:marTop w:val="180"/>
      <w:marBottom w:val="120"/>
      <w:divBdr>
        <w:top w:val="none" w:sz="0" w:space="0" w:color="auto"/>
        <w:left w:val="none" w:sz="0" w:space="0" w:color="auto"/>
        <w:bottom w:val="none" w:sz="0" w:space="0" w:color="auto"/>
        <w:right w:val="none" w:sz="0" w:space="0" w:color="auto"/>
      </w:divBdr>
    </w:div>
    <w:div w:id="103430045">
      <w:marLeft w:val="0"/>
      <w:marRight w:val="0"/>
      <w:marTop w:val="180"/>
      <w:marBottom w:val="120"/>
      <w:divBdr>
        <w:top w:val="none" w:sz="0" w:space="0" w:color="auto"/>
        <w:left w:val="none" w:sz="0" w:space="0" w:color="auto"/>
        <w:bottom w:val="none" w:sz="0" w:space="0" w:color="auto"/>
        <w:right w:val="none" w:sz="0" w:space="0" w:color="auto"/>
      </w:divBdr>
    </w:div>
    <w:div w:id="104037103">
      <w:marLeft w:val="0"/>
      <w:marRight w:val="0"/>
      <w:marTop w:val="180"/>
      <w:marBottom w:val="0"/>
      <w:divBdr>
        <w:top w:val="none" w:sz="0" w:space="0" w:color="auto"/>
        <w:left w:val="none" w:sz="0" w:space="0" w:color="auto"/>
        <w:bottom w:val="none" w:sz="0" w:space="0" w:color="auto"/>
        <w:right w:val="none" w:sz="0" w:space="0" w:color="auto"/>
      </w:divBdr>
    </w:div>
    <w:div w:id="106849564">
      <w:marLeft w:val="0"/>
      <w:marRight w:val="0"/>
      <w:marTop w:val="120"/>
      <w:marBottom w:val="0"/>
      <w:divBdr>
        <w:top w:val="none" w:sz="0" w:space="0" w:color="auto"/>
        <w:left w:val="none" w:sz="0" w:space="0" w:color="auto"/>
        <w:bottom w:val="none" w:sz="0" w:space="0" w:color="auto"/>
        <w:right w:val="none" w:sz="0" w:space="0" w:color="auto"/>
      </w:divBdr>
    </w:div>
    <w:div w:id="109251854">
      <w:marLeft w:val="0"/>
      <w:marRight w:val="0"/>
      <w:marTop w:val="0"/>
      <w:marBottom w:val="0"/>
      <w:divBdr>
        <w:top w:val="none" w:sz="0" w:space="0" w:color="auto"/>
        <w:left w:val="none" w:sz="0" w:space="0" w:color="auto"/>
        <w:bottom w:val="none" w:sz="0" w:space="0" w:color="auto"/>
        <w:right w:val="none" w:sz="0" w:space="0" w:color="auto"/>
      </w:divBdr>
      <w:divsChild>
        <w:div w:id="1905214239">
          <w:marLeft w:val="0"/>
          <w:marRight w:val="0"/>
          <w:marTop w:val="0"/>
          <w:marBottom w:val="0"/>
          <w:divBdr>
            <w:top w:val="none" w:sz="0" w:space="0" w:color="auto"/>
            <w:left w:val="none" w:sz="0" w:space="0" w:color="auto"/>
            <w:bottom w:val="none" w:sz="0" w:space="0" w:color="auto"/>
            <w:right w:val="none" w:sz="0" w:space="0" w:color="auto"/>
          </w:divBdr>
        </w:div>
      </w:divsChild>
    </w:div>
    <w:div w:id="109470730">
      <w:marLeft w:val="0"/>
      <w:marRight w:val="0"/>
      <w:marTop w:val="0"/>
      <w:marBottom w:val="0"/>
      <w:divBdr>
        <w:top w:val="none" w:sz="0" w:space="0" w:color="auto"/>
        <w:left w:val="none" w:sz="0" w:space="0" w:color="auto"/>
        <w:bottom w:val="none" w:sz="0" w:space="0" w:color="auto"/>
        <w:right w:val="none" w:sz="0" w:space="0" w:color="auto"/>
      </w:divBdr>
      <w:divsChild>
        <w:div w:id="1906984104">
          <w:marLeft w:val="0"/>
          <w:marRight w:val="0"/>
          <w:marTop w:val="180"/>
          <w:marBottom w:val="0"/>
          <w:divBdr>
            <w:top w:val="none" w:sz="0" w:space="0" w:color="auto"/>
            <w:left w:val="none" w:sz="0" w:space="0" w:color="auto"/>
            <w:bottom w:val="none" w:sz="0" w:space="0" w:color="auto"/>
            <w:right w:val="none" w:sz="0" w:space="0" w:color="auto"/>
          </w:divBdr>
        </w:div>
      </w:divsChild>
    </w:div>
    <w:div w:id="110630141">
      <w:marLeft w:val="0"/>
      <w:marRight w:val="0"/>
      <w:marTop w:val="180"/>
      <w:marBottom w:val="0"/>
      <w:divBdr>
        <w:top w:val="none" w:sz="0" w:space="0" w:color="auto"/>
        <w:left w:val="none" w:sz="0" w:space="0" w:color="auto"/>
        <w:bottom w:val="none" w:sz="0" w:space="0" w:color="auto"/>
        <w:right w:val="none" w:sz="0" w:space="0" w:color="auto"/>
      </w:divBdr>
    </w:div>
    <w:div w:id="112137974">
      <w:marLeft w:val="0"/>
      <w:marRight w:val="0"/>
      <w:marTop w:val="180"/>
      <w:marBottom w:val="0"/>
      <w:divBdr>
        <w:top w:val="none" w:sz="0" w:space="0" w:color="auto"/>
        <w:left w:val="none" w:sz="0" w:space="0" w:color="auto"/>
        <w:bottom w:val="none" w:sz="0" w:space="0" w:color="auto"/>
        <w:right w:val="none" w:sz="0" w:space="0" w:color="auto"/>
      </w:divBdr>
    </w:div>
    <w:div w:id="113333070">
      <w:marLeft w:val="0"/>
      <w:marRight w:val="0"/>
      <w:marTop w:val="0"/>
      <w:marBottom w:val="0"/>
      <w:divBdr>
        <w:top w:val="none" w:sz="0" w:space="0" w:color="auto"/>
        <w:left w:val="none" w:sz="0" w:space="0" w:color="auto"/>
        <w:bottom w:val="none" w:sz="0" w:space="0" w:color="auto"/>
        <w:right w:val="none" w:sz="0" w:space="0" w:color="auto"/>
      </w:divBdr>
      <w:divsChild>
        <w:div w:id="1718700271">
          <w:marLeft w:val="0"/>
          <w:marRight w:val="0"/>
          <w:marTop w:val="0"/>
          <w:marBottom w:val="0"/>
          <w:divBdr>
            <w:top w:val="none" w:sz="0" w:space="0" w:color="auto"/>
            <w:left w:val="none" w:sz="0" w:space="0" w:color="auto"/>
            <w:bottom w:val="none" w:sz="0" w:space="0" w:color="auto"/>
            <w:right w:val="none" w:sz="0" w:space="0" w:color="auto"/>
          </w:divBdr>
        </w:div>
      </w:divsChild>
    </w:div>
    <w:div w:id="114181009">
      <w:marLeft w:val="0"/>
      <w:marRight w:val="0"/>
      <w:marTop w:val="180"/>
      <w:marBottom w:val="0"/>
      <w:divBdr>
        <w:top w:val="none" w:sz="0" w:space="0" w:color="auto"/>
        <w:left w:val="none" w:sz="0" w:space="0" w:color="auto"/>
        <w:bottom w:val="none" w:sz="0" w:space="0" w:color="auto"/>
        <w:right w:val="none" w:sz="0" w:space="0" w:color="auto"/>
      </w:divBdr>
    </w:div>
    <w:div w:id="114717490">
      <w:marLeft w:val="0"/>
      <w:marRight w:val="0"/>
      <w:marTop w:val="0"/>
      <w:marBottom w:val="60"/>
      <w:divBdr>
        <w:top w:val="none" w:sz="0" w:space="0" w:color="auto"/>
        <w:left w:val="none" w:sz="0" w:space="0" w:color="auto"/>
        <w:bottom w:val="none" w:sz="0" w:space="0" w:color="auto"/>
        <w:right w:val="none" w:sz="0" w:space="0" w:color="auto"/>
      </w:divBdr>
    </w:div>
    <w:div w:id="117720362">
      <w:marLeft w:val="0"/>
      <w:marRight w:val="0"/>
      <w:marTop w:val="60"/>
      <w:marBottom w:val="120"/>
      <w:divBdr>
        <w:top w:val="none" w:sz="0" w:space="0" w:color="auto"/>
        <w:left w:val="none" w:sz="0" w:space="0" w:color="auto"/>
        <w:bottom w:val="none" w:sz="0" w:space="0" w:color="auto"/>
        <w:right w:val="none" w:sz="0" w:space="0" w:color="auto"/>
      </w:divBdr>
    </w:div>
    <w:div w:id="117918677">
      <w:marLeft w:val="0"/>
      <w:marRight w:val="0"/>
      <w:marTop w:val="180"/>
      <w:marBottom w:val="0"/>
      <w:divBdr>
        <w:top w:val="none" w:sz="0" w:space="0" w:color="auto"/>
        <w:left w:val="none" w:sz="0" w:space="0" w:color="auto"/>
        <w:bottom w:val="none" w:sz="0" w:space="0" w:color="auto"/>
        <w:right w:val="none" w:sz="0" w:space="0" w:color="auto"/>
      </w:divBdr>
    </w:div>
    <w:div w:id="118497529">
      <w:marLeft w:val="0"/>
      <w:marRight w:val="0"/>
      <w:marTop w:val="0"/>
      <w:marBottom w:val="0"/>
      <w:divBdr>
        <w:top w:val="none" w:sz="0" w:space="0" w:color="auto"/>
        <w:left w:val="none" w:sz="0" w:space="0" w:color="auto"/>
        <w:bottom w:val="none" w:sz="0" w:space="0" w:color="auto"/>
        <w:right w:val="none" w:sz="0" w:space="0" w:color="auto"/>
      </w:divBdr>
      <w:divsChild>
        <w:div w:id="980117668">
          <w:marLeft w:val="0"/>
          <w:marRight w:val="0"/>
          <w:marTop w:val="0"/>
          <w:marBottom w:val="0"/>
          <w:divBdr>
            <w:top w:val="none" w:sz="0" w:space="0" w:color="auto"/>
            <w:left w:val="none" w:sz="0" w:space="0" w:color="auto"/>
            <w:bottom w:val="none" w:sz="0" w:space="0" w:color="auto"/>
            <w:right w:val="none" w:sz="0" w:space="0" w:color="auto"/>
          </w:divBdr>
          <w:divsChild>
            <w:div w:id="8285998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9227667">
      <w:marLeft w:val="0"/>
      <w:marRight w:val="0"/>
      <w:marTop w:val="0"/>
      <w:marBottom w:val="0"/>
      <w:divBdr>
        <w:top w:val="none" w:sz="0" w:space="0" w:color="auto"/>
        <w:left w:val="none" w:sz="0" w:space="0" w:color="auto"/>
        <w:bottom w:val="none" w:sz="0" w:space="0" w:color="auto"/>
        <w:right w:val="none" w:sz="0" w:space="0" w:color="auto"/>
      </w:divBdr>
      <w:divsChild>
        <w:div w:id="1624768599">
          <w:marLeft w:val="0"/>
          <w:marRight w:val="0"/>
          <w:marTop w:val="0"/>
          <w:marBottom w:val="0"/>
          <w:divBdr>
            <w:top w:val="none" w:sz="0" w:space="0" w:color="auto"/>
            <w:left w:val="none" w:sz="0" w:space="0" w:color="auto"/>
            <w:bottom w:val="none" w:sz="0" w:space="0" w:color="auto"/>
            <w:right w:val="none" w:sz="0" w:space="0" w:color="auto"/>
          </w:divBdr>
          <w:divsChild>
            <w:div w:id="1031153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1924587">
      <w:marLeft w:val="0"/>
      <w:marRight w:val="0"/>
      <w:marTop w:val="0"/>
      <w:marBottom w:val="0"/>
      <w:divBdr>
        <w:top w:val="none" w:sz="0" w:space="0" w:color="auto"/>
        <w:left w:val="none" w:sz="0" w:space="0" w:color="auto"/>
        <w:bottom w:val="none" w:sz="0" w:space="0" w:color="auto"/>
        <w:right w:val="none" w:sz="0" w:space="0" w:color="auto"/>
      </w:divBdr>
      <w:divsChild>
        <w:div w:id="1588031636">
          <w:marLeft w:val="0"/>
          <w:marRight w:val="0"/>
          <w:marTop w:val="0"/>
          <w:marBottom w:val="0"/>
          <w:divBdr>
            <w:top w:val="none" w:sz="0" w:space="0" w:color="auto"/>
            <w:left w:val="none" w:sz="0" w:space="0" w:color="auto"/>
            <w:bottom w:val="none" w:sz="0" w:space="0" w:color="auto"/>
            <w:right w:val="none" w:sz="0" w:space="0" w:color="auto"/>
          </w:divBdr>
          <w:divsChild>
            <w:div w:id="8392735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934269">
      <w:marLeft w:val="0"/>
      <w:marRight w:val="0"/>
      <w:marTop w:val="160"/>
      <w:marBottom w:val="0"/>
      <w:divBdr>
        <w:top w:val="none" w:sz="0" w:space="0" w:color="auto"/>
        <w:left w:val="none" w:sz="0" w:space="0" w:color="auto"/>
        <w:bottom w:val="none" w:sz="0" w:space="0" w:color="auto"/>
        <w:right w:val="none" w:sz="0" w:space="0" w:color="auto"/>
      </w:divBdr>
    </w:div>
    <w:div w:id="126046910">
      <w:marLeft w:val="0"/>
      <w:marRight w:val="0"/>
      <w:marTop w:val="200"/>
      <w:marBottom w:val="400"/>
      <w:divBdr>
        <w:top w:val="none" w:sz="0" w:space="0" w:color="auto"/>
        <w:left w:val="none" w:sz="0" w:space="0" w:color="auto"/>
        <w:bottom w:val="none" w:sz="0" w:space="0" w:color="auto"/>
        <w:right w:val="none" w:sz="0" w:space="0" w:color="auto"/>
      </w:divBdr>
    </w:div>
    <w:div w:id="126625634">
      <w:marLeft w:val="0"/>
      <w:marRight w:val="0"/>
      <w:marTop w:val="180"/>
      <w:marBottom w:val="0"/>
      <w:divBdr>
        <w:top w:val="none" w:sz="0" w:space="0" w:color="auto"/>
        <w:left w:val="none" w:sz="0" w:space="0" w:color="auto"/>
        <w:bottom w:val="none" w:sz="0" w:space="0" w:color="auto"/>
        <w:right w:val="none" w:sz="0" w:space="0" w:color="auto"/>
      </w:divBdr>
    </w:div>
    <w:div w:id="130832481">
      <w:marLeft w:val="0"/>
      <w:marRight w:val="0"/>
      <w:marTop w:val="180"/>
      <w:marBottom w:val="0"/>
      <w:divBdr>
        <w:top w:val="none" w:sz="0" w:space="0" w:color="auto"/>
        <w:left w:val="none" w:sz="0" w:space="0" w:color="auto"/>
        <w:bottom w:val="none" w:sz="0" w:space="0" w:color="auto"/>
        <w:right w:val="none" w:sz="0" w:space="0" w:color="auto"/>
      </w:divBdr>
    </w:div>
    <w:div w:id="136609114">
      <w:marLeft w:val="0"/>
      <w:marRight w:val="0"/>
      <w:marTop w:val="120"/>
      <w:marBottom w:val="0"/>
      <w:divBdr>
        <w:top w:val="none" w:sz="0" w:space="0" w:color="auto"/>
        <w:left w:val="none" w:sz="0" w:space="0" w:color="auto"/>
        <w:bottom w:val="none" w:sz="0" w:space="0" w:color="auto"/>
        <w:right w:val="none" w:sz="0" w:space="0" w:color="auto"/>
      </w:divBdr>
    </w:div>
    <w:div w:id="139083846">
      <w:marLeft w:val="0"/>
      <w:marRight w:val="0"/>
      <w:marTop w:val="240"/>
      <w:marBottom w:val="0"/>
      <w:divBdr>
        <w:top w:val="none" w:sz="0" w:space="0" w:color="auto"/>
        <w:left w:val="none" w:sz="0" w:space="0" w:color="auto"/>
        <w:bottom w:val="none" w:sz="0" w:space="0" w:color="auto"/>
        <w:right w:val="none" w:sz="0" w:space="0" w:color="auto"/>
      </w:divBdr>
    </w:div>
    <w:div w:id="139199782">
      <w:marLeft w:val="0"/>
      <w:marRight w:val="0"/>
      <w:marTop w:val="180"/>
      <w:marBottom w:val="0"/>
      <w:divBdr>
        <w:top w:val="none" w:sz="0" w:space="0" w:color="auto"/>
        <w:left w:val="none" w:sz="0" w:space="0" w:color="auto"/>
        <w:bottom w:val="none" w:sz="0" w:space="0" w:color="auto"/>
        <w:right w:val="none" w:sz="0" w:space="0" w:color="auto"/>
      </w:divBdr>
    </w:div>
    <w:div w:id="140390301">
      <w:marLeft w:val="0"/>
      <w:marRight w:val="0"/>
      <w:marTop w:val="0"/>
      <w:marBottom w:val="200"/>
      <w:divBdr>
        <w:top w:val="none" w:sz="0" w:space="0" w:color="auto"/>
        <w:left w:val="none" w:sz="0" w:space="0" w:color="auto"/>
        <w:bottom w:val="none" w:sz="0" w:space="0" w:color="auto"/>
        <w:right w:val="none" w:sz="0" w:space="0" w:color="auto"/>
      </w:divBdr>
    </w:div>
    <w:div w:id="140924956">
      <w:marLeft w:val="0"/>
      <w:marRight w:val="0"/>
      <w:marTop w:val="180"/>
      <w:marBottom w:val="0"/>
      <w:divBdr>
        <w:top w:val="none" w:sz="0" w:space="0" w:color="auto"/>
        <w:left w:val="none" w:sz="0" w:space="0" w:color="auto"/>
        <w:bottom w:val="none" w:sz="0" w:space="0" w:color="auto"/>
        <w:right w:val="none" w:sz="0" w:space="0" w:color="auto"/>
      </w:divBdr>
    </w:div>
    <w:div w:id="141585667">
      <w:marLeft w:val="0"/>
      <w:marRight w:val="0"/>
      <w:marTop w:val="180"/>
      <w:marBottom w:val="0"/>
      <w:divBdr>
        <w:top w:val="none" w:sz="0" w:space="0" w:color="auto"/>
        <w:left w:val="none" w:sz="0" w:space="0" w:color="auto"/>
        <w:bottom w:val="none" w:sz="0" w:space="0" w:color="auto"/>
        <w:right w:val="none" w:sz="0" w:space="0" w:color="auto"/>
      </w:divBdr>
    </w:div>
    <w:div w:id="142043502">
      <w:marLeft w:val="0"/>
      <w:marRight w:val="0"/>
      <w:marTop w:val="60"/>
      <w:marBottom w:val="0"/>
      <w:divBdr>
        <w:top w:val="none" w:sz="0" w:space="0" w:color="auto"/>
        <w:left w:val="none" w:sz="0" w:space="0" w:color="auto"/>
        <w:bottom w:val="none" w:sz="0" w:space="0" w:color="auto"/>
        <w:right w:val="none" w:sz="0" w:space="0" w:color="auto"/>
      </w:divBdr>
    </w:div>
    <w:div w:id="145361884">
      <w:marLeft w:val="0"/>
      <w:marRight w:val="0"/>
      <w:marTop w:val="180"/>
      <w:marBottom w:val="0"/>
      <w:divBdr>
        <w:top w:val="none" w:sz="0" w:space="0" w:color="auto"/>
        <w:left w:val="none" w:sz="0" w:space="0" w:color="auto"/>
        <w:bottom w:val="none" w:sz="0" w:space="0" w:color="auto"/>
        <w:right w:val="none" w:sz="0" w:space="0" w:color="auto"/>
      </w:divBdr>
    </w:div>
    <w:div w:id="146092609">
      <w:marLeft w:val="0"/>
      <w:marRight w:val="0"/>
      <w:marTop w:val="240"/>
      <w:marBottom w:val="0"/>
      <w:divBdr>
        <w:top w:val="none" w:sz="0" w:space="0" w:color="auto"/>
        <w:left w:val="none" w:sz="0" w:space="0" w:color="auto"/>
        <w:bottom w:val="none" w:sz="0" w:space="0" w:color="auto"/>
        <w:right w:val="none" w:sz="0" w:space="0" w:color="auto"/>
      </w:divBdr>
    </w:div>
    <w:div w:id="148449141">
      <w:marLeft w:val="0"/>
      <w:marRight w:val="0"/>
      <w:marTop w:val="180"/>
      <w:marBottom w:val="0"/>
      <w:divBdr>
        <w:top w:val="none" w:sz="0" w:space="0" w:color="auto"/>
        <w:left w:val="none" w:sz="0" w:space="0" w:color="auto"/>
        <w:bottom w:val="none" w:sz="0" w:space="0" w:color="auto"/>
        <w:right w:val="none" w:sz="0" w:space="0" w:color="auto"/>
      </w:divBdr>
    </w:div>
    <w:div w:id="149520333">
      <w:marLeft w:val="0"/>
      <w:marRight w:val="0"/>
      <w:marTop w:val="180"/>
      <w:marBottom w:val="0"/>
      <w:divBdr>
        <w:top w:val="none" w:sz="0" w:space="0" w:color="auto"/>
        <w:left w:val="none" w:sz="0" w:space="0" w:color="auto"/>
        <w:bottom w:val="none" w:sz="0" w:space="0" w:color="auto"/>
        <w:right w:val="none" w:sz="0" w:space="0" w:color="auto"/>
      </w:divBdr>
    </w:div>
    <w:div w:id="149951566">
      <w:marLeft w:val="0"/>
      <w:marRight w:val="0"/>
      <w:marTop w:val="180"/>
      <w:marBottom w:val="0"/>
      <w:divBdr>
        <w:top w:val="none" w:sz="0" w:space="0" w:color="auto"/>
        <w:left w:val="none" w:sz="0" w:space="0" w:color="auto"/>
        <w:bottom w:val="none" w:sz="0" w:space="0" w:color="auto"/>
        <w:right w:val="none" w:sz="0" w:space="0" w:color="auto"/>
      </w:divBdr>
    </w:div>
    <w:div w:id="150172903">
      <w:marLeft w:val="0"/>
      <w:marRight w:val="0"/>
      <w:marTop w:val="180"/>
      <w:marBottom w:val="0"/>
      <w:divBdr>
        <w:top w:val="none" w:sz="0" w:space="0" w:color="auto"/>
        <w:left w:val="none" w:sz="0" w:space="0" w:color="auto"/>
        <w:bottom w:val="none" w:sz="0" w:space="0" w:color="auto"/>
        <w:right w:val="none" w:sz="0" w:space="0" w:color="auto"/>
      </w:divBdr>
    </w:div>
    <w:div w:id="153303771">
      <w:marLeft w:val="0"/>
      <w:marRight w:val="0"/>
      <w:marTop w:val="180"/>
      <w:marBottom w:val="0"/>
      <w:divBdr>
        <w:top w:val="none" w:sz="0" w:space="0" w:color="auto"/>
        <w:left w:val="none" w:sz="0" w:space="0" w:color="auto"/>
        <w:bottom w:val="none" w:sz="0" w:space="0" w:color="auto"/>
        <w:right w:val="none" w:sz="0" w:space="0" w:color="auto"/>
      </w:divBdr>
    </w:div>
    <w:div w:id="156384855">
      <w:marLeft w:val="0"/>
      <w:marRight w:val="0"/>
      <w:marTop w:val="180"/>
      <w:marBottom w:val="0"/>
      <w:divBdr>
        <w:top w:val="none" w:sz="0" w:space="0" w:color="auto"/>
        <w:left w:val="none" w:sz="0" w:space="0" w:color="auto"/>
        <w:bottom w:val="none" w:sz="0" w:space="0" w:color="auto"/>
        <w:right w:val="none" w:sz="0" w:space="0" w:color="auto"/>
      </w:divBdr>
    </w:div>
    <w:div w:id="157696912">
      <w:marLeft w:val="0"/>
      <w:marRight w:val="0"/>
      <w:marTop w:val="120"/>
      <w:marBottom w:val="0"/>
      <w:divBdr>
        <w:top w:val="none" w:sz="0" w:space="0" w:color="auto"/>
        <w:left w:val="none" w:sz="0" w:space="0" w:color="auto"/>
        <w:bottom w:val="none" w:sz="0" w:space="0" w:color="auto"/>
        <w:right w:val="none" w:sz="0" w:space="0" w:color="auto"/>
      </w:divBdr>
    </w:div>
    <w:div w:id="160388013">
      <w:marLeft w:val="0"/>
      <w:marRight w:val="0"/>
      <w:marTop w:val="180"/>
      <w:marBottom w:val="120"/>
      <w:divBdr>
        <w:top w:val="none" w:sz="0" w:space="0" w:color="auto"/>
        <w:left w:val="none" w:sz="0" w:space="0" w:color="auto"/>
        <w:bottom w:val="none" w:sz="0" w:space="0" w:color="auto"/>
        <w:right w:val="none" w:sz="0" w:space="0" w:color="auto"/>
      </w:divBdr>
    </w:div>
    <w:div w:id="162359471">
      <w:marLeft w:val="0"/>
      <w:marRight w:val="0"/>
      <w:marTop w:val="180"/>
      <w:marBottom w:val="0"/>
      <w:divBdr>
        <w:top w:val="none" w:sz="0" w:space="0" w:color="auto"/>
        <w:left w:val="none" w:sz="0" w:space="0" w:color="auto"/>
        <w:bottom w:val="none" w:sz="0" w:space="0" w:color="auto"/>
        <w:right w:val="none" w:sz="0" w:space="0" w:color="auto"/>
      </w:divBdr>
    </w:div>
    <w:div w:id="162816401">
      <w:marLeft w:val="0"/>
      <w:marRight w:val="0"/>
      <w:marTop w:val="180"/>
      <w:marBottom w:val="0"/>
      <w:divBdr>
        <w:top w:val="none" w:sz="0" w:space="0" w:color="auto"/>
        <w:left w:val="none" w:sz="0" w:space="0" w:color="auto"/>
        <w:bottom w:val="none" w:sz="0" w:space="0" w:color="auto"/>
        <w:right w:val="none" w:sz="0" w:space="0" w:color="auto"/>
      </w:divBdr>
    </w:div>
    <w:div w:id="164173024">
      <w:marLeft w:val="0"/>
      <w:marRight w:val="0"/>
      <w:marTop w:val="180"/>
      <w:marBottom w:val="0"/>
      <w:divBdr>
        <w:top w:val="none" w:sz="0" w:space="0" w:color="auto"/>
        <w:left w:val="none" w:sz="0" w:space="0" w:color="auto"/>
        <w:bottom w:val="none" w:sz="0" w:space="0" w:color="auto"/>
        <w:right w:val="none" w:sz="0" w:space="0" w:color="auto"/>
      </w:divBdr>
    </w:div>
    <w:div w:id="164982409">
      <w:marLeft w:val="0"/>
      <w:marRight w:val="0"/>
      <w:marTop w:val="180"/>
      <w:marBottom w:val="0"/>
      <w:divBdr>
        <w:top w:val="none" w:sz="0" w:space="0" w:color="auto"/>
        <w:left w:val="none" w:sz="0" w:space="0" w:color="auto"/>
        <w:bottom w:val="none" w:sz="0" w:space="0" w:color="auto"/>
        <w:right w:val="none" w:sz="0" w:space="0" w:color="auto"/>
      </w:divBdr>
    </w:div>
    <w:div w:id="165680356">
      <w:marLeft w:val="0"/>
      <w:marRight w:val="0"/>
      <w:marTop w:val="180"/>
      <w:marBottom w:val="0"/>
      <w:divBdr>
        <w:top w:val="none" w:sz="0" w:space="0" w:color="auto"/>
        <w:left w:val="none" w:sz="0" w:space="0" w:color="auto"/>
        <w:bottom w:val="none" w:sz="0" w:space="0" w:color="auto"/>
        <w:right w:val="none" w:sz="0" w:space="0" w:color="auto"/>
      </w:divBdr>
    </w:div>
    <w:div w:id="168448886">
      <w:marLeft w:val="0"/>
      <w:marRight w:val="0"/>
      <w:marTop w:val="180"/>
      <w:marBottom w:val="120"/>
      <w:divBdr>
        <w:top w:val="none" w:sz="0" w:space="0" w:color="auto"/>
        <w:left w:val="none" w:sz="0" w:space="0" w:color="auto"/>
        <w:bottom w:val="none" w:sz="0" w:space="0" w:color="auto"/>
        <w:right w:val="none" w:sz="0" w:space="0" w:color="auto"/>
      </w:divBdr>
      <w:divsChild>
        <w:div w:id="1678457208">
          <w:marLeft w:val="0"/>
          <w:marRight w:val="0"/>
          <w:marTop w:val="0"/>
          <w:marBottom w:val="0"/>
          <w:divBdr>
            <w:top w:val="none" w:sz="0" w:space="0" w:color="auto"/>
            <w:left w:val="none" w:sz="0" w:space="0" w:color="auto"/>
            <w:bottom w:val="none" w:sz="0" w:space="0" w:color="auto"/>
            <w:right w:val="none" w:sz="0" w:space="0" w:color="auto"/>
          </w:divBdr>
        </w:div>
        <w:div w:id="1160317311">
          <w:marLeft w:val="0"/>
          <w:marRight w:val="0"/>
          <w:marTop w:val="0"/>
          <w:marBottom w:val="0"/>
          <w:divBdr>
            <w:top w:val="none" w:sz="0" w:space="0" w:color="auto"/>
            <w:left w:val="none" w:sz="0" w:space="0" w:color="auto"/>
            <w:bottom w:val="none" w:sz="0" w:space="0" w:color="auto"/>
            <w:right w:val="none" w:sz="0" w:space="0" w:color="auto"/>
          </w:divBdr>
        </w:div>
        <w:div w:id="1487823546">
          <w:marLeft w:val="0"/>
          <w:marRight w:val="0"/>
          <w:marTop w:val="0"/>
          <w:marBottom w:val="0"/>
          <w:divBdr>
            <w:top w:val="none" w:sz="0" w:space="0" w:color="auto"/>
            <w:left w:val="none" w:sz="0" w:space="0" w:color="auto"/>
            <w:bottom w:val="none" w:sz="0" w:space="0" w:color="auto"/>
            <w:right w:val="none" w:sz="0" w:space="0" w:color="auto"/>
          </w:divBdr>
        </w:div>
        <w:div w:id="486825045">
          <w:marLeft w:val="0"/>
          <w:marRight w:val="0"/>
          <w:marTop w:val="0"/>
          <w:marBottom w:val="0"/>
          <w:divBdr>
            <w:top w:val="none" w:sz="0" w:space="0" w:color="auto"/>
            <w:left w:val="none" w:sz="0" w:space="0" w:color="auto"/>
            <w:bottom w:val="none" w:sz="0" w:space="0" w:color="auto"/>
            <w:right w:val="none" w:sz="0" w:space="0" w:color="auto"/>
          </w:divBdr>
        </w:div>
        <w:div w:id="1099063304">
          <w:marLeft w:val="0"/>
          <w:marRight w:val="0"/>
          <w:marTop w:val="0"/>
          <w:marBottom w:val="0"/>
          <w:divBdr>
            <w:top w:val="none" w:sz="0" w:space="0" w:color="auto"/>
            <w:left w:val="none" w:sz="0" w:space="0" w:color="auto"/>
            <w:bottom w:val="none" w:sz="0" w:space="0" w:color="auto"/>
            <w:right w:val="none" w:sz="0" w:space="0" w:color="auto"/>
          </w:divBdr>
        </w:div>
        <w:div w:id="990717152">
          <w:marLeft w:val="0"/>
          <w:marRight w:val="0"/>
          <w:marTop w:val="0"/>
          <w:marBottom w:val="0"/>
          <w:divBdr>
            <w:top w:val="none" w:sz="0" w:space="0" w:color="auto"/>
            <w:left w:val="none" w:sz="0" w:space="0" w:color="auto"/>
            <w:bottom w:val="none" w:sz="0" w:space="0" w:color="auto"/>
            <w:right w:val="none" w:sz="0" w:space="0" w:color="auto"/>
          </w:divBdr>
        </w:div>
      </w:divsChild>
    </w:div>
    <w:div w:id="173885864">
      <w:marLeft w:val="0"/>
      <w:marRight w:val="0"/>
      <w:marTop w:val="180"/>
      <w:marBottom w:val="0"/>
      <w:divBdr>
        <w:top w:val="none" w:sz="0" w:space="0" w:color="auto"/>
        <w:left w:val="none" w:sz="0" w:space="0" w:color="auto"/>
        <w:bottom w:val="none" w:sz="0" w:space="0" w:color="auto"/>
        <w:right w:val="none" w:sz="0" w:space="0" w:color="auto"/>
      </w:divBdr>
    </w:div>
    <w:div w:id="176775877">
      <w:marLeft w:val="0"/>
      <w:marRight w:val="0"/>
      <w:marTop w:val="0"/>
      <w:marBottom w:val="0"/>
      <w:divBdr>
        <w:top w:val="none" w:sz="0" w:space="0" w:color="auto"/>
        <w:left w:val="none" w:sz="0" w:space="0" w:color="auto"/>
        <w:bottom w:val="none" w:sz="0" w:space="0" w:color="auto"/>
        <w:right w:val="none" w:sz="0" w:space="0" w:color="auto"/>
      </w:divBdr>
      <w:divsChild>
        <w:div w:id="1751192117">
          <w:marLeft w:val="0"/>
          <w:marRight w:val="0"/>
          <w:marTop w:val="180"/>
          <w:marBottom w:val="0"/>
          <w:divBdr>
            <w:top w:val="none" w:sz="0" w:space="0" w:color="auto"/>
            <w:left w:val="none" w:sz="0" w:space="0" w:color="auto"/>
            <w:bottom w:val="none" w:sz="0" w:space="0" w:color="auto"/>
            <w:right w:val="none" w:sz="0" w:space="0" w:color="auto"/>
          </w:divBdr>
        </w:div>
      </w:divsChild>
    </w:div>
    <w:div w:id="177157167">
      <w:marLeft w:val="0"/>
      <w:marRight w:val="0"/>
      <w:marTop w:val="180"/>
      <w:marBottom w:val="0"/>
      <w:divBdr>
        <w:top w:val="none" w:sz="0" w:space="0" w:color="auto"/>
        <w:left w:val="none" w:sz="0" w:space="0" w:color="auto"/>
        <w:bottom w:val="none" w:sz="0" w:space="0" w:color="auto"/>
        <w:right w:val="none" w:sz="0" w:space="0" w:color="auto"/>
      </w:divBdr>
    </w:div>
    <w:div w:id="178931169">
      <w:marLeft w:val="0"/>
      <w:marRight w:val="0"/>
      <w:marTop w:val="180"/>
      <w:marBottom w:val="0"/>
      <w:divBdr>
        <w:top w:val="none" w:sz="0" w:space="0" w:color="auto"/>
        <w:left w:val="none" w:sz="0" w:space="0" w:color="auto"/>
        <w:bottom w:val="none" w:sz="0" w:space="0" w:color="auto"/>
        <w:right w:val="none" w:sz="0" w:space="0" w:color="auto"/>
      </w:divBdr>
    </w:div>
    <w:div w:id="182208893">
      <w:marLeft w:val="0"/>
      <w:marRight w:val="0"/>
      <w:marTop w:val="120"/>
      <w:marBottom w:val="0"/>
      <w:divBdr>
        <w:top w:val="none" w:sz="0" w:space="0" w:color="auto"/>
        <w:left w:val="none" w:sz="0" w:space="0" w:color="auto"/>
        <w:bottom w:val="none" w:sz="0" w:space="0" w:color="auto"/>
        <w:right w:val="none" w:sz="0" w:space="0" w:color="auto"/>
      </w:divBdr>
    </w:div>
    <w:div w:id="182399994">
      <w:marLeft w:val="0"/>
      <w:marRight w:val="0"/>
      <w:marTop w:val="0"/>
      <w:marBottom w:val="0"/>
      <w:divBdr>
        <w:top w:val="none" w:sz="0" w:space="0" w:color="auto"/>
        <w:left w:val="none" w:sz="0" w:space="0" w:color="auto"/>
        <w:bottom w:val="none" w:sz="0" w:space="0" w:color="auto"/>
        <w:right w:val="none" w:sz="0" w:space="0" w:color="auto"/>
      </w:divBdr>
      <w:divsChild>
        <w:div w:id="1707218132">
          <w:marLeft w:val="0"/>
          <w:marRight w:val="0"/>
          <w:marTop w:val="0"/>
          <w:marBottom w:val="0"/>
          <w:divBdr>
            <w:top w:val="none" w:sz="0" w:space="0" w:color="auto"/>
            <w:left w:val="none" w:sz="0" w:space="0" w:color="auto"/>
            <w:bottom w:val="none" w:sz="0" w:space="0" w:color="auto"/>
            <w:right w:val="none" w:sz="0" w:space="0" w:color="auto"/>
          </w:divBdr>
        </w:div>
      </w:divsChild>
    </w:div>
    <w:div w:id="187840740">
      <w:marLeft w:val="0"/>
      <w:marRight w:val="0"/>
      <w:marTop w:val="0"/>
      <w:marBottom w:val="0"/>
      <w:divBdr>
        <w:top w:val="none" w:sz="0" w:space="0" w:color="auto"/>
        <w:left w:val="none" w:sz="0" w:space="0" w:color="auto"/>
        <w:bottom w:val="none" w:sz="0" w:space="0" w:color="auto"/>
        <w:right w:val="none" w:sz="0" w:space="0" w:color="auto"/>
      </w:divBdr>
      <w:divsChild>
        <w:div w:id="1565918489">
          <w:marLeft w:val="0"/>
          <w:marRight w:val="0"/>
          <w:marTop w:val="0"/>
          <w:marBottom w:val="0"/>
          <w:divBdr>
            <w:top w:val="none" w:sz="0" w:space="0" w:color="auto"/>
            <w:left w:val="none" w:sz="0" w:space="0" w:color="auto"/>
            <w:bottom w:val="none" w:sz="0" w:space="0" w:color="auto"/>
            <w:right w:val="none" w:sz="0" w:space="0" w:color="auto"/>
          </w:divBdr>
          <w:divsChild>
            <w:div w:id="15884938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266532">
      <w:marLeft w:val="0"/>
      <w:marRight w:val="0"/>
      <w:marTop w:val="180"/>
      <w:marBottom w:val="180"/>
      <w:divBdr>
        <w:top w:val="none" w:sz="0" w:space="0" w:color="auto"/>
        <w:left w:val="none" w:sz="0" w:space="0" w:color="auto"/>
        <w:bottom w:val="none" w:sz="0" w:space="0" w:color="auto"/>
        <w:right w:val="none" w:sz="0" w:space="0" w:color="auto"/>
      </w:divBdr>
    </w:div>
    <w:div w:id="190530032">
      <w:marLeft w:val="0"/>
      <w:marRight w:val="0"/>
      <w:marTop w:val="0"/>
      <w:marBottom w:val="0"/>
      <w:divBdr>
        <w:top w:val="none" w:sz="0" w:space="0" w:color="auto"/>
        <w:left w:val="none" w:sz="0" w:space="0" w:color="auto"/>
        <w:bottom w:val="none" w:sz="0" w:space="0" w:color="auto"/>
        <w:right w:val="none" w:sz="0" w:space="0" w:color="auto"/>
      </w:divBdr>
      <w:divsChild>
        <w:div w:id="1503663299">
          <w:marLeft w:val="0"/>
          <w:marRight w:val="0"/>
          <w:marTop w:val="0"/>
          <w:marBottom w:val="0"/>
          <w:divBdr>
            <w:top w:val="none" w:sz="0" w:space="0" w:color="auto"/>
            <w:left w:val="none" w:sz="0" w:space="0" w:color="auto"/>
            <w:bottom w:val="none" w:sz="0" w:space="0" w:color="auto"/>
            <w:right w:val="none" w:sz="0" w:space="0" w:color="auto"/>
          </w:divBdr>
          <w:divsChild>
            <w:div w:id="10942780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537868">
      <w:marLeft w:val="0"/>
      <w:marRight w:val="0"/>
      <w:marTop w:val="0"/>
      <w:marBottom w:val="120"/>
      <w:divBdr>
        <w:top w:val="none" w:sz="0" w:space="0" w:color="auto"/>
        <w:left w:val="none" w:sz="0" w:space="0" w:color="auto"/>
        <w:bottom w:val="none" w:sz="0" w:space="0" w:color="auto"/>
        <w:right w:val="none" w:sz="0" w:space="0" w:color="auto"/>
      </w:divBdr>
    </w:div>
    <w:div w:id="192547188">
      <w:marLeft w:val="0"/>
      <w:marRight w:val="0"/>
      <w:marTop w:val="0"/>
      <w:marBottom w:val="0"/>
      <w:divBdr>
        <w:top w:val="none" w:sz="0" w:space="0" w:color="auto"/>
        <w:left w:val="none" w:sz="0" w:space="0" w:color="auto"/>
        <w:bottom w:val="none" w:sz="0" w:space="0" w:color="auto"/>
        <w:right w:val="none" w:sz="0" w:space="0" w:color="auto"/>
      </w:divBdr>
      <w:divsChild>
        <w:div w:id="394277878">
          <w:marLeft w:val="0"/>
          <w:marRight w:val="0"/>
          <w:marTop w:val="0"/>
          <w:marBottom w:val="0"/>
          <w:divBdr>
            <w:top w:val="none" w:sz="0" w:space="0" w:color="auto"/>
            <w:left w:val="none" w:sz="0" w:space="0" w:color="auto"/>
            <w:bottom w:val="none" w:sz="0" w:space="0" w:color="auto"/>
            <w:right w:val="none" w:sz="0" w:space="0" w:color="auto"/>
          </w:divBdr>
          <w:divsChild>
            <w:div w:id="4616528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345815">
      <w:marLeft w:val="0"/>
      <w:marRight w:val="0"/>
      <w:marTop w:val="180"/>
      <w:marBottom w:val="0"/>
      <w:divBdr>
        <w:top w:val="none" w:sz="0" w:space="0" w:color="auto"/>
        <w:left w:val="none" w:sz="0" w:space="0" w:color="auto"/>
        <w:bottom w:val="none" w:sz="0" w:space="0" w:color="auto"/>
        <w:right w:val="none" w:sz="0" w:space="0" w:color="auto"/>
      </w:divBdr>
    </w:div>
    <w:div w:id="194735721">
      <w:marLeft w:val="0"/>
      <w:marRight w:val="0"/>
      <w:marTop w:val="180"/>
      <w:marBottom w:val="0"/>
      <w:divBdr>
        <w:top w:val="none" w:sz="0" w:space="0" w:color="auto"/>
        <w:left w:val="none" w:sz="0" w:space="0" w:color="auto"/>
        <w:bottom w:val="none" w:sz="0" w:space="0" w:color="auto"/>
        <w:right w:val="none" w:sz="0" w:space="0" w:color="auto"/>
      </w:divBdr>
    </w:div>
    <w:div w:id="195705947">
      <w:marLeft w:val="0"/>
      <w:marRight w:val="0"/>
      <w:marTop w:val="120"/>
      <w:marBottom w:val="0"/>
      <w:divBdr>
        <w:top w:val="none" w:sz="0" w:space="0" w:color="auto"/>
        <w:left w:val="none" w:sz="0" w:space="0" w:color="auto"/>
        <w:bottom w:val="none" w:sz="0" w:space="0" w:color="auto"/>
        <w:right w:val="none" w:sz="0" w:space="0" w:color="auto"/>
      </w:divBdr>
    </w:div>
    <w:div w:id="196814844">
      <w:marLeft w:val="0"/>
      <w:marRight w:val="0"/>
      <w:marTop w:val="240"/>
      <w:marBottom w:val="120"/>
      <w:divBdr>
        <w:top w:val="none" w:sz="0" w:space="0" w:color="auto"/>
        <w:left w:val="none" w:sz="0" w:space="0" w:color="auto"/>
        <w:bottom w:val="none" w:sz="0" w:space="0" w:color="auto"/>
        <w:right w:val="none" w:sz="0" w:space="0" w:color="auto"/>
      </w:divBdr>
    </w:div>
    <w:div w:id="197200692">
      <w:marLeft w:val="0"/>
      <w:marRight w:val="0"/>
      <w:marTop w:val="180"/>
      <w:marBottom w:val="0"/>
      <w:divBdr>
        <w:top w:val="none" w:sz="0" w:space="0" w:color="auto"/>
        <w:left w:val="none" w:sz="0" w:space="0" w:color="auto"/>
        <w:bottom w:val="none" w:sz="0" w:space="0" w:color="auto"/>
        <w:right w:val="none" w:sz="0" w:space="0" w:color="auto"/>
      </w:divBdr>
    </w:div>
    <w:div w:id="198785404">
      <w:marLeft w:val="0"/>
      <w:marRight w:val="0"/>
      <w:marTop w:val="180"/>
      <w:marBottom w:val="0"/>
      <w:divBdr>
        <w:top w:val="none" w:sz="0" w:space="0" w:color="auto"/>
        <w:left w:val="none" w:sz="0" w:space="0" w:color="auto"/>
        <w:bottom w:val="none" w:sz="0" w:space="0" w:color="auto"/>
        <w:right w:val="none" w:sz="0" w:space="0" w:color="auto"/>
      </w:divBdr>
    </w:div>
    <w:div w:id="200946079">
      <w:marLeft w:val="0"/>
      <w:marRight w:val="0"/>
      <w:marTop w:val="180"/>
      <w:marBottom w:val="0"/>
      <w:divBdr>
        <w:top w:val="none" w:sz="0" w:space="0" w:color="auto"/>
        <w:left w:val="none" w:sz="0" w:space="0" w:color="auto"/>
        <w:bottom w:val="none" w:sz="0" w:space="0" w:color="auto"/>
        <w:right w:val="none" w:sz="0" w:space="0" w:color="auto"/>
      </w:divBdr>
    </w:div>
    <w:div w:id="201483603">
      <w:marLeft w:val="0"/>
      <w:marRight w:val="0"/>
      <w:marTop w:val="0"/>
      <w:marBottom w:val="0"/>
      <w:divBdr>
        <w:top w:val="none" w:sz="0" w:space="0" w:color="auto"/>
        <w:left w:val="none" w:sz="0" w:space="0" w:color="auto"/>
        <w:bottom w:val="none" w:sz="0" w:space="0" w:color="auto"/>
        <w:right w:val="none" w:sz="0" w:space="0" w:color="auto"/>
      </w:divBdr>
      <w:divsChild>
        <w:div w:id="163861960">
          <w:marLeft w:val="0"/>
          <w:marRight w:val="0"/>
          <w:marTop w:val="0"/>
          <w:marBottom w:val="0"/>
          <w:divBdr>
            <w:top w:val="none" w:sz="0" w:space="0" w:color="auto"/>
            <w:left w:val="none" w:sz="0" w:space="0" w:color="auto"/>
            <w:bottom w:val="none" w:sz="0" w:space="0" w:color="auto"/>
            <w:right w:val="none" w:sz="0" w:space="0" w:color="auto"/>
          </w:divBdr>
          <w:divsChild>
            <w:div w:id="17099112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1943487">
      <w:marLeft w:val="0"/>
      <w:marRight w:val="0"/>
      <w:marTop w:val="240"/>
      <w:marBottom w:val="0"/>
      <w:divBdr>
        <w:top w:val="none" w:sz="0" w:space="0" w:color="auto"/>
        <w:left w:val="none" w:sz="0" w:space="0" w:color="auto"/>
        <w:bottom w:val="none" w:sz="0" w:space="0" w:color="auto"/>
        <w:right w:val="none" w:sz="0" w:space="0" w:color="auto"/>
      </w:divBdr>
    </w:div>
    <w:div w:id="207187522">
      <w:marLeft w:val="0"/>
      <w:marRight w:val="0"/>
      <w:marTop w:val="180"/>
      <w:marBottom w:val="120"/>
      <w:divBdr>
        <w:top w:val="none" w:sz="0" w:space="0" w:color="auto"/>
        <w:left w:val="none" w:sz="0" w:space="0" w:color="auto"/>
        <w:bottom w:val="none" w:sz="0" w:space="0" w:color="auto"/>
        <w:right w:val="none" w:sz="0" w:space="0" w:color="auto"/>
      </w:divBdr>
    </w:div>
    <w:div w:id="211816826">
      <w:marLeft w:val="0"/>
      <w:marRight w:val="0"/>
      <w:marTop w:val="180"/>
      <w:marBottom w:val="0"/>
      <w:divBdr>
        <w:top w:val="none" w:sz="0" w:space="0" w:color="auto"/>
        <w:left w:val="none" w:sz="0" w:space="0" w:color="auto"/>
        <w:bottom w:val="none" w:sz="0" w:space="0" w:color="auto"/>
        <w:right w:val="none" w:sz="0" w:space="0" w:color="auto"/>
      </w:divBdr>
    </w:div>
    <w:div w:id="212347368">
      <w:marLeft w:val="0"/>
      <w:marRight w:val="0"/>
      <w:marTop w:val="180"/>
      <w:marBottom w:val="0"/>
      <w:divBdr>
        <w:top w:val="none" w:sz="0" w:space="0" w:color="auto"/>
        <w:left w:val="none" w:sz="0" w:space="0" w:color="auto"/>
        <w:bottom w:val="none" w:sz="0" w:space="0" w:color="auto"/>
        <w:right w:val="none" w:sz="0" w:space="0" w:color="auto"/>
      </w:divBdr>
    </w:div>
    <w:div w:id="214128664">
      <w:marLeft w:val="0"/>
      <w:marRight w:val="0"/>
      <w:marTop w:val="180"/>
      <w:marBottom w:val="0"/>
      <w:divBdr>
        <w:top w:val="none" w:sz="0" w:space="0" w:color="auto"/>
        <w:left w:val="none" w:sz="0" w:space="0" w:color="auto"/>
        <w:bottom w:val="none" w:sz="0" w:space="0" w:color="auto"/>
        <w:right w:val="none" w:sz="0" w:space="0" w:color="auto"/>
      </w:divBdr>
    </w:div>
    <w:div w:id="215238189">
      <w:marLeft w:val="0"/>
      <w:marRight w:val="0"/>
      <w:marTop w:val="180"/>
      <w:marBottom w:val="0"/>
      <w:divBdr>
        <w:top w:val="none" w:sz="0" w:space="0" w:color="auto"/>
        <w:left w:val="none" w:sz="0" w:space="0" w:color="auto"/>
        <w:bottom w:val="none" w:sz="0" w:space="0" w:color="auto"/>
        <w:right w:val="none" w:sz="0" w:space="0" w:color="auto"/>
      </w:divBdr>
    </w:div>
    <w:div w:id="216009968">
      <w:marLeft w:val="0"/>
      <w:marRight w:val="0"/>
      <w:marTop w:val="180"/>
      <w:marBottom w:val="0"/>
      <w:divBdr>
        <w:top w:val="none" w:sz="0" w:space="0" w:color="auto"/>
        <w:left w:val="none" w:sz="0" w:space="0" w:color="auto"/>
        <w:bottom w:val="none" w:sz="0" w:space="0" w:color="auto"/>
        <w:right w:val="none" w:sz="0" w:space="0" w:color="auto"/>
      </w:divBdr>
    </w:div>
    <w:div w:id="217211845">
      <w:marLeft w:val="0"/>
      <w:marRight w:val="0"/>
      <w:marTop w:val="180"/>
      <w:marBottom w:val="0"/>
      <w:divBdr>
        <w:top w:val="none" w:sz="0" w:space="0" w:color="auto"/>
        <w:left w:val="none" w:sz="0" w:space="0" w:color="auto"/>
        <w:bottom w:val="none" w:sz="0" w:space="0" w:color="auto"/>
        <w:right w:val="none" w:sz="0" w:space="0" w:color="auto"/>
      </w:divBdr>
    </w:div>
    <w:div w:id="222958752">
      <w:marLeft w:val="0"/>
      <w:marRight w:val="0"/>
      <w:marTop w:val="180"/>
      <w:marBottom w:val="0"/>
      <w:divBdr>
        <w:top w:val="none" w:sz="0" w:space="0" w:color="auto"/>
        <w:left w:val="none" w:sz="0" w:space="0" w:color="auto"/>
        <w:bottom w:val="none" w:sz="0" w:space="0" w:color="auto"/>
        <w:right w:val="none" w:sz="0" w:space="0" w:color="auto"/>
      </w:divBdr>
    </w:div>
    <w:div w:id="226037244">
      <w:marLeft w:val="0"/>
      <w:marRight w:val="0"/>
      <w:marTop w:val="0"/>
      <w:marBottom w:val="0"/>
      <w:divBdr>
        <w:top w:val="none" w:sz="0" w:space="0" w:color="auto"/>
        <w:left w:val="none" w:sz="0" w:space="0" w:color="auto"/>
        <w:bottom w:val="none" w:sz="0" w:space="0" w:color="auto"/>
        <w:right w:val="none" w:sz="0" w:space="0" w:color="auto"/>
      </w:divBdr>
      <w:divsChild>
        <w:div w:id="1873806430">
          <w:marLeft w:val="0"/>
          <w:marRight w:val="0"/>
          <w:marTop w:val="0"/>
          <w:marBottom w:val="0"/>
          <w:divBdr>
            <w:top w:val="none" w:sz="0" w:space="0" w:color="auto"/>
            <w:left w:val="none" w:sz="0" w:space="0" w:color="auto"/>
            <w:bottom w:val="none" w:sz="0" w:space="0" w:color="auto"/>
            <w:right w:val="none" w:sz="0" w:space="0" w:color="auto"/>
          </w:divBdr>
        </w:div>
      </w:divsChild>
    </w:div>
    <w:div w:id="226115014">
      <w:marLeft w:val="0"/>
      <w:marRight w:val="0"/>
      <w:marTop w:val="240"/>
      <w:marBottom w:val="0"/>
      <w:divBdr>
        <w:top w:val="none" w:sz="0" w:space="0" w:color="auto"/>
        <w:left w:val="none" w:sz="0" w:space="0" w:color="auto"/>
        <w:bottom w:val="none" w:sz="0" w:space="0" w:color="auto"/>
        <w:right w:val="none" w:sz="0" w:space="0" w:color="auto"/>
      </w:divBdr>
    </w:div>
    <w:div w:id="226844514">
      <w:marLeft w:val="0"/>
      <w:marRight w:val="0"/>
      <w:marTop w:val="120"/>
      <w:marBottom w:val="0"/>
      <w:divBdr>
        <w:top w:val="none" w:sz="0" w:space="0" w:color="auto"/>
        <w:left w:val="none" w:sz="0" w:space="0" w:color="auto"/>
        <w:bottom w:val="none" w:sz="0" w:space="0" w:color="auto"/>
        <w:right w:val="none" w:sz="0" w:space="0" w:color="auto"/>
      </w:divBdr>
    </w:div>
    <w:div w:id="226889794">
      <w:marLeft w:val="0"/>
      <w:marRight w:val="0"/>
      <w:marTop w:val="240"/>
      <w:marBottom w:val="0"/>
      <w:divBdr>
        <w:top w:val="none" w:sz="0" w:space="0" w:color="auto"/>
        <w:left w:val="none" w:sz="0" w:space="0" w:color="auto"/>
        <w:bottom w:val="none" w:sz="0" w:space="0" w:color="auto"/>
        <w:right w:val="none" w:sz="0" w:space="0" w:color="auto"/>
      </w:divBdr>
    </w:div>
    <w:div w:id="230316606">
      <w:marLeft w:val="0"/>
      <w:marRight w:val="0"/>
      <w:marTop w:val="120"/>
      <w:marBottom w:val="0"/>
      <w:divBdr>
        <w:top w:val="none" w:sz="0" w:space="0" w:color="auto"/>
        <w:left w:val="none" w:sz="0" w:space="0" w:color="auto"/>
        <w:bottom w:val="none" w:sz="0" w:space="0" w:color="auto"/>
        <w:right w:val="none" w:sz="0" w:space="0" w:color="auto"/>
      </w:divBdr>
    </w:div>
    <w:div w:id="230623113">
      <w:marLeft w:val="0"/>
      <w:marRight w:val="0"/>
      <w:marTop w:val="180"/>
      <w:marBottom w:val="120"/>
      <w:divBdr>
        <w:top w:val="none" w:sz="0" w:space="0" w:color="auto"/>
        <w:left w:val="none" w:sz="0" w:space="0" w:color="auto"/>
        <w:bottom w:val="none" w:sz="0" w:space="0" w:color="auto"/>
        <w:right w:val="none" w:sz="0" w:space="0" w:color="auto"/>
      </w:divBdr>
      <w:divsChild>
        <w:div w:id="755515447">
          <w:marLeft w:val="0"/>
          <w:marRight w:val="0"/>
          <w:marTop w:val="0"/>
          <w:marBottom w:val="0"/>
          <w:divBdr>
            <w:top w:val="none" w:sz="0" w:space="0" w:color="auto"/>
            <w:left w:val="none" w:sz="0" w:space="0" w:color="auto"/>
            <w:bottom w:val="none" w:sz="0" w:space="0" w:color="auto"/>
            <w:right w:val="none" w:sz="0" w:space="0" w:color="auto"/>
          </w:divBdr>
        </w:div>
        <w:div w:id="716971444">
          <w:marLeft w:val="0"/>
          <w:marRight w:val="0"/>
          <w:marTop w:val="0"/>
          <w:marBottom w:val="0"/>
          <w:divBdr>
            <w:top w:val="none" w:sz="0" w:space="0" w:color="auto"/>
            <w:left w:val="none" w:sz="0" w:space="0" w:color="auto"/>
            <w:bottom w:val="none" w:sz="0" w:space="0" w:color="auto"/>
            <w:right w:val="none" w:sz="0" w:space="0" w:color="auto"/>
          </w:divBdr>
        </w:div>
      </w:divsChild>
    </w:div>
    <w:div w:id="233977118">
      <w:marLeft w:val="0"/>
      <w:marRight w:val="0"/>
      <w:marTop w:val="180"/>
      <w:marBottom w:val="0"/>
      <w:divBdr>
        <w:top w:val="none" w:sz="0" w:space="0" w:color="auto"/>
        <w:left w:val="none" w:sz="0" w:space="0" w:color="auto"/>
        <w:bottom w:val="none" w:sz="0" w:space="0" w:color="auto"/>
        <w:right w:val="none" w:sz="0" w:space="0" w:color="auto"/>
      </w:divBdr>
    </w:div>
    <w:div w:id="235363196">
      <w:marLeft w:val="0"/>
      <w:marRight w:val="0"/>
      <w:marTop w:val="0"/>
      <w:marBottom w:val="0"/>
      <w:divBdr>
        <w:top w:val="none" w:sz="0" w:space="0" w:color="auto"/>
        <w:left w:val="none" w:sz="0" w:space="0" w:color="auto"/>
        <w:bottom w:val="none" w:sz="0" w:space="0" w:color="auto"/>
        <w:right w:val="none" w:sz="0" w:space="0" w:color="auto"/>
      </w:divBdr>
      <w:divsChild>
        <w:div w:id="1513639591">
          <w:marLeft w:val="0"/>
          <w:marRight w:val="0"/>
          <w:marTop w:val="0"/>
          <w:marBottom w:val="0"/>
          <w:divBdr>
            <w:top w:val="none" w:sz="0" w:space="0" w:color="auto"/>
            <w:left w:val="none" w:sz="0" w:space="0" w:color="auto"/>
            <w:bottom w:val="none" w:sz="0" w:space="0" w:color="auto"/>
            <w:right w:val="none" w:sz="0" w:space="0" w:color="auto"/>
          </w:divBdr>
          <w:divsChild>
            <w:div w:id="1026502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35436924">
      <w:marLeft w:val="0"/>
      <w:marRight w:val="0"/>
      <w:marTop w:val="180"/>
      <w:marBottom w:val="120"/>
      <w:divBdr>
        <w:top w:val="none" w:sz="0" w:space="0" w:color="auto"/>
        <w:left w:val="none" w:sz="0" w:space="0" w:color="auto"/>
        <w:bottom w:val="none" w:sz="0" w:space="0" w:color="auto"/>
        <w:right w:val="none" w:sz="0" w:space="0" w:color="auto"/>
      </w:divBdr>
    </w:div>
    <w:div w:id="235483534">
      <w:marLeft w:val="0"/>
      <w:marRight w:val="0"/>
      <w:marTop w:val="180"/>
      <w:marBottom w:val="12"/>
      <w:divBdr>
        <w:top w:val="none" w:sz="0" w:space="0" w:color="auto"/>
        <w:left w:val="none" w:sz="0" w:space="0" w:color="auto"/>
        <w:bottom w:val="none" w:sz="0" w:space="0" w:color="auto"/>
        <w:right w:val="none" w:sz="0" w:space="0" w:color="auto"/>
      </w:divBdr>
    </w:div>
    <w:div w:id="236133751">
      <w:marLeft w:val="0"/>
      <w:marRight w:val="0"/>
      <w:marTop w:val="180"/>
      <w:marBottom w:val="0"/>
      <w:divBdr>
        <w:top w:val="none" w:sz="0" w:space="0" w:color="auto"/>
        <w:left w:val="none" w:sz="0" w:space="0" w:color="auto"/>
        <w:bottom w:val="none" w:sz="0" w:space="0" w:color="auto"/>
        <w:right w:val="none" w:sz="0" w:space="0" w:color="auto"/>
      </w:divBdr>
    </w:div>
    <w:div w:id="236208553">
      <w:marLeft w:val="0"/>
      <w:marRight w:val="0"/>
      <w:marTop w:val="180"/>
      <w:marBottom w:val="0"/>
      <w:divBdr>
        <w:top w:val="none" w:sz="0" w:space="0" w:color="auto"/>
        <w:left w:val="none" w:sz="0" w:space="0" w:color="auto"/>
        <w:bottom w:val="none" w:sz="0" w:space="0" w:color="auto"/>
        <w:right w:val="none" w:sz="0" w:space="0" w:color="auto"/>
      </w:divBdr>
    </w:div>
    <w:div w:id="236326038">
      <w:marLeft w:val="0"/>
      <w:marRight w:val="0"/>
      <w:marTop w:val="0"/>
      <w:marBottom w:val="0"/>
      <w:divBdr>
        <w:top w:val="none" w:sz="0" w:space="0" w:color="auto"/>
        <w:left w:val="none" w:sz="0" w:space="0" w:color="auto"/>
        <w:bottom w:val="none" w:sz="0" w:space="0" w:color="auto"/>
        <w:right w:val="none" w:sz="0" w:space="0" w:color="auto"/>
      </w:divBdr>
      <w:divsChild>
        <w:div w:id="1125541645">
          <w:marLeft w:val="0"/>
          <w:marRight w:val="0"/>
          <w:marTop w:val="0"/>
          <w:marBottom w:val="0"/>
          <w:divBdr>
            <w:top w:val="none" w:sz="0" w:space="0" w:color="auto"/>
            <w:left w:val="none" w:sz="0" w:space="0" w:color="auto"/>
            <w:bottom w:val="none" w:sz="0" w:space="0" w:color="auto"/>
            <w:right w:val="none" w:sz="0" w:space="0" w:color="auto"/>
          </w:divBdr>
          <w:divsChild>
            <w:div w:id="3426278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36478279">
      <w:marLeft w:val="0"/>
      <w:marRight w:val="0"/>
      <w:marTop w:val="180"/>
      <w:marBottom w:val="0"/>
      <w:divBdr>
        <w:top w:val="none" w:sz="0" w:space="0" w:color="auto"/>
        <w:left w:val="none" w:sz="0" w:space="0" w:color="auto"/>
        <w:bottom w:val="none" w:sz="0" w:space="0" w:color="auto"/>
        <w:right w:val="none" w:sz="0" w:space="0" w:color="auto"/>
      </w:divBdr>
    </w:div>
    <w:div w:id="240678445">
      <w:marLeft w:val="0"/>
      <w:marRight w:val="0"/>
      <w:marTop w:val="180"/>
      <w:marBottom w:val="0"/>
      <w:divBdr>
        <w:top w:val="none" w:sz="0" w:space="0" w:color="auto"/>
        <w:left w:val="none" w:sz="0" w:space="0" w:color="auto"/>
        <w:bottom w:val="none" w:sz="0" w:space="0" w:color="auto"/>
        <w:right w:val="none" w:sz="0" w:space="0" w:color="auto"/>
      </w:divBdr>
    </w:div>
    <w:div w:id="243612185">
      <w:marLeft w:val="0"/>
      <w:marRight w:val="0"/>
      <w:marTop w:val="0"/>
      <w:marBottom w:val="120"/>
      <w:divBdr>
        <w:top w:val="none" w:sz="0" w:space="0" w:color="auto"/>
        <w:left w:val="none" w:sz="0" w:space="0" w:color="auto"/>
        <w:bottom w:val="none" w:sz="0" w:space="0" w:color="auto"/>
        <w:right w:val="none" w:sz="0" w:space="0" w:color="auto"/>
      </w:divBdr>
      <w:divsChild>
        <w:div w:id="1739286093">
          <w:marLeft w:val="0"/>
          <w:marRight w:val="0"/>
          <w:marTop w:val="180"/>
          <w:marBottom w:val="0"/>
          <w:divBdr>
            <w:top w:val="none" w:sz="0" w:space="0" w:color="auto"/>
            <w:left w:val="none" w:sz="0" w:space="0" w:color="auto"/>
            <w:bottom w:val="none" w:sz="0" w:space="0" w:color="auto"/>
            <w:right w:val="none" w:sz="0" w:space="0" w:color="auto"/>
          </w:divBdr>
        </w:div>
      </w:divsChild>
    </w:div>
    <w:div w:id="244461386">
      <w:marLeft w:val="0"/>
      <w:marRight w:val="0"/>
      <w:marTop w:val="180"/>
      <w:marBottom w:val="0"/>
      <w:divBdr>
        <w:top w:val="none" w:sz="0" w:space="0" w:color="auto"/>
        <w:left w:val="none" w:sz="0" w:space="0" w:color="auto"/>
        <w:bottom w:val="none" w:sz="0" w:space="0" w:color="auto"/>
        <w:right w:val="none" w:sz="0" w:space="0" w:color="auto"/>
      </w:divBdr>
    </w:div>
    <w:div w:id="245845912">
      <w:marLeft w:val="0"/>
      <w:marRight w:val="0"/>
      <w:marTop w:val="0"/>
      <w:marBottom w:val="0"/>
      <w:divBdr>
        <w:top w:val="none" w:sz="0" w:space="0" w:color="auto"/>
        <w:left w:val="none" w:sz="0" w:space="0" w:color="auto"/>
        <w:bottom w:val="none" w:sz="0" w:space="0" w:color="auto"/>
        <w:right w:val="none" w:sz="0" w:space="0" w:color="auto"/>
      </w:divBdr>
      <w:divsChild>
        <w:div w:id="649485936">
          <w:marLeft w:val="0"/>
          <w:marRight w:val="0"/>
          <w:marTop w:val="0"/>
          <w:marBottom w:val="0"/>
          <w:divBdr>
            <w:top w:val="none" w:sz="0" w:space="0" w:color="auto"/>
            <w:left w:val="none" w:sz="0" w:space="0" w:color="auto"/>
            <w:bottom w:val="none" w:sz="0" w:space="0" w:color="auto"/>
            <w:right w:val="none" w:sz="0" w:space="0" w:color="auto"/>
          </w:divBdr>
        </w:div>
      </w:divsChild>
    </w:div>
    <w:div w:id="246035219">
      <w:marLeft w:val="0"/>
      <w:marRight w:val="0"/>
      <w:marTop w:val="180"/>
      <w:marBottom w:val="0"/>
      <w:divBdr>
        <w:top w:val="none" w:sz="0" w:space="0" w:color="auto"/>
        <w:left w:val="none" w:sz="0" w:space="0" w:color="auto"/>
        <w:bottom w:val="none" w:sz="0" w:space="0" w:color="auto"/>
        <w:right w:val="none" w:sz="0" w:space="0" w:color="auto"/>
      </w:divBdr>
    </w:div>
    <w:div w:id="251819846">
      <w:marLeft w:val="0"/>
      <w:marRight w:val="0"/>
      <w:marTop w:val="180"/>
      <w:marBottom w:val="0"/>
      <w:divBdr>
        <w:top w:val="none" w:sz="0" w:space="0" w:color="auto"/>
        <w:left w:val="none" w:sz="0" w:space="0" w:color="auto"/>
        <w:bottom w:val="none" w:sz="0" w:space="0" w:color="auto"/>
        <w:right w:val="none" w:sz="0" w:space="0" w:color="auto"/>
      </w:divBdr>
    </w:div>
    <w:div w:id="253324214">
      <w:marLeft w:val="0"/>
      <w:marRight w:val="0"/>
      <w:marTop w:val="180"/>
      <w:marBottom w:val="0"/>
      <w:divBdr>
        <w:top w:val="none" w:sz="0" w:space="0" w:color="auto"/>
        <w:left w:val="none" w:sz="0" w:space="0" w:color="auto"/>
        <w:bottom w:val="none" w:sz="0" w:space="0" w:color="auto"/>
        <w:right w:val="none" w:sz="0" w:space="0" w:color="auto"/>
      </w:divBdr>
    </w:div>
    <w:div w:id="257905821">
      <w:marLeft w:val="0"/>
      <w:marRight w:val="0"/>
      <w:marTop w:val="180"/>
      <w:marBottom w:val="0"/>
      <w:divBdr>
        <w:top w:val="none" w:sz="0" w:space="0" w:color="auto"/>
        <w:left w:val="none" w:sz="0" w:space="0" w:color="auto"/>
        <w:bottom w:val="none" w:sz="0" w:space="0" w:color="auto"/>
        <w:right w:val="none" w:sz="0" w:space="0" w:color="auto"/>
      </w:divBdr>
    </w:div>
    <w:div w:id="258683515">
      <w:marLeft w:val="0"/>
      <w:marRight w:val="0"/>
      <w:marTop w:val="0"/>
      <w:marBottom w:val="0"/>
      <w:divBdr>
        <w:top w:val="none" w:sz="0" w:space="0" w:color="auto"/>
        <w:left w:val="none" w:sz="0" w:space="0" w:color="auto"/>
        <w:bottom w:val="none" w:sz="0" w:space="0" w:color="auto"/>
        <w:right w:val="none" w:sz="0" w:space="0" w:color="auto"/>
      </w:divBdr>
      <w:divsChild>
        <w:div w:id="1299073316">
          <w:marLeft w:val="0"/>
          <w:marRight w:val="0"/>
          <w:marTop w:val="180"/>
          <w:marBottom w:val="0"/>
          <w:divBdr>
            <w:top w:val="none" w:sz="0" w:space="0" w:color="auto"/>
            <w:left w:val="none" w:sz="0" w:space="0" w:color="auto"/>
            <w:bottom w:val="none" w:sz="0" w:space="0" w:color="auto"/>
            <w:right w:val="none" w:sz="0" w:space="0" w:color="auto"/>
          </w:divBdr>
        </w:div>
      </w:divsChild>
    </w:div>
    <w:div w:id="259723099">
      <w:marLeft w:val="0"/>
      <w:marRight w:val="0"/>
      <w:marTop w:val="120"/>
      <w:marBottom w:val="0"/>
      <w:divBdr>
        <w:top w:val="none" w:sz="0" w:space="0" w:color="auto"/>
        <w:left w:val="none" w:sz="0" w:space="0" w:color="auto"/>
        <w:bottom w:val="none" w:sz="0" w:space="0" w:color="auto"/>
        <w:right w:val="none" w:sz="0" w:space="0" w:color="auto"/>
      </w:divBdr>
    </w:div>
    <w:div w:id="259800717">
      <w:marLeft w:val="0"/>
      <w:marRight w:val="0"/>
      <w:marTop w:val="0"/>
      <w:marBottom w:val="0"/>
      <w:divBdr>
        <w:top w:val="none" w:sz="0" w:space="0" w:color="auto"/>
        <w:left w:val="none" w:sz="0" w:space="0" w:color="auto"/>
        <w:bottom w:val="none" w:sz="0" w:space="0" w:color="auto"/>
        <w:right w:val="none" w:sz="0" w:space="0" w:color="auto"/>
      </w:divBdr>
      <w:divsChild>
        <w:div w:id="92210620">
          <w:marLeft w:val="0"/>
          <w:marRight w:val="0"/>
          <w:marTop w:val="0"/>
          <w:marBottom w:val="0"/>
          <w:divBdr>
            <w:top w:val="none" w:sz="0" w:space="0" w:color="auto"/>
            <w:left w:val="none" w:sz="0" w:space="0" w:color="auto"/>
            <w:bottom w:val="none" w:sz="0" w:space="0" w:color="auto"/>
            <w:right w:val="none" w:sz="0" w:space="0" w:color="auto"/>
          </w:divBdr>
        </w:div>
      </w:divsChild>
    </w:div>
    <w:div w:id="261689410">
      <w:marLeft w:val="0"/>
      <w:marRight w:val="0"/>
      <w:marTop w:val="0"/>
      <w:marBottom w:val="0"/>
      <w:divBdr>
        <w:top w:val="none" w:sz="0" w:space="0" w:color="auto"/>
        <w:left w:val="none" w:sz="0" w:space="0" w:color="auto"/>
        <w:bottom w:val="none" w:sz="0" w:space="0" w:color="auto"/>
        <w:right w:val="none" w:sz="0" w:space="0" w:color="auto"/>
      </w:divBdr>
      <w:divsChild>
        <w:div w:id="90975469">
          <w:marLeft w:val="0"/>
          <w:marRight w:val="0"/>
          <w:marTop w:val="0"/>
          <w:marBottom w:val="0"/>
          <w:divBdr>
            <w:top w:val="none" w:sz="0" w:space="0" w:color="auto"/>
            <w:left w:val="none" w:sz="0" w:space="0" w:color="auto"/>
            <w:bottom w:val="none" w:sz="0" w:space="0" w:color="auto"/>
            <w:right w:val="none" w:sz="0" w:space="0" w:color="auto"/>
          </w:divBdr>
          <w:divsChild>
            <w:div w:id="7178207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63654677">
      <w:marLeft w:val="0"/>
      <w:marRight w:val="0"/>
      <w:marTop w:val="180"/>
      <w:marBottom w:val="0"/>
      <w:divBdr>
        <w:top w:val="none" w:sz="0" w:space="0" w:color="auto"/>
        <w:left w:val="none" w:sz="0" w:space="0" w:color="auto"/>
        <w:bottom w:val="none" w:sz="0" w:space="0" w:color="auto"/>
        <w:right w:val="none" w:sz="0" w:space="0" w:color="auto"/>
      </w:divBdr>
    </w:div>
    <w:div w:id="264581425">
      <w:marLeft w:val="0"/>
      <w:marRight w:val="0"/>
      <w:marTop w:val="240"/>
      <w:marBottom w:val="0"/>
      <w:divBdr>
        <w:top w:val="none" w:sz="0" w:space="0" w:color="auto"/>
        <w:left w:val="none" w:sz="0" w:space="0" w:color="auto"/>
        <w:bottom w:val="none" w:sz="0" w:space="0" w:color="auto"/>
        <w:right w:val="none" w:sz="0" w:space="0" w:color="auto"/>
      </w:divBdr>
    </w:div>
    <w:div w:id="266816856">
      <w:marLeft w:val="0"/>
      <w:marRight w:val="0"/>
      <w:marTop w:val="0"/>
      <w:marBottom w:val="0"/>
      <w:divBdr>
        <w:top w:val="none" w:sz="0" w:space="0" w:color="auto"/>
        <w:left w:val="none" w:sz="0" w:space="0" w:color="auto"/>
        <w:bottom w:val="none" w:sz="0" w:space="0" w:color="auto"/>
        <w:right w:val="none" w:sz="0" w:space="0" w:color="auto"/>
      </w:divBdr>
      <w:divsChild>
        <w:div w:id="1469349580">
          <w:marLeft w:val="0"/>
          <w:marRight w:val="0"/>
          <w:marTop w:val="180"/>
          <w:marBottom w:val="0"/>
          <w:divBdr>
            <w:top w:val="none" w:sz="0" w:space="0" w:color="auto"/>
            <w:left w:val="none" w:sz="0" w:space="0" w:color="auto"/>
            <w:bottom w:val="none" w:sz="0" w:space="0" w:color="auto"/>
            <w:right w:val="none" w:sz="0" w:space="0" w:color="auto"/>
          </w:divBdr>
        </w:div>
      </w:divsChild>
    </w:div>
    <w:div w:id="272132721">
      <w:marLeft w:val="0"/>
      <w:marRight w:val="0"/>
      <w:marTop w:val="180"/>
      <w:marBottom w:val="0"/>
      <w:divBdr>
        <w:top w:val="none" w:sz="0" w:space="0" w:color="auto"/>
        <w:left w:val="none" w:sz="0" w:space="0" w:color="auto"/>
        <w:bottom w:val="none" w:sz="0" w:space="0" w:color="auto"/>
        <w:right w:val="none" w:sz="0" w:space="0" w:color="auto"/>
      </w:divBdr>
    </w:div>
    <w:div w:id="272250225">
      <w:marLeft w:val="0"/>
      <w:marRight w:val="0"/>
      <w:marTop w:val="0"/>
      <w:marBottom w:val="0"/>
      <w:divBdr>
        <w:top w:val="none" w:sz="0" w:space="0" w:color="auto"/>
        <w:left w:val="none" w:sz="0" w:space="0" w:color="auto"/>
        <w:bottom w:val="none" w:sz="0" w:space="0" w:color="auto"/>
        <w:right w:val="none" w:sz="0" w:space="0" w:color="auto"/>
      </w:divBdr>
      <w:divsChild>
        <w:div w:id="1165125813">
          <w:marLeft w:val="0"/>
          <w:marRight w:val="0"/>
          <w:marTop w:val="180"/>
          <w:marBottom w:val="0"/>
          <w:divBdr>
            <w:top w:val="none" w:sz="0" w:space="0" w:color="auto"/>
            <w:left w:val="none" w:sz="0" w:space="0" w:color="auto"/>
            <w:bottom w:val="none" w:sz="0" w:space="0" w:color="auto"/>
            <w:right w:val="none" w:sz="0" w:space="0" w:color="auto"/>
          </w:divBdr>
        </w:div>
      </w:divsChild>
    </w:div>
    <w:div w:id="279260331">
      <w:marLeft w:val="0"/>
      <w:marRight w:val="0"/>
      <w:marTop w:val="180"/>
      <w:marBottom w:val="0"/>
      <w:divBdr>
        <w:top w:val="none" w:sz="0" w:space="0" w:color="auto"/>
        <w:left w:val="none" w:sz="0" w:space="0" w:color="auto"/>
        <w:bottom w:val="none" w:sz="0" w:space="0" w:color="auto"/>
        <w:right w:val="none" w:sz="0" w:space="0" w:color="auto"/>
      </w:divBdr>
    </w:div>
    <w:div w:id="281112474">
      <w:marLeft w:val="0"/>
      <w:marRight w:val="0"/>
      <w:marTop w:val="0"/>
      <w:marBottom w:val="0"/>
      <w:divBdr>
        <w:top w:val="none" w:sz="0" w:space="0" w:color="auto"/>
        <w:left w:val="none" w:sz="0" w:space="0" w:color="auto"/>
        <w:bottom w:val="none" w:sz="0" w:space="0" w:color="auto"/>
        <w:right w:val="none" w:sz="0" w:space="0" w:color="auto"/>
      </w:divBdr>
      <w:divsChild>
        <w:div w:id="1067647016">
          <w:marLeft w:val="0"/>
          <w:marRight w:val="0"/>
          <w:marTop w:val="0"/>
          <w:marBottom w:val="0"/>
          <w:divBdr>
            <w:top w:val="none" w:sz="0" w:space="0" w:color="auto"/>
            <w:left w:val="none" w:sz="0" w:space="0" w:color="auto"/>
            <w:bottom w:val="none" w:sz="0" w:space="0" w:color="auto"/>
            <w:right w:val="none" w:sz="0" w:space="0" w:color="auto"/>
          </w:divBdr>
          <w:divsChild>
            <w:div w:id="16798881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82420155">
      <w:marLeft w:val="0"/>
      <w:marRight w:val="0"/>
      <w:marTop w:val="180"/>
      <w:marBottom w:val="0"/>
      <w:divBdr>
        <w:top w:val="none" w:sz="0" w:space="0" w:color="auto"/>
        <w:left w:val="none" w:sz="0" w:space="0" w:color="auto"/>
        <w:bottom w:val="none" w:sz="0" w:space="0" w:color="auto"/>
        <w:right w:val="none" w:sz="0" w:space="0" w:color="auto"/>
      </w:divBdr>
    </w:div>
    <w:div w:id="282467058">
      <w:marLeft w:val="0"/>
      <w:marRight w:val="0"/>
      <w:marTop w:val="120"/>
      <w:marBottom w:val="0"/>
      <w:divBdr>
        <w:top w:val="none" w:sz="0" w:space="0" w:color="auto"/>
        <w:left w:val="none" w:sz="0" w:space="0" w:color="auto"/>
        <w:bottom w:val="none" w:sz="0" w:space="0" w:color="auto"/>
        <w:right w:val="none" w:sz="0" w:space="0" w:color="auto"/>
      </w:divBdr>
    </w:div>
    <w:div w:id="283539100">
      <w:marLeft w:val="0"/>
      <w:marRight w:val="0"/>
      <w:marTop w:val="180"/>
      <w:marBottom w:val="0"/>
      <w:divBdr>
        <w:top w:val="none" w:sz="0" w:space="0" w:color="auto"/>
        <w:left w:val="none" w:sz="0" w:space="0" w:color="auto"/>
        <w:bottom w:val="none" w:sz="0" w:space="0" w:color="auto"/>
        <w:right w:val="none" w:sz="0" w:space="0" w:color="auto"/>
      </w:divBdr>
    </w:div>
    <w:div w:id="288361980">
      <w:marLeft w:val="0"/>
      <w:marRight w:val="0"/>
      <w:marTop w:val="180"/>
      <w:marBottom w:val="0"/>
      <w:divBdr>
        <w:top w:val="none" w:sz="0" w:space="0" w:color="auto"/>
        <w:left w:val="none" w:sz="0" w:space="0" w:color="auto"/>
        <w:bottom w:val="none" w:sz="0" w:space="0" w:color="auto"/>
        <w:right w:val="none" w:sz="0" w:space="0" w:color="auto"/>
      </w:divBdr>
    </w:div>
    <w:div w:id="289629454">
      <w:marLeft w:val="0"/>
      <w:marRight w:val="0"/>
      <w:marTop w:val="0"/>
      <w:marBottom w:val="0"/>
      <w:divBdr>
        <w:top w:val="none" w:sz="0" w:space="0" w:color="auto"/>
        <w:left w:val="none" w:sz="0" w:space="0" w:color="auto"/>
        <w:bottom w:val="none" w:sz="0" w:space="0" w:color="auto"/>
        <w:right w:val="none" w:sz="0" w:space="0" w:color="auto"/>
      </w:divBdr>
      <w:divsChild>
        <w:div w:id="139734456">
          <w:marLeft w:val="0"/>
          <w:marRight w:val="0"/>
          <w:marTop w:val="180"/>
          <w:marBottom w:val="0"/>
          <w:divBdr>
            <w:top w:val="none" w:sz="0" w:space="0" w:color="auto"/>
            <w:left w:val="none" w:sz="0" w:space="0" w:color="auto"/>
            <w:bottom w:val="none" w:sz="0" w:space="0" w:color="auto"/>
            <w:right w:val="none" w:sz="0" w:space="0" w:color="auto"/>
          </w:divBdr>
        </w:div>
      </w:divsChild>
    </w:div>
    <w:div w:id="290987043">
      <w:marLeft w:val="0"/>
      <w:marRight w:val="0"/>
      <w:marTop w:val="160"/>
      <w:marBottom w:val="0"/>
      <w:divBdr>
        <w:top w:val="none" w:sz="0" w:space="0" w:color="auto"/>
        <w:left w:val="none" w:sz="0" w:space="0" w:color="auto"/>
        <w:bottom w:val="none" w:sz="0" w:space="0" w:color="auto"/>
        <w:right w:val="none" w:sz="0" w:space="0" w:color="auto"/>
      </w:divBdr>
    </w:div>
    <w:div w:id="292449533">
      <w:marLeft w:val="0"/>
      <w:marRight w:val="0"/>
      <w:marTop w:val="180"/>
      <w:marBottom w:val="0"/>
      <w:divBdr>
        <w:top w:val="none" w:sz="0" w:space="0" w:color="auto"/>
        <w:left w:val="none" w:sz="0" w:space="0" w:color="auto"/>
        <w:bottom w:val="none" w:sz="0" w:space="0" w:color="auto"/>
        <w:right w:val="none" w:sz="0" w:space="0" w:color="auto"/>
      </w:divBdr>
    </w:div>
    <w:div w:id="292755906">
      <w:marLeft w:val="0"/>
      <w:marRight w:val="0"/>
      <w:marTop w:val="0"/>
      <w:marBottom w:val="0"/>
      <w:divBdr>
        <w:top w:val="none" w:sz="0" w:space="0" w:color="auto"/>
        <w:left w:val="none" w:sz="0" w:space="0" w:color="auto"/>
        <w:bottom w:val="none" w:sz="0" w:space="0" w:color="auto"/>
        <w:right w:val="none" w:sz="0" w:space="0" w:color="auto"/>
      </w:divBdr>
      <w:divsChild>
        <w:div w:id="1907497516">
          <w:marLeft w:val="0"/>
          <w:marRight w:val="0"/>
          <w:marTop w:val="180"/>
          <w:marBottom w:val="0"/>
          <w:divBdr>
            <w:top w:val="none" w:sz="0" w:space="0" w:color="auto"/>
            <w:left w:val="none" w:sz="0" w:space="0" w:color="auto"/>
            <w:bottom w:val="none" w:sz="0" w:space="0" w:color="auto"/>
            <w:right w:val="none" w:sz="0" w:space="0" w:color="auto"/>
          </w:divBdr>
        </w:div>
      </w:divsChild>
    </w:div>
    <w:div w:id="293412826">
      <w:marLeft w:val="0"/>
      <w:marRight w:val="0"/>
      <w:marTop w:val="180"/>
      <w:marBottom w:val="0"/>
      <w:divBdr>
        <w:top w:val="none" w:sz="0" w:space="0" w:color="auto"/>
        <w:left w:val="none" w:sz="0" w:space="0" w:color="auto"/>
        <w:bottom w:val="none" w:sz="0" w:space="0" w:color="auto"/>
        <w:right w:val="none" w:sz="0" w:space="0" w:color="auto"/>
      </w:divBdr>
    </w:div>
    <w:div w:id="294651332">
      <w:marLeft w:val="0"/>
      <w:marRight w:val="0"/>
      <w:marTop w:val="180"/>
      <w:marBottom w:val="0"/>
      <w:divBdr>
        <w:top w:val="none" w:sz="0" w:space="0" w:color="auto"/>
        <w:left w:val="none" w:sz="0" w:space="0" w:color="auto"/>
        <w:bottom w:val="none" w:sz="0" w:space="0" w:color="auto"/>
        <w:right w:val="none" w:sz="0" w:space="0" w:color="auto"/>
      </w:divBdr>
    </w:div>
    <w:div w:id="297223750">
      <w:marLeft w:val="0"/>
      <w:marRight w:val="0"/>
      <w:marTop w:val="180"/>
      <w:marBottom w:val="0"/>
      <w:divBdr>
        <w:top w:val="none" w:sz="0" w:space="0" w:color="auto"/>
        <w:left w:val="none" w:sz="0" w:space="0" w:color="auto"/>
        <w:bottom w:val="none" w:sz="0" w:space="0" w:color="auto"/>
        <w:right w:val="none" w:sz="0" w:space="0" w:color="auto"/>
      </w:divBdr>
    </w:div>
    <w:div w:id="298846830">
      <w:marLeft w:val="0"/>
      <w:marRight w:val="0"/>
      <w:marTop w:val="180"/>
      <w:marBottom w:val="0"/>
      <w:divBdr>
        <w:top w:val="none" w:sz="0" w:space="0" w:color="auto"/>
        <w:left w:val="none" w:sz="0" w:space="0" w:color="auto"/>
        <w:bottom w:val="none" w:sz="0" w:space="0" w:color="auto"/>
        <w:right w:val="none" w:sz="0" w:space="0" w:color="auto"/>
      </w:divBdr>
    </w:div>
    <w:div w:id="300497237">
      <w:marLeft w:val="0"/>
      <w:marRight w:val="0"/>
      <w:marTop w:val="180"/>
      <w:marBottom w:val="0"/>
      <w:divBdr>
        <w:top w:val="none" w:sz="0" w:space="0" w:color="auto"/>
        <w:left w:val="none" w:sz="0" w:space="0" w:color="auto"/>
        <w:bottom w:val="none" w:sz="0" w:space="0" w:color="auto"/>
        <w:right w:val="none" w:sz="0" w:space="0" w:color="auto"/>
      </w:divBdr>
    </w:div>
    <w:div w:id="303506418">
      <w:marLeft w:val="0"/>
      <w:marRight w:val="0"/>
      <w:marTop w:val="180"/>
      <w:marBottom w:val="0"/>
      <w:divBdr>
        <w:top w:val="none" w:sz="0" w:space="0" w:color="auto"/>
        <w:left w:val="none" w:sz="0" w:space="0" w:color="auto"/>
        <w:bottom w:val="none" w:sz="0" w:space="0" w:color="auto"/>
        <w:right w:val="none" w:sz="0" w:space="0" w:color="auto"/>
      </w:divBdr>
    </w:div>
    <w:div w:id="305087239">
      <w:marLeft w:val="0"/>
      <w:marRight w:val="0"/>
      <w:marTop w:val="0"/>
      <w:marBottom w:val="200"/>
      <w:divBdr>
        <w:top w:val="none" w:sz="0" w:space="0" w:color="auto"/>
        <w:left w:val="none" w:sz="0" w:space="0" w:color="auto"/>
        <w:bottom w:val="none" w:sz="0" w:space="0" w:color="auto"/>
        <w:right w:val="none" w:sz="0" w:space="0" w:color="auto"/>
      </w:divBdr>
    </w:div>
    <w:div w:id="306936404">
      <w:marLeft w:val="0"/>
      <w:marRight w:val="0"/>
      <w:marTop w:val="180"/>
      <w:marBottom w:val="0"/>
      <w:divBdr>
        <w:top w:val="none" w:sz="0" w:space="0" w:color="auto"/>
        <w:left w:val="none" w:sz="0" w:space="0" w:color="auto"/>
        <w:bottom w:val="none" w:sz="0" w:space="0" w:color="auto"/>
        <w:right w:val="none" w:sz="0" w:space="0" w:color="auto"/>
      </w:divBdr>
    </w:div>
    <w:div w:id="306979089">
      <w:marLeft w:val="0"/>
      <w:marRight w:val="0"/>
      <w:marTop w:val="0"/>
      <w:marBottom w:val="0"/>
      <w:divBdr>
        <w:top w:val="none" w:sz="0" w:space="0" w:color="auto"/>
        <w:left w:val="none" w:sz="0" w:space="0" w:color="auto"/>
        <w:bottom w:val="none" w:sz="0" w:space="0" w:color="auto"/>
        <w:right w:val="none" w:sz="0" w:space="0" w:color="auto"/>
      </w:divBdr>
      <w:divsChild>
        <w:div w:id="1750227034">
          <w:marLeft w:val="0"/>
          <w:marRight w:val="0"/>
          <w:marTop w:val="0"/>
          <w:marBottom w:val="0"/>
          <w:divBdr>
            <w:top w:val="none" w:sz="0" w:space="0" w:color="auto"/>
            <w:left w:val="none" w:sz="0" w:space="0" w:color="auto"/>
            <w:bottom w:val="none" w:sz="0" w:space="0" w:color="auto"/>
            <w:right w:val="none" w:sz="0" w:space="0" w:color="auto"/>
          </w:divBdr>
          <w:divsChild>
            <w:div w:id="10131503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07244034">
      <w:marLeft w:val="0"/>
      <w:marRight w:val="0"/>
      <w:marTop w:val="180"/>
      <w:marBottom w:val="120"/>
      <w:divBdr>
        <w:top w:val="none" w:sz="0" w:space="0" w:color="auto"/>
        <w:left w:val="none" w:sz="0" w:space="0" w:color="auto"/>
        <w:bottom w:val="none" w:sz="0" w:space="0" w:color="auto"/>
        <w:right w:val="none" w:sz="0" w:space="0" w:color="auto"/>
      </w:divBdr>
    </w:div>
    <w:div w:id="309602459">
      <w:marLeft w:val="0"/>
      <w:marRight w:val="0"/>
      <w:marTop w:val="180"/>
      <w:marBottom w:val="0"/>
      <w:divBdr>
        <w:top w:val="none" w:sz="0" w:space="0" w:color="auto"/>
        <w:left w:val="none" w:sz="0" w:space="0" w:color="auto"/>
        <w:bottom w:val="none" w:sz="0" w:space="0" w:color="auto"/>
        <w:right w:val="none" w:sz="0" w:space="0" w:color="auto"/>
      </w:divBdr>
    </w:div>
    <w:div w:id="309604382">
      <w:marLeft w:val="0"/>
      <w:marRight w:val="0"/>
      <w:marTop w:val="180"/>
      <w:marBottom w:val="0"/>
      <w:divBdr>
        <w:top w:val="none" w:sz="0" w:space="0" w:color="auto"/>
        <w:left w:val="none" w:sz="0" w:space="0" w:color="auto"/>
        <w:bottom w:val="none" w:sz="0" w:space="0" w:color="auto"/>
        <w:right w:val="none" w:sz="0" w:space="0" w:color="auto"/>
      </w:divBdr>
    </w:div>
    <w:div w:id="310183322">
      <w:marLeft w:val="0"/>
      <w:marRight w:val="0"/>
      <w:marTop w:val="0"/>
      <w:marBottom w:val="0"/>
      <w:divBdr>
        <w:top w:val="none" w:sz="0" w:space="0" w:color="auto"/>
        <w:left w:val="none" w:sz="0" w:space="0" w:color="auto"/>
        <w:bottom w:val="none" w:sz="0" w:space="0" w:color="auto"/>
        <w:right w:val="none" w:sz="0" w:space="0" w:color="auto"/>
      </w:divBdr>
      <w:divsChild>
        <w:div w:id="1368220412">
          <w:marLeft w:val="0"/>
          <w:marRight w:val="0"/>
          <w:marTop w:val="180"/>
          <w:marBottom w:val="0"/>
          <w:divBdr>
            <w:top w:val="none" w:sz="0" w:space="0" w:color="auto"/>
            <w:left w:val="none" w:sz="0" w:space="0" w:color="auto"/>
            <w:bottom w:val="none" w:sz="0" w:space="0" w:color="auto"/>
            <w:right w:val="none" w:sz="0" w:space="0" w:color="auto"/>
          </w:divBdr>
        </w:div>
      </w:divsChild>
    </w:div>
    <w:div w:id="310788509">
      <w:marLeft w:val="0"/>
      <w:marRight w:val="0"/>
      <w:marTop w:val="180"/>
      <w:marBottom w:val="0"/>
      <w:divBdr>
        <w:top w:val="none" w:sz="0" w:space="0" w:color="auto"/>
        <w:left w:val="none" w:sz="0" w:space="0" w:color="auto"/>
        <w:bottom w:val="none" w:sz="0" w:space="0" w:color="auto"/>
        <w:right w:val="none" w:sz="0" w:space="0" w:color="auto"/>
      </w:divBdr>
    </w:div>
    <w:div w:id="311449656">
      <w:marLeft w:val="0"/>
      <w:marRight w:val="0"/>
      <w:marTop w:val="240"/>
      <w:marBottom w:val="120"/>
      <w:divBdr>
        <w:top w:val="none" w:sz="0" w:space="0" w:color="auto"/>
        <w:left w:val="none" w:sz="0" w:space="0" w:color="auto"/>
        <w:bottom w:val="none" w:sz="0" w:space="0" w:color="auto"/>
        <w:right w:val="none" w:sz="0" w:space="0" w:color="auto"/>
      </w:divBdr>
    </w:div>
    <w:div w:id="313534846">
      <w:marLeft w:val="0"/>
      <w:marRight w:val="0"/>
      <w:marTop w:val="120"/>
      <w:marBottom w:val="0"/>
      <w:divBdr>
        <w:top w:val="none" w:sz="0" w:space="0" w:color="auto"/>
        <w:left w:val="none" w:sz="0" w:space="0" w:color="auto"/>
        <w:bottom w:val="none" w:sz="0" w:space="0" w:color="auto"/>
        <w:right w:val="none" w:sz="0" w:space="0" w:color="auto"/>
      </w:divBdr>
    </w:div>
    <w:div w:id="320232288">
      <w:marLeft w:val="0"/>
      <w:marRight w:val="0"/>
      <w:marTop w:val="120"/>
      <w:marBottom w:val="0"/>
      <w:divBdr>
        <w:top w:val="none" w:sz="0" w:space="0" w:color="auto"/>
        <w:left w:val="none" w:sz="0" w:space="0" w:color="auto"/>
        <w:bottom w:val="none" w:sz="0" w:space="0" w:color="auto"/>
        <w:right w:val="none" w:sz="0" w:space="0" w:color="auto"/>
      </w:divBdr>
    </w:div>
    <w:div w:id="320624215">
      <w:marLeft w:val="0"/>
      <w:marRight w:val="0"/>
      <w:marTop w:val="0"/>
      <w:marBottom w:val="200"/>
      <w:divBdr>
        <w:top w:val="none" w:sz="0" w:space="0" w:color="auto"/>
        <w:left w:val="none" w:sz="0" w:space="0" w:color="auto"/>
        <w:bottom w:val="none" w:sz="0" w:space="0" w:color="auto"/>
        <w:right w:val="none" w:sz="0" w:space="0" w:color="auto"/>
      </w:divBdr>
    </w:div>
    <w:div w:id="321274412">
      <w:marLeft w:val="0"/>
      <w:marRight w:val="0"/>
      <w:marTop w:val="180"/>
      <w:marBottom w:val="0"/>
      <w:divBdr>
        <w:top w:val="none" w:sz="0" w:space="0" w:color="auto"/>
        <w:left w:val="none" w:sz="0" w:space="0" w:color="auto"/>
        <w:bottom w:val="none" w:sz="0" w:space="0" w:color="auto"/>
        <w:right w:val="none" w:sz="0" w:space="0" w:color="auto"/>
      </w:divBdr>
    </w:div>
    <w:div w:id="323359011">
      <w:marLeft w:val="0"/>
      <w:marRight w:val="0"/>
      <w:marTop w:val="0"/>
      <w:marBottom w:val="0"/>
      <w:divBdr>
        <w:top w:val="none" w:sz="0" w:space="0" w:color="auto"/>
        <w:left w:val="none" w:sz="0" w:space="0" w:color="auto"/>
        <w:bottom w:val="none" w:sz="0" w:space="0" w:color="auto"/>
        <w:right w:val="none" w:sz="0" w:space="0" w:color="auto"/>
      </w:divBdr>
      <w:divsChild>
        <w:div w:id="67851177">
          <w:marLeft w:val="0"/>
          <w:marRight w:val="0"/>
          <w:marTop w:val="0"/>
          <w:marBottom w:val="0"/>
          <w:divBdr>
            <w:top w:val="none" w:sz="0" w:space="0" w:color="auto"/>
            <w:left w:val="none" w:sz="0" w:space="0" w:color="auto"/>
            <w:bottom w:val="none" w:sz="0" w:space="0" w:color="auto"/>
            <w:right w:val="none" w:sz="0" w:space="0" w:color="auto"/>
          </w:divBdr>
          <w:divsChild>
            <w:div w:id="12826090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23558441">
      <w:marLeft w:val="0"/>
      <w:marRight w:val="0"/>
      <w:marTop w:val="180"/>
      <w:marBottom w:val="0"/>
      <w:divBdr>
        <w:top w:val="none" w:sz="0" w:space="0" w:color="auto"/>
        <w:left w:val="none" w:sz="0" w:space="0" w:color="auto"/>
        <w:bottom w:val="none" w:sz="0" w:space="0" w:color="auto"/>
        <w:right w:val="none" w:sz="0" w:space="0" w:color="auto"/>
      </w:divBdr>
    </w:div>
    <w:div w:id="326636958">
      <w:marLeft w:val="0"/>
      <w:marRight w:val="0"/>
      <w:marTop w:val="180"/>
      <w:marBottom w:val="240"/>
      <w:divBdr>
        <w:top w:val="none" w:sz="0" w:space="0" w:color="auto"/>
        <w:left w:val="none" w:sz="0" w:space="0" w:color="auto"/>
        <w:bottom w:val="none" w:sz="0" w:space="0" w:color="auto"/>
        <w:right w:val="none" w:sz="0" w:space="0" w:color="auto"/>
      </w:divBdr>
    </w:div>
    <w:div w:id="329913982">
      <w:marLeft w:val="0"/>
      <w:marRight w:val="0"/>
      <w:marTop w:val="240"/>
      <w:marBottom w:val="0"/>
      <w:divBdr>
        <w:top w:val="none" w:sz="0" w:space="0" w:color="auto"/>
        <w:left w:val="none" w:sz="0" w:space="0" w:color="auto"/>
        <w:bottom w:val="none" w:sz="0" w:space="0" w:color="auto"/>
        <w:right w:val="none" w:sz="0" w:space="0" w:color="auto"/>
      </w:divBdr>
    </w:div>
    <w:div w:id="330908252">
      <w:marLeft w:val="0"/>
      <w:marRight w:val="0"/>
      <w:marTop w:val="0"/>
      <w:marBottom w:val="0"/>
      <w:divBdr>
        <w:top w:val="none" w:sz="0" w:space="0" w:color="auto"/>
        <w:left w:val="none" w:sz="0" w:space="0" w:color="auto"/>
        <w:bottom w:val="none" w:sz="0" w:space="0" w:color="auto"/>
        <w:right w:val="none" w:sz="0" w:space="0" w:color="auto"/>
      </w:divBdr>
      <w:divsChild>
        <w:div w:id="2107338597">
          <w:marLeft w:val="0"/>
          <w:marRight w:val="0"/>
          <w:marTop w:val="0"/>
          <w:marBottom w:val="0"/>
          <w:divBdr>
            <w:top w:val="none" w:sz="0" w:space="0" w:color="auto"/>
            <w:left w:val="none" w:sz="0" w:space="0" w:color="auto"/>
            <w:bottom w:val="none" w:sz="0" w:space="0" w:color="auto"/>
            <w:right w:val="none" w:sz="0" w:space="0" w:color="auto"/>
          </w:divBdr>
          <w:divsChild>
            <w:div w:id="6376876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32879713">
      <w:marLeft w:val="0"/>
      <w:marRight w:val="0"/>
      <w:marTop w:val="180"/>
      <w:marBottom w:val="0"/>
      <w:divBdr>
        <w:top w:val="none" w:sz="0" w:space="0" w:color="auto"/>
        <w:left w:val="none" w:sz="0" w:space="0" w:color="auto"/>
        <w:bottom w:val="none" w:sz="0" w:space="0" w:color="auto"/>
        <w:right w:val="none" w:sz="0" w:space="0" w:color="auto"/>
      </w:divBdr>
    </w:div>
    <w:div w:id="333457466">
      <w:marLeft w:val="0"/>
      <w:marRight w:val="0"/>
      <w:marTop w:val="0"/>
      <w:marBottom w:val="0"/>
      <w:divBdr>
        <w:top w:val="none" w:sz="0" w:space="0" w:color="auto"/>
        <w:left w:val="none" w:sz="0" w:space="0" w:color="auto"/>
        <w:bottom w:val="none" w:sz="0" w:space="0" w:color="auto"/>
        <w:right w:val="none" w:sz="0" w:space="0" w:color="auto"/>
      </w:divBdr>
    </w:div>
    <w:div w:id="335767572">
      <w:marLeft w:val="0"/>
      <w:marRight w:val="0"/>
      <w:marTop w:val="0"/>
      <w:marBottom w:val="200"/>
      <w:divBdr>
        <w:top w:val="none" w:sz="0" w:space="0" w:color="auto"/>
        <w:left w:val="none" w:sz="0" w:space="0" w:color="auto"/>
        <w:bottom w:val="none" w:sz="0" w:space="0" w:color="auto"/>
        <w:right w:val="none" w:sz="0" w:space="0" w:color="auto"/>
      </w:divBdr>
    </w:div>
    <w:div w:id="336156936">
      <w:marLeft w:val="0"/>
      <w:marRight w:val="0"/>
      <w:marTop w:val="180"/>
      <w:marBottom w:val="0"/>
      <w:divBdr>
        <w:top w:val="none" w:sz="0" w:space="0" w:color="auto"/>
        <w:left w:val="none" w:sz="0" w:space="0" w:color="auto"/>
        <w:bottom w:val="none" w:sz="0" w:space="0" w:color="auto"/>
        <w:right w:val="none" w:sz="0" w:space="0" w:color="auto"/>
      </w:divBdr>
    </w:div>
    <w:div w:id="340470996">
      <w:marLeft w:val="0"/>
      <w:marRight w:val="0"/>
      <w:marTop w:val="180"/>
      <w:marBottom w:val="0"/>
      <w:divBdr>
        <w:top w:val="none" w:sz="0" w:space="0" w:color="auto"/>
        <w:left w:val="none" w:sz="0" w:space="0" w:color="auto"/>
        <w:bottom w:val="none" w:sz="0" w:space="0" w:color="auto"/>
        <w:right w:val="none" w:sz="0" w:space="0" w:color="auto"/>
      </w:divBdr>
    </w:div>
    <w:div w:id="341318894">
      <w:marLeft w:val="0"/>
      <w:marRight w:val="0"/>
      <w:marTop w:val="180"/>
      <w:marBottom w:val="0"/>
      <w:divBdr>
        <w:top w:val="none" w:sz="0" w:space="0" w:color="auto"/>
        <w:left w:val="none" w:sz="0" w:space="0" w:color="auto"/>
        <w:bottom w:val="none" w:sz="0" w:space="0" w:color="auto"/>
        <w:right w:val="none" w:sz="0" w:space="0" w:color="auto"/>
      </w:divBdr>
    </w:div>
    <w:div w:id="345404384">
      <w:marLeft w:val="0"/>
      <w:marRight w:val="0"/>
      <w:marTop w:val="180"/>
      <w:marBottom w:val="0"/>
      <w:divBdr>
        <w:top w:val="none" w:sz="0" w:space="0" w:color="auto"/>
        <w:left w:val="none" w:sz="0" w:space="0" w:color="auto"/>
        <w:bottom w:val="none" w:sz="0" w:space="0" w:color="auto"/>
        <w:right w:val="none" w:sz="0" w:space="0" w:color="auto"/>
      </w:divBdr>
    </w:div>
    <w:div w:id="346640192">
      <w:marLeft w:val="0"/>
      <w:marRight w:val="0"/>
      <w:marTop w:val="180"/>
      <w:marBottom w:val="0"/>
      <w:divBdr>
        <w:top w:val="none" w:sz="0" w:space="0" w:color="auto"/>
        <w:left w:val="none" w:sz="0" w:space="0" w:color="auto"/>
        <w:bottom w:val="none" w:sz="0" w:space="0" w:color="auto"/>
        <w:right w:val="none" w:sz="0" w:space="0" w:color="auto"/>
      </w:divBdr>
    </w:div>
    <w:div w:id="347685017">
      <w:marLeft w:val="0"/>
      <w:marRight w:val="0"/>
      <w:marTop w:val="180"/>
      <w:marBottom w:val="0"/>
      <w:divBdr>
        <w:top w:val="none" w:sz="0" w:space="0" w:color="auto"/>
        <w:left w:val="none" w:sz="0" w:space="0" w:color="auto"/>
        <w:bottom w:val="none" w:sz="0" w:space="0" w:color="auto"/>
        <w:right w:val="none" w:sz="0" w:space="0" w:color="auto"/>
      </w:divBdr>
    </w:div>
    <w:div w:id="347948212">
      <w:marLeft w:val="0"/>
      <w:marRight w:val="0"/>
      <w:marTop w:val="180"/>
      <w:marBottom w:val="0"/>
      <w:divBdr>
        <w:top w:val="none" w:sz="0" w:space="0" w:color="auto"/>
        <w:left w:val="none" w:sz="0" w:space="0" w:color="auto"/>
        <w:bottom w:val="none" w:sz="0" w:space="0" w:color="auto"/>
        <w:right w:val="none" w:sz="0" w:space="0" w:color="auto"/>
      </w:divBdr>
    </w:div>
    <w:div w:id="348290097">
      <w:marLeft w:val="0"/>
      <w:marRight w:val="0"/>
      <w:marTop w:val="180"/>
      <w:marBottom w:val="0"/>
      <w:divBdr>
        <w:top w:val="none" w:sz="0" w:space="0" w:color="auto"/>
        <w:left w:val="none" w:sz="0" w:space="0" w:color="auto"/>
        <w:bottom w:val="none" w:sz="0" w:space="0" w:color="auto"/>
        <w:right w:val="none" w:sz="0" w:space="0" w:color="auto"/>
      </w:divBdr>
    </w:div>
    <w:div w:id="349337853">
      <w:marLeft w:val="0"/>
      <w:marRight w:val="0"/>
      <w:marTop w:val="180"/>
      <w:marBottom w:val="0"/>
      <w:divBdr>
        <w:top w:val="none" w:sz="0" w:space="0" w:color="auto"/>
        <w:left w:val="none" w:sz="0" w:space="0" w:color="auto"/>
        <w:bottom w:val="none" w:sz="0" w:space="0" w:color="auto"/>
        <w:right w:val="none" w:sz="0" w:space="0" w:color="auto"/>
      </w:divBdr>
    </w:div>
    <w:div w:id="350617705">
      <w:marLeft w:val="0"/>
      <w:marRight w:val="0"/>
      <w:marTop w:val="180"/>
      <w:marBottom w:val="0"/>
      <w:divBdr>
        <w:top w:val="none" w:sz="0" w:space="0" w:color="auto"/>
        <w:left w:val="none" w:sz="0" w:space="0" w:color="auto"/>
        <w:bottom w:val="none" w:sz="0" w:space="0" w:color="auto"/>
        <w:right w:val="none" w:sz="0" w:space="0" w:color="auto"/>
      </w:divBdr>
    </w:div>
    <w:div w:id="352539986">
      <w:marLeft w:val="0"/>
      <w:marRight w:val="0"/>
      <w:marTop w:val="60"/>
      <w:marBottom w:val="0"/>
      <w:divBdr>
        <w:top w:val="none" w:sz="0" w:space="0" w:color="auto"/>
        <w:left w:val="none" w:sz="0" w:space="0" w:color="auto"/>
        <w:bottom w:val="none" w:sz="0" w:space="0" w:color="auto"/>
        <w:right w:val="none" w:sz="0" w:space="0" w:color="auto"/>
      </w:divBdr>
    </w:div>
    <w:div w:id="353388407">
      <w:marLeft w:val="0"/>
      <w:marRight w:val="0"/>
      <w:marTop w:val="180"/>
      <w:marBottom w:val="0"/>
      <w:divBdr>
        <w:top w:val="none" w:sz="0" w:space="0" w:color="auto"/>
        <w:left w:val="none" w:sz="0" w:space="0" w:color="auto"/>
        <w:bottom w:val="none" w:sz="0" w:space="0" w:color="auto"/>
        <w:right w:val="none" w:sz="0" w:space="0" w:color="auto"/>
      </w:divBdr>
    </w:div>
    <w:div w:id="354581069">
      <w:marLeft w:val="0"/>
      <w:marRight w:val="0"/>
      <w:marTop w:val="120"/>
      <w:marBottom w:val="0"/>
      <w:divBdr>
        <w:top w:val="none" w:sz="0" w:space="0" w:color="auto"/>
        <w:left w:val="none" w:sz="0" w:space="0" w:color="auto"/>
        <w:bottom w:val="none" w:sz="0" w:space="0" w:color="auto"/>
        <w:right w:val="none" w:sz="0" w:space="0" w:color="auto"/>
      </w:divBdr>
    </w:div>
    <w:div w:id="354894012">
      <w:marLeft w:val="0"/>
      <w:marRight w:val="0"/>
      <w:marTop w:val="0"/>
      <w:marBottom w:val="0"/>
      <w:divBdr>
        <w:top w:val="none" w:sz="0" w:space="0" w:color="auto"/>
        <w:left w:val="none" w:sz="0" w:space="0" w:color="auto"/>
        <w:bottom w:val="none" w:sz="0" w:space="0" w:color="auto"/>
        <w:right w:val="none" w:sz="0" w:space="0" w:color="auto"/>
      </w:divBdr>
      <w:divsChild>
        <w:div w:id="1395393040">
          <w:marLeft w:val="0"/>
          <w:marRight w:val="0"/>
          <w:marTop w:val="180"/>
          <w:marBottom w:val="0"/>
          <w:divBdr>
            <w:top w:val="none" w:sz="0" w:space="0" w:color="auto"/>
            <w:left w:val="none" w:sz="0" w:space="0" w:color="auto"/>
            <w:bottom w:val="none" w:sz="0" w:space="0" w:color="auto"/>
            <w:right w:val="none" w:sz="0" w:space="0" w:color="auto"/>
          </w:divBdr>
        </w:div>
      </w:divsChild>
    </w:div>
    <w:div w:id="355079896">
      <w:marLeft w:val="0"/>
      <w:marRight w:val="0"/>
      <w:marTop w:val="180"/>
      <w:marBottom w:val="0"/>
      <w:divBdr>
        <w:top w:val="none" w:sz="0" w:space="0" w:color="auto"/>
        <w:left w:val="none" w:sz="0" w:space="0" w:color="auto"/>
        <w:bottom w:val="none" w:sz="0" w:space="0" w:color="auto"/>
        <w:right w:val="none" w:sz="0" w:space="0" w:color="auto"/>
      </w:divBdr>
    </w:div>
    <w:div w:id="355082486">
      <w:marLeft w:val="0"/>
      <w:marRight w:val="0"/>
      <w:marTop w:val="180"/>
      <w:marBottom w:val="0"/>
      <w:divBdr>
        <w:top w:val="none" w:sz="0" w:space="0" w:color="auto"/>
        <w:left w:val="none" w:sz="0" w:space="0" w:color="auto"/>
        <w:bottom w:val="none" w:sz="0" w:space="0" w:color="auto"/>
        <w:right w:val="none" w:sz="0" w:space="0" w:color="auto"/>
      </w:divBdr>
    </w:div>
    <w:div w:id="356319645">
      <w:marLeft w:val="0"/>
      <w:marRight w:val="0"/>
      <w:marTop w:val="180"/>
      <w:marBottom w:val="0"/>
      <w:divBdr>
        <w:top w:val="none" w:sz="0" w:space="0" w:color="auto"/>
        <w:left w:val="none" w:sz="0" w:space="0" w:color="auto"/>
        <w:bottom w:val="none" w:sz="0" w:space="0" w:color="auto"/>
        <w:right w:val="none" w:sz="0" w:space="0" w:color="auto"/>
      </w:divBdr>
    </w:div>
    <w:div w:id="360741626">
      <w:marLeft w:val="0"/>
      <w:marRight w:val="0"/>
      <w:marTop w:val="180"/>
      <w:marBottom w:val="0"/>
      <w:divBdr>
        <w:top w:val="none" w:sz="0" w:space="0" w:color="auto"/>
        <w:left w:val="none" w:sz="0" w:space="0" w:color="auto"/>
        <w:bottom w:val="none" w:sz="0" w:space="0" w:color="auto"/>
        <w:right w:val="none" w:sz="0" w:space="0" w:color="auto"/>
      </w:divBdr>
    </w:div>
    <w:div w:id="366416742">
      <w:marLeft w:val="0"/>
      <w:marRight w:val="0"/>
      <w:marTop w:val="180"/>
      <w:marBottom w:val="0"/>
      <w:divBdr>
        <w:top w:val="none" w:sz="0" w:space="0" w:color="auto"/>
        <w:left w:val="none" w:sz="0" w:space="0" w:color="auto"/>
        <w:bottom w:val="none" w:sz="0" w:space="0" w:color="auto"/>
        <w:right w:val="none" w:sz="0" w:space="0" w:color="auto"/>
      </w:divBdr>
    </w:div>
    <w:div w:id="367993305">
      <w:marLeft w:val="0"/>
      <w:marRight w:val="0"/>
      <w:marTop w:val="240"/>
      <w:marBottom w:val="0"/>
      <w:divBdr>
        <w:top w:val="none" w:sz="0" w:space="0" w:color="auto"/>
        <w:left w:val="none" w:sz="0" w:space="0" w:color="auto"/>
        <w:bottom w:val="none" w:sz="0" w:space="0" w:color="auto"/>
        <w:right w:val="none" w:sz="0" w:space="0" w:color="auto"/>
      </w:divBdr>
    </w:div>
    <w:div w:id="368576359">
      <w:marLeft w:val="0"/>
      <w:marRight w:val="0"/>
      <w:marTop w:val="180"/>
      <w:marBottom w:val="180"/>
      <w:divBdr>
        <w:top w:val="none" w:sz="0" w:space="0" w:color="auto"/>
        <w:left w:val="none" w:sz="0" w:space="0" w:color="auto"/>
        <w:bottom w:val="none" w:sz="0" w:space="0" w:color="auto"/>
        <w:right w:val="none" w:sz="0" w:space="0" w:color="auto"/>
      </w:divBdr>
    </w:div>
    <w:div w:id="369917461">
      <w:marLeft w:val="0"/>
      <w:marRight w:val="0"/>
      <w:marTop w:val="180"/>
      <w:marBottom w:val="0"/>
      <w:divBdr>
        <w:top w:val="none" w:sz="0" w:space="0" w:color="auto"/>
        <w:left w:val="none" w:sz="0" w:space="0" w:color="auto"/>
        <w:bottom w:val="none" w:sz="0" w:space="0" w:color="auto"/>
        <w:right w:val="none" w:sz="0" w:space="0" w:color="auto"/>
      </w:divBdr>
    </w:div>
    <w:div w:id="370620413">
      <w:marLeft w:val="0"/>
      <w:marRight w:val="0"/>
      <w:marTop w:val="180"/>
      <w:marBottom w:val="0"/>
      <w:divBdr>
        <w:top w:val="none" w:sz="0" w:space="0" w:color="auto"/>
        <w:left w:val="none" w:sz="0" w:space="0" w:color="auto"/>
        <w:bottom w:val="none" w:sz="0" w:space="0" w:color="auto"/>
        <w:right w:val="none" w:sz="0" w:space="0" w:color="auto"/>
      </w:divBdr>
    </w:div>
    <w:div w:id="373508531">
      <w:marLeft w:val="0"/>
      <w:marRight w:val="0"/>
      <w:marTop w:val="180"/>
      <w:marBottom w:val="0"/>
      <w:divBdr>
        <w:top w:val="none" w:sz="0" w:space="0" w:color="auto"/>
        <w:left w:val="none" w:sz="0" w:space="0" w:color="auto"/>
        <w:bottom w:val="none" w:sz="0" w:space="0" w:color="auto"/>
        <w:right w:val="none" w:sz="0" w:space="0" w:color="auto"/>
      </w:divBdr>
    </w:div>
    <w:div w:id="374353026">
      <w:marLeft w:val="0"/>
      <w:marRight w:val="0"/>
      <w:marTop w:val="0"/>
      <w:marBottom w:val="0"/>
      <w:divBdr>
        <w:top w:val="none" w:sz="0" w:space="0" w:color="auto"/>
        <w:left w:val="none" w:sz="0" w:space="0" w:color="auto"/>
        <w:bottom w:val="none" w:sz="0" w:space="0" w:color="auto"/>
        <w:right w:val="none" w:sz="0" w:space="0" w:color="auto"/>
      </w:divBdr>
      <w:divsChild>
        <w:div w:id="525947560">
          <w:marLeft w:val="0"/>
          <w:marRight w:val="0"/>
          <w:marTop w:val="0"/>
          <w:marBottom w:val="0"/>
          <w:divBdr>
            <w:top w:val="none" w:sz="0" w:space="0" w:color="auto"/>
            <w:left w:val="none" w:sz="0" w:space="0" w:color="auto"/>
            <w:bottom w:val="none" w:sz="0" w:space="0" w:color="auto"/>
            <w:right w:val="none" w:sz="0" w:space="0" w:color="auto"/>
          </w:divBdr>
          <w:divsChild>
            <w:div w:id="20838657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75080984">
      <w:marLeft w:val="0"/>
      <w:marRight w:val="0"/>
      <w:marTop w:val="180"/>
      <w:marBottom w:val="0"/>
      <w:divBdr>
        <w:top w:val="none" w:sz="0" w:space="0" w:color="auto"/>
        <w:left w:val="none" w:sz="0" w:space="0" w:color="auto"/>
        <w:bottom w:val="none" w:sz="0" w:space="0" w:color="auto"/>
        <w:right w:val="none" w:sz="0" w:space="0" w:color="auto"/>
      </w:divBdr>
    </w:div>
    <w:div w:id="376204097">
      <w:marLeft w:val="0"/>
      <w:marRight w:val="0"/>
      <w:marTop w:val="180"/>
      <w:marBottom w:val="0"/>
      <w:divBdr>
        <w:top w:val="none" w:sz="0" w:space="0" w:color="auto"/>
        <w:left w:val="none" w:sz="0" w:space="0" w:color="auto"/>
        <w:bottom w:val="none" w:sz="0" w:space="0" w:color="auto"/>
        <w:right w:val="none" w:sz="0" w:space="0" w:color="auto"/>
      </w:divBdr>
    </w:div>
    <w:div w:id="377361074">
      <w:marLeft w:val="0"/>
      <w:marRight w:val="0"/>
      <w:marTop w:val="180"/>
      <w:marBottom w:val="0"/>
      <w:divBdr>
        <w:top w:val="none" w:sz="0" w:space="0" w:color="auto"/>
        <w:left w:val="none" w:sz="0" w:space="0" w:color="auto"/>
        <w:bottom w:val="none" w:sz="0" w:space="0" w:color="auto"/>
        <w:right w:val="none" w:sz="0" w:space="0" w:color="auto"/>
      </w:divBdr>
    </w:div>
    <w:div w:id="377777149">
      <w:marLeft w:val="0"/>
      <w:marRight w:val="0"/>
      <w:marTop w:val="0"/>
      <w:marBottom w:val="0"/>
      <w:divBdr>
        <w:top w:val="none" w:sz="0" w:space="0" w:color="auto"/>
        <w:left w:val="none" w:sz="0" w:space="0" w:color="auto"/>
        <w:bottom w:val="none" w:sz="0" w:space="0" w:color="auto"/>
        <w:right w:val="none" w:sz="0" w:space="0" w:color="auto"/>
      </w:divBdr>
      <w:divsChild>
        <w:div w:id="588075618">
          <w:marLeft w:val="0"/>
          <w:marRight w:val="0"/>
          <w:marTop w:val="180"/>
          <w:marBottom w:val="0"/>
          <w:divBdr>
            <w:top w:val="none" w:sz="0" w:space="0" w:color="auto"/>
            <w:left w:val="none" w:sz="0" w:space="0" w:color="auto"/>
            <w:bottom w:val="none" w:sz="0" w:space="0" w:color="auto"/>
            <w:right w:val="none" w:sz="0" w:space="0" w:color="auto"/>
          </w:divBdr>
        </w:div>
      </w:divsChild>
    </w:div>
    <w:div w:id="379404628">
      <w:marLeft w:val="0"/>
      <w:marRight w:val="0"/>
      <w:marTop w:val="0"/>
      <w:marBottom w:val="0"/>
      <w:divBdr>
        <w:top w:val="none" w:sz="0" w:space="0" w:color="auto"/>
        <w:left w:val="none" w:sz="0" w:space="0" w:color="auto"/>
        <w:bottom w:val="none" w:sz="0" w:space="0" w:color="auto"/>
        <w:right w:val="none" w:sz="0" w:space="0" w:color="auto"/>
      </w:divBdr>
      <w:divsChild>
        <w:div w:id="1041243632">
          <w:marLeft w:val="0"/>
          <w:marRight w:val="0"/>
          <w:marTop w:val="0"/>
          <w:marBottom w:val="0"/>
          <w:divBdr>
            <w:top w:val="none" w:sz="0" w:space="0" w:color="auto"/>
            <w:left w:val="none" w:sz="0" w:space="0" w:color="auto"/>
            <w:bottom w:val="none" w:sz="0" w:space="0" w:color="auto"/>
            <w:right w:val="none" w:sz="0" w:space="0" w:color="auto"/>
          </w:divBdr>
        </w:div>
      </w:divsChild>
    </w:div>
    <w:div w:id="379983713">
      <w:marLeft w:val="0"/>
      <w:marRight w:val="0"/>
      <w:marTop w:val="0"/>
      <w:marBottom w:val="120"/>
      <w:divBdr>
        <w:top w:val="none" w:sz="0" w:space="0" w:color="auto"/>
        <w:left w:val="none" w:sz="0" w:space="0" w:color="auto"/>
        <w:bottom w:val="none" w:sz="0" w:space="0" w:color="auto"/>
        <w:right w:val="none" w:sz="0" w:space="0" w:color="auto"/>
      </w:divBdr>
      <w:divsChild>
        <w:div w:id="1894273388">
          <w:marLeft w:val="0"/>
          <w:marRight w:val="0"/>
          <w:marTop w:val="180"/>
          <w:marBottom w:val="0"/>
          <w:divBdr>
            <w:top w:val="none" w:sz="0" w:space="0" w:color="auto"/>
            <w:left w:val="none" w:sz="0" w:space="0" w:color="auto"/>
            <w:bottom w:val="none" w:sz="0" w:space="0" w:color="auto"/>
            <w:right w:val="none" w:sz="0" w:space="0" w:color="auto"/>
          </w:divBdr>
        </w:div>
      </w:divsChild>
    </w:div>
    <w:div w:id="381832441">
      <w:marLeft w:val="0"/>
      <w:marRight w:val="0"/>
      <w:marTop w:val="180"/>
      <w:marBottom w:val="0"/>
      <w:divBdr>
        <w:top w:val="none" w:sz="0" w:space="0" w:color="auto"/>
        <w:left w:val="none" w:sz="0" w:space="0" w:color="auto"/>
        <w:bottom w:val="none" w:sz="0" w:space="0" w:color="auto"/>
        <w:right w:val="none" w:sz="0" w:space="0" w:color="auto"/>
      </w:divBdr>
    </w:div>
    <w:div w:id="383409673">
      <w:marLeft w:val="0"/>
      <w:marRight w:val="0"/>
      <w:marTop w:val="180"/>
      <w:marBottom w:val="0"/>
      <w:divBdr>
        <w:top w:val="none" w:sz="0" w:space="0" w:color="auto"/>
        <w:left w:val="none" w:sz="0" w:space="0" w:color="auto"/>
        <w:bottom w:val="none" w:sz="0" w:space="0" w:color="auto"/>
        <w:right w:val="none" w:sz="0" w:space="0" w:color="auto"/>
      </w:divBdr>
    </w:div>
    <w:div w:id="383917792">
      <w:marLeft w:val="0"/>
      <w:marRight w:val="0"/>
      <w:marTop w:val="180"/>
      <w:marBottom w:val="120"/>
      <w:divBdr>
        <w:top w:val="none" w:sz="0" w:space="0" w:color="auto"/>
        <w:left w:val="none" w:sz="0" w:space="0" w:color="auto"/>
        <w:bottom w:val="none" w:sz="0" w:space="0" w:color="auto"/>
        <w:right w:val="none" w:sz="0" w:space="0" w:color="auto"/>
      </w:divBdr>
    </w:div>
    <w:div w:id="385302711">
      <w:marLeft w:val="0"/>
      <w:marRight w:val="0"/>
      <w:marTop w:val="180"/>
      <w:marBottom w:val="0"/>
      <w:divBdr>
        <w:top w:val="none" w:sz="0" w:space="0" w:color="auto"/>
        <w:left w:val="none" w:sz="0" w:space="0" w:color="auto"/>
        <w:bottom w:val="none" w:sz="0" w:space="0" w:color="auto"/>
        <w:right w:val="none" w:sz="0" w:space="0" w:color="auto"/>
      </w:divBdr>
    </w:div>
    <w:div w:id="385375488">
      <w:marLeft w:val="0"/>
      <w:marRight w:val="0"/>
      <w:marTop w:val="180"/>
      <w:marBottom w:val="0"/>
      <w:divBdr>
        <w:top w:val="none" w:sz="0" w:space="0" w:color="auto"/>
        <w:left w:val="none" w:sz="0" w:space="0" w:color="auto"/>
        <w:bottom w:val="none" w:sz="0" w:space="0" w:color="auto"/>
        <w:right w:val="none" w:sz="0" w:space="0" w:color="auto"/>
      </w:divBdr>
    </w:div>
    <w:div w:id="386497580">
      <w:marLeft w:val="0"/>
      <w:marRight w:val="0"/>
      <w:marTop w:val="240"/>
      <w:marBottom w:val="0"/>
      <w:divBdr>
        <w:top w:val="none" w:sz="0" w:space="0" w:color="auto"/>
        <w:left w:val="none" w:sz="0" w:space="0" w:color="auto"/>
        <w:bottom w:val="none" w:sz="0" w:space="0" w:color="auto"/>
        <w:right w:val="none" w:sz="0" w:space="0" w:color="auto"/>
      </w:divBdr>
    </w:div>
    <w:div w:id="389309696">
      <w:marLeft w:val="0"/>
      <w:marRight w:val="0"/>
      <w:marTop w:val="180"/>
      <w:marBottom w:val="0"/>
      <w:divBdr>
        <w:top w:val="none" w:sz="0" w:space="0" w:color="auto"/>
        <w:left w:val="none" w:sz="0" w:space="0" w:color="auto"/>
        <w:bottom w:val="none" w:sz="0" w:space="0" w:color="auto"/>
        <w:right w:val="none" w:sz="0" w:space="0" w:color="auto"/>
      </w:divBdr>
    </w:div>
    <w:div w:id="389426168">
      <w:marLeft w:val="0"/>
      <w:marRight w:val="0"/>
      <w:marTop w:val="180"/>
      <w:marBottom w:val="0"/>
      <w:divBdr>
        <w:top w:val="none" w:sz="0" w:space="0" w:color="auto"/>
        <w:left w:val="none" w:sz="0" w:space="0" w:color="auto"/>
        <w:bottom w:val="none" w:sz="0" w:space="0" w:color="auto"/>
        <w:right w:val="none" w:sz="0" w:space="0" w:color="auto"/>
      </w:divBdr>
    </w:div>
    <w:div w:id="391542168">
      <w:marLeft w:val="0"/>
      <w:marRight w:val="0"/>
      <w:marTop w:val="180"/>
      <w:marBottom w:val="0"/>
      <w:divBdr>
        <w:top w:val="none" w:sz="0" w:space="0" w:color="auto"/>
        <w:left w:val="none" w:sz="0" w:space="0" w:color="auto"/>
        <w:bottom w:val="none" w:sz="0" w:space="0" w:color="auto"/>
        <w:right w:val="none" w:sz="0" w:space="0" w:color="auto"/>
      </w:divBdr>
    </w:div>
    <w:div w:id="391584090">
      <w:marLeft w:val="0"/>
      <w:marRight w:val="0"/>
      <w:marTop w:val="180"/>
      <w:marBottom w:val="0"/>
      <w:divBdr>
        <w:top w:val="none" w:sz="0" w:space="0" w:color="auto"/>
        <w:left w:val="none" w:sz="0" w:space="0" w:color="auto"/>
        <w:bottom w:val="none" w:sz="0" w:space="0" w:color="auto"/>
        <w:right w:val="none" w:sz="0" w:space="0" w:color="auto"/>
      </w:divBdr>
    </w:div>
    <w:div w:id="393508072">
      <w:marLeft w:val="0"/>
      <w:marRight w:val="0"/>
      <w:marTop w:val="180"/>
      <w:marBottom w:val="0"/>
      <w:divBdr>
        <w:top w:val="none" w:sz="0" w:space="0" w:color="auto"/>
        <w:left w:val="none" w:sz="0" w:space="0" w:color="auto"/>
        <w:bottom w:val="none" w:sz="0" w:space="0" w:color="auto"/>
        <w:right w:val="none" w:sz="0" w:space="0" w:color="auto"/>
      </w:divBdr>
    </w:div>
    <w:div w:id="397828131">
      <w:marLeft w:val="0"/>
      <w:marRight w:val="0"/>
      <w:marTop w:val="0"/>
      <w:marBottom w:val="0"/>
      <w:divBdr>
        <w:top w:val="none" w:sz="0" w:space="0" w:color="auto"/>
        <w:left w:val="none" w:sz="0" w:space="0" w:color="auto"/>
        <w:bottom w:val="none" w:sz="0" w:space="0" w:color="auto"/>
        <w:right w:val="none" w:sz="0" w:space="0" w:color="auto"/>
      </w:divBdr>
      <w:divsChild>
        <w:div w:id="145897403">
          <w:marLeft w:val="0"/>
          <w:marRight w:val="0"/>
          <w:marTop w:val="180"/>
          <w:marBottom w:val="0"/>
          <w:divBdr>
            <w:top w:val="none" w:sz="0" w:space="0" w:color="auto"/>
            <w:left w:val="none" w:sz="0" w:space="0" w:color="auto"/>
            <w:bottom w:val="none" w:sz="0" w:space="0" w:color="auto"/>
            <w:right w:val="none" w:sz="0" w:space="0" w:color="auto"/>
          </w:divBdr>
        </w:div>
      </w:divsChild>
    </w:div>
    <w:div w:id="400107413">
      <w:marLeft w:val="0"/>
      <w:marRight w:val="0"/>
      <w:marTop w:val="180"/>
      <w:marBottom w:val="0"/>
      <w:divBdr>
        <w:top w:val="none" w:sz="0" w:space="0" w:color="auto"/>
        <w:left w:val="none" w:sz="0" w:space="0" w:color="auto"/>
        <w:bottom w:val="none" w:sz="0" w:space="0" w:color="auto"/>
        <w:right w:val="none" w:sz="0" w:space="0" w:color="auto"/>
      </w:divBdr>
    </w:div>
    <w:div w:id="402527958">
      <w:marLeft w:val="0"/>
      <w:marRight w:val="0"/>
      <w:marTop w:val="120"/>
      <w:marBottom w:val="0"/>
      <w:divBdr>
        <w:top w:val="none" w:sz="0" w:space="0" w:color="auto"/>
        <w:left w:val="none" w:sz="0" w:space="0" w:color="auto"/>
        <w:bottom w:val="none" w:sz="0" w:space="0" w:color="auto"/>
        <w:right w:val="none" w:sz="0" w:space="0" w:color="auto"/>
      </w:divBdr>
    </w:div>
    <w:div w:id="403651870">
      <w:marLeft w:val="0"/>
      <w:marRight w:val="0"/>
      <w:marTop w:val="180"/>
      <w:marBottom w:val="0"/>
      <w:divBdr>
        <w:top w:val="none" w:sz="0" w:space="0" w:color="auto"/>
        <w:left w:val="none" w:sz="0" w:space="0" w:color="auto"/>
        <w:bottom w:val="none" w:sz="0" w:space="0" w:color="auto"/>
        <w:right w:val="none" w:sz="0" w:space="0" w:color="auto"/>
      </w:divBdr>
    </w:div>
    <w:div w:id="406192749">
      <w:marLeft w:val="0"/>
      <w:marRight w:val="0"/>
      <w:marTop w:val="180"/>
      <w:marBottom w:val="0"/>
      <w:divBdr>
        <w:top w:val="none" w:sz="0" w:space="0" w:color="auto"/>
        <w:left w:val="none" w:sz="0" w:space="0" w:color="auto"/>
        <w:bottom w:val="none" w:sz="0" w:space="0" w:color="auto"/>
        <w:right w:val="none" w:sz="0" w:space="0" w:color="auto"/>
      </w:divBdr>
    </w:div>
    <w:div w:id="406879384">
      <w:marLeft w:val="0"/>
      <w:marRight w:val="0"/>
      <w:marTop w:val="180"/>
      <w:marBottom w:val="0"/>
      <w:divBdr>
        <w:top w:val="none" w:sz="0" w:space="0" w:color="auto"/>
        <w:left w:val="none" w:sz="0" w:space="0" w:color="auto"/>
        <w:bottom w:val="none" w:sz="0" w:space="0" w:color="auto"/>
        <w:right w:val="none" w:sz="0" w:space="0" w:color="auto"/>
      </w:divBdr>
    </w:div>
    <w:div w:id="411465208">
      <w:marLeft w:val="0"/>
      <w:marRight w:val="0"/>
      <w:marTop w:val="60"/>
      <w:marBottom w:val="240"/>
      <w:divBdr>
        <w:top w:val="none" w:sz="0" w:space="0" w:color="auto"/>
        <w:left w:val="none" w:sz="0" w:space="0" w:color="auto"/>
        <w:bottom w:val="none" w:sz="0" w:space="0" w:color="auto"/>
        <w:right w:val="none" w:sz="0" w:space="0" w:color="auto"/>
      </w:divBdr>
    </w:div>
    <w:div w:id="413744703">
      <w:marLeft w:val="0"/>
      <w:marRight w:val="0"/>
      <w:marTop w:val="180"/>
      <w:marBottom w:val="0"/>
      <w:divBdr>
        <w:top w:val="none" w:sz="0" w:space="0" w:color="auto"/>
        <w:left w:val="none" w:sz="0" w:space="0" w:color="auto"/>
        <w:bottom w:val="none" w:sz="0" w:space="0" w:color="auto"/>
        <w:right w:val="none" w:sz="0" w:space="0" w:color="auto"/>
      </w:divBdr>
    </w:div>
    <w:div w:id="415202674">
      <w:marLeft w:val="0"/>
      <w:marRight w:val="0"/>
      <w:marTop w:val="0"/>
      <w:marBottom w:val="200"/>
      <w:divBdr>
        <w:top w:val="none" w:sz="0" w:space="0" w:color="auto"/>
        <w:left w:val="none" w:sz="0" w:space="0" w:color="auto"/>
        <w:bottom w:val="none" w:sz="0" w:space="0" w:color="auto"/>
        <w:right w:val="none" w:sz="0" w:space="0" w:color="auto"/>
      </w:divBdr>
    </w:div>
    <w:div w:id="416949694">
      <w:marLeft w:val="0"/>
      <w:marRight w:val="0"/>
      <w:marTop w:val="0"/>
      <w:marBottom w:val="0"/>
      <w:divBdr>
        <w:top w:val="none" w:sz="0" w:space="0" w:color="auto"/>
        <w:left w:val="none" w:sz="0" w:space="0" w:color="auto"/>
        <w:bottom w:val="none" w:sz="0" w:space="0" w:color="auto"/>
        <w:right w:val="none" w:sz="0" w:space="0" w:color="auto"/>
      </w:divBdr>
      <w:divsChild>
        <w:div w:id="1414550735">
          <w:marLeft w:val="0"/>
          <w:marRight w:val="0"/>
          <w:marTop w:val="0"/>
          <w:marBottom w:val="0"/>
          <w:divBdr>
            <w:top w:val="none" w:sz="0" w:space="0" w:color="auto"/>
            <w:left w:val="none" w:sz="0" w:space="0" w:color="auto"/>
            <w:bottom w:val="none" w:sz="0" w:space="0" w:color="auto"/>
            <w:right w:val="none" w:sz="0" w:space="0" w:color="auto"/>
          </w:divBdr>
        </w:div>
      </w:divsChild>
    </w:div>
    <w:div w:id="417289151">
      <w:marLeft w:val="0"/>
      <w:marRight w:val="0"/>
      <w:marTop w:val="180"/>
      <w:marBottom w:val="0"/>
      <w:divBdr>
        <w:top w:val="none" w:sz="0" w:space="0" w:color="auto"/>
        <w:left w:val="none" w:sz="0" w:space="0" w:color="auto"/>
        <w:bottom w:val="none" w:sz="0" w:space="0" w:color="auto"/>
        <w:right w:val="none" w:sz="0" w:space="0" w:color="auto"/>
      </w:divBdr>
    </w:div>
    <w:div w:id="417945218">
      <w:marLeft w:val="0"/>
      <w:marRight w:val="0"/>
      <w:marTop w:val="180"/>
      <w:marBottom w:val="0"/>
      <w:divBdr>
        <w:top w:val="none" w:sz="0" w:space="0" w:color="auto"/>
        <w:left w:val="none" w:sz="0" w:space="0" w:color="auto"/>
        <w:bottom w:val="none" w:sz="0" w:space="0" w:color="auto"/>
        <w:right w:val="none" w:sz="0" w:space="0" w:color="auto"/>
      </w:divBdr>
    </w:div>
    <w:div w:id="418985186">
      <w:marLeft w:val="0"/>
      <w:marRight w:val="0"/>
      <w:marTop w:val="180"/>
      <w:marBottom w:val="0"/>
      <w:divBdr>
        <w:top w:val="none" w:sz="0" w:space="0" w:color="auto"/>
        <w:left w:val="none" w:sz="0" w:space="0" w:color="auto"/>
        <w:bottom w:val="none" w:sz="0" w:space="0" w:color="auto"/>
        <w:right w:val="none" w:sz="0" w:space="0" w:color="auto"/>
      </w:divBdr>
    </w:div>
    <w:div w:id="420956956">
      <w:marLeft w:val="0"/>
      <w:marRight w:val="0"/>
      <w:marTop w:val="0"/>
      <w:marBottom w:val="0"/>
      <w:divBdr>
        <w:top w:val="none" w:sz="0" w:space="0" w:color="auto"/>
        <w:left w:val="none" w:sz="0" w:space="0" w:color="auto"/>
        <w:bottom w:val="none" w:sz="0" w:space="0" w:color="auto"/>
        <w:right w:val="none" w:sz="0" w:space="0" w:color="auto"/>
      </w:divBdr>
      <w:divsChild>
        <w:div w:id="356128827">
          <w:marLeft w:val="0"/>
          <w:marRight w:val="0"/>
          <w:marTop w:val="0"/>
          <w:marBottom w:val="0"/>
          <w:divBdr>
            <w:top w:val="none" w:sz="0" w:space="0" w:color="auto"/>
            <w:left w:val="none" w:sz="0" w:space="0" w:color="auto"/>
            <w:bottom w:val="none" w:sz="0" w:space="0" w:color="auto"/>
            <w:right w:val="none" w:sz="0" w:space="0" w:color="auto"/>
          </w:divBdr>
          <w:divsChild>
            <w:div w:id="19934403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23113360">
      <w:marLeft w:val="0"/>
      <w:marRight w:val="0"/>
      <w:marTop w:val="180"/>
      <w:marBottom w:val="120"/>
      <w:divBdr>
        <w:top w:val="none" w:sz="0" w:space="0" w:color="auto"/>
        <w:left w:val="none" w:sz="0" w:space="0" w:color="auto"/>
        <w:bottom w:val="none" w:sz="0" w:space="0" w:color="auto"/>
        <w:right w:val="none" w:sz="0" w:space="0" w:color="auto"/>
      </w:divBdr>
    </w:div>
    <w:div w:id="424762468">
      <w:marLeft w:val="0"/>
      <w:marRight w:val="0"/>
      <w:marTop w:val="180"/>
      <w:marBottom w:val="120"/>
      <w:divBdr>
        <w:top w:val="none" w:sz="0" w:space="0" w:color="auto"/>
        <w:left w:val="none" w:sz="0" w:space="0" w:color="auto"/>
        <w:bottom w:val="none" w:sz="0" w:space="0" w:color="auto"/>
        <w:right w:val="none" w:sz="0" w:space="0" w:color="auto"/>
      </w:divBdr>
    </w:div>
    <w:div w:id="426317344">
      <w:marLeft w:val="0"/>
      <w:marRight w:val="0"/>
      <w:marTop w:val="120"/>
      <w:marBottom w:val="0"/>
      <w:divBdr>
        <w:top w:val="none" w:sz="0" w:space="0" w:color="auto"/>
        <w:left w:val="none" w:sz="0" w:space="0" w:color="auto"/>
        <w:bottom w:val="none" w:sz="0" w:space="0" w:color="auto"/>
        <w:right w:val="none" w:sz="0" w:space="0" w:color="auto"/>
      </w:divBdr>
    </w:div>
    <w:div w:id="426586791">
      <w:marLeft w:val="0"/>
      <w:marRight w:val="0"/>
      <w:marTop w:val="180"/>
      <w:marBottom w:val="0"/>
      <w:divBdr>
        <w:top w:val="none" w:sz="0" w:space="0" w:color="auto"/>
        <w:left w:val="none" w:sz="0" w:space="0" w:color="auto"/>
        <w:bottom w:val="none" w:sz="0" w:space="0" w:color="auto"/>
        <w:right w:val="none" w:sz="0" w:space="0" w:color="auto"/>
      </w:divBdr>
    </w:div>
    <w:div w:id="428501567">
      <w:marLeft w:val="0"/>
      <w:marRight w:val="0"/>
      <w:marTop w:val="180"/>
      <w:marBottom w:val="0"/>
      <w:divBdr>
        <w:top w:val="none" w:sz="0" w:space="0" w:color="auto"/>
        <w:left w:val="none" w:sz="0" w:space="0" w:color="auto"/>
        <w:bottom w:val="none" w:sz="0" w:space="0" w:color="auto"/>
        <w:right w:val="none" w:sz="0" w:space="0" w:color="auto"/>
      </w:divBdr>
    </w:div>
    <w:div w:id="430317842">
      <w:marLeft w:val="0"/>
      <w:marRight w:val="0"/>
      <w:marTop w:val="180"/>
      <w:marBottom w:val="0"/>
      <w:divBdr>
        <w:top w:val="none" w:sz="0" w:space="0" w:color="auto"/>
        <w:left w:val="none" w:sz="0" w:space="0" w:color="auto"/>
        <w:bottom w:val="none" w:sz="0" w:space="0" w:color="auto"/>
        <w:right w:val="none" w:sz="0" w:space="0" w:color="auto"/>
      </w:divBdr>
    </w:div>
    <w:div w:id="431709636">
      <w:marLeft w:val="0"/>
      <w:marRight w:val="0"/>
      <w:marTop w:val="180"/>
      <w:marBottom w:val="120"/>
      <w:divBdr>
        <w:top w:val="none" w:sz="0" w:space="0" w:color="auto"/>
        <w:left w:val="none" w:sz="0" w:space="0" w:color="auto"/>
        <w:bottom w:val="none" w:sz="0" w:space="0" w:color="auto"/>
        <w:right w:val="none" w:sz="0" w:space="0" w:color="auto"/>
      </w:divBdr>
      <w:divsChild>
        <w:div w:id="1166091239">
          <w:marLeft w:val="0"/>
          <w:marRight w:val="0"/>
          <w:marTop w:val="0"/>
          <w:marBottom w:val="0"/>
          <w:divBdr>
            <w:top w:val="none" w:sz="0" w:space="0" w:color="auto"/>
            <w:left w:val="none" w:sz="0" w:space="0" w:color="auto"/>
            <w:bottom w:val="none" w:sz="0" w:space="0" w:color="auto"/>
            <w:right w:val="none" w:sz="0" w:space="0" w:color="auto"/>
          </w:divBdr>
        </w:div>
        <w:div w:id="1439376197">
          <w:marLeft w:val="0"/>
          <w:marRight w:val="0"/>
          <w:marTop w:val="0"/>
          <w:marBottom w:val="0"/>
          <w:divBdr>
            <w:top w:val="none" w:sz="0" w:space="0" w:color="auto"/>
            <w:left w:val="none" w:sz="0" w:space="0" w:color="auto"/>
            <w:bottom w:val="none" w:sz="0" w:space="0" w:color="auto"/>
            <w:right w:val="none" w:sz="0" w:space="0" w:color="auto"/>
          </w:divBdr>
        </w:div>
        <w:div w:id="662005716">
          <w:marLeft w:val="0"/>
          <w:marRight w:val="0"/>
          <w:marTop w:val="0"/>
          <w:marBottom w:val="0"/>
          <w:divBdr>
            <w:top w:val="none" w:sz="0" w:space="0" w:color="auto"/>
            <w:left w:val="none" w:sz="0" w:space="0" w:color="auto"/>
            <w:bottom w:val="none" w:sz="0" w:space="0" w:color="auto"/>
            <w:right w:val="none" w:sz="0" w:space="0" w:color="auto"/>
          </w:divBdr>
        </w:div>
        <w:div w:id="1194264591">
          <w:marLeft w:val="0"/>
          <w:marRight w:val="0"/>
          <w:marTop w:val="0"/>
          <w:marBottom w:val="0"/>
          <w:divBdr>
            <w:top w:val="none" w:sz="0" w:space="0" w:color="auto"/>
            <w:left w:val="none" w:sz="0" w:space="0" w:color="auto"/>
            <w:bottom w:val="none" w:sz="0" w:space="0" w:color="auto"/>
            <w:right w:val="none" w:sz="0" w:space="0" w:color="auto"/>
          </w:divBdr>
        </w:div>
      </w:divsChild>
    </w:div>
    <w:div w:id="431821187">
      <w:marLeft w:val="0"/>
      <w:marRight w:val="0"/>
      <w:marTop w:val="180"/>
      <w:marBottom w:val="0"/>
      <w:divBdr>
        <w:top w:val="none" w:sz="0" w:space="0" w:color="auto"/>
        <w:left w:val="none" w:sz="0" w:space="0" w:color="auto"/>
        <w:bottom w:val="none" w:sz="0" w:space="0" w:color="auto"/>
        <w:right w:val="none" w:sz="0" w:space="0" w:color="auto"/>
      </w:divBdr>
    </w:div>
    <w:div w:id="434863593">
      <w:marLeft w:val="0"/>
      <w:marRight w:val="0"/>
      <w:marTop w:val="180"/>
      <w:marBottom w:val="0"/>
      <w:divBdr>
        <w:top w:val="none" w:sz="0" w:space="0" w:color="auto"/>
        <w:left w:val="none" w:sz="0" w:space="0" w:color="auto"/>
        <w:bottom w:val="none" w:sz="0" w:space="0" w:color="auto"/>
        <w:right w:val="none" w:sz="0" w:space="0" w:color="auto"/>
      </w:divBdr>
    </w:div>
    <w:div w:id="438305028">
      <w:marLeft w:val="0"/>
      <w:marRight w:val="0"/>
      <w:marTop w:val="180"/>
      <w:marBottom w:val="0"/>
      <w:divBdr>
        <w:top w:val="none" w:sz="0" w:space="0" w:color="auto"/>
        <w:left w:val="none" w:sz="0" w:space="0" w:color="auto"/>
        <w:bottom w:val="none" w:sz="0" w:space="0" w:color="auto"/>
        <w:right w:val="none" w:sz="0" w:space="0" w:color="auto"/>
      </w:divBdr>
    </w:div>
    <w:div w:id="438451482">
      <w:marLeft w:val="0"/>
      <w:marRight w:val="0"/>
      <w:marTop w:val="180"/>
      <w:marBottom w:val="0"/>
      <w:divBdr>
        <w:top w:val="none" w:sz="0" w:space="0" w:color="auto"/>
        <w:left w:val="none" w:sz="0" w:space="0" w:color="auto"/>
        <w:bottom w:val="none" w:sz="0" w:space="0" w:color="auto"/>
        <w:right w:val="none" w:sz="0" w:space="0" w:color="auto"/>
      </w:divBdr>
    </w:div>
    <w:div w:id="438644261">
      <w:marLeft w:val="0"/>
      <w:marRight w:val="0"/>
      <w:marTop w:val="180"/>
      <w:marBottom w:val="12"/>
      <w:divBdr>
        <w:top w:val="none" w:sz="0" w:space="0" w:color="auto"/>
        <w:left w:val="none" w:sz="0" w:space="0" w:color="auto"/>
        <w:bottom w:val="none" w:sz="0" w:space="0" w:color="auto"/>
        <w:right w:val="none" w:sz="0" w:space="0" w:color="auto"/>
      </w:divBdr>
    </w:div>
    <w:div w:id="445081199">
      <w:marLeft w:val="0"/>
      <w:marRight w:val="0"/>
      <w:marTop w:val="180"/>
      <w:marBottom w:val="0"/>
      <w:divBdr>
        <w:top w:val="none" w:sz="0" w:space="0" w:color="auto"/>
        <w:left w:val="none" w:sz="0" w:space="0" w:color="auto"/>
        <w:bottom w:val="none" w:sz="0" w:space="0" w:color="auto"/>
        <w:right w:val="none" w:sz="0" w:space="0" w:color="auto"/>
      </w:divBdr>
    </w:div>
    <w:div w:id="449323207">
      <w:marLeft w:val="0"/>
      <w:marRight w:val="0"/>
      <w:marTop w:val="0"/>
      <w:marBottom w:val="0"/>
      <w:divBdr>
        <w:top w:val="none" w:sz="0" w:space="0" w:color="auto"/>
        <w:left w:val="none" w:sz="0" w:space="0" w:color="auto"/>
        <w:bottom w:val="none" w:sz="0" w:space="0" w:color="auto"/>
        <w:right w:val="none" w:sz="0" w:space="0" w:color="auto"/>
      </w:divBdr>
      <w:divsChild>
        <w:div w:id="700017025">
          <w:marLeft w:val="0"/>
          <w:marRight w:val="0"/>
          <w:marTop w:val="0"/>
          <w:marBottom w:val="0"/>
          <w:divBdr>
            <w:top w:val="none" w:sz="0" w:space="0" w:color="auto"/>
            <w:left w:val="none" w:sz="0" w:space="0" w:color="auto"/>
            <w:bottom w:val="none" w:sz="0" w:space="0" w:color="auto"/>
            <w:right w:val="none" w:sz="0" w:space="0" w:color="auto"/>
          </w:divBdr>
        </w:div>
      </w:divsChild>
    </w:div>
    <w:div w:id="453209702">
      <w:marLeft w:val="0"/>
      <w:marRight w:val="0"/>
      <w:marTop w:val="180"/>
      <w:marBottom w:val="0"/>
      <w:divBdr>
        <w:top w:val="none" w:sz="0" w:space="0" w:color="auto"/>
        <w:left w:val="none" w:sz="0" w:space="0" w:color="auto"/>
        <w:bottom w:val="none" w:sz="0" w:space="0" w:color="auto"/>
        <w:right w:val="none" w:sz="0" w:space="0" w:color="auto"/>
      </w:divBdr>
    </w:div>
    <w:div w:id="454494350">
      <w:marLeft w:val="0"/>
      <w:marRight w:val="0"/>
      <w:marTop w:val="180"/>
      <w:marBottom w:val="0"/>
      <w:divBdr>
        <w:top w:val="none" w:sz="0" w:space="0" w:color="auto"/>
        <w:left w:val="none" w:sz="0" w:space="0" w:color="auto"/>
        <w:bottom w:val="none" w:sz="0" w:space="0" w:color="auto"/>
        <w:right w:val="none" w:sz="0" w:space="0" w:color="auto"/>
      </w:divBdr>
    </w:div>
    <w:div w:id="455224283">
      <w:marLeft w:val="0"/>
      <w:marRight w:val="0"/>
      <w:marTop w:val="0"/>
      <w:marBottom w:val="0"/>
      <w:divBdr>
        <w:top w:val="none" w:sz="0" w:space="0" w:color="auto"/>
        <w:left w:val="none" w:sz="0" w:space="0" w:color="auto"/>
        <w:bottom w:val="none" w:sz="0" w:space="0" w:color="auto"/>
        <w:right w:val="none" w:sz="0" w:space="0" w:color="auto"/>
      </w:divBdr>
      <w:divsChild>
        <w:div w:id="457451724">
          <w:marLeft w:val="0"/>
          <w:marRight w:val="0"/>
          <w:marTop w:val="180"/>
          <w:marBottom w:val="0"/>
          <w:divBdr>
            <w:top w:val="none" w:sz="0" w:space="0" w:color="auto"/>
            <w:left w:val="none" w:sz="0" w:space="0" w:color="auto"/>
            <w:bottom w:val="none" w:sz="0" w:space="0" w:color="auto"/>
            <w:right w:val="none" w:sz="0" w:space="0" w:color="auto"/>
          </w:divBdr>
        </w:div>
      </w:divsChild>
    </w:div>
    <w:div w:id="458836989">
      <w:marLeft w:val="0"/>
      <w:marRight w:val="0"/>
      <w:marTop w:val="180"/>
      <w:marBottom w:val="0"/>
      <w:divBdr>
        <w:top w:val="none" w:sz="0" w:space="0" w:color="auto"/>
        <w:left w:val="none" w:sz="0" w:space="0" w:color="auto"/>
        <w:bottom w:val="none" w:sz="0" w:space="0" w:color="auto"/>
        <w:right w:val="none" w:sz="0" w:space="0" w:color="auto"/>
      </w:divBdr>
    </w:div>
    <w:div w:id="459610270">
      <w:marLeft w:val="0"/>
      <w:marRight w:val="0"/>
      <w:marTop w:val="180"/>
      <w:marBottom w:val="240"/>
      <w:divBdr>
        <w:top w:val="none" w:sz="0" w:space="0" w:color="auto"/>
        <w:left w:val="none" w:sz="0" w:space="0" w:color="auto"/>
        <w:bottom w:val="none" w:sz="0" w:space="0" w:color="auto"/>
        <w:right w:val="none" w:sz="0" w:space="0" w:color="auto"/>
      </w:divBdr>
    </w:div>
    <w:div w:id="464130462">
      <w:marLeft w:val="0"/>
      <w:marRight w:val="0"/>
      <w:marTop w:val="60"/>
      <w:marBottom w:val="0"/>
      <w:divBdr>
        <w:top w:val="none" w:sz="0" w:space="0" w:color="auto"/>
        <w:left w:val="none" w:sz="0" w:space="0" w:color="auto"/>
        <w:bottom w:val="none" w:sz="0" w:space="0" w:color="auto"/>
        <w:right w:val="none" w:sz="0" w:space="0" w:color="auto"/>
      </w:divBdr>
    </w:div>
    <w:div w:id="469247134">
      <w:marLeft w:val="0"/>
      <w:marRight w:val="0"/>
      <w:marTop w:val="180"/>
      <w:marBottom w:val="120"/>
      <w:divBdr>
        <w:top w:val="none" w:sz="0" w:space="0" w:color="auto"/>
        <w:left w:val="none" w:sz="0" w:space="0" w:color="auto"/>
        <w:bottom w:val="none" w:sz="0" w:space="0" w:color="auto"/>
        <w:right w:val="none" w:sz="0" w:space="0" w:color="auto"/>
      </w:divBdr>
    </w:div>
    <w:div w:id="472716448">
      <w:marLeft w:val="0"/>
      <w:marRight w:val="0"/>
      <w:marTop w:val="0"/>
      <w:marBottom w:val="0"/>
      <w:divBdr>
        <w:top w:val="none" w:sz="0" w:space="0" w:color="auto"/>
        <w:left w:val="none" w:sz="0" w:space="0" w:color="auto"/>
        <w:bottom w:val="none" w:sz="0" w:space="0" w:color="auto"/>
        <w:right w:val="none" w:sz="0" w:space="0" w:color="auto"/>
      </w:divBdr>
      <w:divsChild>
        <w:div w:id="86970320">
          <w:marLeft w:val="0"/>
          <w:marRight w:val="0"/>
          <w:marTop w:val="180"/>
          <w:marBottom w:val="0"/>
          <w:divBdr>
            <w:top w:val="none" w:sz="0" w:space="0" w:color="auto"/>
            <w:left w:val="none" w:sz="0" w:space="0" w:color="auto"/>
            <w:bottom w:val="none" w:sz="0" w:space="0" w:color="auto"/>
            <w:right w:val="none" w:sz="0" w:space="0" w:color="auto"/>
          </w:divBdr>
        </w:div>
      </w:divsChild>
    </w:div>
    <w:div w:id="474563118">
      <w:marLeft w:val="0"/>
      <w:marRight w:val="0"/>
      <w:marTop w:val="180"/>
      <w:marBottom w:val="0"/>
      <w:divBdr>
        <w:top w:val="none" w:sz="0" w:space="0" w:color="auto"/>
        <w:left w:val="none" w:sz="0" w:space="0" w:color="auto"/>
        <w:bottom w:val="none" w:sz="0" w:space="0" w:color="auto"/>
        <w:right w:val="none" w:sz="0" w:space="0" w:color="auto"/>
      </w:divBdr>
    </w:div>
    <w:div w:id="475608951">
      <w:marLeft w:val="0"/>
      <w:marRight w:val="0"/>
      <w:marTop w:val="0"/>
      <w:marBottom w:val="200"/>
      <w:divBdr>
        <w:top w:val="none" w:sz="0" w:space="0" w:color="auto"/>
        <w:left w:val="none" w:sz="0" w:space="0" w:color="auto"/>
        <w:bottom w:val="none" w:sz="0" w:space="0" w:color="auto"/>
        <w:right w:val="none" w:sz="0" w:space="0" w:color="auto"/>
      </w:divBdr>
    </w:div>
    <w:div w:id="476533856">
      <w:marLeft w:val="0"/>
      <w:marRight w:val="0"/>
      <w:marTop w:val="180"/>
      <w:marBottom w:val="120"/>
      <w:divBdr>
        <w:top w:val="none" w:sz="0" w:space="0" w:color="auto"/>
        <w:left w:val="none" w:sz="0" w:space="0" w:color="auto"/>
        <w:bottom w:val="none" w:sz="0" w:space="0" w:color="auto"/>
        <w:right w:val="none" w:sz="0" w:space="0" w:color="auto"/>
      </w:divBdr>
    </w:div>
    <w:div w:id="481122182">
      <w:marLeft w:val="0"/>
      <w:marRight w:val="0"/>
      <w:marTop w:val="0"/>
      <w:marBottom w:val="0"/>
      <w:divBdr>
        <w:top w:val="none" w:sz="0" w:space="0" w:color="auto"/>
        <w:left w:val="none" w:sz="0" w:space="0" w:color="auto"/>
        <w:bottom w:val="none" w:sz="0" w:space="0" w:color="auto"/>
        <w:right w:val="none" w:sz="0" w:space="0" w:color="auto"/>
      </w:divBdr>
      <w:divsChild>
        <w:div w:id="410735866">
          <w:marLeft w:val="0"/>
          <w:marRight w:val="0"/>
          <w:marTop w:val="0"/>
          <w:marBottom w:val="0"/>
          <w:divBdr>
            <w:top w:val="none" w:sz="0" w:space="0" w:color="auto"/>
            <w:left w:val="none" w:sz="0" w:space="0" w:color="auto"/>
            <w:bottom w:val="none" w:sz="0" w:space="0" w:color="auto"/>
            <w:right w:val="none" w:sz="0" w:space="0" w:color="auto"/>
          </w:divBdr>
          <w:divsChild>
            <w:div w:id="9785354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9948913">
      <w:marLeft w:val="0"/>
      <w:marRight w:val="0"/>
      <w:marTop w:val="180"/>
      <w:marBottom w:val="0"/>
      <w:divBdr>
        <w:top w:val="none" w:sz="0" w:space="0" w:color="auto"/>
        <w:left w:val="none" w:sz="0" w:space="0" w:color="auto"/>
        <w:bottom w:val="none" w:sz="0" w:space="0" w:color="auto"/>
        <w:right w:val="none" w:sz="0" w:space="0" w:color="auto"/>
      </w:divBdr>
    </w:div>
    <w:div w:id="491332749">
      <w:marLeft w:val="0"/>
      <w:marRight w:val="0"/>
      <w:marTop w:val="180"/>
      <w:marBottom w:val="0"/>
      <w:divBdr>
        <w:top w:val="none" w:sz="0" w:space="0" w:color="auto"/>
        <w:left w:val="none" w:sz="0" w:space="0" w:color="auto"/>
        <w:bottom w:val="none" w:sz="0" w:space="0" w:color="auto"/>
        <w:right w:val="none" w:sz="0" w:space="0" w:color="auto"/>
      </w:divBdr>
    </w:div>
    <w:div w:id="492794599">
      <w:marLeft w:val="0"/>
      <w:marRight w:val="0"/>
      <w:marTop w:val="180"/>
      <w:marBottom w:val="0"/>
      <w:divBdr>
        <w:top w:val="none" w:sz="0" w:space="0" w:color="auto"/>
        <w:left w:val="none" w:sz="0" w:space="0" w:color="auto"/>
        <w:bottom w:val="none" w:sz="0" w:space="0" w:color="auto"/>
        <w:right w:val="none" w:sz="0" w:space="0" w:color="auto"/>
      </w:divBdr>
    </w:div>
    <w:div w:id="493836737">
      <w:marLeft w:val="0"/>
      <w:marRight w:val="0"/>
      <w:marTop w:val="180"/>
      <w:marBottom w:val="0"/>
      <w:divBdr>
        <w:top w:val="none" w:sz="0" w:space="0" w:color="auto"/>
        <w:left w:val="none" w:sz="0" w:space="0" w:color="auto"/>
        <w:bottom w:val="none" w:sz="0" w:space="0" w:color="auto"/>
        <w:right w:val="none" w:sz="0" w:space="0" w:color="auto"/>
      </w:divBdr>
    </w:div>
    <w:div w:id="498932243">
      <w:marLeft w:val="0"/>
      <w:marRight w:val="0"/>
      <w:marTop w:val="240"/>
      <w:marBottom w:val="0"/>
      <w:divBdr>
        <w:top w:val="none" w:sz="0" w:space="0" w:color="auto"/>
        <w:left w:val="none" w:sz="0" w:space="0" w:color="auto"/>
        <w:bottom w:val="none" w:sz="0" w:space="0" w:color="auto"/>
        <w:right w:val="none" w:sz="0" w:space="0" w:color="auto"/>
      </w:divBdr>
    </w:div>
    <w:div w:id="500194640">
      <w:marLeft w:val="0"/>
      <w:marRight w:val="0"/>
      <w:marTop w:val="180"/>
      <w:marBottom w:val="0"/>
      <w:divBdr>
        <w:top w:val="none" w:sz="0" w:space="0" w:color="auto"/>
        <w:left w:val="none" w:sz="0" w:space="0" w:color="auto"/>
        <w:bottom w:val="none" w:sz="0" w:space="0" w:color="auto"/>
        <w:right w:val="none" w:sz="0" w:space="0" w:color="auto"/>
      </w:divBdr>
    </w:div>
    <w:div w:id="502553896">
      <w:marLeft w:val="0"/>
      <w:marRight w:val="0"/>
      <w:marTop w:val="180"/>
      <w:marBottom w:val="0"/>
      <w:divBdr>
        <w:top w:val="none" w:sz="0" w:space="0" w:color="auto"/>
        <w:left w:val="none" w:sz="0" w:space="0" w:color="auto"/>
        <w:bottom w:val="none" w:sz="0" w:space="0" w:color="auto"/>
        <w:right w:val="none" w:sz="0" w:space="0" w:color="auto"/>
      </w:divBdr>
    </w:div>
    <w:div w:id="506092607">
      <w:marLeft w:val="0"/>
      <w:marRight w:val="0"/>
      <w:marTop w:val="0"/>
      <w:marBottom w:val="120"/>
      <w:divBdr>
        <w:top w:val="none" w:sz="0" w:space="0" w:color="auto"/>
        <w:left w:val="none" w:sz="0" w:space="0" w:color="auto"/>
        <w:bottom w:val="none" w:sz="0" w:space="0" w:color="auto"/>
        <w:right w:val="none" w:sz="0" w:space="0" w:color="auto"/>
      </w:divBdr>
      <w:divsChild>
        <w:div w:id="2085295358">
          <w:marLeft w:val="0"/>
          <w:marRight w:val="0"/>
          <w:marTop w:val="0"/>
          <w:marBottom w:val="0"/>
          <w:divBdr>
            <w:top w:val="none" w:sz="0" w:space="0" w:color="auto"/>
            <w:left w:val="none" w:sz="0" w:space="0" w:color="auto"/>
            <w:bottom w:val="none" w:sz="0" w:space="0" w:color="auto"/>
            <w:right w:val="none" w:sz="0" w:space="0" w:color="auto"/>
          </w:divBdr>
        </w:div>
        <w:div w:id="1356343861">
          <w:marLeft w:val="0"/>
          <w:marRight w:val="0"/>
          <w:marTop w:val="0"/>
          <w:marBottom w:val="0"/>
          <w:divBdr>
            <w:top w:val="none" w:sz="0" w:space="0" w:color="auto"/>
            <w:left w:val="none" w:sz="0" w:space="0" w:color="auto"/>
            <w:bottom w:val="none" w:sz="0" w:space="0" w:color="auto"/>
            <w:right w:val="none" w:sz="0" w:space="0" w:color="auto"/>
          </w:divBdr>
        </w:div>
        <w:div w:id="1367559846">
          <w:marLeft w:val="0"/>
          <w:marRight w:val="0"/>
          <w:marTop w:val="0"/>
          <w:marBottom w:val="0"/>
          <w:divBdr>
            <w:top w:val="none" w:sz="0" w:space="0" w:color="auto"/>
            <w:left w:val="none" w:sz="0" w:space="0" w:color="auto"/>
            <w:bottom w:val="none" w:sz="0" w:space="0" w:color="auto"/>
            <w:right w:val="none" w:sz="0" w:space="0" w:color="auto"/>
          </w:divBdr>
        </w:div>
      </w:divsChild>
    </w:div>
    <w:div w:id="506554739">
      <w:marLeft w:val="0"/>
      <w:marRight w:val="0"/>
      <w:marTop w:val="0"/>
      <w:marBottom w:val="0"/>
      <w:divBdr>
        <w:top w:val="none" w:sz="0" w:space="0" w:color="auto"/>
        <w:left w:val="none" w:sz="0" w:space="0" w:color="auto"/>
        <w:bottom w:val="none" w:sz="0" w:space="0" w:color="auto"/>
        <w:right w:val="none" w:sz="0" w:space="0" w:color="auto"/>
      </w:divBdr>
      <w:divsChild>
        <w:div w:id="1124958104">
          <w:marLeft w:val="0"/>
          <w:marRight w:val="0"/>
          <w:marTop w:val="0"/>
          <w:marBottom w:val="0"/>
          <w:divBdr>
            <w:top w:val="none" w:sz="0" w:space="0" w:color="auto"/>
            <w:left w:val="none" w:sz="0" w:space="0" w:color="auto"/>
            <w:bottom w:val="none" w:sz="0" w:space="0" w:color="auto"/>
            <w:right w:val="none" w:sz="0" w:space="0" w:color="auto"/>
          </w:divBdr>
        </w:div>
      </w:divsChild>
    </w:div>
    <w:div w:id="506940729">
      <w:marLeft w:val="0"/>
      <w:marRight w:val="0"/>
      <w:marTop w:val="120"/>
      <w:marBottom w:val="0"/>
      <w:divBdr>
        <w:top w:val="none" w:sz="0" w:space="0" w:color="auto"/>
        <w:left w:val="none" w:sz="0" w:space="0" w:color="auto"/>
        <w:bottom w:val="none" w:sz="0" w:space="0" w:color="auto"/>
        <w:right w:val="none" w:sz="0" w:space="0" w:color="auto"/>
      </w:divBdr>
    </w:div>
    <w:div w:id="507061544">
      <w:marLeft w:val="0"/>
      <w:marRight w:val="0"/>
      <w:marTop w:val="120"/>
      <w:marBottom w:val="0"/>
      <w:divBdr>
        <w:top w:val="none" w:sz="0" w:space="0" w:color="auto"/>
        <w:left w:val="none" w:sz="0" w:space="0" w:color="auto"/>
        <w:bottom w:val="none" w:sz="0" w:space="0" w:color="auto"/>
        <w:right w:val="none" w:sz="0" w:space="0" w:color="auto"/>
      </w:divBdr>
    </w:div>
    <w:div w:id="508763907">
      <w:marLeft w:val="0"/>
      <w:marRight w:val="0"/>
      <w:marTop w:val="180"/>
      <w:marBottom w:val="120"/>
      <w:divBdr>
        <w:top w:val="none" w:sz="0" w:space="0" w:color="auto"/>
        <w:left w:val="none" w:sz="0" w:space="0" w:color="auto"/>
        <w:bottom w:val="none" w:sz="0" w:space="0" w:color="auto"/>
        <w:right w:val="none" w:sz="0" w:space="0" w:color="auto"/>
      </w:divBdr>
      <w:divsChild>
        <w:div w:id="1563831728">
          <w:marLeft w:val="0"/>
          <w:marRight w:val="0"/>
          <w:marTop w:val="0"/>
          <w:marBottom w:val="0"/>
          <w:divBdr>
            <w:top w:val="none" w:sz="0" w:space="0" w:color="auto"/>
            <w:left w:val="none" w:sz="0" w:space="0" w:color="auto"/>
            <w:bottom w:val="none" w:sz="0" w:space="0" w:color="auto"/>
            <w:right w:val="none" w:sz="0" w:space="0" w:color="auto"/>
          </w:divBdr>
        </w:div>
        <w:div w:id="1492138741">
          <w:marLeft w:val="0"/>
          <w:marRight w:val="0"/>
          <w:marTop w:val="0"/>
          <w:marBottom w:val="0"/>
          <w:divBdr>
            <w:top w:val="none" w:sz="0" w:space="0" w:color="auto"/>
            <w:left w:val="none" w:sz="0" w:space="0" w:color="auto"/>
            <w:bottom w:val="none" w:sz="0" w:space="0" w:color="auto"/>
            <w:right w:val="none" w:sz="0" w:space="0" w:color="auto"/>
          </w:divBdr>
        </w:div>
        <w:div w:id="1974554778">
          <w:marLeft w:val="0"/>
          <w:marRight w:val="0"/>
          <w:marTop w:val="0"/>
          <w:marBottom w:val="0"/>
          <w:divBdr>
            <w:top w:val="none" w:sz="0" w:space="0" w:color="auto"/>
            <w:left w:val="none" w:sz="0" w:space="0" w:color="auto"/>
            <w:bottom w:val="none" w:sz="0" w:space="0" w:color="auto"/>
            <w:right w:val="none" w:sz="0" w:space="0" w:color="auto"/>
          </w:divBdr>
        </w:div>
        <w:div w:id="1242329828">
          <w:marLeft w:val="0"/>
          <w:marRight w:val="0"/>
          <w:marTop w:val="0"/>
          <w:marBottom w:val="0"/>
          <w:divBdr>
            <w:top w:val="none" w:sz="0" w:space="0" w:color="auto"/>
            <w:left w:val="none" w:sz="0" w:space="0" w:color="auto"/>
            <w:bottom w:val="none" w:sz="0" w:space="0" w:color="auto"/>
            <w:right w:val="none" w:sz="0" w:space="0" w:color="auto"/>
          </w:divBdr>
        </w:div>
        <w:div w:id="903565097">
          <w:marLeft w:val="0"/>
          <w:marRight w:val="0"/>
          <w:marTop w:val="0"/>
          <w:marBottom w:val="0"/>
          <w:divBdr>
            <w:top w:val="none" w:sz="0" w:space="0" w:color="auto"/>
            <w:left w:val="none" w:sz="0" w:space="0" w:color="auto"/>
            <w:bottom w:val="none" w:sz="0" w:space="0" w:color="auto"/>
            <w:right w:val="none" w:sz="0" w:space="0" w:color="auto"/>
          </w:divBdr>
        </w:div>
        <w:div w:id="2141268491">
          <w:marLeft w:val="0"/>
          <w:marRight w:val="0"/>
          <w:marTop w:val="0"/>
          <w:marBottom w:val="0"/>
          <w:divBdr>
            <w:top w:val="none" w:sz="0" w:space="0" w:color="auto"/>
            <w:left w:val="none" w:sz="0" w:space="0" w:color="auto"/>
            <w:bottom w:val="none" w:sz="0" w:space="0" w:color="auto"/>
            <w:right w:val="none" w:sz="0" w:space="0" w:color="auto"/>
          </w:divBdr>
        </w:div>
        <w:div w:id="73085869">
          <w:marLeft w:val="0"/>
          <w:marRight w:val="0"/>
          <w:marTop w:val="0"/>
          <w:marBottom w:val="0"/>
          <w:divBdr>
            <w:top w:val="none" w:sz="0" w:space="0" w:color="auto"/>
            <w:left w:val="none" w:sz="0" w:space="0" w:color="auto"/>
            <w:bottom w:val="none" w:sz="0" w:space="0" w:color="auto"/>
            <w:right w:val="none" w:sz="0" w:space="0" w:color="auto"/>
          </w:divBdr>
        </w:div>
        <w:div w:id="303972231">
          <w:marLeft w:val="0"/>
          <w:marRight w:val="0"/>
          <w:marTop w:val="0"/>
          <w:marBottom w:val="0"/>
          <w:divBdr>
            <w:top w:val="none" w:sz="0" w:space="0" w:color="auto"/>
            <w:left w:val="none" w:sz="0" w:space="0" w:color="auto"/>
            <w:bottom w:val="none" w:sz="0" w:space="0" w:color="auto"/>
            <w:right w:val="none" w:sz="0" w:space="0" w:color="auto"/>
          </w:divBdr>
        </w:div>
        <w:div w:id="733893173">
          <w:marLeft w:val="0"/>
          <w:marRight w:val="0"/>
          <w:marTop w:val="0"/>
          <w:marBottom w:val="0"/>
          <w:divBdr>
            <w:top w:val="none" w:sz="0" w:space="0" w:color="auto"/>
            <w:left w:val="none" w:sz="0" w:space="0" w:color="auto"/>
            <w:bottom w:val="none" w:sz="0" w:space="0" w:color="auto"/>
            <w:right w:val="none" w:sz="0" w:space="0" w:color="auto"/>
          </w:divBdr>
        </w:div>
        <w:div w:id="1392658056">
          <w:marLeft w:val="0"/>
          <w:marRight w:val="0"/>
          <w:marTop w:val="0"/>
          <w:marBottom w:val="0"/>
          <w:divBdr>
            <w:top w:val="none" w:sz="0" w:space="0" w:color="auto"/>
            <w:left w:val="none" w:sz="0" w:space="0" w:color="auto"/>
            <w:bottom w:val="none" w:sz="0" w:space="0" w:color="auto"/>
            <w:right w:val="none" w:sz="0" w:space="0" w:color="auto"/>
          </w:divBdr>
        </w:div>
        <w:div w:id="1685937974">
          <w:marLeft w:val="0"/>
          <w:marRight w:val="0"/>
          <w:marTop w:val="0"/>
          <w:marBottom w:val="0"/>
          <w:divBdr>
            <w:top w:val="none" w:sz="0" w:space="0" w:color="auto"/>
            <w:left w:val="none" w:sz="0" w:space="0" w:color="auto"/>
            <w:bottom w:val="none" w:sz="0" w:space="0" w:color="auto"/>
            <w:right w:val="none" w:sz="0" w:space="0" w:color="auto"/>
          </w:divBdr>
        </w:div>
        <w:div w:id="1100175080">
          <w:marLeft w:val="0"/>
          <w:marRight w:val="0"/>
          <w:marTop w:val="0"/>
          <w:marBottom w:val="0"/>
          <w:divBdr>
            <w:top w:val="none" w:sz="0" w:space="0" w:color="auto"/>
            <w:left w:val="none" w:sz="0" w:space="0" w:color="auto"/>
            <w:bottom w:val="none" w:sz="0" w:space="0" w:color="auto"/>
            <w:right w:val="none" w:sz="0" w:space="0" w:color="auto"/>
          </w:divBdr>
        </w:div>
        <w:div w:id="636255238">
          <w:marLeft w:val="0"/>
          <w:marRight w:val="0"/>
          <w:marTop w:val="0"/>
          <w:marBottom w:val="0"/>
          <w:divBdr>
            <w:top w:val="none" w:sz="0" w:space="0" w:color="auto"/>
            <w:left w:val="none" w:sz="0" w:space="0" w:color="auto"/>
            <w:bottom w:val="none" w:sz="0" w:space="0" w:color="auto"/>
            <w:right w:val="none" w:sz="0" w:space="0" w:color="auto"/>
          </w:divBdr>
        </w:div>
        <w:div w:id="594288803">
          <w:marLeft w:val="0"/>
          <w:marRight w:val="0"/>
          <w:marTop w:val="0"/>
          <w:marBottom w:val="0"/>
          <w:divBdr>
            <w:top w:val="none" w:sz="0" w:space="0" w:color="auto"/>
            <w:left w:val="none" w:sz="0" w:space="0" w:color="auto"/>
            <w:bottom w:val="none" w:sz="0" w:space="0" w:color="auto"/>
            <w:right w:val="none" w:sz="0" w:space="0" w:color="auto"/>
          </w:divBdr>
        </w:div>
        <w:div w:id="561791828">
          <w:marLeft w:val="0"/>
          <w:marRight w:val="0"/>
          <w:marTop w:val="0"/>
          <w:marBottom w:val="0"/>
          <w:divBdr>
            <w:top w:val="none" w:sz="0" w:space="0" w:color="auto"/>
            <w:left w:val="none" w:sz="0" w:space="0" w:color="auto"/>
            <w:bottom w:val="none" w:sz="0" w:space="0" w:color="auto"/>
            <w:right w:val="none" w:sz="0" w:space="0" w:color="auto"/>
          </w:divBdr>
        </w:div>
        <w:div w:id="185943018">
          <w:marLeft w:val="0"/>
          <w:marRight w:val="0"/>
          <w:marTop w:val="0"/>
          <w:marBottom w:val="0"/>
          <w:divBdr>
            <w:top w:val="none" w:sz="0" w:space="0" w:color="auto"/>
            <w:left w:val="none" w:sz="0" w:space="0" w:color="auto"/>
            <w:bottom w:val="none" w:sz="0" w:space="0" w:color="auto"/>
            <w:right w:val="none" w:sz="0" w:space="0" w:color="auto"/>
          </w:divBdr>
        </w:div>
        <w:div w:id="2042003101">
          <w:marLeft w:val="0"/>
          <w:marRight w:val="0"/>
          <w:marTop w:val="0"/>
          <w:marBottom w:val="0"/>
          <w:divBdr>
            <w:top w:val="none" w:sz="0" w:space="0" w:color="auto"/>
            <w:left w:val="none" w:sz="0" w:space="0" w:color="auto"/>
            <w:bottom w:val="none" w:sz="0" w:space="0" w:color="auto"/>
            <w:right w:val="none" w:sz="0" w:space="0" w:color="auto"/>
          </w:divBdr>
        </w:div>
        <w:div w:id="65341760">
          <w:marLeft w:val="0"/>
          <w:marRight w:val="0"/>
          <w:marTop w:val="0"/>
          <w:marBottom w:val="0"/>
          <w:divBdr>
            <w:top w:val="none" w:sz="0" w:space="0" w:color="auto"/>
            <w:left w:val="none" w:sz="0" w:space="0" w:color="auto"/>
            <w:bottom w:val="none" w:sz="0" w:space="0" w:color="auto"/>
            <w:right w:val="none" w:sz="0" w:space="0" w:color="auto"/>
          </w:divBdr>
        </w:div>
        <w:div w:id="1507401562">
          <w:marLeft w:val="0"/>
          <w:marRight w:val="0"/>
          <w:marTop w:val="0"/>
          <w:marBottom w:val="0"/>
          <w:divBdr>
            <w:top w:val="none" w:sz="0" w:space="0" w:color="auto"/>
            <w:left w:val="none" w:sz="0" w:space="0" w:color="auto"/>
            <w:bottom w:val="none" w:sz="0" w:space="0" w:color="auto"/>
            <w:right w:val="none" w:sz="0" w:space="0" w:color="auto"/>
          </w:divBdr>
        </w:div>
        <w:div w:id="1575118494">
          <w:marLeft w:val="0"/>
          <w:marRight w:val="0"/>
          <w:marTop w:val="0"/>
          <w:marBottom w:val="0"/>
          <w:divBdr>
            <w:top w:val="none" w:sz="0" w:space="0" w:color="auto"/>
            <w:left w:val="none" w:sz="0" w:space="0" w:color="auto"/>
            <w:bottom w:val="none" w:sz="0" w:space="0" w:color="auto"/>
            <w:right w:val="none" w:sz="0" w:space="0" w:color="auto"/>
          </w:divBdr>
        </w:div>
        <w:div w:id="1529491008">
          <w:marLeft w:val="0"/>
          <w:marRight w:val="0"/>
          <w:marTop w:val="0"/>
          <w:marBottom w:val="0"/>
          <w:divBdr>
            <w:top w:val="none" w:sz="0" w:space="0" w:color="auto"/>
            <w:left w:val="none" w:sz="0" w:space="0" w:color="auto"/>
            <w:bottom w:val="none" w:sz="0" w:space="0" w:color="auto"/>
            <w:right w:val="none" w:sz="0" w:space="0" w:color="auto"/>
          </w:divBdr>
        </w:div>
        <w:div w:id="1524398606">
          <w:marLeft w:val="0"/>
          <w:marRight w:val="0"/>
          <w:marTop w:val="0"/>
          <w:marBottom w:val="0"/>
          <w:divBdr>
            <w:top w:val="none" w:sz="0" w:space="0" w:color="auto"/>
            <w:left w:val="none" w:sz="0" w:space="0" w:color="auto"/>
            <w:bottom w:val="none" w:sz="0" w:space="0" w:color="auto"/>
            <w:right w:val="none" w:sz="0" w:space="0" w:color="auto"/>
          </w:divBdr>
        </w:div>
        <w:div w:id="102655782">
          <w:marLeft w:val="0"/>
          <w:marRight w:val="0"/>
          <w:marTop w:val="0"/>
          <w:marBottom w:val="0"/>
          <w:divBdr>
            <w:top w:val="none" w:sz="0" w:space="0" w:color="auto"/>
            <w:left w:val="none" w:sz="0" w:space="0" w:color="auto"/>
            <w:bottom w:val="none" w:sz="0" w:space="0" w:color="auto"/>
            <w:right w:val="none" w:sz="0" w:space="0" w:color="auto"/>
          </w:divBdr>
        </w:div>
        <w:div w:id="1074861563">
          <w:marLeft w:val="0"/>
          <w:marRight w:val="0"/>
          <w:marTop w:val="0"/>
          <w:marBottom w:val="0"/>
          <w:divBdr>
            <w:top w:val="none" w:sz="0" w:space="0" w:color="auto"/>
            <w:left w:val="none" w:sz="0" w:space="0" w:color="auto"/>
            <w:bottom w:val="none" w:sz="0" w:space="0" w:color="auto"/>
            <w:right w:val="none" w:sz="0" w:space="0" w:color="auto"/>
          </w:divBdr>
        </w:div>
        <w:div w:id="1234660404">
          <w:marLeft w:val="0"/>
          <w:marRight w:val="0"/>
          <w:marTop w:val="0"/>
          <w:marBottom w:val="0"/>
          <w:divBdr>
            <w:top w:val="none" w:sz="0" w:space="0" w:color="auto"/>
            <w:left w:val="none" w:sz="0" w:space="0" w:color="auto"/>
            <w:bottom w:val="none" w:sz="0" w:space="0" w:color="auto"/>
            <w:right w:val="none" w:sz="0" w:space="0" w:color="auto"/>
          </w:divBdr>
        </w:div>
        <w:div w:id="666708178">
          <w:marLeft w:val="0"/>
          <w:marRight w:val="0"/>
          <w:marTop w:val="0"/>
          <w:marBottom w:val="0"/>
          <w:divBdr>
            <w:top w:val="none" w:sz="0" w:space="0" w:color="auto"/>
            <w:left w:val="none" w:sz="0" w:space="0" w:color="auto"/>
            <w:bottom w:val="none" w:sz="0" w:space="0" w:color="auto"/>
            <w:right w:val="none" w:sz="0" w:space="0" w:color="auto"/>
          </w:divBdr>
        </w:div>
      </w:divsChild>
    </w:div>
    <w:div w:id="511918364">
      <w:marLeft w:val="0"/>
      <w:marRight w:val="0"/>
      <w:marTop w:val="180"/>
      <w:marBottom w:val="0"/>
      <w:divBdr>
        <w:top w:val="none" w:sz="0" w:space="0" w:color="auto"/>
        <w:left w:val="none" w:sz="0" w:space="0" w:color="auto"/>
        <w:bottom w:val="none" w:sz="0" w:space="0" w:color="auto"/>
        <w:right w:val="none" w:sz="0" w:space="0" w:color="auto"/>
      </w:divBdr>
    </w:div>
    <w:div w:id="512036203">
      <w:marLeft w:val="0"/>
      <w:marRight w:val="0"/>
      <w:marTop w:val="0"/>
      <w:marBottom w:val="0"/>
      <w:divBdr>
        <w:top w:val="none" w:sz="0" w:space="0" w:color="auto"/>
        <w:left w:val="none" w:sz="0" w:space="0" w:color="auto"/>
        <w:bottom w:val="none" w:sz="0" w:space="0" w:color="auto"/>
        <w:right w:val="none" w:sz="0" w:space="0" w:color="auto"/>
      </w:divBdr>
      <w:divsChild>
        <w:div w:id="1656372679">
          <w:marLeft w:val="0"/>
          <w:marRight w:val="0"/>
          <w:marTop w:val="180"/>
          <w:marBottom w:val="0"/>
          <w:divBdr>
            <w:top w:val="none" w:sz="0" w:space="0" w:color="auto"/>
            <w:left w:val="none" w:sz="0" w:space="0" w:color="auto"/>
            <w:bottom w:val="none" w:sz="0" w:space="0" w:color="auto"/>
            <w:right w:val="none" w:sz="0" w:space="0" w:color="auto"/>
          </w:divBdr>
        </w:div>
      </w:divsChild>
    </w:div>
    <w:div w:id="512495913">
      <w:marLeft w:val="0"/>
      <w:marRight w:val="0"/>
      <w:marTop w:val="240"/>
      <w:marBottom w:val="0"/>
      <w:divBdr>
        <w:top w:val="none" w:sz="0" w:space="0" w:color="auto"/>
        <w:left w:val="none" w:sz="0" w:space="0" w:color="auto"/>
        <w:bottom w:val="none" w:sz="0" w:space="0" w:color="auto"/>
        <w:right w:val="none" w:sz="0" w:space="0" w:color="auto"/>
      </w:divBdr>
    </w:div>
    <w:div w:id="513156148">
      <w:marLeft w:val="0"/>
      <w:marRight w:val="0"/>
      <w:marTop w:val="120"/>
      <w:marBottom w:val="0"/>
      <w:divBdr>
        <w:top w:val="none" w:sz="0" w:space="0" w:color="auto"/>
        <w:left w:val="none" w:sz="0" w:space="0" w:color="auto"/>
        <w:bottom w:val="none" w:sz="0" w:space="0" w:color="auto"/>
        <w:right w:val="none" w:sz="0" w:space="0" w:color="auto"/>
      </w:divBdr>
    </w:div>
    <w:div w:id="513881529">
      <w:marLeft w:val="0"/>
      <w:marRight w:val="0"/>
      <w:marTop w:val="180"/>
      <w:marBottom w:val="0"/>
      <w:divBdr>
        <w:top w:val="none" w:sz="0" w:space="0" w:color="auto"/>
        <w:left w:val="none" w:sz="0" w:space="0" w:color="auto"/>
        <w:bottom w:val="none" w:sz="0" w:space="0" w:color="auto"/>
        <w:right w:val="none" w:sz="0" w:space="0" w:color="auto"/>
      </w:divBdr>
    </w:div>
    <w:div w:id="515770533">
      <w:marLeft w:val="0"/>
      <w:marRight w:val="0"/>
      <w:marTop w:val="180"/>
      <w:marBottom w:val="120"/>
      <w:divBdr>
        <w:top w:val="none" w:sz="0" w:space="0" w:color="auto"/>
        <w:left w:val="none" w:sz="0" w:space="0" w:color="auto"/>
        <w:bottom w:val="none" w:sz="0" w:space="0" w:color="auto"/>
        <w:right w:val="none" w:sz="0" w:space="0" w:color="auto"/>
      </w:divBdr>
    </w:div>
    <w:div w:id="520437073">
      <w:marLeft w:val="0"/>
      <w:marRight w:val="0"/>
      <w:marTop w:val="180"/>
      <w:marBottom w:val="0"/>
      <w:divBdr>
        <w:top w:val="none" w:sz="0" w:space="0" w:color="auto"/>
        <w:left w:val="none" w:sz="0" w:space="0" w:color="auto"/>
        <w:bottom w:val="none" w:sz="0" w:space="0" w:color="auto"/>
        <w:right w:val="none" w:sz="0" w:space="0" w:color="auto"/>
      </w:divBdr>
    </w:div>
    <w:div w:id="520781148">
      <w:marLeft w:val="0"/>
      <w:marRight w:val="0"/>
      <w:marTop w:val="240"/>
      <w:marBottom w:val="180"/>
      <w:divBdr>
        <w:top w:val="none" w:sz="0" w:space="0" w:color="auto"/>
        <w:left w:val="none" w:sz="0" w:space="0" w:color="auto"/>
        <w:bottom w:val="none" w:sz="0" w:space="0" w:color="auto"/>
        <w:right w:val="none" w:sz="0" w:space="0" w:color="auto"/>
      </w:divBdr>
    </w:div>
    <w:div w:id="526799888">
      <w:marLeft w:val="0"/>
      <w:marRight w:val="0"/>
      <w:marTop w:val="240"/>
      <w:marBottom w:val="0"/>
      <w:divBdr>
        <w:top w:val="none" w:sz="0" w:space="0" w:color="auto"/>
        <w:left w:val="none" w:sz="0" w:space="0" w:color="auto"/>
        <w:bottom w:val="none" w:sz="0" w:space="0" w:color="auto"/>
        <w:right w:val="none" w:sz="0" w:space="0" w:color="auto"/>
      </w:divBdr>
    </w:div>
    <w:div w:id="527067641">
      <w:marLeft w:val="0"/>
      <w:marRight w:val="0"/>
      <w:marTop w:val="180"/>
      <w:marBottom w:val="0"/>
      <w:divBdr>
        <w:top w:val="none" w:sz="0" w:space="0" w:color="auto"/>
        <w:left w:val="none" w:sz="0" w:space="0" w:color="auto"/>
        <w:bottom w:val="none" w:sz="0" w:space="0" w:color="auto"/>
        <w:right w:val="none" w:sz="0" w:space="0" w:color="auto"/>
      </w:divBdr>
    </w:div>
    <w:div w:id="528568314">
      <w:marLeft w:val="0"/>
      <w:marRight w:val="0"/>
      <w:marTop w:val="180"/>
      <w:marBottom w:val="0"/>
      <w:divBdr>
        <w:top w:val="none" w:sz="0" w:space="0" w:color="auto"/>
        <w:left w:val="none" w:sz="0" w:space="0" w:color="auto"/>
        <w:bottom w:val="none" w:sz="0" w:space="0" w:color="auto"/>
        <w:right w:val="none" w:sz="0" w:space="0" w:color="auto"/>
      </w:divBdr>
    </w:div>
    <w:div w:id="528835523">
      <w:marLeft w:val="0"/>
      <w:marRight w:val="0"/>
      <w:marTop w:val="0"/>
      <w:marBottom w:val="0"/>
      <w:divBdr>
        <w:top w:val="none" w:sz="0" w:space="0" w:color="auto"/>
        <w:left w:val="none" w:sz="0" w:space="0" w:color="auto"/>
        <w:bottom w:val="none" w:sz="0" w:space="0" w:color="auto"/>
        <w:right w:val="none" w:sz="0" w:space="0" w:color="auto"/>
      </w:divBdr>
      <w:divsChild>
        <w:div w:id="504786859">
          <w:marLeft w:val="0"/>
          <w:marRight w:val="0"/>
          <w:marTop w:val="0"/>
          <w:marBottom w:val="0"/>
          <w:divBdr>
            <w:top w:val="none" w:sz="0" w:space="0" w:color="auto"/>
            <w:left w:val="none" w:sz="0" w:space="0" w:color="auto"/>
            <w:bottom w:val="none" w:sz="0" w:space="0" w:color="auto"/>
            <w:right w:val="none" w:sz="0" w:space="0" w:color="auto"/>
          </w:divBdr>
        </w:div>
      </w:divsChild>
    </w:div>
    <w:div w:id="531043071">
      <w:marLeft w:val="0"/>
      <w:marRight w:val="0"/>
      <w:marTop w:val="180"/>
      <w:marBottom w:val="0"/>
      <w:divBdr>
        <w:top w:val="none" w:sz="0" w:space="0" w:color="auto"/>
        <w:left w:val="none" w:sz="0" w:space="0" w:color="auto"/>
        <w:bottom w:val="none" w:sz="0" w:space="0" w:color="auto"/>
        <w:right w:val="none" w:sz="0" w:space="0" w:color="auto"/>
      </w:divBdr>
    </w:div>
    <w:div w:id="531111845">
      <w:marLeft w:val="0"/>
      <w:marRight w:val="0"/>
      <w:marTop w:val="180"/>
      <w:marBottom w:val="0"/>
      <w:divBdr>
        <w:top w:val="none" w:sz="0" w:space="0" w:color="auto"/>
        <w:left w:val="none" w:sz="0" w:space="0" w:color="auto"/>
        <w:bottom w:val="none" w:sz="0" w:space="0" w:color="auto"/>
        <w:right w:val="none" w:sz="0" w:space="0" w:color="auto"/>
      </w:divBdr>
    </w:div>
    <w:div w:id="533614639">
      <w:marLeft w:val="0"/>
      <w:marRight w:val="0"/>
      <w:marTop w:val="180"/>
      <w:marBottom w:val="0"/>
      <w:divBdr>
        <w:top w:val="none" w:sz="0" w:space="0" w:color="auto"/>
        <w:left w:val="none" w:sz="0" w:space="0" w:color="auto"/>
        <w:bottom w:val="none" w:sz="0" w:space="0" w:color="auto"/>
        <w:right w:val="none" w:sz="0" w:space="0" w:color="auto"/>
      </w:divBdr>
    </w:div>
    <w:div w:id="537203348">
      <w:marLeft w:val="0"/>
      <w:marRight w:val="0"/>
      <w:marTop w:val="180"/>
      <w:marBottom w:val="0"/>
      <w:divBdr>
        <w:top w:val="none" w:sz="0" w:space="0" w:color="auto"/>
        <w:left w:val="none" w:sz="0" w:space="0" w:color="auto"/>
        <w:bottom w:val="none" w:sz="0" w:space="0" w:color="auto"/>
        <w:right w:val="none" w:sz="0" w:space="0" w:color="auto"/>
      </w:divBdr>
    </w:div>
    <w:div w:id="537939139">
      <w:marLeft w:val="0"/>
      <w:marRight w:val="0"/>
      <w:marTop w:val="180"/>
      <w:marBottom w:val="120"/>
      <w:divBdr>
        <w:top w:val="none" w:sz="0" w:space="0" w:color="auto"/>
        <w:left w:val="none" w:sz="0" w:space="0" w:color="auto"/>
        <w:bottom w:val="none" w:sz="0" w:space="0" w:color="auto"/>
        <w:right w:val="none" w:sz="0" w:space="0" w:color="auto"/>
      </w:divBdr>
    </w:div>
    <w:div w:id="543829115">
      <w:marLeft w:val="0"/>
      <w:marRight w:val="0"/>
      <w:marTop w:val="120"/>
      <w:marBottom w:val="60"/>
      <w:divBdr>
        <w:top w:val="none" w:sz="0" w:space="0" w:color="auto"/>
        <w:left w:val="none" w:sz="0" w:space="0" w:color="auto"/>
        <w:bottom w:val="none" w:sz="0" w:space="0" w:color="auto"/>
        <w:right w:val="none" w:sz="0" w:space="0" w:color="auto"/>
      </w:divBdr>
    </w:div>
    <w:div w:id="544758346">
      <w:marLeft w:val="0"/>
      <w:marRight w:val="0"/>
      <w:marTop w:val="0"/>
      <w:marBottom w:val="0"/>
      <w:divBdr>
        <w:top w:val="none" w:sz="0" w:space="0" w:color="auto"/>
        <w:left w:val="none" w:sz="0" w:space="0" w:color="auto"/>
        <w:bottom w:val="none" w:sz="0" w:space="0" w:color="auto"/>
        <w:right w:val="none" w:sz="0" w:space="0" w:color="auto"/>
      </w:divBdr>
      <w:divsChild>
        <w:div w:id="344869577">
          <w:marLeft w:val="0"/>
          <w:marRight w:val="0"/>
          <w:marTop w:val="0"/>
          <w:marBottom w:val="0"/>
          <w:divBdr>
            <w:top w:val="none" w:sz="0" w:space="0" w:color="auto"/>
            <w:left w:val="none" w:sz="0" w:space="0" w:color="auto"/>
            <w:bottom w:val="none" w:sz="0" w:space="0" w:color="auto"/>
            <w:right w:val="none" w:sz="0" w:space="0" w:color="auto"/>
          </w:divBdr>
          <w:divsChild>
            <w:div w:id="15168467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46188620">
      <w:marLeft w:val="0"/>
      <w:marRight w:val="0"/>
      <w:marTop w:val="180"/>
      <w:marBottom w:val="0"/>
      <w:divBdr>
        <w:top w:val="none" w:sz="0" w:space="0" w:color="auto"/>
        <w:left w:val="none" w:sz="0" w:space="0" w:color="auto"/>
        <w:bottom w:val="none" w:sz="0" w:space="0" w:color="auto"/>
        <w:right w:val="none" w:sz="0" w:space="0" w:color="auto"/>
      </w:divBdr>
    </w:div>
    <w:div w:id="546339515">
      <w:marLeft w:val="0"/>
      <w:marRight w:val="0"/>
      <w:marTop w:val="180"/>
      <w:marBottom w:val="0"/>
      <w:divBdr>
        <w:top w:val="none" w:sz="0" w:space="0" w:color="auto"/>
        <w:left w:val="none" w:sz="0" w:space="0" w:color="auto"/>
        <w:bottom w:val="none" w:sz="0" w:space="0" w:color="auto"/>
        <w:right w:val="none" w:sz="0" w:space="0" w:color="auto"/>
      </w:divBdr>
    </w:div>
    <w:div w:id="546916424">
      <w:marLeft w:val="0"/>
      <w:marRight w:val="0"/>
      <w:marTop w:val="180"/>
      <w:marBottom w:val="0"/>
      <w:divBdr>
        <w:top w:val="none" w:sz="0" w:space="0" w:color="auto"/>
        <w:left w:val="none" w:sz="0" w:space="0" w:color="auto"/>
        <w:bottom w:val="none" w:sz="0" w:space="0" w:color="auto"/>
        <w:right w:val="none" w:sz="0" w:space="0" w:color="auto"/>
      </w:divBdr>
    </w:div>
    <w:div w:id="551386653">
      <w:marLeft w:val="0"/>
      <w:marRight w:val="0"/>
      <w:marTop w:val="180"/>
      <w:marBottom w:val="120"/>
      <w:divBdr>
        <w:top w:val="none" w:sz="0" w:space="0" w:color="auto"/>
        <w:left w:val="none" w:sz="0" w:space="0" w:color="auto"/>
        <w:bottom w:val="none" w:sz="0" w:space="0" w:color="auto"/>
        <w:right w:val="none" w:sz="0" w:space="0" w:color="auto"/>
      </w:divBdr>
    </w:div>
    <w:div w:id="553661911">
      <w:marLeft w:val="0"/>
      <w:marRight w:val="0"/>
      <w:marTop w:val="180"/>
      <w:marBottom w:val="0"/>
      <w:divBdr>
        <w:top w:val="none" w:sz="0" w:space="0" w:color="auto"/>
        <w:left w:val="none" w:sz="0" w:space="0" w:color="auto"/>
        <w:bottom w:val="none" w:sz="0" w:space="0" w:color="auto"/>
        <w:right w:val="none" w:sz="0" w:space="0" w:color="auto"/>
      </w:divBdr>
    </w:div>
    <w:div w:id="553784555">
      <w:marLeft w:val="0"/>
      <w:marRight w:val="0"/>
      <w:marTop w:val="0"/>
      <w:marBottom w:val="200"/>
      <w:divBdr>
        <w:top w:val="none" w:sz="0" w:space="0" w:color="auto"/>
        <w:left w:val="none" w:sz="0" w:space="0" w:color="auto"/>
        <w:bottom w:val="none" w:sz="0" w:space="0" w:color="auto"/>
        <w:right w:val="none" w:sz="0" w:space="0" w:color="auto"/>
      </w:divBdr>
    </w:div>
    <w:div w:id="554238328">
      <w:marLeft w:val="0"/>
      <w:marRight w:val="0"/>
      <w:marTop w:val="180"/>
      <w:marBottom w:val="0"/>
      <w:divBdr>
        <w:top w:val="none" w:sz="0" w:space="0" w:color="auto"/>
        <w:left w:val="none" w:sz="0" w:space="0" w:color="auto"/>
        <w:bottom w:val="none" w:sz="0" w:space="0" w:color="auto"/>
        <w:right w:val="none" w:sz="0" w:space="0" w:color="auto"/>
      </w:divBdr>
    </w:div>
    <w:div w:id="555630614">
      <w:marLeft w:val="0"/>
      <w:marRight w:val="0"/>
      <w:marTop w:val="180"/>
      <w:marBottom w:val="0"/>
      <w:divBdr>
        <w:top w:val="none" w:sz="0" w:space="0" w:color="auto"/>
        <w:left w:val="none" w:sz="0" w:space="0" w:color="auto"/>
        <w:bottom w:val="none" w:sz="0" w:space="0" w:color="auto"/>
        <w:right w:val="none" w:sz="0" w:space="0" w:color="auto"/>
      </w:divBdr>
    </w:div>
    <w:div w:id="557209599">
      <w:marLeft w:val="0"/>
      <w:marRight w:val="0"/>
      <w:marTop w:val="180"/>
      <w:marBottom w:val="0"/>
      <w:divBdr>
        <w:top w:val="none" w:sz="0" w:space="0" w:color="auto"/>
        <w:left w:val="none" w:sz="0" w:space="0" w:color="auto"/>
        <w:bottom w:val="none" w:sz="0" w:space="0" w:color="auto"/>
        <w:right w:val="none" w:sz="0" w:space="0" w:color="auto"/>
      </w:divBdr>
    </w:div>
    <w:div w:id="557399149">
      <w:marLeft w:val="0"/>
      <w:marRight w:val="0"/>
      <w:marTop w:val="120"/>
      <w:marBottom w:val="0"/>
      <w:divBdr>
        <w:top w:val="none" w:sz="0" w:space="0" w:color="auto"/>
        <w:left w:val="none" w:sz="0" w:space="0" w:color="auto"/>
        <w:bottom w:val="none" w:sz="0" w:space="0" w:color="auto"/>
        <w:right w:val="none" w:sz="0" w:space="0" w:color="auto"/>
      </w:divBdr>
    </w:div>
    <w:div w:id="558053732">
      <w:marLeft w:val="0"/>
      <w:marRight w:val="0"/>
      <w:marTop w:val="180"/>
      <w:marBottom w:val="0"/>
      <w:divBdr>
        <w:top w:val="none" w:sz="0" w:space="0" w:color="auto"/>
        <w:left w:val="none" w:sz="0" w:space="0" w:color="auto"/>
        <w:bottom w:val="none" w:sz="0" w:space="0" w:color="auto"/>
        <w:right w:val="none" w:sz="0" w:space="0" w:color="auto"/>
      </w:divBdr>
    </w:div>
    <w:div w:id="559436612">
      <w:marLeft w:val="0"/>
      <w:marRight w:val="0"/>
      <w:marTop w:val="180"/>
      <w:marBottom w:val="0"/>
      <w:divBdr>
        <w:top w:val="none" w:sz="0" w:space="0" w:color="auto"/>
        <w:left w:val="none" w:sz="0" w:space="0" w:color="auto"/>
        <w:bottom w:val="none" w:sz="0" w:space="0" w:color="auto"/>
        <w:right w:val="none" w:sz="0" w:space="0" w:color="auto"/>
      </w:divBdr>
    </w:div>
    <w:div w:id="560095046">
      <w:marLeft w:val="0"/>
      <w:marRight w:val="0"/>
      <w:marTop w:val="0"/>
      <w:marBottom w:val="0"/>
      <w:divBdr>
        <w:top w:val="none" w:sz="0" w:space="0" w:color="auto"/>
        <w:left w:val="none" w:sz="0" w:space="0" w:color="auto"/>
        <w:bottom w:val="none" w:sz="0" w:space="0" w:color="auto"/>
        <w:right w:val="none" w:sz="0" w:space="0" w:color="auto"/>
      </w:divBdr>
      <w:divsChild>
        <w:div w:id="703096977">
          <w:marLeft w:val="0"/>
          <w:marRight w:val="0"/>
          <w:marTop w:val="0"/>
          <w:marBottom w:val="0"/>
          <w:divBdr>
            <w:top w:val="none" w:sz="0" w:space="0" w:color="auto"/>
            <w:left w:val="none" w:sz="0" w:space="0" w:color="auto"/>
            <w:bottom w:val="none" w:sz="0" w:space="0" w:color="auto"/>
            <w:right w:val="none" w:sz="0" w:space="0" w:color="auto"/>
          </w:divBdr>
          <w:divsChild>
            <w:div w:id="1048167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60553636">
      <w:marLeft w:val="0"/>
      <w:marRight w:val="0"/>
      <w:marTop w:val="180"/>
      <w:marBottom w:val="0"/>
      <w:divBdr>
        <w:top w:val="none" w:sz="0" w:space="0" w:color="auto"/>
        <w:left w:val="none" w:sz="0" w:space="0" w:color="auto"/>
        <w:bottom w:val="none" w:sz="0" w:space="0" w:color="auto"/>
        <w:right w:val="none" w:sz="0" w:space="0" w:color="auto"/>
      </w:divBdr>
    </w:div>
    <w:div w:id="568272900">
      <w:marLeft w:val="0"/>
      <w:marRight w:val="0"/>
      <w:marTop w:val="240"/>
      <w:marBottom w:val="0"/>
      <w:divBdr>
        <w:top w:val="none" w:sz="0" w:space="0" w:color="auto"/>
        <w:left w:val="none" w:sz="0" w:space="0" w:color="auto"/>
        <w:bottom w:val="none" w:sz="0" w:space="0" w:color="auto"/>
        <w:right w:val="none" w:sz="0" w:space="0" w:color="auto"/>
      </w:divBdr>
    </w:div>
    <w:div w:id="572812208">
      <w:marLeft w:val="0"/>
      <w:marRight w:val="0"/>
      <w:marTop w:val="0"/>
      <w:marBottom w:val="120"/>
      <w:divBdr>
        <w:top w:val="none" w:sz="0" w:space="0" w:color="auto"/>
        <w:left w:val="none" w:sz="0" w:space="0" w:color="auto"/>
        <w:bottom w:val="none" w:sz="0" w:space="0" w:color="auto"/>
        <w:right w:val="none" w:sz="0" w:space="0" w:color="auto"/>
      </w:divBdr>
    </w:div>
    <w:div w:id="574123156">
      <w:marLeft w:val="0"/>
      <w:marRight w:val="0"/>
      <w:marTop w:val="180"/>
      <w:marBottom w:val="0"/>
      <w:divBdr>
        <w:top w:val="none" w:sz="0" w:space="0" w:color="auto"/>
        <w:left w:val="none" w:sz="0" w:space="0" w:color="auto"/>
        <w:bottom w:val="none" w:sz="0" w:space="0" w:color="auto"/>
        <w:right w:val="none" w:sz="0" w:space="0" w:color="auto"/>
      </w:divBdr>
    </w:div>
    <w:div w:id="582646488">
      <w:marLeft w:val="0"/>
      <w:marRight w:val="0"/>
      <w:marTop w:val="180"/>
      <w:marBottom w:val="0"/>
      <w:divBdr>
        <w:top w:val="none" w:sz="0" w:space="0" w:color="auto"/>
        <w:left w:val="none" w:sz="0" w:space="0" w:color="auto"/>
        <w:bottom w:val="none" w:sz="0" w:space="0" w:color="auto"/>
        <w:right w:val="none" w:sz="0" w:space="0" w:color="auto"/>
      </w:divBdr>
    </w:div>
    <w:div w:id="587347473">
      <w:marLeft w:val="0"/>
      <w:marRight w:val="0"/>
      <w:marTop w:val="0"/>
      <w:marBottom w:val="0"/>
      <w:divBdr>
        <w:top w:val="none" w:sz="0" w:space="0" w:color="auto"/>
        <w:left w:val="none" w:sz="0" w:space="0" w:color="auto"/>
        <w:bottom w:val="none" w:sz="0" w:space="0" w:color="auto"/>
        <w:right w:val="none" w:sz="0" w:space="0" w:color="auto"/>
      </w:divBdr>
      <w:divsChild>
        <w:div w:id="680591744">
          <w:marLeft w:val="0"/>
          <w:marRight w:val="0"/>
          <w:marTop w:val="180"/>
          <w:marBottom w:val="0"/>
          <w:divBdr>
            <w:top w:val="none" w:sz="0" w:space="0" w:color="auto"/>
            <w:left w:val="none" w:sz="0" w:space="0" w:color="auto"/>
            <w:bottom w:val="none" w:sz="0" w:space="0" w:color="auto"/>
            <w:right w:val="none" w:sz="0" w:space="0" w:color="auto"/>
          </w:divBdr>
        </w:div>
      </w:divsChild>
    </w:div>
    <w:div w:id="589659983">
      <w:marLeft w:val="0"/>
      <w:marRight w:val="0"/>
      <w:marTop w:val="180"/>
      <w:marBottom w:val="0"/>
      <w:divBdr>
        <w:top w:val="none" w:sz="0" w:space="0" w:color="auto"/>
        <w:left w:val="none" w:sz="0" w:space="0" w:color="auto"/>
        <w:bottom w:val="none" w:sz="0" w:space="0" w:color="auto"/>
        <w:right w:val="none" w:sz="0" w:space="0" w:color="auto"/>
      </w:divBdr>
    </w:div>
    <w:div w:id="590162563">
      <w:marLeft w:val="0"/>
      <w:marRight w:val="0"/>
      <w:marTop w:val="180"/>
      <w:marBottom w:val="12"/>
      <w:divBdr>
        <w:top w:val="none" w:sz="0" w:space="0" w:color="auto"/>
        <w:left w:val="none" w:sz="0" w:space="0" w:color="auto"/>
        <w:bottom w:val="none" w:sz="0" w:space="0" w:color="auto"/>
        <w:right w:val="none" w:sz="0" w:space="0" w:color="auto"/>
      </w:divBdr>
    </w:div>
    <w:div w:id="592863847">
      <w:marLeft w:val="0"/>
      <w:marRight w:val="0"/>
      <w:marTop w:val="0"/>
      <w:marBottom w:val="0"/>
      <w:divBdr>
        <w:top w:val="none" w:sz="0" w:space="0" w:color="auto"/>
        <w:left w:val="none" w:sz="0" w:space="0" w:color="auto"/>
        <w:bottom w:val="none" w:sz="0" w:space="0" w:color="auto"/>
        <w:right w:val="none" w:sz="0" w:space="0" w:color="auto"/>
      </w:divBdr>
      <w:divsChild>
        <w:div w:id="1463621504">
          <w:marLeft w:val="0"/>
          <w:marRight w:val="0"/>
          <w:marTop w:val="180"/>
          <w:marBottom w:val="0"/>
          <w:divBdr>
            <w:top w:val="none" w:sz="0" w:space="0" w:color="auto"/>
            <w:left w:val="none" w:sz="0" w:space="0" w:color="auto"/>
            <w:bottom w:val="none" w:sz="0" w:space="0" w:color="auto"/>
            <w:right w:val="none" w:sz="0" w:space="0" w:color="auto"/>
          </w:divBdr>
        </w:div>
      </w:divsChild>
    </w:div>
    <w:div w:id="593440184">
      <w:marLeft w:val="0"/>
      <w:marRight w:val="0"/>
      <w:marTop w:val="240"/>
      <w:marBottom w:val="0"/>
      <w:divBdr>
        <w:top w:val="none" w:sz="0" w:space="0" w:color="auto"/>
        <w:left w:val="none" w:sz="0" w:space="0" w:color="auto"/>
        <w:bottom w:val="none" w:sz="0" w:space="0" w:color="auto"/>
        <w:right w:val="none" w:sz="0" w:space="0" w:color="auto"/>
      </w:divBdr>
    </w:div>
    <w:div w:id="593440838">
      <w:marLeft w:val="0"/>
      <w:marRight w:val="0"/>
      <w:marTop w:val="180"/>
      <w:marBottom w:val="180"/>
      <w:divBdr>
        <w:top w:val="none" w:sz="0" w:space="0" w:color="auto"/>
        <w:left w:val="none" w:sz="0" w:space="0" w:color="auto"/>
        <w:bottom w:val="none" w:sz="0" w:space="0" w:color="auto"/>
        <w:right w:val="none" w:sz="0" w:space="0" w:color="auto"/>
      </w:divBdr>
    </w:div>
    <w:div w:id="593589651">
      <w:marLeft w:val="0"/>
      <w:marRight w:val="0"/>
      <w:marTop w:val="0"/>
      <w:marBottom w:val="200"/>
      <w:divBdr>
        <w:top w:val="none" w:sz="0" w:space="0" w:color="auto"/>
        <w:left w:val="none" w:sz="0" w:space="0" w:color="auto"/>
        <w:bottom w:val="none" w:sz="0" w:space="0" w:color="auto"/>
        <w:right w:val="none" w:sz="0" w:space="0" w:color="auto"/>
      </w:divBdr>
    </w:div>
    <w:div w:id="594556774">
      <w:marLeft w:val="0"/>
      <w:marRight w:val="0"/>
      <w:marTop w:val="180"/>
      <w:marBottom w:val="0"/>
      <w:divBdr>
        <w:top w:val="none" w:sz="0" w:space="0" w:color="auto"/>
        <w:left w:val="none" w:sz="0" w:space="0" w:color="auto"/>
        <w:bottom w:val="none" w:sz="0" w:space="0" w:color="auto"/>
        <w:right w:val="none" w:sz="0" w:space="0" w:color="auto"/>
      </w:divBdr>
    </w:div>
    <w:div w:id="596212909">
      <w:marLeft w:val="0"/>
      <w:marRight w:val="0"/>
      <w:marTop w:val="180"/>
      <w:marBottom w:val="0"/>
      <w:divBdr>
        <w:top w:val="none" w:sz="0" w:space="0" w:color="auto"/>
        <w:left w:val="none" w:sz="0" w:space="0" w:color="auto"/>
        <w:bottom w:val="none" w:sz="0" w:space="0" w:color="auto"/>
        <w:right w:val="none" w:sz="0" w:space="0" w:color="auto"/>
      </w:divBdr>
    </w:div>
    <w:div w:id="596982785">
      <w:marLeft w:val="0"/>
      <w:marRight w:val="0"/>
      <w:marTop w:val="0"/>
      <w:marBottom w:val="0"/>
      <w:divBdr>
        <w:top w:val="none" w:sz="0" w:space="0" w:color="auto"/>
        <w:left w:val="none" w:sz="0" w:space="0" w:color="auto"/>
        <w:bottom w:val="none" w:sz="0" w:space="0" w:color="auto"/>
        <w:right w:val="none" w:sz="0" w:space="0" w:color="auto"/>
      </w:divBdr>
      <w:divsChild>
        <w:div w:id="354691543">
          <w:marLeft w:val="0"/>
          <w:marRight w:val="0"/>
          <w:marTop w:val="0"/>
          <w:marBottom w:val="0"/>
          <w:divBdr>
            <w:top w:val="none" w:sz="0" w:space="0" w:color="auto"/>
            <w:left w:val="none" w:sz="0" w:space="0" w:color="auto"/>
            <w:bottom w:val="none" w:sz="0" w:space="0" w:color="auto"/>
            <w:right w:val="none" w:sz="0" w:space="0" w:color="auto"/>
          </w:divBdr>
          <w:divsChild>
            <w:div w:id="3484860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98106753">
      <w:marLeft w:val="0"/>
      <w:marRight w:val="0"/>
      <w:marTop w:val="180"/>
      <w:marBottom w:val="0"/>
      <w:divBdr>
        <w:top w:val="none" w:sz="0" w:space="0" w:color="auto"/>
        <w:left w:val="none" w:sz="0" w:space="0" w:color="auto"/>
        <w:bottom w:val="none" w:sz="0" w:space="0" w:color="auto"/>
        <w:right w:val="none" w:sz="0" w:space="0" w:color="auto"/>
      </w:divBdr>
    </w:div>
    <w:div w:id="599291891">
      <w:marLeft w:val="0"/>
      <w:marRight w:val="0"/>
      <w:marTop w:val="180"/>
      <w:marBottom w:val="120"/>
      <w:divBdr>
        <w:top w:val="none" w:sz="0" w:space="0" w:color="auto"/>
        <w:left w:val="none" w:sz="0" w:space="0" w:color="auto"/>
        <w:bottom w:val="none" w:sz="0" w:space="0" w:color="auto"/>
        <w:right w:val="none" w:sz="0" w:space="0" w:color="auto"/>
      </w:divBdr>
      <w:divsChild>
        <w:div w:id="949551988">
          <w:marLeft w:val="0"/>
          <w:marRight w:val="0"/>
          <w:marTop w:val="0"/>
          <w:marBottom w:val="0"/>
          <w:divBdr>
            <w:top w:val="none" w:sz="0" w:space="0" w:color="auto"/>
            <w:left w:val="none" w:sz="0" w:space="0" w:color="auto"/>
            <w:bottom w:val="none" w:sz="0" w:space="0" w:color="auto"/>
            <w:right w:val="none" w:sz="0" w:space="0" w:color="auto"/>
          </w:divBdr>
        </w:div>
        <w:div w:id="275258885">
          <w:marLeft w:val="0"/>
          <w:marRight w:val="0"/>
          <w:marTop w:val="60"/>
          <w:marBottom w:val="0"/>
          <w:divBdr>
            <w:top w:val="none" w:sz="0" w:space="0" w:color="auto"/>
            <w:left w:val="none" w:sz="0" w:space="0" w:color="auto"/>
            <w:bottom w:val="none" w:sz="0" w:space="0" w:color="auto"/>
            <w:right w:val="none" w:sz="0" w:space="0" w:color="auto"/>
          </w:divBdr>
        </w:div>
        <w:div w:id="1033001421">
          <w:marLeft w:val="0"/>
          <w:marRight w:val="0"/>
          <w:marTop w:val="60"/>
          <w:marBottom w:val="0"/>
          <w:divBdr>
            <w:top w:val="none" w:sz="0" w:space="0" w:color="auto"/>
            <w:left w:val="none" w:sz="0" w:space="0" w:color="auto"/>
            <w:bottom w:val="none" w:sz="0" w:space="0" w:color="auto"/>
            <w:right w:val="none" w:sz="0" w:space="0" w:color="auto"/>
          </w:divBdr>
        </w:div>
      </w:divsChild>
    </w:div>
    <w:div w:id="600603292">
      <w:marLeft w:val="0"/>
      <w:marRight w:val="0"/>
      <w:marTop w:val="180"/>
      <w:marBottom w:val="120"/>
      <w:divBdr>
        <w:top w:val="none" w:sz="0" w:space="0" w:color="auto"/>
        <w:left w:val="none" w:sz="0" w:space="0" w:color="auto"/>
        <w:bottom w:val="none" w:sz="0" w:space="0" w:color="auto"/>
        <w:right w:val="none" w:sz="0" w:space="0" w:color="auto"/>
      </w:divBdr>
    </w:div>
    <w:div w:id="600994089">
      <w:marLeft w:val="0"/>
      <w:marRight w:val="0"/>
      <w:marTop w:val="180"/>
      <w:marBottom w:val="0"/>
      <w:divBdr>
        <w:top w:val="none" w:sz="0" w:space="0" w:color="auto"/>
        <w:left w:val="none" w:sz="0" w:space="0" w:color="auto"/>
        <w:bottom w:val="none" w:sz="0" w:space="0" w:color="auto"/>
        <w:right w:val="none" w:sz="0" w:space="0" w:color="auto"/>
      </w:divBdr>
    </w:div>
    <w:div w:id="602617813">
      <w:marLeft w:val="0"/>
      <w:marRight w:val="0"/>
      <w:marTop w:val="180"/>
      <w:marBottom w:val="0"/>
      <w:divBdr>
        <w:top w:val="none" w:sz="0" w:space="0" w:color="auto"/>
        <w:left w:val="none" w:sz="0" w:space="0" w:color="auto"/>
        <w:bottom w:val="none" w:sz="0" w:space="0" w:color="auto"/>
        <w:right w:val="none" w:sz="0" w:space="0" w:color="auto"/>
      </w:divBdr>
    </w:div>
    <w:div w:id="607588092">
      <w:marLeft w:val="0"/>
      <w:marRight w:val="0"/>
      <w:marTop w:val="60"/>
      <w:marBottom w:val="120"/>
      <w:divBdr>
        <w:top w:val="none" w:sz="0" w:space="0" w:color="auto"/>
        <w:left w:val="none" w:sz="0" w:space="0" w:color="auto"/>
        <w:bottom w:val="none" w:sz="0" w:space="0" w:color="auto"/>
        <w:right w:val="none" w:sz="0" w:space="0" w:color="auto"/>
      </w:divBdr>
    </w:div>
    <w:div w:id="608241530">
      <w:marLeft w:val="0"/>
      <w:marRight w:val="0"/>
      <w:marTop w:val="180"/>
      <w:marBottom w:val="0"/>
      <w:divBdr>
        <w:top w:val="none" w:sz="0" w:space="0" w:color="auto"/>
        <w:left w:val="none" w:sz="0" w:space="0" w:color="auto"/>
        <w:bottom w:val="none" w:sz="0" w:space="0" w:color="auto"/>
        <w:right w:val="none" w:sz="0" w:space="0" w:color="auto"/>
      </w:divBdr>
    </w:div>
    <w:div w:id="609092340">
      <w:marLeft w:val="0"/>
      <w:marRight w:val="0"/>
      <w:marTop w:val="180"/>
      <w:marBottom w:val="0"/>
      <w:divBdr>
        <w:top w:val="none" w:sz="0" w:space="0" w:color="auto"/>
        <w:left w:val="none" w:sz="0" w:space="0" w:color="auto"/>
        <w:bottom w:val="none" w:sz="0" w:space="0" w:color="auto"/>
        <w:right w:val="none" w:sz="0" w:space="0" w:color="auto"/>
      </w:divBdr>
    </w:div>
    <w:div w:id="609240236">
      <w:marLeft w:val="0"/>
      <w:marRight w:val="0"/>
      <w:marTop w:val="0"/>
      <w:marBottom w:val="200"/>
      <w:divBdr>
        <w:top w:val="none" w:sz="0" w:space="0" w:color="auto"/>
        <w:left w:val="none" w:sz="0" w:space="0" w:color="auto"/>
        <w:bottom w:val="none" w:sz="0" w:space="0" w:color="auto"/>
        <w:right w:val="none" w:sz="0" w:space="0" w:color="auto"/>
      </w:divBdr>
    </w:div>
    <w:div w:id="610212743">
      <w:marLeft w:val="0"/>
      <w:marRight w:val="0"/>
      <w:marTop w:val="180"/>
      <w:marBottom w:val="0"/>
      <w:divBdr>
        <w:top w:val="none" w:sz="0" w:space="0" w:color="auto"/>
        <w:left w:val="none" w:sz="0" w:space="0" w:color="auto"/>
        <w:bottom w:val="none" w:sz="0" w:space="0" w:color="auto"/>
        <w:right w:val="none" w:sz="0" w:space="0" w:color="auto"/>
      </w:divBdr>
    </w:div>
    <w:div w:id="621303753">
      <w:marLeft w:val="0"/>
      <w:marRight w:val="0"/>
      <w:marTop w:val="0"/>
      <w:marBottom w:val="0"/>
      <w:divBdr>
        <w:top w:val="none" w:sz="0" w:space="0" w:color="auto"/>
        <w:left w:val="none" w:sz="0" w:space="0" w:color="auto"/>
        <w:bottom w:val="none" w:sz="0" w:space="0" w:color="auto"/>
        <w:right w:val="none" w:sz="0" w:space="0" w:color="auto"/>
      </w:divBdr>
      <w:divsChild>
        <w:div w:id="1548450906">
          <w:marLeft w:val="0"/>
          <w:marRight w:val="0"/>
          <w:marTop w:val="0"/>
          <w:marBottom w:val="0"/>
          <w:divBdr>
            <w:top w:val="none" w:sz="0" w:space="0" w:color="auto"/>
            <w:left w:val="none" w:sz="0" w:space="0" w:color="auto"/>
            <w:bottom w:val="none" w:sz="0" w:space="0" w:color="auto"/>
            <w:right w:val="none" w:sz="0" w:space="0" w:color="auto"/>
          </w:divBdr>
          <w:divsChild>
            <w:div w:id="19520564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24315887">
      <w:marLeft w:val="0"/>
      <w:marRight w:val="0"/>
      <w:marTop w:val="180"/>
      <w:marBottom w:val="0"/>
      <w:divBdr>
        <w:top w:val="none" w:sz="0" w:space="0" w:color="auto"/>
        <w:left w:val="none" w:sz="0" w:space="0" w:color="auto"/>
        <w:bottom w:val="none" w:sz="0" w:space="0" w:color="auto"/>
        <w:right w:val="none" w:sz="0" w:space="0" w:color="auto"/>
      </w:divBdr>
    </w:div>
    <w:div w:id="625548005">
      <w:marLeft w:val="0"/>
      <w:marRight w:val="0"/>
      <w:marTop w:val="180"/>
      <w:marBottom w:val="240"/>
      <w:divBdr>
        <w:top w:val="none" w:sz="0" w:space="0" w:color="auto"/>
        <w:left w:val="none" w:sz="0" w:space="0" w:color="auto"/>
        <w:bottom w:val="none" w:sz="0" w:space="0" w:color="auto"/>
        <w:right w:val="none" w:sz="0" w:space="0" w:color="auto"/>
      </w:divBdr>
    </w:div>
    <w:div w:id="625818599">
      <w:marLeft w:val="0"/>
      <w:marRight w:val="0"/>
      <w:marTop w:val="180"/>
      <w:marBottom w:val="0"/>
      <w:divBdr>
        <w:top w:val="none" w:sz="0" w:space="0" w:color="auto"/>
        <w:left w:val="none" w:sz="0" w:space="0" w:color="auto"/>
        <w:bottom w:val="none" w:sz="0" w:space="0" w:color="auto"/>
        <w:right w:val="none" w:sz="0" w:space="0" w:color="auto"/>
      </w:divBdr>
    </w:div>
    <w:div w:id="626351715">
      <w:marLeft w:val="0"/>
      <w:marRight w:val="0"/>
      <w:marTop w:val="120"/>
      <w:marBottom w:val="0"/>
      <w:divBdr>
        <w:top w:val="none" w:sz="0" w:space="0" w:color="auto"/>
        <w:left w:val="none" w:sz="0" w:space="0" w:color="auto"/>
        <w:bottom w:val="none" w:sz="0" w:space="0" w:color="auto"/>
        <w:right w:val="none" w:sz="0" w:space="0" w:color="auto"/>
      </w:divBdr>
    </w:div>
    <w:div w:id="626859303">
      <w:marLeft w:val="0"/>
      <w:marRight w:val="0"/>
      <w:marTop w:val="180"/>
      <w:marBottom w:val="120"/>
      <w:divBdr>
        <w:top w:val="none" w:sz="0" w:space="0" w:color="auto"/>
        <w:left w:val="none" w:sz="0" w:space="0" w:color="auto"/>
        <w:bottom w:val="none" w:sz="0" w:space="0" w:color="auto"/>
        <w:right w:val="none" w:sz="0" w:space="0" w:color="auto"/>
      </w:divBdr>
    </w:div>
    <w:div w:id="627443173">
      <w:marLeft w:val="0"/>
      <w:marRight w:val="0"/>
      <w:marTop w:val="180"/>
      <w:marBottom w:val="0"/>
      <w:divBdr>
        <w:top w:val="none" w:sz="0" w:space="0" w:color="auto"/>
        <w:left w:val="none" w:sz="0" w:space="0" w:color="auto"/>
        <w:bottom w:val="none" w:sz="0" w:space="0" w:color="auto"/>
        <w:right w:val="none" w:sz="0" w:space="0" w:color="auto"/>
      </w:divBdr>
    </w:div>
    <w:div w:id="628971186">
      <w:marLeft w:val="0"/>
      <w:marRight w:val="0"/>
      <w:marTop w:val="240"/>
      <w:marBottom w:val="0"/>
      <w:divBdr>
        <w:top w:val="none" w:sz="0" w:space="0" w:color="auto"/>
        <w:left w:val="none" w:sz="0" w:space="0" w:color="auto"/>
        <w:bottom w:val="none" w:sz="0" w:space="0" w:color="auto"/>
        <w:right w:val="none" w:sz="0" w:space="0" w:color="auto"/>
      </w:divBdr>
    </w:div>
    <w:div w:id="629046017">
      <w:marLeft w:val="0"/>
      <w:marRight w:val="0"/>
      <w:marTop w:val="180"/>
      <w:marBottom w:val="0"/>
      <w:divBdr>
        <w:top w:val="none" w:sz="0" w:space="0" w:color="auto"/>
        <w:left w:val="none" w:sz="0" w:space="0" w:color="auto"/>
        <w:bottom w:val="none" w:sz="0" w:space="0" w:color="auto"/>
        <w:right w:val="none" w:sz="0" w:space="0" w:color="auto"/>
      </w:divBdr>
    </w:div>
    <w:div w:id="632710480">
      <w:marLeft w:val="0"/>
      <w:marRight w:val="0"/>
      <w:marTop w:val="180"/>
      <w:marBottom w:val="0"/>
      <w:divBdr>
        <w:top w:val="none" w:sz="0" w:space="0" w:color="auto"/>
        <w:left w:val="none" w:sz="0" w:space="0" w:color="auto"/>
        <w:bottom w:val="none" w:sz="0" w:space="0" w:color="auto"/>
        <w:right w:val="none" w:sz="0" w:space="0" w:color="auto"/>
      </w:divBdr>
    </w:div>
    <w:div w:id="633831367">
      <w:marLeft w:val="0"/>
      <w:marRight w:val="0"/>
      <w:marTop w:val="180"/>
      <w:marBottom w:val="60"/>
      <w:divBdr>
        <w:top w:val="none" w:sz="0" w:space="0" w:color="auto"/>
        <w:left w:val="none" w:sz="0" w:space="0" w:color="auto"/>
        <w:bottom w:val="none" w:sz="0" w:space="0" w:color="auto"/>
        <w:right w:val="none" w:sz="0" w:space="0" w:color="auto"/>
      </w:divBdr>
    </w:div>
    <w:div w:id="634258656">
      <w:marLeft w:val="0"/>
      <w:marRight w:val="0"/>
      <w:marTop w:val="180"/>
      <w:marBottom w:val="0"/>
      <w:divBdr>
        <w:top w:val="none" w:sz="0" w:space="0" w:color="auto"/>
        <w:left w:val="none" w:sz="0" w:space="0" w:color="auto"/>
        <w:bottom w:val="none" w:sz="0" w:space="0" w:color="auto"/>
        <w:right w:val="none" w:sz="0" w:space="0" w:color="auto"/>
      </w:divBdr>
    </w:div>
    <w:div w:id="636178643">
      <w:marLeft w:val="0"/>
      <w:marRight w:val="0"/>
      <w:marTop w:val="300"/>
      <w:marBottom w:val="0"/>
      <w:divBdr>
        <w:top w:val="none" w:sz="0" w:space="0" w:color="auto"/>
        <w:left w:val="none" w:sz="0" w:space="0" w:color="auto"/>
        <w:bottom w:val="none" w:sz="0" w:space="0" w:color="auto"/>
        <w:right w:val="none" w:sz="0" w:space="0" w:color="auto"/>
      </w:divBdr>
    </w:div>
    <w:div w:id="640159890">
      <w:marLeft w:val="0"/>
      <w:marRight w:val="0"/>
      <w:marTop w:val="180"/>
      <w:marBottom w:val="0"/>
      <w:divBdr>
        <w:top w:val="none" w:sz="0" w:space="0" w:color="auto"/>
        <w:left w:val="none" w:sz="0" w:space="0" w:color="auto"/>
        <w:bottom w:val="none" w:sz="0" w:space="0" w:color="auto"/>
        <w:right w:val="none" w:sz="0" w:space="0" w:color="auto"/>
      </w:divBdr>
    </w:div>
    <w:div w:id="643119820">
      <w:marLeft w:val="0"/>
      <w:marRight w:val="0"/>
      <w:marTop w:val="180"/>
      <w:marBottom w:val="0"/>
      <w:divBdr>
        <w:top w:val="none" w:sz="0" w:space="0" w:color="auto"/>
        <w:left w:val="none" w:sz="0" w:space="0" w:color="auto"/>
        <w:bottom w:val="none" w:sz="0" w:space="0" w:color="auto"/>
        <w:right w:val="none" w:sz="0" w:space="0" w:color="auto"/>
      </w:divBdr>
    </w:div>
    <w:div w:id="644244135">
      <w:marLeft w:val="0"/>
      <w:marRight w:val="0"/>
      <w:marTop w:val="180"/>
      <w:marBottom w:val="0"/>
      <w:divBdr>
        <w:top w:val="none" w:sz="0" w:space="0" w:color="auto"/>
        <w:left w:val="none" w:sz="0" w:space="0" w:color="auto"/>
        <w:bottom w:val="none" w:sz="0" w:space="0" w:color="auto"/>
        <w:right w:val="none" w:sz="0" w:space="0" w:color="auto"/>
      </w:divBdr>
    </w:div>
    <w:div w:id="649141526">
      <w:marLeft w:val="0"/>
      <w:marRight w:val="0"/>
      <w:marTop w:val="0"/>
      <w:marBottom w:val="0"/>
      <w:divBdr>
        <w:top w:val="none" w:sz="0" w:space="0" w:color="auto"/>
        <w:left w:val="none" w:sz="0" w:space="0" w:color="auto"/>
        <w:bottom w:val="none" w:sz="0" w:space="0" w:color="auto"/>
        <w:right w:val="none" w:sz="0" w:space="0" w:color="auto"/>
      </w:divBdr>
      <w:divsChild>
        <w:div w:id="699161551">
          <w:marLeft w:val="0"/>
          <w:marRight w:val="0"/>
          <w:marTop w:val="0"/>
          <w:marBottom w:val="0"/>
          <w:divBdr>
            <w:top w:val="none" w:sz="0" w:space="0" w:color="auto"/>
            <w:left w:val="none" w:sz="0" w:space="0" w:color="auto"/>
            <w:bottom w:val="none" w:sz="0" w:space="0" w:color="auto"/>
            <w:right w:val="none" w:sz="0" w:space="0" w:color="auto"/>
          </w:divBdr>
          <w:divsChild>
            <w:div w:id="10457587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2416685">
      <w:marLeft w:val="0"/>
      <w:marRight w:val="0"/>
      <w:marTop w:val="0"/>
      <w:marBottom w:val="0"/>
      <w:divBdr>
        <w:top w:val="none" w:sz="0" w:space="0" w:color="auto"/>
        <w:left w:val="none" w:sz="0" w:space="0" w:color="auto"/>
        <w:bottom w:val="none" w:sz="0" w:space="0" w:color="auto"/>
        <w:right w:val="none" w:sz="0" w:space="0" w:color="auto"/>
      </w:divBdr>
      <w:divsChild>
        <w:div w:id="994723179">
          <w:marLeft w:val="0"/>
          <w:marRight w:val="0"/>
          <w:marTop w:val="180"/>
          <w:marBottom w:val="0"/>
          <w:divBdr>
            <w:top w:val="none" w:sz="0" w:space="0" w:color="auto"/>
            <w:left w:val="none" w:sz="0" w:space="0" w:color="auto"/>
            <w:bottom w:val="none" w:sz="0" w:space="0" w:color="auto"/>
            <w:right w:val="none" w:sz="0" w:space="0" w:color="auto"/>
          </w:divBdr>
        </w:div>
      </w:divsChild>
    </w:div>
    <w:div w:id="654603294">
      <w:marLeft w:val="0"/>
      <w:marRight w:val="0"/>
      <w:marTop w:val="180"/>
      <w:marBottom w:val="0"/>
      <w:divBdr>
        <w:top w:val="none" w:sz="0" w:space="0" w:color="auto"/>
        <w:left w:val="none" w:sz="0" w:space="0" w:color="auto"/>
        <w:bottom w:val="none" w:sz="0" w:space="0" w:color="auto"/>
        <w:right w:val="none" w:sz="0" w:space="0" w:color="auto"/>
      </w:divBdr>
    </w:div>
    <w:div w:id="654912992">
      <w:marLeft w:val="0"/>
      <w:marRight w:val="0"/>
      <w:marTop w:val="0"/>
      <w:marBottom w:val="0"/>
      <w:divBdr>
        <w:top w:val="none" w:sz="0" w:space="0" w:color="auto"/>
        <w:left w:val="none" w:sz="0" w:space="0" w:color="auto"/>
        <w:bottom w:val="none" w:sz="0" w:space="0" w:color="auto"/>
        <w:right w:val="none" w:sz="0" w:space="0" w:color="auto"/>
      </w:divBdr>
      <w:divsChild>
        <w:div w:id="386074579">
          <w:marLeft w:val="0"/>
          <w:marRight w:val="0"/>
          <w:marTop w:val="0"/>
          <w:marBottom w:val="0"/>
          <w:divBdr>
            <w:top w:val="none" w:sz="0" w:space="0" w:color="auto"/>
            <w:left w:val="none" w:sz="0" w:space="0" w:color="auto"/>
            <w:bottom w:val="none" w:sz="0" w:space="0" w:color="auto"/>
            <w:right w:val="none" w:sz="0" w:space="0" w:color="auto"/>
          </w:divBdr>
          <w:divsChild>
            <w:div w:id="1153002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6109058">
      <w:marLeft w:val="0"/>
      <w:marRight w:val="0"/>
      <w:marTop w:val="0"/>
      <w:marBottom w:val="0"/>
      <w:divBdr>
        <w:top w:val="none" w:sz="0" w:space="0" w:color="auto"/>
        <w:left w:val="none" w:sz="0" w:space="0" w:color="auto"/>
        <w:bottom w:val="none" w:sz="0" w:space="0" w:color="auto"/>
        <w:right w:val="none" w:sz="0" w:space="0" w:color="auto"/>
      </w:divBdr>
      <w:divsChild>
        <w:div w:id="1009871580">
          <w:marLeft w:val="0"/>
          <w:marRight w:val="0"/>
          <w:marTop w:val="0"/>
          <w:marBottom w:val="0"/>
          <w:divBdr>
            <w:top w:val="none" w:sz="0" w:space="0" w:color="auto"/>
            <w:left w:val="none" w:sz="0" w:space="0" w:color="auto"/>
            <w:bottom w:val="none" w:sz="0" w:space="0" w:color="auto"/>
            <w:right w:val="none" w:sz="0" w:space="0" w:color="auto"/>
          </w:divBdr>
        </w:div>
      </w:divsChild>
    </w:div>
    <w:div w:id="657732502">
      <w:marLeft w:val="0"/>
      <w:marRight w:val="0"/>
      <w:marTop w:val="120"/>
      <w:marBottom w:val="0"/>
      <w:divBdr>
        <w:top w:val="none" w:sz="0" w:space="0" w:color="auto"/>
        <w:left w:val="none" w:sz="0" w:space="0" w:color="auto"/>
        <w:bottom w:val="none" w:sz="0" w:space="0" w:color="auto"/>
        <w:right w:val="none" w:sz="0" w:space="0" w:color="auto"/>
      </w:divBdr>
    </w:div>
    <w:div w:id="658114011">
      <w:marLeft w:val="0"/>
      <w:marRight w:val="0"/>
      <w:marTop w:val="0"/>
      <w:marBottom w:val="0"/>
      <w:divBdr>
        <w:top w:val="none" w:sz="0" w:space="0" w:color="auto"/>
        <w:left w:val="none" w:sz="0" w:space="0" w:color="auto"/>
        <w:bottom w:val="none" w:sz="0" w:space="0" w:color="auto"/>
        <w:right w:val="none" w:sz="0" w:space="0" w:color="auto"/>
      </w:divBdr>
      <w:divsChild>
        <w:div w:id="1398554236">
          <w:marLeft w:val="0"/>
          <w:marRight w:val="0"/>
          <w:marTop w:val="0"/>
          <w:marBottom w:val="0"/>
          <w:divBdr>
            <w:top w:val="none" w:sz="0" w:space="0" w:color="auto"/>
            <w:left w:val="none" w:sz="0" w:space="0" w:color="auto"/>
            <w:bottom w:val="none" w:sz="0" w:space="0" w:color="auto"/>
            <w:right w:val="none" w:sz="0" w:space="0" w:color="auto"/>
          </w:divBdr>
          <w:divsChild>
            <w:div w:id="11235740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9231579">
      <w:marLeft w:val="0"/>
      <w:marRight w:val="0"/>
      <w:marTop w:val="180"/>
      <w:marBottom w:val="0"/>
      <w:divBdr>
        <w:top w:val="none" w:sz="0" w:space="0" w:color="auto"/>
        <w:left w:val="none" w:sz="0" w:space="0" w:color="auto"/>
        <w:bottom w:val="none" w:sz="0" w:space="0" w:color="auto"/>
        <w:right w:val="none" w:sz="0" w:space="0" w:color="auto"/>
      </w:divBdr>
    </w:div>
    <w:div w:id="662978522">
      <w:marLeft w:val="0"/>
      <w:marRight w:val="0"/>
      <w:marTop w:val="180"/>
      <w:marBottom w:val="0"/>
      <w:divBdr>
        <w:top w:val="none" w:sz="0" w:space="0" w:color="auto"/>
        <w:left w:val="none" w:sz="0" w:space="0" w:color="auto"/>
        <w:bottom w:val="none" w:sz="0" w:space="0" w:color="auto"/>
        <w:right w:val="none" w:sz="0" w:space="0" w:color="auto"/>
      </w:divBdr>
    </w:div>
    <w:div w:id="663357757">
      <w:marLeft w:val="0"/>
      <w:marRight w:val="0"/>
      <w:marTop w:val="240"/>
      <w:marBottom w:val="0"/>
      <w:divBdr>
        <w:top w:val="none" w:sz="0" w:space="0" w:color="auto"/>
        <w:left w:val="none" w:sz="0" w:space="0" w:color="auto"/>
        <w:bottom w:val="none" w:sz="0" w:space="0" w:color="auto"/>
        <w:right w:val="none" w:sz="0" w:space="0" w:color="auto"/>
      </w:divBdr>
    </w:div>
    <w:div w:id="665981049">
      <w:marLeft w:val="0"/>
      <w:marRight w:val="0"/>
      <w:marTop w:val="180"/>
      <w:marBottom w:val="0"/>
      <w:divBdr>
        <w:top w:val="none" w:sz="0" w:space="0" w:color="auto"/>
        <w:left w:val="none" w:sz="0" w:space="0" w:color="auto"/>
        <w:bottom w:val="none" w:sz="0" w:space="0" w:color="auto"/>
        <w:right w:val="none" w:sz="0" w:space="0" w:color="auto"/>
      </w:divBdr>
    </w:div>
    <w:div w:id="667370997">
      <w:marLeft w:val="0"/>
      <w:marRight w:val="0"/>
      <w:marTop w:val="0"/>
      <w:marBottom w:val="0"/>
      <w:divBdr>
        <w:top w:val="none" w:sz="0" w:space="0" w:color="auto"/>
        <w:left w:val="none" w:sz="0" w:space="0" w:color="auto"/>
        <w:bottom w:val="none" w:sz="0" w:space="0" w:color="auto"/>
        <w:right w:val="none" w:sz="0" w:space="0" w:color="auto"/>
      </w:divBdr>
      <w:divsChild>
        <w:div w:id="674693134">
          <w:marLeft w:val="0"/>
          <w:marRight w:val="0"/>
          <w:marTop w:val="0"/>
          <w:marBottom w:val="0"/>
          <w:divBdr>
            <w:top w:val="none" w:sz="0" w:space="0" w:color="auto"/>
            <w:left w:val="none" w:sz="0" w:space="0" w:color="auto"/>
            <w:bottom w:val="none" w:sz="0" w:space="0" w:color="auto"/>
            <w:right w:val="none" w:sz="0" w:space="0" w:color="auto"/>
          </w:divBdr>
          <w:divsChild>
            <w:div w:id="6633592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8022901">
      <w:marLeft w:val="0"/>
      <w:marRight w:val="0"/>
      <w:marTop w:val="60"/>
      <w:marBottom w:val="180"/>
      <w:divBdr>
        <w:top w:val="none" w:sz="0" w:space="0" w:color="auto"/>
        <w:left w:val="none" w:sz="0" w:space="0" w:color="auto"/>
        <w:bottom w:val="none" w:sz="0" w:space="0" w:color="auto"/>
        <w:right w:val="none" w:sz="0" w:space="0" w:color="auto"/>
      </w:divBdr>
    </w:div>
    <w:div w:id="668826358">
      <w:marLeft w:val="0"/>
      <w:marRight w:val="0"/>
      <w:marTop w:val="120"/>
      <w:marBottom w:val="0"/>
      <w:divBdr>
        <w:top w:val="none" w:sz="0" w:space="0" w:color="auto"/>
        <w:left w:val="none" w:sz="0" w:space="0" w:color="auto"/>
        <w:bottom w:val="none" w:sz="0" w:space="0" w:color="auto"/>
        <w:right w:val="none" w:sz="0" w:space="0" w:color="auto"/>
      </w:divBdr>
    </w:div>
    <w:div w:id="671303373">
      <w:marLeft w:val="0"/>
      <w:marRight w:val="0"/>
      <w:marTop w:val="0"/>
      <w:marBottom w:val="0"/>
      <w:divBdr>
        <w:top w:val="none" w:sz="0" w:space="0" w:color="auto"/>
        <w:left w:val="none" w:sz="0" w:space="0" w:color="auto"/>
        <w:bottom w:val="none" w:sz="0" w:space="0" w:color="auto"/>
        <w:right w:val="none" w:sz="0" w:space="0" w:color="auto"/>
      </w:divBdr>
      <w:divsChild>
        <w:div w:id="91556475">
          <w:marLeft w:val="0"/>
          <w:marRight w:val="0"/>
          <w:marTop w:val="180"/>
          <w:marBottom w:val="0"/>
          <w:divBdr>
            <w:top w:val="none" w:sz="0" w:space="0" w:color="auto"/>
            <w:left w:val="none" w:sz="0" w:space="0" w:color="auto"/>
            <w:bottom w:val="none" w:sz="0" w:space="0" w:color="auto"/>
            <w:right w:val="none" w:sz="0" w:space="0" w:color="auto"/>
          </w:divBdr>
        </w:div>
      </w:divsChild>
    </w:div>
    <w:div w:id="672299052">
      <w:marLeft w:val="0"/>
      <w:marRight w:val="0"/>
      <w:marTop w:val="180"/>
      <w:marBottom w:val="120"/>
      <w:divBdr>
        <w:top w:val="none" w:sz="0" w:space="0" w:color="auto"/>
        <w:left w:val="none" w:sz="0" w:space="0" w:color="auto"/>
        <w:bottom w:val="none" w:sz="0" w:space="0" w:color="auto"/>
        <w:right w:val="none" w:sz="0" w:space="0" w:color="auto"/>
      </w:divBdr>
    </w:div>
    <w:div w:id="673264849">
      <w:marLeft w:val="0"/>
      <w:marRight w:val="0"/>
      <w:marTop w:val="180"/>
      <w:marBottom w:val="0"/>
      <w:divBdr>
        <w:top w:val="none" w:sz="0" w:space="0" w:color="auto"/>
        <w:left w:val="none" w:sz="0" w:space="0" w:color="auto"/>
        <w:bottom w:val="none" w:sz="0" w:space="0" w:color="auto"/>
        <w:right w:val="none" w:sz="0" w:space="0" w:color="auto"/>
      </w:divBdr>
    </w:div>
    <w:div w:id="673916580">
      <w:marLeft w:val="0"/>
      <w:marRight w:val="0"/>
      <w:marTop w:val="180"/>
      <w:marBottom w:val="0"/>
      <w:divBdr>
        <w:top w:val="none" w:sz="0" w:space="0" w:color="auto"/>
        <w:left w:val="none" w:sz="0" w:space="0" w:color="auto"/>
        <w:bottom w:val="none" w:sz="0" w:space="0" w:color="auto"/>
        <w:right w:val="none" w:sz="0" w:space="0" w:color="auto"/>
      </w:divBdr>
    </w:div>
    <w:div w:id="673993464">
      <w:marLeft w:val="0"/>
      <w:marRight w:val="0"/>
      <w:marTop w:val="180"/>
      <w:marBottom w:val="0"/>
      <w:divBdr>
        <w:top w:val="none" w:sz="0" w:space="0" w:color="auto"/>
        <w:left w:val="none" w:sz="0" w:space="0" w:color="auto"/>
        <w:bottom w:val="none" w:sz="0" w:space="0" w:color="auto"/>
        <w:right w:val="none" w:sz="0" w:space="0" w:color="auto"/>
      </w:divBdr>
    </w:div>
    <w:div w:id="674068450">
      <w:marLeft w:val="0"/>
      <w:marRight w:val="0"/>
      <w:marTop w:val="180"/>
      <w:marBottom w:val="0"/>
      <w:divBdr>
        <w:top w:val="none" w:sz="0" w:space="0" w:color="auto"/>
        <w:left w:val="none" w:sz="0" w:space="0" w:color="auto"/>
        <w:bottom w:val="none" w:sz="0" w:space="0" w:color="auto"/>
        <w:right w:val="none" w:sz="0" w:space="0" w:color="auto"/>
      </w:divBdr>
    </w:div>
    <w:div w:id="675304201">
      <w:marLeft w:val="0"/>
      <w:marRight w:val="0"/>
      <w:marTop w:val="120"/>
      <w:marBottom w:val="0"/>
      <w:divBdr>
        <w:top w:val="none" w:sz="0" w:space="0" w:color="auto"/>
        <w:left w:val="none" w:sz="0" w:space="0" w:color="auto"/>
        <w:bottom w:val="none" w:sz="0" w:space="0" w:color="auto"/>
        <w:right w:val="none" w:sz="0" w:space="0" w:color="auto"/>
      </w:divBdr>
    </w:div>
    <w:div w:id="679356560">
      <w:marLeft w:val="0"/>
      <w:marRight w:val="0"/>
      <w:marTop w:val="240"/>
      <w:marBottom w:val="0"/>
      <w:divBdr>
        <w:top w:val="none" w:sz="0" w:space="0" w:color="auto"/>
        <w:left w:val="none" w:sz="0" w:space="0" w:color="auto"/>
        <w:bottom w:val="none" w:sz="0" w:space="0" w:color="auto"/>
        <w:right w:val="none" w:sz="0" w:space="0" w:color="auto"/>
      </w:divBdr>
    </w:div>
    <w:div w:id="683868693">
      <w:marLeft w:val="0"/>
      <w:marRight w:val="0"/>
      <w:marTop w:val="180"/>
      <w:marBottom w:val="0"/>
      <w:divBdr>
        <w:top w:val="none" w:sz="0" w:space="0" w:color="auto"/>
        <w:left w:val="none" w:sz="0" w:space="0" w:color="auto"/>
        <w:bottom w:val="none" w:sz="0" w:space="0" w:color="auto"/>
        <w:right w:val="none" w:sz="0" w:space="0" w:color="auto"/>
      </w:divBdr>
    </w:div>
    <w:div w:id="684331989">
      <w:marLeft w:val="0"/>
      <w:marRight w:val="0"/>
      <w:marTop w:val="180"/>
      <w:marBottom w:val="0"/>
      <w:divBdr>
        <w:top w:val="none" w:sz="0" w:space="0" w:color="auto"/>
        <w:left w:val="none" w:sz="0" w:space="0" w:color="auto"/>
        <w:bottom w:val="none" w:sz="0" w:space="0" w:color="auto"/>
        <w:right w:val="none" w:sz="0" w:space="0" w:color="auto"/>
      </w:divBdr>
    </w:div>
    <w:div w:id="685404064">
      <w:marLeft w:val="0"/>
      <w:marRight w:val="0"/>
      <w:marTop w:val="180"/>
      <w:marBottom w:val="0"/>
      <w:divBdr>
        <w:top w:val="none" w:sz="0" w:space="0" w:color="auto"/>
        <w:left w:val="none" w:sz="0" w:space="0" w:color="auto"/>
        <w:bottom w:val="none" w:sz="0" w:space="0" w:color="auto"/>
        <w:right w:val="none" w:sz="0" w:space="0" w:color="auto"/>
      </w:divBdr>
    </w:div>
    <w:div w:id="686905804">
      <w:marLeft w:val="0"/>
      <w:marRight w:val="0"/>
      <w:marTop w:val="180"/>
      <w:marBottom w:val="0"/>
      <w:divBdr>
        <w:top w:val="none" w:sz="0" w:space="0" w:color="auto"/>
        <w:left w:val="none" w:sz="0" w:space="0" w:color="auto"/>
        <w:bottom w:val="none" w:sz="0" w:space="0" w:color="auto"/>
        <w:right w:val="none" w:sz="0" w:space="0" w:color="auto"/>
      </w:divBdr>
    </w:div>
    <w:div w:id="688140782">
      <w:marLeft w:val="0"/>
      <w:marRight w:val="0"/>
      <w:marTop w:val="180"/>
      <w:marBottom w:val="0"/>
      <w:divBdr>
        <w:top w:val="none" w:sz="0" w:space="0" w:color="auto"/>
        <w:left w:val="none" w:sz="0" w:space="0" w:color="auto"/>
        <w:bottom w:val="none" w:sz="0" w:space="0" w:color="auto"/>
        <w:right w:val="none" w:sz="0" w:space="0" w:color="auto"/>
      </w:divBdr>
    </w:div>
    <w:div w:id="689377509">
      <w:marLeft w:val="0"/>
      <w:marRight w:val="0"/>
      <w:marTop w:val="180"/>
      <w:marBottom w:val="0"/>
      <w:divBdr>
        <w:top w:val="none" w:sz="0" w:space="0" w:color="auto"/>
        <w:left w:val="none" w:sz="0" w:space="0" w:color="auto"/>
        <w:bottom w:val="none" w:sz="0" w:space="0" w:color="auto"/>
        <w:right w:val="none" w:sz="0" w:space="0" w:color="auto"/>
      </w:divBdr>
    </w:div>
    <w:div w:id="689768917">
      <w:marLeft w:val="0"/>
      <w:marRight w:val="0"/>
      <w:marTop w:val="180"/>
      <w:marBottom w:val="0"/>
      <w:divBdr>
        <w:top w:val="none" w:sz="0" w:space="0" w:color="auto"/>
        <w:left w:val="none" w:sz="0" w:space="0" w:color="auto"/>
        <w:bottom w:val="none" w:sz="0" w:space="0" w:color="auto"/>
        <w:right w:val="none" w:sz="0" w:space="0" w:color="auto"/>
      </w:divBdr>
    </w:div>
    <w:div w:id="691732826">
      <w:marLeft w:val="0"/>
      <w:marRight w:val="0"/>
      <w:marTop w:val="180"/>
      <w:marBottom w:val="0"/>
      <w:divBdr>
        <w:top w:val="none" w:sz="0" w:space="0" w:color="auto"/>
        <w:left w:val="none" w:sz="0" w:space="0" w:color="auto"/>
        <w:bottom w:val="none" w:sz="0" w:space="0" w:color="auto"/>
        <w:right w:val="none" w:sz="0" w:space="0" w:color="auto"/>
      </w:divBdr>
    </w:div>
    <w:div w:id="692416436">
      <w:marLeft w:val="0"/>
      <w:marRight w:val="0"/>
      <w:marTop w:val="240"/>
      <w:marBottom w:val="0"/>
      <w:divBdr>
        <w:top w:val="none" w:sz="0" w:space="0" w:color="auto"/>
        <w:left w:val="none" w:sz="0" w:space="0" w:color="auto"/>
        <w:bottom w:val="none" w:sz="0" w:space="0" w:color="auto"/>
        <w:right w:val="none" w:sz="0" w:space="0" w:color="auto"/>
      </w:divBdr>
    </w:div>
    <w:div w:id="692653957">
      <w:marLeft w:val="0"/>
      <w:marRight w:val="0"/>
      <w:marTop w:val="0"/>
      <w:marBottom w:val="0"/>
      <w:divBdr>
        <w:top w:val="none" w:sz="0" w:space="0" w:color="auto"/>
        <w:left w:val="none" w:sz="0" w:space="0" w:color="auto"/>
        <w:bottom w:val="none" w:sz="0" w:space="0" w:color="auto"/>
        <w:right w:val="none" w:sz="0" w:space="0" w:color="auto"/>
      </w:divBdr>
      <w:divsChild>
        <w:div w:id="1581132847">
          <w:marLeft w:val="0"/>
          <w:marRight w:val="0"/>
          <w:marTop w:val="0"/>
          <w:marBottom w:val="0"/>
          <w:divBdr>
            <w:top w:val="none" w:sz="0" w:space="0" w:color="auto"/>
            <w:left w:val="none" w:sz="0" w:space="0" w:color="auto"/>
            <w:bottom w:val="none" w:sz="0" w:space="0" w:color="auto"/>
            <w:right w:val="none" w:sz="0" w:space="0" w:color="auto"/>
          </w:divBdr>
          <w:divsChild>
            <w:div w:id="19734405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93651116">
      <w:marLeft w:val="0"/>
      <w:marRight w:val="0"/>
      <w:marTop w:val="180"/>
      <w:marBottom w:val="0"/>
      <w:divBdr>
        <w:top w:val="none" w:sz="0" w:space="0" w:color="auto"/>
        <w:left w:val="none" w:sz="0" w:space="0" w:color="auto"/>
        <w:bottom w:val="none" w:sz="0" w:space="0" w:color="auto"/>
        <w:right w:val="none" w:sz="0" w:space="0" w:color="auto"/>
      </w:divBdr>
      <w:divsChild>
        <w:div w:id="1638756867">
          <w:marLeft w:val="0"/>
          <w:marRight w:val="0"/>
          <w:marTop w:val="0"/>
          <w:marBottom w:val="0"/>
          <w:divBdr>
            <w:top w:val="none" w:sz="0" w:space="0" w:color="auto"/>
            <w:left w:val="none" w:sz="0" w:space="0" w:color="auto"/>
            <w:bottom w:val="none" w:sz="0" w:space="0" w:color="auto"/>
            <w:right w:val="none" w:sz="0" w:space="0" w:color="auto"/>
          </w:divBdr>
        </w:div>
        <w:div w:id="2068528885">
          <w:marLeft w:val="0"/>
          <w:marRight w:val="0"/>
          <w:marTop w:val="0"/>
          <w:marBottom w:val="0"/>
          <w:divBdr>
            <w:top w:val="none" w:sz="0" w:space="0" w:color="auto"/>
            <w:left w:val="none" w:sz="0" w:space="0" w:color="auto"/>
            <w:bottom w:val="none" w:sz="0" w:space="0" w:color="auto"/>
            <w:right w:val="none" w:sz="0" w:space="0" w:color="auto"/>
          </w:divBdr>
        </w:div>
        <w:div w:id="1706368346">
          <w:marLeft w:val="0"/>
          <w:marRight w:val="0"/>
          <w:marTop w:val="0"/>
          <w:marBottom w:val="0"/>
          <w:divBdr>
            <w:top w:val="none" w:sz="0" w:space="0" w:color="auto"/>
            <w:left w:val="none" w:sz="0" w:space="0" w:color="auto"/>
            <w:bottom w:val="none" w:sz="0" w:space="0" w:color="auto"/>
            <w:right w:val="none" w:sz="0" w:space="0" w:color="auto"/>
          </w:divBdr>
        </w:div>
        <w:div w:id="246967087">
          <w:marLeft w:val="0"/>
          <w:marRight w:val="0"/>
          <w:marTop w:val="0"/>
          <w:marBottom w:val="0"/>
          <w:divBdr>
            <w:top w:val="none" w:sz="0" w:space="0" w:color="auto"/>
            <w:left w:val="none" w:sz="0" w:space="0" w:color="auto"/>
            <w:bottom w:val="none" w:sz="0" w:space="0" w:color="auto"/>
            <w:right w:val="none" w:sz="0" w:space="0" w:color="auto"/>
          </w:divBdr>
        </w:div>
      </w:divsChild>
    </w:div>
    <w:div w:id="695498090">
      <w:marLeft w:val="0"/>
      <w:marRight w:val="0"/>
      <w:marTop w:val="180"/>
      <w:marBottom w:val="0"/>
      <w:divBdr>
        <w:top w:val="none" w:sz="0" w:space="0" w:color="auto"/>
        <w:left w:val="none" w:sz="0" w:space="0" w:color="auto"/>
        <w:bottom w:val="none" w:sz="0" w:space="0" w:color="auto"/>
        <w:right w:val="none" w:sz="0" w:space="0" w:color="auto"/>
      </w:divBdr>
    </w:div>
    <w:div w:id="695888293">
      <w:marLeft w:val="0"/>
      <w:marRight w:val="0"/>
      <w:marTop w:val="240"/>
      <w:marBottom w:val="0"/>
      <w:divBdr>
        <w:top w:val="none" w:sz="0" w:space="0" w:color="auto"/>
        <w:left w:val="none" w:sz="0" w:space="0" w:color="auto"/>
        <w:bottom w:val="none" w:sz="0" w:space="0" w:color="auto"/>
        <w:right w:val="none" w:sz="0" w:space="0" w:color="auto"/>
      </w:divBdr>
    </w:div>
    <w:div w:id="699863996">
      <w:marLeft w:val="0"/>
      <w:marRight w:val="0"/>
      <w:marTop w:val="240"/>
      <w:marBottom w:val="0"/>
      <w:divBdr>
        <w:top w:val="none" w:sz="0" w:space="0" w:color="auto"/>
        <w:left w:val="none" w:sz="0" w:space="0" w:color="auto"/>
        <w:bottom w:val="none" w:sz="0" w:space="0" w:color="auto"/>
        <w:right w:val="none" w:sz="0" w:space="0" w:color="auto"/>
      </w:divBdr>
    </w:div>
    <w:div w:id="700670290">
      <w:marLeft w:val="0"/>
      <w:marRight w:val="0"/>
      <w:marTop w:val="180"/>
      <w:marBottom w:val="0"/>
      <w:divBdr>
        <w:top w:val="none" w:sz="0" w:space="0" w:color="auto"/>
        <w:left w:val="none" w:sz="0" w:space="0" w:color="auto"/>
        <w:bottom w:val="none" w:sz="0" w:space="0" w:color="auto"/>
        <w:right w:val="none" w:sz="0" w:space="0" w:color="auto"/>
      </w:divBdr>
    </w:div>
    <w:div w:id="701632588">
      <w:marLeft w:val="0"/>
      <w:marRight w:val="0"/>
      <w:marTop w:val="180"/>
      <w:marBottom w:val="0"/>
      <w:divBdr>
        <w:top w:val="none" w:sz="0" w:space="0" w:color="auto"/>
        <w:left w:val="none" w:sz="0" w:space="0" w:color="auto"/>
        <w:bottom w:val="none" w:sz="0" w:space="0" w:color="auto"/>
        <w:right w:val="none" w:sz="0" w:space="0" w:color="auto"/>
      </w:divBdr>
    </w:div>
    <w:div w:id="702245722">
      <w:marLeft w:val="0"/>
      <w:marRight w:val="0"/>
      <w:marTop w:val="180"/>
      <w:marBottom w:val="0"/>
      <w:divBdr>
        <w:top w:val="none" w:sz="0" w:space="0" w:color="auto"/>
        <w:left w:val="none" w:sz="0" w:space="0" w:color="auto"/>
        <w:bottom w:val="none" w:sz="0" w:space="0" w:color="auto"/>
        <w:right w:val="none" w:sz="0" w:space="0" w:color="auto"/>
      </w:divBdr>
    </w:div>
    <w:div w:id="703555079">
      <w:marLeft w:val="0"/>
      <w:marRight w:val="0"/>
      <w:marTop w:val="180"/>
      <w:marBottom w:val="0"/>
      <w:divBdr>
        <w:top w:val="none" w:sz="0" w:space="0" w:color="auto"/>
        <w:left w:val="none" w:sz="0" w:space="0" w:color="auto"/>
        <w:bottom w:val="none" w:sz="0" w:space="0" w:color="auto"/>
        <w:right w:val="none" w:sz="0" w:space="0" w:color="auto"/>
      </w:divBdr>
    </w:div>
    <w:div w:id="703871649">
      <w:marLeft w:val="0"/>
      <w:marRight w:val="0"/>
      <w:marTop w:val="180"/>
      <w:marBottom w:val="0"/>
      <w:divBdr>
        <w:top w:val="none" w:sz="0" w:space="0" w:color="auto"/>
        <w:left w:val="none" w:sz="0" w:space="0" w:color="auto"/>
        <w:bottom w:val="none" w:sz="0" w:space="0" w:color="auto"/>
        <w:right w:val="none" w:sz="0" w:space="0" w:color="auto"/>
      </w:divBdr>
    </w:div>
    <w:div w:id="706376317">
      <w:marLeft w:val="0"/>
      <w:marRight w:val="0"/>
      <w:marTop w:val="180"/>
      <w:marBottom w:val="0"/>
      <w:divBdr>
        <w:top w:val="none" w:sz="0" w:space="0" w:color="auto"/>
        <w:left w:val="none" w:sz="0" w:space="0" w:color="auto"/>
        <w:bottom w:val="none" w:sz="0" w:space="0" w:color="auto"/>
        <w:right w:val="none" w:sz="0" w:space="0" w:color="auto"/>
      </w:divBdr>
    </w:div>
    <w:div w:id="706762516">
      <w:marLeft w:val="0"/>
      <w:marRight w:val="0"/>
      <w:marTop w:val="180"/>
      <w:marBottom w:val="180"/>
      <w:divBdr>
        <w:top w:val="none" w:sz="0" w:space="0" w:color="auto"/>
        <w:left w:val="none" w:sz="0" w:space="0" w:color="auto"/>
        <w:bottom w:val="none" w:sz="0" w:space="0" w:color="auto"/>
        <w:right w:val="none" w:sz="0" w:space="0" w:color="auto"/>
      </w:divBdr>
    </w:div>
    <w:div w:id="710425376">
      <w:marLeft w:val="0"/>
      <w:marRight w:val="0"/>
      <w:marTop w:val="120"/>
      <w:marBottom w:val="120"/>
      <w:divBdr>
        <w:top w:val="none" w:sz="0" w:space="0" w:color="auto"/>
        <w:left w:val="none" w:sz="0" w:space="0" w:color="auto"/>
        <w:bottom w:val="none" w:sz="0" w:space="0" w:color="auto"/>
        <w:right w:val="none" w:sz="0" w:space="0" w:color="auto"/>
      </w:divBdr>
    </w:div>
    <w:div w:id="711609753">
      <w:marLeft w:val="0"/>
      <w:marRight w:val="0"/>
      <w:marTop w:val="180"/>
      <w:marBottom w:val="0"/>
      <w:divBdr>
        <w:top w:val="none" w:sz="0" w:space="0" w:color="auto"/>
        <w:left w:val="none" w:sz="0" w:space="0" w:color="auto"/>
        <w:bottom w:val="none" w:sz="0" w:space="0" w:color="auto"/>
        <w:right w:val="none" w:sz="0" w:space="0" w:color="auto"/>
      </w:divBdr>
    </w:div>
    <w:div w:id="713701034">
      <w:marLeft w:val="0"/>
      <w:marRight w:val="0"/>
      <w:marTop w:val="240"/>
      <w:marBottom w:val="0"/>
      <w:divBdr>
        <w:top w:val="none" w:sz="0" w:space="0" w:color="auto"/>
        <w:left w:val="none" w:sz="0" w:space="0" w:color="auto"/>
        <w:bottom w:val="none" w:sz="0" w:space="0" w:color="auto"/>
        <w:right w:val="none" w:sz="0" w:space="0" w:color="auto"/>
      </w:divBdr>
    </w:div>
    <w:div w:id="714161470">
      <w:marLeft w:val="0"/>
      <w:marRight w:val="0"/>
      <w:marTop w:val="120"/>
      <w:marBottom w:val="0"/>
      <w:divBdr>
        <w:top w:val="none" w:sz="0" w:space="0" w:color="auto"/>
        <w:left w:val="none" w:sz="0" w:space="0" w:color="auto"/>
        <w:bottom w:val="none" w:sz="0" w:space="0" w:color="auto"/>
        <w:right w:val="none" w:sz="0" w:space="0" w:color="auto"/>
      </w:divBdr>
    </w:div>
    <w:div w:id="716706536">
      <w:marLeft w:val="0"/>
      <w:marRight w:val="0"/>
      <w:marTop w:val="180"/>
      <w:marBottom w:val="0"/>
      <w:divBdr>
        <w:top w:val="none" w:sz="0" w:space="0" w:color="auto"/>
        <w:left w:val="none" w:sz="0" w:space="0" w:color="auto"/>
        <w:bottom w:val="none" w:sz="0" w:space="0" w:color="auto"/>
        <w:right w:val="none" w:sz="0" w:space="0" w:color="auto"/>
      </w:divBdr>
    </w:div>
    <w:div w:id="717239521">
      <w:marLeft w:val="0"/>
      <w:marRight w:val="0"/>
      <w:marTop w:val="180"/>
      <w:marBottom w:val="0"/>
      <w:divBdr>
        <w:top w:val="none" w:sz="0" w:space="0" w:color="auto"/>
        <w:left w:val="none" w:sz="0" w:space="0" w:color="auto"/>
        <w:bottom w:val="none" w:sz="0" w:space="0" w:color="auto"/>
        <w:right w:val="none" w:sz="0" w:space="0" w:color="auto"/>
      </w:divBdr>
    </w:div>
    <w:div w:id="717509509">
      <w:marLeft w:val="0"/>
      <w:marRight w:val="0"/>
      <w:marTop w:val="0"/>
      <w:marBottom w:val="0"/>
      <w:divBdr>
        <w:top w:val="none" w:sz="0" w:space="0" w:color="auto"/>
        <w:left w:val="none" w:sz="0" w:space="0" w:color="auto"/>
        <w:bottom w:val="none" w:sz="0" w:space="0" w:color="auto"/>
        <w:right w:val="none" w:sz="0" w:space="0" w:color="auto"/>
      </w:divBdr>
      <w:divsChild>
        <w:div w:id="1500733381">
          <w:marLeft w:val="0"/>
          <w:marRight w:val="0"/>
          <w:marTop w:val="0"/>
          <w:marBottom w:val="0"/>
          <w:divBdr>
            <w:top w:val="none" w:sz="0" w:space="0" w:color="auto"/>
            <w:left w:val="none" w:sz="0" w:space="0" w:color="auto"/>
            <w:bottom w:val="none" w:sz="0" w:space="0" w:color="auto"/>
            <w:right w:val="none" w:sz="0" w:space="0" w:color="auto"/>
          </w:divBdr>
          <w:divsChild>
            <w:div w:id="12479565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2489667">
      <w:marLeft w:val="0"/>
      <w:marRight w:val="0"/>
      <w:marTop w:val="180"/>
      <w:marBottom w:val="120"/>
      <w:divBdr>
        <w:top w:val="none" w:sz="0" w:space="0" w:color="auto"/>
        <w:left w:val="none" w:sz="0" w:space="0" w:color="auto"/>
        <w:bottom w:val="none" w:sz="0" w:space="0" w:color="auto"/>
        <w:right w:val="none" w:sz="0" w:space="0" w:color="auto"/>
      </w:divBdr>
    </w:div>
    <w:div w:id="724840643">
      <w:marLeft w:val="0"/>
      <w:marRight w:val="0"/>
      <w:marTop w:val="0"/>
      <w:marBottom w:val="0"/>
      <w:divBdr>
        <w:top w:val="none" w:sz="0" w:space="0" w:color="auto"/>
        <w:left w:val="none" w:sz="0" w:space="0" w:color="auto"/>
        <w:bottom w:val="none" w:sz="0" w:space="0" w:color="auto"/>
        <w:right w:val="none" w:sz="0" w:space="0" w:color="auto"/>
      </w:divBdr>
      <w:divsChild>
        <w:div w:id="1003164494">
          <w:marLeft w:val="0"/>
          <w:marRight w:val="0"/>
          <w:marTop w:val="180"/>
          <w:marBottom w:val="0"/>
          <w:divBdr>
            <w:top w:val="none" w:sz="0" w:space="0" w:color="auto"/>
            <w:left w:val="none" w:sz="0" w:space="0" w:color="auto"/>
            <w:bottom w:val="none" w:sz="0" w:space="0" w:color="auto"/>
            <w:right w:val="none" w:sz="0" w:space="0" w:color="auto"/>
          </w:divBdr>
        </w:div>
      </w:divsChild>
    </w:div>
    <w:div w:id="730152702">
      <w:marLeft w:val="0"/>
      <w:marRight w:val="0"/>
      <w:marTop w:val="0"/>
      <w:marBottom w:val="0"/>
      <w:divBdr>
        <w:top w:val="none" w:sz="0" w:space="0" w:color="auto"/>
        <w:left w:val="none" w:sz="0" w:space="0" w:color="auto"/>
        <w:bottom w:val="none" w:sz="0" w:space="0" w:color="auto"/>
        <w:right w:val="none" w:sz="0" w:space="0" w:color="auto"/>
      </w:divBdr>
      <w:divsChild>
        <w:div w:id="209540263">
          <w:marLeft w:val="0"/>
          <w:marRight w:val="0"/>
          <w:marTop w:val="0"/>
          <w:marBottom w:val="0"/>
          <w:divBdr>
            <w:top w:val="none" w:sz="0" w:space="0" w:color="auto"/>
            <w:left w:val="none" w:sz="0" w:space="0" w:color="auto"/>
            <w:bottom w:val="none" w:sz="0" w:space="0" w:color="auto"/>
            <w:right w:val="none" w:sz="0" w:space="0" w:color="auto"/>
          </w:divBdr>
          <w:divsChild>
            <w:div w:id="20796709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30351165">
      <w:marLeft w:val="0"/>
      <w:marRight w:val="0"/>
      <w:marTop w:val="180"/>
      <w:marBottom w:val="0"/>
      <w:divBdr>
        <w:top w:val="none" w:sz="0" w:space="0" w:color="auto"/>
        <w:left w:val="none" w:sz="0" w:space="0" w:color="auto"/>
        <w:bottom w:val="none" w:sz="0" w:space="0" w:color="auto"/>
        <w:right w:val="none" w:sz="0" w:space="0" w:color="auto"/>
      </w:divBdr>
    </w:div>
    <w:div w:id="730420886">
      <w:marLeft w:val="0"/>
      <w:marRight w:val="0"/>
      <w:marTop w:val="180"/>
      <w:marBottom w:val="0"/>
      <w:divBdr>
        <w:top w:val="none" w:sz="0" w:space="0" w:color="auto"/>
        <w:left w:val="none" w:sz="0" w:space="0" w:color="auto"/>
        <w:bottom w:val="none" w:sz="0" w:space="0" w:color="auto"/>
        <w:right w:val="none" w:sz="0" w:space="0" w:color="auto"/>
      </w:divBdr>
    </w:div>
    <w:div w:id="730426320">
      <w:marLeft w:val="0"/>
      <w:marRight w:val="0"/>
      <w:marTop w:val="240"/>
      <w:marBottom w:val="0"/>
      <w:divBdr>
        <w:top w:val="none" w:sz="0" w:space="0" w:color="auto"/>
        <w:left w:val="none" w:sz="0" w:space="0" w:color="auto"/>
        <w:bottom w:val="none" w:sz="0" w:space="0" w:color="auto"/>
        <w:right w:val="none" w:sz="0" w:space="0" w:color="auto"/>
      </w:divBdr>
    </w:div>
    <w:div w:id="735510599">
      <w:marLeft w:val="0"/>
      <w:marRight w:val="0"/>
      <w:marTop w:val="180"/>
      <w:marBottom w:val="0"/>
      <w:divBdr>
        <w:top w:val="none" w:sz="0" w:space="0" w:color="auto"/>
        <w:left w:val="none" w:sz="0" w:space="0" w:color="auto"/>
        <w:bottom w:val="none" w:sz="0" w:space="0" w:color="auto"/>
        <w:right w:val="none" w:sz="0" w:space="0" w:color="auto"/>
      </w:divBdr>
    </w:div>
    <w:div w:id="739861820">
      <w:marLeft w:val="0"/>
      <w:marRight w:val="0"/>
      <w:marTop w:val="120"/>
      <w:marBottom w:val="0"/>
      <w:divBdr>
        <w:top w:val="none" w:sz="0" w:space="0" w:color="auto"/>
        <w:left w:val="none" w:sz="0" w:space="0" w:color="auto"/>
        <w:bottom w:val="none" w:sz="0" w:space="0" w:color="auto"/>
        <w:right w:val="none" w:sz="0" w:space="0" w:color="auto"/>
      </w:divBdr>
    </w:div>
    <w:div w:id="740636341">
      <w:marLeft w:val="0"/>
      <w:marRight w:val="0"/>
      <w:marTop w:val="0"/>
      <w:marBottom w:val="0"/>
      <w:divBdr>
        <w:top w:val="none" w:sz="0" w:space="0" w:color="auto"/>
        <w:left w:val="none" w:sz="0" w:space="0" w:color="auto"/>
        <w:bottom w:val="none" w:sz="0" w:space="0" w:color="auto"/>
        <w:right w:val="none" w:sz="0" w:space="0" w:color="auto"/>
      </w:divBdr>
      <w:divsChild>
        <w:div w:id="1774133345">
          <w:marLeft w:val="0"/>
          <w:marRight w:val="0"/>
          <w:marTop w:val="180"/>
          <w:marBottom w:val="0"/>
          <w:divBdr>
            <w:top w:val="none" w:sz="0" w:space="0" w:color="auto"/>
            <w:left w:val="none" w:sz="0" w:space="0" w:color="auto"/>
            <w:bottom w:val="none" w:sz="0" w:space="0" w:color="auto"/>
            <w:right w:val="none" w:sz="0" w:space="0" w:color="auto"/>
          </w:divBdr>
        </w:div>
      </w:divsChild>
    </w:div>
    <w:div w:id="747578881">
      <w:marLeft w:val="0"/>
      <w:marRight w:val="0"/>
      <w:marTop w:val="0"/>
      <w:marBottom w:val="100"/>
      <w:divBdr>
        <w:top w:val="none" w:sz="0" w:space="0" w:color="auto"/>
        <w:left w:val="none" w:sz="0" w:space="0" w:color="auto"/>
        <w:bottom w:val="none" w:sz="0" w:space="0" w:color="auto"/>
        <w:right w:val="none" w:sz="0" w:space="0" w:color="auto"/>
      </w:divBdr>
    </w:div>
    <w:div w:id="749037310">
      <w:marLeft w:val="0"/>
      <w:marRight w:val="0"/>
      <w:marTop w:val="180"/>
      <w:marBottom w:val="0"/>
      <w:divBdr>
        <w:top w:val="none" w:sz="0" w:space="0" w:color="auto"/>
        <w:left w:val="none" w:sz="0" w:space="0" w:color="auto"/>
        <w:bottom w:val="none" w:sz="0" w:space="0" w:color="auto"/>
        <w:right w:val="none" w:sz="0" w:space="0" w:color="auto"/>
      </w:divBdr>
    </w:div>
    <w:div w:id="750391689">
      <w:marLeft w:val="0"/>
      <w:marRight w:val="0"/>
      <w:marTop w:val="180"/>
      <w:marBottom w:val="0"/>
      <w:divBdr>
        <w:top w:val="none" w:sz="0" w:space="0" w:color="auto"/>
        <w:left w:val="none" w:sz="0" w:space="0" w:color="auto"/>
        <w:bottom w:val="none" w:sz="0" w:space="0" w:color="auto"/>
        <w:right w:val="none" w:sz="0" w:space="0" w:color="auto"/>
      </w:divBdr>
    </w:div>
    <w:div w:id="750541687">
      <w:marLeft w:val="0"/>
      <w:marRight w:val="0"/>
      <w:marTop w:val="180"/>
      <w:marBottom w:val="0"/>
      <w:divBdr>
        <w:top w:val="none" w:sz="0" w:space="0" w:color="auto"/>
        <w:left w:val="none" w:sz="0" w:space="0" w:color="auto"/>
        <w:bottom w:val="none" w:sz="0" w:space="0" w:color="auto"/>
        <w:right w:val="none" w:sz="0" w:space="0" w:color="auto"/>
      </w:divBdr>
    </w:div>
    <w:div w:id="752162443">
      <w:marLeft w:val="0"/>
      <w:marRight w:val="0"/>
      <w:marTop w:val="0"/>
      <w:marBottom w:val="0"/>
      <w:divBdr>
        <w:top w:val="none" w:sz="0" w:space="0" w:color="auto"/>
        <w:left w:val="none" w:sz="0" w:space="0" w:color="auto"/>
        <w:bottom w:val="none" w:sz="0" w:space="0" w:color="auto"/>
        <w:right w:val="none" w:sz="0" w:space="0" w:color="auto"/>
      </w:divBdr>
    </w:div>
    <w:div w:id="761101097">
      <w:marLeft w:val="0"/>
      <w:marRight w:val="0"/>
      <w:marTop w:val="240"/>
      <w:marBottom w:val="0"/>
      <w:divBdr>
        <w:top w:val="none" w:sz="0" w:space="0" w:color="auto"/>
        <w:left w:val="none" w:sz="0" w:space="0" w:color="auto"/>
        <w:bottom w:val="none" w:sz="0" w:space="0" w:color="auto"/>
        <w:right w:val="none" w:sz="0" w:space="0" w:color="auto"/>
      </w:divBdr>
    </w:div>
    <w:div w:id="761414445">
      <w:marLeft w:val="0"/>
      <w:marRight w:val="0"/>
      <w:marTop w:val="180"/>
      <w:marBottom w:val="0"/>
      <w:divBdr>
        <w:top w:val="none" w:sz="0" w:space="0" w:color="auto"/>
        <w:left w:val="none" w:sz="0" w:space="0" w:color="auto"/>
        <w:bottom w:val="none" w:sz="0" w:space="0" w:color="auto"/>
        <w:right w:val="none" w:sz="0" w:space="0" w:color="auto"/>
      </w:divBdr>
    </w:div>
    <w:div w:id="764496152">
      <w:marLeft w:val="0"/>
      <w:marRight w:val="0"/>
      <w:marTop w:val="180"/>
      <w:marBottom w:val="0"/>
      <w:divBdr>
        <w:top w:val="none" w:sz="0" w:space="0" w:color="auto"/>
        <w:left w:val="none" w:sz="0" w:space="0" w:color="auto"/>
        <w:bottom w:val="none" w:sz="0" w:space="0" w:color="auto"/>
        <w:right w:val="none" w:sz="0" w:space="0" w:color="auto"/>
      </w:divBdr>
    </w:div>
    <w:div w:id="765811506">
      <w:marLeft w:val="0"/>
      <w:marRight w:val="0"/>
      <w:marTop w:val="180"/>
      <w:marBottom w:val="120"/>
      <w:divBdr>
        <w:top w:val="none" w:sz="0" w:space="0" w:color="auto"/>
        <w:left w:val="none" w:sz="0" w:space="0" w:color="auto"/>
        <w:bottom w:val="none" w:sz="0" w:space="0" w:color="auto"/>
        <w:right w:val="none" w:sz="0" w:space="0" w:color="auto"/>
      </w:divBdr>
    </w:div>
    <w:div w:id="768811254">
      <w:marLeft w:val="0"/>
      <w:marRight w:val="0"/>
      <w:marTop w:val="0"/>
      <w:marBottom w:val="0"/>
      <w:divBdr>
        <w:top w:val="none" w:sz="0" w:space="0" w:color="auto"/>
        <w:left w:val="none" w:sz="0" w:space="0" w:color="auto"/>
        <w:bottom w:val="none" w:sz="0" w:space="0" w:color="auto"/>
        <w:right w:val="none" w:sz="0" w:space="0" w:color="auto"/>
      </w:divBdr>
      <w:divsChild>
        <w:div w:id="761797215">
          <w:marLeft w:val="0"/>
          <w:marRight w:val="0"/>
          <w:marTop w:val="180"/>
          <w:marBottom w:val="0"/>
          <w:divBdr>
            <w:top w:val="none" w:sz="0" w:space="0" w:color="auto"/>
            <w:left w:val="none" w:sz="0" w:space="0" w:color="auto"/>
            <w:bottom w:val="none" w:sz="0" w:space="0" w:color="auto"/>
            <w:right w:val="none" w:sz="0" w:space="0" w:color="auto"/>
          </w:divBdr>
        </w:div>
      </w:divsChild>
    </w:div>
    <w:div w:id="772549902">
      <w:marLeft w:val="0"/>
      <w:marRight w:val="0"/>
      <w:marTop w:val="240"/>
      <w:marBottom w:val="0"/>
      <w:divBdr>
        <w:top w:val="none" w:sz="0" w:space="0" w:color="auto"/>
        <w:left w:val="none" w:sz="0" w:space="0" w:color="auto"/>
        <w:bottom w:val="none" w:sz="0" w:space="0" w:color="auto"/>
        <w:right w:val="none" w:sz="0" w:space="0" w:color="auto"/>
      </w:divBdr>
    </w:div>
    <w:div w:id="775247100">
      <w:marLeft w:val="0"/>
      <w:marRight w:val="0"/>
      <w:marTop w:val="180"/>
      <w:marBottom w:val="0"/>
      <w:divBdr>
        <w:top w:val="none" w:sz="0" w:space="0" w:color="auto"/>
        <w:left w:val="none" w:sz="0" w:space="0" w:color="auto"/>
        <w:bottom w:val="none" w:sz="0" w:space="0" w:color="auto"/>
        <w:right w:val="none" w:sz="0" w:space="0" w:color="auto"/>
      </w:divBdr>
    </w:div>
    <w:div w:id="775832167">
      <w:marLeft w:val="0"/>
      <w:marRight w:val="0"/>
      <w:marTop w:val="180"/>
      <w:marBottom w:val="120"/>
      <w:divBdr>
        <w:top w:val="none" w:sz="0" w:space="0" w:color="auto"/>
        <w:left w:val="none" w:sz="0" w:space="0" w:color="auto"/>
        <w:bottom w:val="none" w:sz="0" w:space="0" w:color="auto"/>
        <w:right w:val="none" w:sz="0" w:space="0" w:color="auto"/>
      </w:divBdr>
      <w:divsChild>
        <w:div w:id="849412551">
          <w:marLeft w:val="0"/>
          <w:marRight w:val="0"/>
          <w:marTop w:val="100"/>
          <w:marBottom w:val="100"/>
          <w:divBdr>
            <w:top w:val="none" w:sz="0" w:space="0" w:color="auto"/>
            <w:left w:val="none" w:sz="0" w:space="0" w:color="auto"/>
            <w:bottom w:val="none" w:sz="0" w:space="0" w:color="auto"/>
            <w:right w:val="none" w:sz="0" w:space="0" w:color="auto"/>
          </w:divBdr>
        </w:div>
      </w:divsChild>
    </w:div>
    <w:div w:id="776099616">
      <w:marLeft w:val="0"/>
      <w:marRight w:val="0"/>
      <w:marTop w:val="0"/>
      <w:marBottom w:val="0"/>
      <w:divBdr>
        <w:top w:val="none" w:sz="0" w:space="0" w:color="auto"/>
        <w:left w:val="none" w:sz="0" w:space="0" w:color="auto"/>
        <w:bottom w:val="none" w:sz="0" w:space="0" w:color="auto"/>
        <w:right w:val="none" w:sz="0" w:space="0" w:color="auto"/>
      </w:divBdr>
      <w:divsChild>
        <w:div w:id="2028558070">
          <w:marLeft w:val="0"/>
          <w:marRight w:val="0"/>
          <w:marTop w:val="0"/>
          <w:marBottom w:val="0"/>
          <w:divBdr>
            <w:top w:val="none" w:sz="0" w:space="0" w:color="auto"/>
            <w:left w:val="none" w:sz="0" w:space="0" w:color="auto"/>
            <w:bottom w:val="none" w:sz="0" w:space="0" w:color="auto"/>
            <w:right w:val="none" w:sz="0" w:space="0" w:color="auto"/>
          </w:divBdr>
          <w:divsChild>
            <w:div w:id="12784402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7212305">
      <w:marLeft w:val="0"/>
      <w:marRight w:val="0"/>
      <w:marTop w:val="180"/>
      <w:marBottom w:val="0"/>
      <w:divBdr>
        <w:top w:val="none" w:sz="0" w:space="0" w:color="auto"/>
        <w:left w:val="none" w:sz="0" w:space="0" w:color="auto"/>
        <w:bottom w:val="none" w:sz="0" w:space="0" w:color="auto"/>
        <w:right w:val="none" w:sz="0" w:space="0" w:color="auto"/>
      </w:divBdr>
    </w:div>
    <w:div w:id="777408892">
      <w:marLeft w:val="0"/>
      <w:marRight w:val="0"/>
      <w:marTop w:val="180"/>
      <w:marBottom w:val="0"/>
      <w:divBdr>
        <w:top w:val="none" w:sz="0" w:space="0" w:color="auto"/>
        <w:left w:val="none" w:sz="0" w:space="0" w:color="auto"/>
        <w:bottom w:val="none" w:sz="0" w:space="0" w:color="auto"/>
        <w:right w:val="none" w:sz="0" w:space="0" w:color="auto"/>
      </w:divBdr>
    </w:div>
    <w:div w:id="780882567">
      <w:marLeft w:val="0"/>
      <w:marRight w:val="0"/>
      <w:marTop w:val="180"/>
      <w:marBottom w:val="0"/>
      <w:divBdr>
        <w:top w:val="none" w:sz="0" w:space="0" w:color="auto"/>
        <w:left w:val="none" w:sz="0" w:space="0" w:color="auto"/>
        <w:bottom w:val="none" w:sz="0" w:space="0" w:color="auto"/>
        <w:right w:val="none" w:sz="0" w:space="0" w:color="auto"/>
      </w:divBdr>
    </w:div>
    <w:div w:id="783233304">
      <w:marLeft w:val="0"/>
      <w:marRight w:val="0"/>
      <w:marTop w:val="180"/>
      <w:marBottom w:val="0"/>
      <w:divBdr>
        <w:top w:val="none" w:sz="0" w:space="0" w:color="auto"/>
        <w:left w:val="none" w:sz="0" w:space="0" w:color="auto"/>
        <w:bottom w:val="none" w:sz="0" w:space="0" w:color="auto"/>
        <w:right w:val="none" w:sz="0" w:space="0" w:color="auto"/>
      </w:divBdr>
    </w:div>
    <w:div w:id="784736767">
      <w:marLeft w:val="0"/>
      <w:marRight w:val="0"/>
      <w:marTop w:val="180"/>
      <w:marBottom w:val="0"/>
      <w:divBdr>
        <w:top w:val="none" w:sz="0" w:space="0" w:color="auto"/>
        <w:left w:val="none" w:sz="0" w:space="0" w:color="auto"/>
        <w:bottom w:val="none" w:sz="0" w:space="0" w:color="auto"/>
        <w:right w:val="none" w:sz="0" w:space="0" w:color="auto"/>
      </w:divBdr>
    </w:div>
    <w:div w:id="787047365">
      <w:marLeft w:val="0"/>
      <w:marRight w:val="0"/>
      <w:marTop w:val="180"/>
      <w:marBottom w:val="0"/>
      <w:divBdr>
        <w:top w:val="none" w:sz="0" w:space="0" w:color="auto"/>
        <w:left w:val="none" w:sz="0" w:space="0" w:color="auto"/>
        <w:bottom w:val="none" w:sz="0" w:space="0" w:color="auto"/>
        <w:right w:val="none" w:sz="0" w:space="0" w:color="auto"/>
      </w:divBdr>
    </w:div>
    <w:div w:id="787430040">
      <w:marLeft w:val="0"/>
      <w:marRight w:val="0"/>
      <w:marTop w:val="120"/>
      <w:marBottom w:val="0"/>
      <w:divBdr>
        <w:top w:val="none" w:sz="0" w:space="0" w:color="auto"/>
        <w:left w:val="none" w:sz="0" w:space="0" w:color="auto"/>
        <w:bottom w:val="none" w:sz="0" w:space="0" w:color="auto"/>
        <w:right w:val="none" w:sz="0" w:space="0" w:color="auto"/>
      </w:divBdr>
    </w:div>
    <w:div w:id="788160551">
      <w:marLeft w:val="0"/>
      <w:marRight w:val="0"/>
      <w:marTop w:val="0"/>
      <w:marBottom w:val="0"/>
      <w:divBdr>
        <w:top w:val="none" w:sz="0" w:space="0" w:color="auto"/>
        <w:left w:val="none" w:sz="0" w:space="0" w:color="auto"/>
        <w:bottom w:val="none" w:sz="0" w:space="0" w:color="auto"/>
        <w:right w:val="none" w:sz="0" w:space="0" w:color="auto"/>
      </w:divBdr>
    </w:div>
    <w:div w:id="791051151">
      <w:marLeft w:val="0"/>
      <w:marRight w:val="0"/>
      <w:marTop w:val="180"/>
      <w:marBottom w:val="0"/>
      <w:divBdr>
        <w:top w:val="none" w:sz="0" w:space="0" w:color="auto"/>
        <w:left w:val="none" w:sz="0" w:space="0" w:color="auto"/>
        <w:bottom w:val="none" w:sz="0" w:space="0" w:color="auto"/>
        <w:right w:val="none" w:sz="0" w:space="0" w:color="auto"/>
      </w:divBdr>
    </w:div>
    <w:div w:id="794449006">
      <w:marLeft w:val="0"/>
      <w:marRight w:val="0"/>
      <w:marTop w:val="180"/>
      <w:marBottom w:val="0"/>
      <w:divBdr>
        <w:top w:val="none" w:sz="0" w:space="0" w:color="auto"/>
        <w:left w:val="none" w:sz="0" w:space="0" w:color="auto"/>
        <w:bottom w:val="none" w:sz="0" w:space="0" w:color="auto"/>
        <w:right w:val="none" w:sz="0" w:space="0" w:color="auto"/>
      </w:divBdr>
    </w:div>
    <w:div w:id="796601466">
      <w:marLeft w:val="0"/>
      <w:marRight w:val="0"/>
      <w:marTop w:val="180"/>
      <w:marBottom w:val="0"/>
      <w:divBdr>
        <w:top w:val="none" w:sz="0" w:space="0" w:color="auto"/>
        <w:left w:val="none" w:sz="0" w:space="0" w:color="auto"/>
        <w:bottom w:val="none" w:sz="0" w:space="0" w:color="auto"/>
        <w:right w:val="none" w:sz="0" w:space="0" w:color="auto"/>
      </w:divBdr>
    </w:div>
    <w:div w:id="799104899">
      <w:marLeft w:val="0"/>
      <w:marRight w:val="0"/>
      <w:marTop w:val="0"/>
      <w:marBottom w:val="0"/>
      <w:divBdr>
        <w:top w:val="none" w:sz="0" w:space="0" w:color="auto"/>
        <w:left w:val="none" w:sz="0" w:space="0" w:color="auto"/>
        <w:bottom w:val="none" w:sz="0" w:space="0" w:color="auto"/>
        <w:right w:val="none" w:sz="0" w:space="0" w:color="auto"/>
      </w:divBdr>
      <w:divsChild>
        <w:div w:id="1122651102">
          <w:marLeft w:val="0"/>
          <w:marRight w:val="0"/>
          <w:marTop w:val="0"/>
          <w:marBottom w:val="0"/>
          <w:divBdr>
            <w:top w:val="none" w:sz="0" w:space="0" w:color="auto"/>
            <w:left w:val="none" w:sz="0" w:space="0" w:color="auto"/>
            <w:bottom w:val="none" w:sz="0" w:space="0" w:color="auto"/>
            <w:right w:val="none" w:sz="0" w:space="0" w:color="auto"/>
          </w:divBdr>
          <w:divsChild>
            <w:div w:id="12933689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9422483">
      <w:marLeft w:val="0"/>
      <w:marRight w:val="0"/>
      <w:marTop w:val="180"/>
      <w:marBottom w:val="0"/>
      <w:divBdr>
        <w:top w:val="none" w:sz="0" w:space="0" w:color="auto"/>
        <w:left w:val="none" w:sz="0" w:space="0" w:color="auto"/>
        <w:bottom w:val="none" w:sz="0" w:space="0" w:color="auto"/>
        <w:right w:val="none" w:sz="0" w:space="0" w:color="auto"/>
      </w:divBdr>
    </w:div>
    <w:div w:id="799687080">
      <w:marLeft w:val="0"/>
      <w:marRight w:val="0"/>
      <w:marTop w:val="0"/>
      <w:marBottom w:val="0"/>
      <w:divBdr>
        <w:top w:val="none" w:sz="0" w:space="0" w:color="auto"/>
        <w:left w:val="none" w:sz="0" w:space="0" w:color="auto"/>
        <w:bottom w:val="none" w:sz="0" w:space="0" w:color="auto"/>
        <w:right w:val="none" w:sz="0" w:space="0" w:color="auto"/>
      </w:divBdr>
      <w:divsChild>
        <w:div w:id="968053033">
          <w:marLeft w:val="0"/>
          <w:marRight w:val="0"/>
          <w:marTop w:val="0"/>
          <w:marBottom w:val="0"/>
          <w:divBdr>
            <w:top w:val="none" w:sz="0" w:space="0" w:color="auto"/>
            <w:left w:val="none" w:sz="0" w:space="0" w:color="auto"/>
            <w:bottom w:val="none" w:sz="0" w:space="0" w:color="auto"/>
            <w:right w:val="none" w:sz="0" w:space="0" w:color="auto"/>
          </w:divBdr>
        </w:div>
      </w:divsChild>
    </w:div>
    <w:div w:id="803542595">
      <w:marLeft w:val="0"/>
      <w:marRight w:val="0"/>
      <w:marTop w:val="0"/>
      <w:marBottom w:val="0"/>
      <w:divBdr>
        <w:top w:val="none" w:sz="0" w:space="0" w:color="auto"/>
        <w:left w:val="none" w:sz="0" w:space="0" w:color="auto"/>
        <w:bottom w:val="none" w:sz="0" w:space="0" w:color="auto"/>
        <w:right w:val="none" w:sz="0" w:space="0" w:color="auto"/>
      </w:divBdr>
      <w:divsChild>
        <w:div w:id="944966388">
          <w:marLeft w:val="0"/>
          <w:marRight w:val="0"/>
          <w:marTop w:val="180"/>
          <w:marBottom w:val="0"/>
          <w:divBdr>
            <w:top w:val="none" w:sz="0" w:space="0" w:color="auto"/>
            <w:left w:val="none" w:sz="0" w:space="0" w:color="auto"/>
            <w:bottom w:val="none" w:sz="0" w:space="0" w:color="auto"/>
            <w:right w:val="none" w:sz="0" w:space="0" w:color="auto"/>
          </w:divBdr>
        </w:div>
      </w:divsChild>
    </w:div>
    <w:div w:id="807548676">
      <w:marLeft w:val="0"/>
      <w:marRight w:val="0"/>
      <w:marTop w:val="180"/>
      <w:marBottom w:val="0"/>
      <w:divBdr>
        <w:top w:val="none" w:sz="0" w:space="0" w:color="auto"/>
        <w:left w:val="none" w:sz="0" w:space="0" w:color="auto"/>
        <w:bottom w:val="none" w:sz="0" w:space="0" w:color="auto"/>
        <w:right w:val="none" w:sz="0" w:space="0" w:color="auto"/>
      </w:divBdr>
    </w:div>
    <w:div w:id="809253280">
      <w:marLeft w:val="0"/>
      <w:marRight w:val="0"/>
      <w:marTop w:val="180"/>
      <w:marBottom w:val="0"/>
      <w:divBdr>
        <w:top w:val="none" w:sz="0" w:space="0" w:color="auto"/>
        <w:left w:val="none" w:sz="0" w:space="0" w:color="auto"/>
        <w:bottom w:val="none" w:sz="0" w:space="0" w:color="auto"/>
        <w:right w:val="none" w:sz="0" w:space="0" w:color="auto"/>
      </w:divBdr>
    </w:div>
    <w:div w:id="809514123">
      <w:marLeft w:val="0"/>
      <w:marRight w:val="0"/>
      <w:marTop w:val="180"/>
      <w:marBottom w:val="0"/>
      <w:divBdr>
        <w:top w:val="none" w:sz="0" w:space="0" w:color="auto"/>
        <w:left w:val="none" w:sz="0" w:space="0" w:color="auto"/>
        <w:bottom w:val="none" w:sz="0" w:space="0" w:color="auto"/>
        <w:right w:val="none" w:sz="0" w:space="0" w:color="auto"/>
      </w:divBdr>
    </w:div>
    <w:div w:id="814563748">
      <w:marLeft w:val="0"/>
      <w:marRight w:val="0"/>
      <w:marTop w:val="240"/>
      <w:marBottom w:val="0"/>
      <w:divBdr>
        <w:top w:val="none" w:sz="0" w:space="0" w:color="auto"/>
        <w:left w:val="none" w:sz="0" w:space="0" w:color="auto"/>
        <w:bottom w:val="none" w:sz="0" w:space="0" w:color="auto"/>
        <w:right w:val="none" w:sz="0" w:space="0" w:color="auto"/>
      </w:divBdr>
    </w:div>
    <w:div w:id="816918836">
      <w:marLeft w:val="0"/>
      <w:marRight w:val="0"/>
      <w:marTop w:val="180"/>
      <w:marBottom w:val="0"/>
      <w:divBdr>
        <w:top w:val="none" w:sz="0" w:space="0" w:color="auto"/>
        <w:left w:val="none" w:sz="0" w:space="0" w:color="auto"/>
        <w:bottom w:val="none" w:sz="0" w:space="0" w:color="auto"/>
        <w:right w:val="none" w:sz="0" w:space="0" w:color="auto"/>
      </w:divBdr>
    </w:div>
    <w:div w:id="816996224">
      <w:marLeft w:val="0"/>
      <w:marRight w:val="0"/>
      <w:marTop w:val="180"/>
      <w:marBottom w:val="0"/>
      <w:divBdr>
        <w:top w:val="none" w:sz="0" w:space="0" w:color="auto"/>
        <w:left w:val="none" w:sz="0" w:space="0" w:color="auto"/>
        <w:bottom w:val="none" w:sz="0" w:space="0" w:color="auto"/>
        <w:right w:val="none" w:sz="0" w:space="0" w:color="auto"/>
      </w:divBdr>
    </w:div>
    <w:div w:id="818303392">
      <w:marLeft w:val="0"/>
      <w:marRight w:val="0"/>
      <w:marTop w:val="0"/>
      <w:marBottom w:val="0"/>
      <w:divBdr>
        <w:top w:val="none" w:sz="0" w:space="0" w:color="auto"/>
        <w:left w:val="none" w:sz="0" w:space="0" w:color="auto"/>
        <w:bottom w:val="none" w:sz="0" w:space="0" w:color="auto"/>
        <w:right w:val="none" w:sz="0" w:space="0" w:color="auto"/>
      </w:divBdr>
      <w:divsChild>
        <w:div w:id="1679426258">
          <w:marLeft w:val="0"/>
          <w:marRight w:val="0"/>
          <w:marTop w:val="0"/>
          <w:marBottom w:val="0"/>
          <w:divBdr>
            <w:top w:val="none" w:sz="0" w:space="0" w:color="auto"/>
            <w:left w:val="none" w:sz="0" w:space="0" w:color="auto"/>
            <w:bottom w:val="none" w:sz="0" w:space="0" w:color="auto"/>
            <w:right w:val="none" w:sz="0" w:space="0" w:color="auto"/>
          </w:divBdr>
          <w:divsChild>
            <w:div w:id="4794666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0733533">
      <w:marLeft w:val="0"/>
      <w:marRight w:val="0"/>
      <w:marTop w:val="180"/>
      <w:marBottom w:val="120"/>
      <w:divBdr>
        <w:top w:val="none" w:sz="0" w:space="0" w:color="auto"/>
        <w:left w:val="none" w:sz="0" w:space="0" w:color="auto"/>
        <w:bottom w:val="none" w:sz="0" w:space="0" w:color="auto"/>
        <w:right w:val="none" w:sz="0" w:space="0" w:color="auto"/>
      </w:divBdr>
    </w:div>
    <w:div w:id="820929824">
      <w:marLeft w:val="0"/>
      <w:marRight w:val="0"/>
      <w:marTop w:val="180"/>
      <w:marBottom w:val="0"/>
      <w:divBdr>
        <w:top w:val="none" w:sz="0" w:space="0" w:color="auto"/>
        <w:left w:val="none" w:sz="0" w:space="0" w:color="auto"/>
        <w:bottom w:val="none" w:sz="0" w:space="0" w:color="auto"/>
        <w:right w:val="none" w:sz="0" w:space="0" w:color="auto"/>
      </w:divBdr>
    </w:div>
    <w:div w:id="822813375">
      <w:marLeft w:val="0"/>
      <w:marRight w:val="0"/>
      <w:marTop w:val="180"/>
      <w:marBottom w:val="0"/>
      <w:divBdr>
        <w:top w:val="none" w:sz="0" w:space="0" w:color="auto"/>
        <w:left w:val="none" w:sz="0" w:space="0" w:color="auto"/>
        <w:bottom w:val="none" w:sz="0" w:space="0" w:color="auto"/>
        <w:right w:val="none" w:sz="0" w:space="0" w:color="auto"/>
      </w:divBdr>
    </w:div>
    <w:div w:id="824317456">
      <w:marLeft w:val="0"/>
      <w:marRight w:val="0"/>
      <w:marTop w:val="180"/>
      <w:marBottom w:val="0"/>
      <w:divBdr>
        <w:top w:val="none" w:sz="0" w:space="0" w:color="auto"/>
        <w:left w:val="none" w:sz="0" w:space="0" w:color="auto"/>
        <w:bottom w:val="none" w:sz="0" w:space="0" w:color="auto"/>
        <w:right w:val="none" w:sz="0" w:space="0" w:color="auto"/>
      </w:divBdr>
    </w:div>
    <w:div w:id="824930053">
      <w:marLeft w:val="0"/>
      <w:marRight w:val="0"/>
      <w:marTop w:val="180"/>
      <w:marBottom w:val="120"/>
      <w:divBdr>
        <w:top w:val="none" w:sz="0" w:space="0" w:color="auto"/>
        <w:left w:val="none" w:sz="0" w:space="0" w:color="auto"/>
        <w:bottom w:val="none" w:sz="0" w:space="0" w:color="auto"/>
        <w:right w:val="none" w:sz="0" w:space="0" w:color="auto"/>
      </w:divBdr>
    </w:div>
    <w:div w:id="825559141">
      <w:marLeft w:val="0"/>
      <w:marRight w:val="0"/>
      <w:marTop w:val="180"/>
      <w:marBottom w:val="0"/>
      <w:divBdr>
        <w:top w:val="none" w:sz="0" w:space="0" w:color="auto"/>
        <w:left w:val="none" w:sz="0" w:space="0" w:color="auto"/>
        <w:bottom w:val="none" w:sz="0" w:space="0" w:color="auto"/>
        <w:right w:val="none" w:sz="0" w:space="0" w:color="auto"/>
      </w:divBdr>
    </w:div>
    <w:div w:id="825903015">
      <w:marLeft w:val="0"/>
      <w:marRight w:val="0"/>
      <w:marTop w:val="180"/>
      <w:marBottom w:val="0"/>
      <w:divBdr>
        <w:top w:val="none" w:sz="0" w:space="0" w:color="auto"/>
        <w:left w:val="none" w:sz="0" w:space="0" w:color="auto"/>
        <w:bottom w:val="none" w:sz="0" w:space="0" w:color="auto"/>
        <w:right w:val="none" w:sz="0" w:space="0" w:color="auto"/>
      </w:divBdr>
    </w:div>
    <w:div w:id="826168921">
      <w:marLeft w:val="0"/>
      <w:marRight w:val="0"/>
      <w:marTop w:val="0"/>
      <w:marBottom w:val="0"/>
      <w:divBdr>
        <w:top w:val="none" w:sz="0" w:space="0" w:color="auto"/>
        <w:left w:val="none" w:sz="0" w:space="0" w:color="auto"/>
        <w:bottom w:val="none" w:sz="0" w:space="0" w:color="auto"/>
        <w:right w:val="none" w:sz="0" w:space="0" w:color="auto"/>
      </w:divBdr>
      <w:divsChild>
        <w:div w:id="112332065">
          <w:marLeft w:val="0"/>
          <w:marRight w:val="0"/>
          <w:marTop w:val="180"/>
          <w:marBottom w:val="0"/>
          <w:divBdr>
            <w:top w:val="none" w:sz="0" w:space="0" w:color="auto"/>
            <w:left w:val="none" w:sz="0" w:space="0" w:color="auto"/>
            <w:bottom w:val="none" w:sz="0" w:space="0" w:color="auto"/>
            <w:right w:val="none" w:sz="0" w:space="0" w:color="auto"/>
          </w:divBdr>
        </w:div>
      </w:divsChild>
    </w:div>
    <w:div w:id="826441264">
      <w:marLeft w:val="0"/>
      <w:marRight w:val="0"/>
      <w:marTop w:val="240"/>
      <w:marBottom w:val="0"/>
      <w:divBdr>
        <w:top w:val="none" w:sz="0" w:space="0" w:color="auto"/>
        <w:left w:val="none" w:sz="0" w:space="0" w:color="auto"/>
        <w:bottom w:val="none" w:sz="0" w:space="0" w:color="auto"/>
        <w:right w:val="none" w:sz="0" w:space="0" w:color="auto"/>
      </w:divBdr>
    </w:div>
    <w:div w:id="826481878">
      <w:marLeft w:val="0"/>
      <w:marRight w:val="0"/>
      <w:marTop w:val="180"/>
      <w:marBottom w:val="12"/>
      <w:divBdr>
        <w:top w:val="none" w:sz="0" w:space="0" w:color="auto"/>
        <w:left w:val="none" w:sz="0" w:space="0" w:color="auto"/>
        <w:bottom w:val="none" w:sz="0" w:space="0" w:color="auto"/>
        <w:right w:val="none" w:sz="0" w:space="0" w:color="auto"/>
      </w:divBdr>
    </w:div>
    <w:div w:id="828057023">
      <w:marLeft w:val="0"/>
      <w:marRight w:val="0"/>
      <w:marTop w:val="0"/>
      <w:marBottom w:val="0"/>
      <w:divBdr>
        <w:top w:val="none" w:sz="0" w:space="0" w:color="auto"/>
        <w:left w:val="none" w:sz="0" w:space="0" w:color="auto"/>
        <w:bottom w:val="none" w:sz="0" w:space="0" w:color="auto"/>
        <w:right w:val="none" w:sz="0" w:space="0" w:color="auto"/>
      </w:divBdr>
      <w:divsChild>
        <w:div w:id="1839805235">
          <w:marLeft w:val="0"/>
          <w:marRight w:val="0"/>
          <w:marTop w:val="180"/>
          <w:marBottom w:val="0"/>
          <w:divBdr>
            <w:top w:val="none" w:sz="0" w:space="0" w:color="auto"/>
            <w:left w:val="none" w:sz="0" w:space="0" w:color="auto"/>
            <w:bottom w:val="none" w:sz="0" w:space="0" w:color="auto"/>
            <w:right w:val="none" w:sz="0" w:space="0" w:color="auto"/>
          </w:divBdr>
        </w:div>
      </w:divsChild>
    </w:div>
    <w:div w:id="830827939">
      <w:marLeft w:val="0"/>
      <w:marRight w:val="0"/>
      <w:marTop w:val="0"/>
      <w:marBottom w:val="0"/>
      <w:divBdr>
        <w:top w:val="none" w:sz="0" w:space="0" w:color="auto"/>
        <w:left w:val="none" w:sz="0" w:space="0" w:color="auto"/>
        <w:bottom w:val="none" w:sz="0" w:space="0" w:color="auto"/>
        <w:right w:val="none" w:sz="0" w:space="0" w:color="auto"/>
      </w:divBdr>
      <w:divsChild>
        <w:div w:id="721365533">
          <w:marLeft w:val="0"/>
          <w:marRight w:val="0"/>
          <w:marTop w:val="0"/>
          <w:marBottom w:val="0"/>
          <w:divBdr>
            <w:top w:val="none" w:sz="0" w:space="0" w:color="auto"/>
            <w:left w:val="none" w:sz="0" w:space="0" w:color="auto"/>
            <w:bottom w:val="none" w:sz="0" w:space="0" w:color="auto"/>
            <w:right w:val="none" w:sz="0" w:space="0" w:color="auto"/>
          </w:divBdr>
          <w:divsChild>
            <w:div w:id="16502828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32112368">
      <w:marLeft w:val="0"/>
      <w:marRight w:val="0"/>
      <w:marTop w:val="0"/>
      <w:marBottom w:val="340"/>
      <w:divBdr>
        <w:top w:val="none" w:sz="0" w:space="0" w:color="auto"/>
        <w:left w:val="none" w:sz="0" w:space="0" w:color="auto"/>
        <w:bottom w:val="none" w:sz="0" w:space="0" w:color="auto"/>
        <w:right w:val="none" w:sz="0" w:space="0" w:color="auto"/>
      </w:divBdr>
    </w:div>
    <w:div w:id="834683364">
      <w:marLeft w:val="0"/>
      <w:marRight w:val="0"/>
      <w:marTop w:val="180"/>
      <w:marBottom w:val="0"/>
      <w:divBdr>
        <w:top w:val="none" w:sz="0" w:space="0" w:color="auto"/>
        <w:left w:val="none" w:sz="0" w:space="0" w:color="auto"/>
        <w:bottom w:val="none" w:sz="0" w:space="0" w:color="auto"/>
        <w:right w:val="none" w:sz="0" w:space="0" w:color="auto"/>
      </w:divBdr>
    </w:div>
    <w:div w:id="835071858">
      <w:marLeft w:val="0"/>
      <w:marRight w:val="0"/>
      <w:marTop w:val="180"/>
      <w:marBottom w:val="0"/>
      <w:divBdr>
        <w:top w:val="none" w:sz="0" w:space="0" w:color="auto"/>
        <w:left w:val="none" w:sz="0" w:space="0" w:color="auto"/>
        <w:bottom w:val="none" w:sz="0" w:space="0" w:color="auto"/>
        <w:right w:val="none" w:sz="0" w:space="0" w:color="auto"/>
      </w:divBdr>
    </w:div>
    <w:div w:id="838888859">
      <w:marLeft w:val="0"/>
      <w:marRight w:val="0"/>
      <w:marTop w:val="180"/>
      <w:marBottom w:val="0"/>
      <w:divBdr>
        <w:top w:val="none" w:sz="0" w:space="0" w:color="auto"/>
        <w:left w:val="none" w:sz="0" w:space="0" w:color="auto"/>
        <w:bottom w:val="none" w:sz="0" w:space="0" w:color="auto"/>
        <w:right w:val="none" w:sz="0" w:space="0" w:color="auto"/>
      </w:divBdr>
    </w:div>
    <w:div w:id="839661090">
      <w:marLeft w:val="0"/>
      <w:marRight w:val="0"/>
      <w:marTop w:val="180"/>
      <w:marBottom w:val="0"/>
      <w:divBdr>
        <w:top w:val="none" w:sz="0" w:space="0" w:color="auto"/>
        <w:left w:val="none" w:sz="0" w:space="0" w:color="auto"/>
        <w:bottom w:val="none" w:sz="0" w:space="0" w:color="auto"/>
        <w:right w:val="none" w:sz="0" w:space="0" w:color="auto"/>
      </w:divBdr>
    </w:div>
    <w:div w:id="839975711">
      <w:marLeft w:val="0"/>
      <w:marRight w:val="0"/>
      <w:marTop w:val="0"/>
      <w:marBottom w:val="0"/>
      <w:divBdr>
        <w:top w:val="none" w:sz="0" w:space="0" w:color="auto"/>
        <w:left w:val="none" w:sz="0" w:space="0" w:color="auto"/>
        <w:bottom w:val="none" w:sz="0" w:space="0" w:color="auto"/>
        <w:right w:val="none" w:sz="0" w:space="0" w:color="auto"/>
      </w:divBdr>
    </w:div>
    <w:div w:id="840630981">
      <w:marLeft w:val="0"/>
      <w:marRight w:val="0"/>
      <w:marTop w:val="180"/>
      <w:marBottom w:val="60"/>
      <w:divBdr>
        <w:top w:val="none" w:sz="0" w:space="0" w:color="auto"/>
        <w:left w:val="none" w:sz="0" w:space="0" w:color="auto"/>
        <w:bottom w:val="none" w:sz="0" w:space="0" w:color="auto"/>
        <w:right w:val="none" w:sz="0" w:space="0" w:color="auto"/>
      </w:divBdr>
    </w:div>
    <w:div w:id="840661705">
      <w:marLeft w:val="0"/>
      <w:marRight w:val="0"/>
      <w:marTop w:val="180"/>
      <w:marBottom w:val="0"/>
      <w:divBdr>
        <w:top w:val="none" w:sz="0" w:space="0" w:color="auto"/>
        <w:left w:val="none" w:sz="0" w:space="0" w:color="auto"/>
        <w:bottom w:val="none" w:sz="0" w:space="0" w:color="auto"/>
        <w:right w:val="none" w:sz="0" w:space="0" w:color="auto"/>
      </w:divBdr>
    </w:div>
    <w:div w:id="841237736">
      <w:marLeft w:val="0"/>
      <w:marRight w:val="0"/>
      <w:marTop w:val="180"/>
      <w:marBottom w:val="0"/>
      <w:divBdr>
        <w:top w:val="none" w:sz="0" w:space="0" w:color="auto"/>
        <w:left w:val="none" w:sz="0" w:space="0" w:color="auto"/>
        <w:bottom w:val="none" w:sz="0" w:space="0" w:color="auto"/>
        <w:right w:val="none" w:sz="0" w:space="0" w:color="auto"/>
      </w:divBdr>
    </w:div>
    <w:div w:id="841550733">
      <w:marLeft w:val="0"/>
      <w:marRight w:val="0"/>
      <w:marTop w:val="120"/>
      <w:marBottom w:val="0"/>
      <w:divBdr>
        <w:top w:val="none" w:sz="0" w:space="0" w:color="auto"/>
        <w:left w:val="none" w:sz="0" w:space="0" w:color="auto"/>
        <w:bottom w:val="none" w:sz="0" w:space="0" w:color="auto"/>
        <w:right w:val="none" w:sz="0" w:space="0" w:color="auto"/>
      </w:divBdr>
    </w:div>
    <w:div w:id="846598700">
      <w:marLeft w:val="0"/>
      <w:marRight w:val="0"/>
      <w:marTop w:val="180"/>
      <w:marBottom w:val="0"/>
      <w:divBdr>
        <w:top w:val="none" w:sz="0" w:space="0" w:color="auto"/>
        <w:left w:val="none" w:sz="0" w:space="0" w:color="auto"/>
        <w:bottom w:val="none" w:sz="0" w:space="0" w:color="auto"/>
        <w:right w:val="none" w:sz="0" w:space="0" w:color="auto"/>
      </w:divBdr>
    </w:div>
    <w:div w:id="852189620">
      <w:marLeft w:val="0"/>
      <w:marRight w:val="0"/>
      <w:marTop w:val="0"/>
      <w:marBottom w:val="0"/>
      <w:divBdr>
        <w:top w:val="none" w:sz="0" w:space="0" w:color="auto"/>
        <w:left w:val="none" w:sz="0" w:space="0" w:color="auto"/>
        <w:bottom w:val="none" w:sz="0" w:space="0" w:color="auto"/>
        <w:right w:val="none" w:sz="0" w:space="0" w:color="auto"/>
      </w:divBdr>
    </w:div>
    <w:div w:id="852689085">
      <w:marLeft w:val="0"/>
      <w:marRight w:val="0"/>
      <w:marTop w:val="180"/>
      <w:marBottom w:val="0"/>
      <w:divBdr>
        <w:top w:val="none" w:sz="0" w:space="0" w:color="auto"/>
        <w:left w:val="none" w:sz="0" w:space="0" w:color="auto"/>
        <w:bottom w:val="none" w:sz="0" w:space="0" w:color="auto"/>
        <w:right w:val="none" w:sz="0" w:space="0" w:color="auto"/>
      </w:divBdr>
    </w:div>
    <w:div w:id="853155596">
      <w:marLeft w:val="0"/>
      <w:marRight w:val="0"/>
      <w:marTop w:val="180"/>
      <w:marBottom w:val="0"/>
      <w:divBdr>
        <w:top w:val="none" w:sz="0" w:space="0" w:color="auto"/>
        <w:left w:val="none" w:sz="0" w:space="0" w:color="auto"/>
        <w:bottom w:val="none" w:sz="0" w:space="0" w:color="auto"/>
        <w:right w:val="none" w:sz="0" w:space="0" w:color="auto"/>
      </w:divBdr>
    </w:div>
    <w:div w:id="855122543">
      <w:marLeft w:val="0"/>
      <w:marRight w:val="0"/>
      <w:marTop w:val="180"/>
      <w:marBottom w:val="0"/>
      <w:divBdr>
        <w:top w:val="none" w:sz="0" w:space="0" w:color="auto"/>
        <w:left w:val="none" w:sz="0" w:space="0" w:color="auto"/>
        <w:bottom w:val="none" w:sz="0" w:space="0" w:color="auto"/>
        <w:right w:val="none" w:sz="0" w:space="0" w:color="auto"/>
      </w:divBdr>
    </w:div>
    <w:div w:id="855315292">
      <w:marLeft w:val="0"/>
      <w:marRight w:val="0"/>
      <w:marTop w:val="180"/>
      <w:marBottom w:val="0"/>
      <w:divBdr>
        <w:top w:val="none" w:sz="0" w:space="0" w:color="auto"/>
        <w:left w:val="none" w:sz="0" w:space="0" w:color="auto"/>
        <w:bottom w:val="none" w:sz="0" w:space="0" w:color="auto"/>
        <w:right w:val="none" w:sz="0" w:space="0" w:color="auto"/>
      </w:divBdr>
    </w:div>
    <w:div w:id="857353259">
      <w:marLeft w:val="0"/>
      <w:marRight w:val="0"/>
      <w:marTop w:val="180"/>
      <w:marBottom w:val="120"/>
      <w:divBdr>
        <w:top w:val="none" w:sz="0" w:space="0" w:color="auto"/>
        <w:left w:val="none" w:sz="0" w:space="0" w:color="auto"/>
        <w:bottom w:val="none" w:sz="0" w:space="0" w:color="auto"/>
        <w:right w:val="none" w:sz="0" w:space="0" w:color="auto"/>
      </w:divBdr>
    </w:div>
    <w:div w:id="858547746">
      <w:marLeft w:val="0"/>
      <w:marRight w:val="0"/>
      <w:marTop w:val="0"/>
      <w:marBottom w:val="0"/>
      <w:divBdr>
        <w:top w:val="none" w:sz="0" w:space="0" w:color="auto"/>
        <w:left w:val="none" w:sz="0" w:space="0" w:color="auto"/>
        <w:bottom w:val="none" w:sz="0" w:space="0" w:color="auto"/>
        <w:right w:val="none" w:sz="0" w:space="0" w:color="auto"/>
      </w:divBdr>
      <w:divsChild>
        <w:div w:id="797141628">
          <w:marLeft w:val="0"/>
          <w:marRight w:val="0"/>
          <w:marTop w:val="180"/>
          <w:marBottom w:val="0"/>
          <w:divBdr>
            <w:top w:val="none" w:sz="0" w:space="0" w:color="auto"/>
            <w:left w:val="none" w:sz="0" w:space="0" w:color="auto"/>
            <w:bottom w:val="none" w:sz="0" w:space="0" w:color="auto"/>
            <w:right w:val="none" w:sz="0" w:space="0" w:color="auto"/>
          </w:divBdr>
        </w:div>
      </w:divsChild>
    </w:div>
    <w:div w:id="865362794">
      <w:marLeft w:val="0"/>
      <w:marRight w:val="0"/>
      <w:marTop w:val="180"/>
      <w:marBottom w:val="0"/>
      <w:divBdr>
        <w:top w:val="none" w:sz="0" w:space="0" w:color="auto"/>
        <w:left w:val="none" w:sz="0" w:space="0" w:color="auto"/>
        <w:bottom w:val="none" w:sz="0" w:space="0" w:color="auto"/>
        <w:right w:val="none" w:sz="0" w:space="0" w:color="auto"/>
      </w:divBdr>
    </w:div>
    <w:div w:id="869604954">
      <w:marLeft w:val="0"/>
      <w:marRight w:val="0"/>
      <w:marTop w:val="180"/>
      <w:marBottom w:val="0"/>
      <w:divBdr>
        <w:top w:val="none" w:sz="0" w:space="0" w:color="auto"/>
        <w:left w:val="none" w:sz="0" w:space="0" w:color="auto"/>
        <w:bottom w:val="none" w:sz="0" w:space="0" w:color="auto"/>
        <w:right w:val="none" w:sz="0" w:space="0" w:color="auto"/>
      </w:divBdr>
    </w:div>
    <w:div w:id="870610920">
      <w:marLeft w:val="0"/>
      <w:marRight w:val="0"/>
      <w:marTop w:val="180"/>
      <w:marBottom w:val="0"/>
      <w:divBdr>
        <w:top w:val="none" w:sz="0" w:space="0" w:color="auto"/>
        <w:left w:val="none" w:sz="0" w:space="0" w:color="auto"/>
        <w:bottom w:val="none" w:sz="0" w:space="0" w:color="auto"/>
        <w:right w:val="none" w:sz="0" w:space="0" w:color="auto"/>
      </w:divBdr>
    </w:div>
    <w:div w:id="870654854">
      <w:marLeft w:val="0"/>
      <w:marRight w:val="0"/>
      <w:marTop w:val="0"/>
      <w:marBottom w:val="0"/>
      <w:divBdr>
        <w:top w:val="none" w:sz="0" w:space="0" w:color="auto"/>
        <w:left w:val="none" w:sz="0" w:space="0" w:color="auto"/>
        <w:bottom w:val="none" w:sz="0" w:space="0" w:color="auto"/>
        <w:right w:val="none" w:sz="0" w:space="0" w:color="auto"/>
      </w:divBdr>
      <w:divsChild>
        <w:div w:id="1370107715">
          <w:marLeft w:val="0"/>
          <w:marRight w:val="0"/>
          <w:marTop w:val="180"/>
          <w:marBottom w:val="0"/>
          <w:divBdr>
            <w:top w:val="none" w:sz="0" w:space="0" w:color="auto"/>
            <w:left w:val="none" w:sz="0" w:space="0" w:color="auto"/>
            <w:bottom w:val="none" w:sz="0" w:space="0" w:color="auto"/>
            <w:right w:val="none" w:sz="0" w:space="0" w:color="auto"/>
          </w:divBdr>
        </w:div>
      </w:divsChild>
    </w:div>
    <w:div w:id="873342963">
      <w:marLeft w:val="0"/>
      <w:marRight w:val="0"/>
      <w:marTop w:val="180"/>
      <w:marBottom w:val="0"/>
      <w:divBdr>
        <w:top w:val="none" w:sz="0" w:space="0" w:color="auto"/>
        <w:left w:val="none" w:sz="0" w:space="0" w:color="auto"/>
        <w:bottom w:val="none" w:sz="0" w:space="0" w:color="auto"/>
        <w:right w:val="none" w:sz="0" w:space="0" w:color="auto"/>
      </w:divBdr>
    </w:div>
    <w:div w:id="873924613">
      <w:marLeft w:val="0"/>
      <w:marRight w:val="0"/>
      <w:marTop w:val="0"/>
      <w:marBottom w:val="0"/>
      <w:divBdr>
        <w:top w:val="none" w:sz="0" w:space="0" w:color="auto"/>
        <w:left w:val="none" w:sz="0" w:space="0" w:color="auto"/>
        <w:bottom w:val="none" w:sz="0" w:space="0" w:color="auto"/>
        <w:right w:val="none" w:sz="0" w:space="0" w:color="auto"/>
      </w:divBdr>
      <w:divsChild>
        <w:div w:id="2047367332">
          <w:marLeft w:val="0"/>
          <w:marRight w:val="0"/>
          <w:marTop w:val="0"/>
          <w:marBottom w:val="0"/>
          <w:divBdr>
            <w:top w:val="none" w:sz="0" w:space="0" w:color="auto"/>
            <w:left w:val="none" w:sz="0" w:space="0" w:color="auto"/>
            <w:bottom w:val="none" w:sz="0" w:space="0" w:color="auto"/>
            <w:right w:val="none" w:sz="0" w:space="0" w:color="auto"/>
          </w:divBdr>
          <w:divsChild>
            <w:div w:id="3739719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8400506">
      <w:marLeft w:val="0"/>
      <w:marRight w:val="0"/>
      <w:marTop w:val="180"/>
      <w:marBottom w:val="0"/>
      <w:divBdr>
        <w:top w:val="none" w:sz="0" w:space="0" w:color="auto"/>
        <w:left w:val="none" w:sz="0" w:space="0" w:color="auto"/>
        <w:bottom w:val="none" w:sz="0" w:space="0" w:color="auto"/>
        <w:right w:val="none" w:sz="0" w:space="0" w:color="auto"/>
      </w:divBdr>
    </w:div>
    <w:div w:id="879172728">
      <w:marLeft w:val="0"/>
      <w:marRight w:val="0"/>
      <w:marTop w:val="180"/>
      <w:marBottom w:val="0"/>
      <w:divBdr>
        <w:top w:val="none" w:sz="0" w:space="0" w:color="auto"/>
        <w:left w:val="none" w:sz="0" w:space="0" w:color="auto"/>
        <w:bottom w:val="none" w:sz="0" w:space="0" w:color="auto"/>
        <w:right w:val="none" w:sz="0" w:space="0" w:color="auto"/>
      </w:divBdr>
    </w:div>
    <w:div w:id="879434810">
      <w:marLeft w:val="0"/>
      <w:marRight w:val="0"/>
      <w:marTop w:val="180"/>
      <w:marBottom w:val="0"/>
      <w:divBdr>
        <w:top w:val="none" w:sz="0" w:space="0" w:color="auto"/>
        <w:left w:val="none" w:sz="0" w:space="0" w:color="auto"/>
        <w:bottom w:val="none" w:sz="0" w:space="0" w:color="auto"/>
        <w:right w:val="none" w:sz="0" w:space="0" w:color="auto"/>
      </w:divBdr>
    </w:div>
    <w:div w:id="880819593">
      <w:marLeft w:val="0"/>
      <w:marRight w:val="0"/>
      <w:marTop w:val="0"/>
      <w:marBottom w:val="200"/>
      <w:divBdr>
        <w:top w:val="none" w:sz="0" w:space="0" w:color="auto"/>
        <w:left w:val="none" w:sz="0" w:space="0" w:color="auto"/>
        <w:bottom w:val="none" w:sz="0" w:space="0" w:color="auto"/>
        <w:right w:val="none" w:sz="0" w:space="0" w:color="auto"/>
      </w:divBdr>
    </w:div>
    <w:div w:id="881868269">
      <w:marLeft w:val="0"/>
      <w:marRight w:val="0"/>
      <w:marTop w:val="180"/>
      <w:marBottom w:val="0"/>
      <w:divBdr>
        <w:top w:val="none" w:sz="0" w:space="0" w:color="auto"/>
        <w:left w:val="none" w:sz="0" w:space="0" w:color="auto"/>
        <w:bottom w:val="none" w:sz="0" w:space="0" w:color="auto"/>
        <w:right w:val="none" w:sz="0" w:space="0" w:color="auto"/>
      </w:divBdr>
    </w:div>
    <w:div w:id="886994216">
      <w:marLeft w:val="0"/>
      <w:marRight w:val="0"/>
      <w:marTop w:val="180"/>
      <w:marBottom w:val="0"/>
      <w:divBdr>
        <w:top w:val="none" w:sz="0" w:space="0" w:color="auto"/>
        <w:left w:val="none" w:sz="0" w:space="0" w:color="auto"/>
        <w:bottom w:val="none" w:sz="0" w:space="0" w:color="auto"/>
        <w:right w:val="none" w:sz="0" w:space="0" w:color="auto"/>
      </w:divBdr>
    </w:div>
    <w:div w:id="887686771">
      <w:marLeft w:val="0"/>
      <w:marRight w:val="0"/>
      <w:marTop w:val="180"/>
      <w:marBottom w:val="0"/>
      <w:divBdr>
        <w:top w:val="none" w:sz="0" w:space="0" w:color="auto"/>
        <w:left w:val="none" w:sz="0" w:space="0" w:color="auto"/>
        <w:bottom w:val="none" w:sz="0" w:space="0" w:color="auto"/>
        <w:right w:val="none" w:sz="0" w:space="0" w:color="auto"/>
      </w:divBdr>
    </w:div>
    <w:div w:id="890264287">
      <w:marLeft w:val="0"/>
      <w:marRight w:val="0"/>
      <w:marTop w:val="180"/>
      <w:marBottom w:val="0"/>
      <w:divBdr>
        <w:top w:val="none" w:sz="0" w:space="0" w:color="auto"/>
        <w:left w:val="none" w:sz="0" w:space="0" w:color="auto"/>
        <w:bottom w:val="none" w:sz="0" w:space="0" w:color="auto"/>
        <w:right w:val="none" w:sz="0" w:space="0" w:color="auto"/>
      </w:divBdr>
    </w:div>
    <w:div w:id="890768956">
      <w:marLeft w:val="0"/>
      <w:marRight w:val="0"/>
      <w:marTop w:val="180"/>
      <w:marBottom w:val="0"/>
      <w:divBdr>
        <w:top w:val="none" w:sz="0" w:space="0" w:color="auto"/>
        <w:left w:val="none" w:sz="0" w:space="0" w:color="auto"/>
        <w:bottom w:val="none" w:sz="0" w:space="0" w:color="auto"/>
        <w:right w:val="none" w:sz="0" w:space="0" w:color="auto"/>
      </w:divBdr>
    </w:div>
    <w:div w:id="892734100">
      <w:marLeft w:val="0"/>
      <w:marRight w:val="0"/>
      <w:marTop w:val="180"/>
      <w:marBottom w:val="0"/>
      <w:divBdr>
        <w:top w:val="none" w:sz="0" w:space="0" w:color="auto"/>
        <w:left w:val="none" w:sz="0" w:space="0" w:color="auto"/>
        <w:bottom w:val="none" w:sz="0" w:space="0" w:color="auto"/>
        <w:right w:val="none" w:sz="0" w:space="0" w:color="auto"/>
      </w:divBdr>
    </w:div>
    <w:div w:id="893808056">
      <w:marLeft w:val="0"/>
      <w:marRight w:val="0"/>
      <w:marTop w:val="180"/>
      <w:marBottom w:val="120"/>
      <w:divBdr>
        <w:top w:val="none" w:sz="0" w:space="0" w:color="auto"/>
        <w:left w:val="none" w:sz="0" w:space="0" w:color="auto"/>
        <w:bottom w:val="none" w:sz="0" w:space="0" w:color="auto"/>
        <w:right w:val="none" w:sz="0" w:space="0" w:color="auto"/>
      </w:divBdr>
    </w:div>
    <w:div w:id="896550820">
      <w:marLeft w:val="0"/>
      <w:marRight w:val="0"/>
      <w:marTop w:val="180"/>
      <w:marBottom w:val="0"/>
      <w:divBdr>
        <w:top w:val="none" w:sz="0" w:space="0" w:color="auto"/>
        <w:left w:val="none" w:sz="0" w:space="0" w:color="auto"/>
        <w:bottom w:val="none" w:sz="0" w:space="0" w:color="auto"/>
        <w:right w:val="none" w:sz="0" w:space="0" w:color="auto"/>
      </w:divBdr>
    </w:div>
    <w:div w:id="897126921">
      <w:marLeft w:val="0"/>
      <w:marRight w:val="0"/>
      <w:marTop w:val="180"/>
      <w:marBottom w:val="0"/>
      <w:divBdr>
        <w:top w:val="none" w:sz="0" w:space="0" w:color="auto"/>
        <w:left w:val="none" w:sz="0" w:space="0" w:color="auto"/>
        <w:bottom w:val="none" w:sz="0" w:space="0" w:color="auto"/>
        <w:right w:val="none" w:sz="0" w:space="0" w:color="auto"/>
      </w:divBdr>
    </w:div>
    <w:div w:id="900557417">
      <w:marLeft w:val="0"/>
      <w:marRight w:val="0"/>
      <w:marTop w:val="180"/>
      <w:marBottom w:val="0"/>
      <w:divBdr>
        <w:top w:val="none" w:sz="0" w:space="0" w:color="auto"/>
        <w:left w:val="none" w:sz="0" w:space="0" w:color="auto"/>
        <w:bottom w:val="none" w:sz="0" w:space="0" w:color="auto"/>
        <w:right w:val="none" w:sz="0" w:space="0" w:color="auto"/>
      </w:divBdr>
    </w:div>
    <w:div w:id="906301555">
      <w:marLeft w:val="0"/>
      <w:marRight w:val="0"/>
      <w:marTop w:val="0"/>
      <w:marBottom w:val="0"/>
      <w:divBdr>
        <w:top w:val="none" w:sz="0" w:space="0" w:color="auto"/>
        <w:left w:val="none" w:sz="0" w:space="0" w:color="auto"/>
        <w:bottom w:val="none" w:sz="0" w:space="0" w:color="auto"/>
        <w:right w:val="none" w:sz="0" w:space="0" w:color="auto"/>
      </w:divBdr>
      <w:divsChild>
        <w:div w:id="1376078384">
          <w:marLeft w:val="0"/>
          <w:marRight w:val="0"/>
          <w:marTop w:val="180"/>
          <w:marBottom w:val="0"/>
          <w:divBdr>
            <w:top w:val="none" w:sz="0" w:space="0" w:color="auto"/>
            <w:left w:val="none" w:sz="0" w:space="0" w:color="auto"/>
            <w:bottom w:val="none" w:sz="0" w:space="0" w:color="auto"/>
            <w:right w:val="none" w:sz="0" w:space="0" w:color="auto"/>
          </w:divBdr>
        </w:div>
      </w:divsChild>
    </w:div>
    <w:div w:id="906570518">
      <w:marLeft w:val="0"/>
      <w:marRight w:val="0"/>
      <w:marTop w:val="180"/>
      <w:marBottom w:val="120"/>
      <w:divBdr>
        <w:top w:val="none" w:sz="0" w:space="0" w:color="auto"/>
        <w:left w:val="none" w:sz="0" w:space="0" w:color="auto"/>
        <w:bottom w:val="none" w:sz="0" w:space="0" w:color="auto"/>
        <w:right w:val="none" w:sz="0" w:space="0" w:color="auto"/>
      </w:divBdr>
    </w:div>
    <w:div w:id="909802486">
      <w:marLeft w:val="0"/>
      <w:marRight w:val="0"/>
      <w:marTop w:val="0"/>
      <w:marBottom w:val="0"/>
      <w:divBdr>
        <w:top w:val="none" w:sz="0" w:space="0" w:color="auto"/>
        <w:left w:val="none" w:sz="0" w:space="0" w:color="auto"/>
        <w:bottom w:val="none" w:sz="0" w:space="0" w:color="auto"/>
        <w:right w:val="none" w:sz="0" w:space="0" w:color="auto"/>
      </w:divBdr>
      <w:divsChild>
        <w:div w:id="58479056">
          <w:marLeft w:val="0"/>
          <w:marRight w:val="0"/>
          <w:marTop w:val="0"/>
          <w:marBottom w:val="0"/>
          <w:divBdr>
            <w:top w:val="none" w:sz="0" w:space="0" w:color="auto"/>
            <w:left w:val="none" w:sz="0" w:space="0" w:color="auto"/>
            <w:bottom w:val="none" w:sz="0" w:space="0" w:color="auto"/>
            <w:right w:val="none" w:sz="0" w:space="0" w:color="auto"/>
          </w:divBdr>
          <w:divsChild>
            <w:div w:id="468592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1089404">
      <w:marLeft w:val="0"/>
      <w:marRight w:val="0"/>
      <w:marTop w:val="240"/>
      <w:marBottom w:val="0"/>
      <w:divBdr>
        <w:top w:val="none" w:sz="0" w:space="0" w:color="auto"/>
        <w:left w:val="none" w:sz="0" w:space="0" w:color="auto"/>
        <w:bottom w:val="none" w:sz="0" w:space="0" w:color="auto"/>
        <w:right w:val="none" w:sz="0" w:space="0" w:color="auto"/>
      </w:divBdr>
      <w:divsChild>
        <w:div w:id="452098718">
          <w:marLeft w:val="0"/>
          <w:marRight w:val="0"/>
          <w:marTop w:val="0"/>
          <w:marBottom w:val="0"/>
          <w:divBdr>
            <w:top w:val="none" w:sz="0" w:space="0" w:color="auto"/>
            <w:left w:val="none" w:sz="0" w:space="0" w:color="auto"/>
            <w:bottom w:val="none" w:sz="0" w:space="0" w:color="auto"/>
            <w:right w:val="none" w:sz="0" w:space="0" w:color="auto"/>
          </w:divBdr>
        </w:div>
      </w:divsChild>
    </w:div>
    <w:div w:id="916354838">
      <w:marLeft w:val="0"/>
      <w:marRight w:val="0"/>
      <w:marTop w:val="180"/>
      <w:marBottom w:val="0"/>
      <w:divBdr>
        <w:top w:val="none" w:sz="0" w:space="0" w:color="auto"/>
        <w:left w:val="none" w:sz="0" w:space="0" w:color="auto"/>
        <w:bottom w:val="none" w:sz="0" w:space="0" w:color="auto"/>
        <w:right w:val="none" w:sz="0" w:space="0" w:color="auto"/>
      </w:divBdr>
    </w:div>
    <w:div w:id="916668037">
      <w:marLeft w:val="0"/>
      <w:marRight w:val="0"/>
      <w:marTop w:val="180"/>
      <w:marBottom w:val="120"/>
      <w:divBdr>
        <w:top w:val="none" w:sz="0" w:space="0" w:color="auto"/>
        <w:left w:val="none" w:sz="0" w:space="0" w:color="auto"/>
        <w:bottom w:val="none" w:sz="0" w:space="0" w:color="auto"/>
        <w:right w:val="none" w:sz="0" w:space="0" w:color="auto"/>
      </w:divBdr>
      <w:divsChild>
        <w:div w:id="954335424">
          <w:marLeft w:val="0"/>
          <w:marRight w:val="0"/>
          <w:marTop w:val="0"/>
          <w:marBottom w:val="0"/>
          <w:divBdr>
            <w:top w:val="none" w:sz="0" w:space="0" w:color="auto"/>
            <w:left w:val="none" w:sz="0" w:space="0" w:color="auto"/>
            <w:bottom w:val="none" w:sz="0" w:space="0" w:color="auto"/>
            <w:right w:val="none" w:sz="0" w:space="0" w:color="auto"/>
          </w:divBdr>
        </w:div>
        <w:div w:id="1587691471">
          <w:marLeft w:val="0"/>
          <w:marRight w:val="0"/>
          <w:marTop w:val="0"/>
          <w:marBottom w:val="0"/>
          <w:divBdr>
            <w:top w:val="none" w:sz="0" w:space="0" w:color="auto"/>
            <w:left w:val="none" w:sz="0" w:space="0" w:color="auto"/>
            <w:bottom w:val="none" w:sz="0" w:space="0" w:color="auto"/>
            <w:right w:val="none" w:sz="0" w:space="0" w:color="auto"/>
          </w:divBdr>
        </w:div>
        <w:div w:id="1976717425">
          <w:marLeft w:val="0"/>
          <w:marRight w:val="0"/>
          <w:marTop w:val="0"/>
          <w:marBottom w:val="0"/>
          <w:divBdr>
            <w:top w:val="none" w:sz="0" w:space="0" w:color="auto"/>
            <w:left w:val="none" w:sz="0" w:space="0" w:color="auto"/>
            <w:bottom w:val="none" w:sz="0" w:space="0" w:color="auto"/>
            <w:right w:val="none" w:sz="0" w:space="0" w:color="auto"/>
          </w:divBdr>
        </w:div>
        <w:div w:id="522019000">
          <w:marLeft w:val="0"/>
          <w:marRight w:val="0"/>
          <w:marTop w:val="0"/>
          <w:marBottom w:val="0"/>
          <w:divBdr>
            <w:top w:val="none" w:sz="0" w:space="0" w:color="auto"/>
            <w:left w:val="none" w:sz="0" w:space="0" w:color="auto"/>
            <w:bottom w:val="none" w:sz="0" w:space="0" w:color="auto"/>
            <w:right w:val="none" w:sz="0" w:space="0" w:color="auto"/>
          </w:divBdr>
        </w:div>
        <w:div w:id="403836174">
          <w:marLeft w:val="0"/>
          <w:marRight w:val="0"/>
          <w:marTop w:val="0"/>
          <w:marBottom w:val="0"/>
          <w:divBdr>
            <w:top w:val="none" w:sz="0" w:space="0" w:color="auto"/>
            <w:left w:val="none" w:sz="0" w:space="0" w:color="auto"/>
            <w:bottom w:val="none" w:sz="0" w:space="0" w:color="auto"/>
            <w:right w:val="none" w:sz="0" w:space="0" w:color="auto"/>
          </w:divBdr>
        </w:div>
        <w:div w:id="1708212746">
          <w:marLeft w:val="0"/>
          <w:marRight w:val="0"/>
          <w:marTop w:val="0"/>
          <w:marBottom w:val="0"/>
          <w:divBdr>
            <w:top w:val="none" w:sz="0" w:space="0" w:color="auto"/>
            <w:left w:val="none" w:sz="0" w:space="0" w:color="auto"/>
            <w:bottom w:val="none" w:sz="0" w:space="0" w:color="auto"/>
            <w:right w:val="none" w:sz="0" w:space="0" w:color="auto"/>
          </w:divBdr>
        </w:div>
        <w:div w:id="350643104">
          <w:marLeft w:val="0"/>
          <w:marRight w:val="0"/>
          <w:marTop w:val="0"/>
          <w:marBottom w:val="0"/>
          <w:divBdr>
            <w:top w:val="none" w:sz="0" w:space="0" w:color="auto"/>
            <w:left w:val="none" w:sz="0" w:space="0" w:color="auto"/>
            <w:bottom w:val="none" w:sz="0" w:space="0" w:color="auto"/>
            <w:right w:val="none" w:sz="0" w:space="0" w:color="auto"/>
          </w:divBdr>
        </w:div>
        <w:div w:id="427779111">
          <w:marLeft w:val="0"/>
          <w:marRight w:val="0"/>
          <w:marTop w:val="0"/>
          <w:marBottom w:val="0"/>
          <w:divBdr>
            <w:top w:val="none" w:sz="0" w:space="0" w:color="auto"/>
            <w:left w:val="none" w:sz="0" w:space="0" w:color="auto"/>
            <w:bottom w:val="none" w:sz="0" w:space="0" w:color="auto"/>
            <w:right w:val="none" w:sz="0" w:space="0" w:color="auto"/>
          </w:divBdr>
        </w:div>
        <w:div w:id="1188910199">
          <w:marLeft w:val="0"/>
          <w:marRight w:val="0"/>
          <w:marTop w:val="0"/>
          <w:marBottom w:val="0"/>
          <w:divBdr>
            <w:top w:val="none" w:sz="0" w:space="0" w:color="auto"/>
            <w:left w:val="none" w:sz="0" w:space="0" w:color="auto"/>
            <w:bottom w:val="none" w:sz="0" w:space="0" w:color="auto"/>
            <w:right w:val="none" w:sz="0" w:space="0" w:color="auto"/>
          </w:divBdr>
        </w:div>
        <w:div w:id="59526798">
          <w:marLeft w:val="0"/>
          <w:marRight w:val="0"/>
          <w:marTop w:val="0"/>
          <w:marBottom w:val="0"/>
          <w:divBdr>
            <w:top w:val="none" w:sz="0" w:space="0" w:color="auto"/>
            <w:left w:val="none" w:sz="0" w:space="0" w:color="auto"/>
            <w:bottom w:val="none" w:sz="0" w:space="0" w:color="auto"/>
            <w:right w:val="none" w:sz="0" w:space="0" w:color="auto"/>
          </w:divBdr>
        </w:div>
        <w:div w:id="1213690958">
          <w:marLeft w:val="0"/>
          <w:marRight w:val="0"/>
          <w:marTop w:val="0"/>
          <w:marBottom w:val="0"/>
          <w:divBdr>
            <w:top w:val="none" w:sz="0" w:space="0" w:color="auto"/>
            <w:left w:val="none" w:sz="0" w:space="0" w:color="auto"/>
            <w:bottom w:val="none" w:sz="0" w:space="0" w:color="auto"/>
            <w:right w:val="none" w:sz="0" w:space="0" w:color="auto"/>
          </w:divBdr>
        </w:div>
      </w:divsChild>
    </w:div>
    <w:div w:id="918906228">
      <w:marLeft w:val="0"/>
      <w:marRight w:val="0"/>
      <w:marTop w:val="180"/>
      <w:marBottom w:val="0"/>
      <w:divBdr>
        <w:top w:val="none" w:sz="0" w:space="0" w:color="auto"/>
        <w:left w:val="none" w:sz="0" w:space="0" w:color="auto"/>
        <w:bottom w:val="none" w:sz="0" w:space="0" w:color="auto"/>
        <w:right w:val="none" w:sz="0" w:space="0" w:color="auto"/>
      </w:divBdr>
    </w:div>
    <w:div w:id="919363533">
      <w:marLeft w:val="0"/>
      <w:marRight w:val="0"/>
      <w:marTop w:val="180"/>
      <w:marBottom w:val="0"/>
      <w:divBdr>
        <w:top w:val="none" w:sz="0" w:space="0" w:color="auto"/>
        <w:left w:val="none" w:sz="0" w:space="0" w:color="auto"/>
        <w:bottom w:val="none" w:sz="0" w:space="0" w:color="auto"/>
        <w:right w:val="none" w:sz="0" w:space="0" w:color="auto"/>
      </w:divBdr>
    </w:div>
    <w:div w:id="921910699">
      <w:marLeft w:val="0"/>
      <w:marRight w:val="0"/>
      <w:marTop w:val="240"/>
      <w:marBottom w:val="0"/>
      <w:divBdr>
        <w:top w:val="none" w:sz="0" w:space="0" w:color="auto"/>
        <w:left w:val="none" w:sz="0" w:space="0" w:color="auto"/>
        <w:bottom w:val="none" w:sz="0" w:space="0" w:color="auto"/>
        <w:right w:val="none" w:sz="0" w:space="0" w:color="auto"/>
      </w:divBdr>
    </w:div>
    <w:div w:id="921986295">
      <w:marLeft w:val="0"/>
      <w:marRight w:val="0"/>
      <w:marTop w:val="180"/>
      <w:marBottom w:val="0"/>
      <w:divBdr>
        <w:top w:val="none" w:sz="0" w:space="0" w:color="auto"/>
        <w:left w:val="none" w:sz="0" w:space="0" w:color="auto"/>
        <w:bottom w:val="none" w:sz="0" w:space="0" w:color="auto"/>
        <w:right w:val="none" w:sz="0" w:space="0" w:color="auto"/>
      </w:divBdr>
    </w:div>
    <w:div w:id="924190991">
      <w:marLeft w:val="0"/>
      <w:marRight w:val="0"/>
      <w:marTop w:val="180"/>
      <w:marBottom w:val="0"/>
      <w:divBdr>
        <w:top w:val="none" w:sz="0" w:space="0" w:color="auto"/>
        <w:left w:val="none" w:sz="0" w:space="0" w:color="auto"/>
        <w:bottom w:val="none" w:sz="0" w:space="0" w:color="auto"/>
        <w:right w:val="none" w:sz="0" w:space="0" w:color="auto"/>
      </w:divBdr>
    </w:div>
    <w:div w:id="925042154">
      <w:marLeft w:val="0"/>
      <w:marRight w:val="0"/>
      <w:marTop w:val="180"/>
      <w:marBottom w:val="0"/>
      <w:divBdr>
        <w:top w:val="none" w:sz="0" w:space="0" w:color="auto"/>
        <w:left w:val="none" w:sz="0" w:space="0" w:color="auto"/>
        <w:bottom w:val="none" w:sz="0" w:space="0" w:color="auto"/>
        <w:right w:val="none" w:sz="0" w:space="0" w:color="auto"/>
      </w:divBdr>
    </w:div>
    <w:div w:id="926770347">
      <w:marLeft w:val="0"/>
      <w:marRight w:val="0"/>
      <w:marTop w:val="120"/>
      <w:marBottom w:val="0"/>
      <w:divBdr>
        <w:top w:val="none" w:sz="0" w:space="0" w:color="auto"/>
        <w:left w:val="none" w:sz="0" w:space="0" w:color="auto"/>
        <w:bottom w:val="none" w:sz="0" w:space="0" w:color="auto"/>
        <w:right w:val="none" w:sz="0" w:space="0" w:color="auto"/>
      </w:divBdr>
    </w:div>
    <w:div w:id="927692761">
      <w:marLeft w:val="0"/>
      <w:marRight w:val="0"/>
      <w:marTop w:val="180"/>
      <w:marBottom w:val="0"/>
      <w:divBdr>
        <w:top w:val="none" w:sz="0" w:space="0" w:color="auto"/>
        <w:left w:val="none" w:sz="0" w:space="0" w:color="auto"/>
        <w:bottom w:val="none" w:sz="0" w:space="0" w:color="auto"/>
        <w:right w:val="none" w:sz="0" w:space="0" w:color="auto"/>
      </w:divBdr>
    </w:div>
    <w:div w:id="928463721">
      <w:marLeft w:val="0"/>
      <w:marRight w:val="0"/>
      <w:marTop w:val="0"/>
      <w:marBottom w:val="0"/>
      <w:divBdr>
        <w:top w:val="none" w:sz="0" w:space="0" w:color="auto"/>
        <w:left w:val="none" w:sz="0" w:space="0" w:color="auto"/>
        <w:bottom w:val="none" w:sz="0" w:space="0" w:color="auto"/>
        <w:right w:val="none" w:sz="0" w:space="0" w:color="auto"/>
      </w:divBdr>
      <w:divsChild>
        <w:div w:id="1107579514">
          <w:marLeft w:val="0"/>
          <w:marRight w:val="0"/>
          <w:marTop w:val="180"/>
          <w:marBottom w:val="0"/>
          <w:divBdr>
            <w:top w:val="none" w:sz="0" w:space="0" w:color="auto"/>
            <w:left w:val="none" w:sz="0" w:space="0" w:color="auto"/>
            <w:bottom w:val="none" w:sz="0" w:space="0" w:color="auto"/>
            <w:right w:val="none" w:sz="0" w:space="0" w:color="auto"/>
          </w:divBdr>
        </w:div>
      </w:divsChild>
    </w:div>
    <w:div w:id="928463741">
      <w:marLeft w:val="0"/>
      <w:marRight w:val="0"/>
      <w:marTop w:val="0"/>
      <w:marBottom w:val="0"/>
      <w:divBdr>
        <w:top w:val="none" w:sz="0" w:space="0" w:color="auto"/>
        <w:left w:val="none" w:sz="0" w:space="0" w:color="auto"/>
        <w:bottom w:val="none" w:sz="0" w:space="0" w:color="auto"/>
        <w:right w:val="none" w:sz="0" w:space="0" w:color="auto"/>
      </w:divBdr>
      <w:divsChild>
        <w:div w:id="2132045156">
          <w:marLeft w:val="0"/>
          <w:marRight w:val="0"/>
          <w:marTop w:val="0"/>
          <w:marBottom w:val="0"/>
          <w:divBdr>
            <w:top w:val="none" w:sz="0" w:space="0" w:color="auto"/>
            <w:left w:val="none" w:sz="0" w:space="0" w:color="auto"/>
            <w:bottom w:val="none" w:sz="0" w:space="0" w:color="auto"/>
            <w:right w:val="none" w:sz="0" w:space="0" w:color="auto"/>
          </w:divBdr>
          <w:divsChild>
            <w:div w:id="4213415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1084041">
      <w:marLeft w:val="0"/>
      <w:marRight w:val="0"/>
      <w:marTop w:val="180"/>
      <w:marBottom w:val="0"/>
      <w:divBdr>
        <w:top w:val="none" w:sz="0" w:space="0" w:color="auto"/>
        <w:left w:val="none" w:sz="0" w:space="0" w:color="auto"/>
        <w:bottom w:val="none" w:sz="0" w:space="0" w:color="auto"/>
        <w:right w:val="none" w:sz="0" w:space="0" w:color="auto"/>
      </w:divBdr>
    </w:div>
    <w:div w:id="931476940">
      <w:marLeft w:val="0"/>
      <w:marRight w:val="0"/>
      <w:marTop w:val="0"/>
      <w:marBottom w:val="0"/>
      <w:divBdr>
        <w:top w:val="none" w:sz="0" w:space="0" w:color="auto"/>
        <w:left w:val="none" w:sz="0" w:space="0" w:color="auto"/>
        <w:bottom w:val="none" w:sz="0" w:space="0" w:color="auto"/>
        <w:right w:val="none" w:sz="0" w:space="0" w:color="auto"/>
      </w:divBdr>
      <w:divsChild>
        <w:div w:id="1571424064">
          <w:marLeft w:val="0"/>
          <w:marRight w:val="0"/>
          <w:marTop w:val="0"/>
          <w:marBottom w:val="0"/>
          <w:divBdr>
            <w:top w:val="none" w:sz="0" w:space="0" w:color="auto"/>
            <w:left w:val="none" w:sz="0" w:space="0" w:color="auto"/>
            <w:bottom w:val="none" w:sz="0" w:space="0" w:color="auto"/>
            <w:right w:val="none" w:sz="0" w:space="0" w:color="auto"/>
          </w:divBdr>
          <w:divsChild>
            <w:div w:id="13589659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2125090">
      <w:marLeft w:val="0"/>
      <w:marRight w:val="0"/>
      <w:marTop w:val="0"/>
      <w:marBottom w:val="0"/>
      <w:divBdr>
        <w:top w:val="none" w:sz="0" w:space="0" w:color="auto"/>
        <w:left w:val="none" w:sz="0" w:space="0" w:color="auto"/>
        <w:bottom w:val="none" w:sz="0" w:space="0" w:color="auto"/>
        <w:right w:val="none" w:sz="0" w:space="0" w:color="auto"/>
      </w:divBdr>
      <w:divsChild>
        <w:div w:id="1588537048">
          <w:marLeft w:val="0"/>
          <w:marRight w:val="0"/>
          <w:marTop w:val="180"/>
          <w:marBottom w:val="0"/>
          <w:divBdr>
            <w:top w:val="none" w:sz="0" w:space="0" w:color="auto"/>
            <w:left w:val="none" w:sz="0" w:space="0" w:color="auto"/>
            <w:bottom w:val="none" w:sz="0" w:space="0" w:color="auto"/>
            <w:right w:val="none" w:sz="0" w:space="0" w:color="auto"/>
          </w:divBdr>
        </w:div>
      </w:divsChild>
    </w:div>
    <w:div w:id="933587397">
      <w:marLeft w:val="0"/>
      <w:marRight w:val="0"/>
      <w:marTop w:val="0"/>
      <w:marBottom w:val="0"/>
      <w:divBdr>
        <w:top w:val="none" w:sz="0" w:space="0" w:color="auto"/>
        <w:left w:val="none" w:sz="0" w:space="0" w:color="auto"/>
        <w:bottom w:val="none" w:sz="0" w:space="0" w:color="auto"/>
        <w:right w:val="none" w:sz="0" w:space="0" w:color="auto"/>
      </w:divBdr>
      <w:divsChild>
        <w:div w:id="2051219606">
          <w:marLeft w:val="0"/>
          <w:marRight w:val="0"/>
          <w:marTop w:val="0"/>
          <w:marBottom w:val="0"/>
          <w:divBdr>
            <w:top w:val="none" w:sz="0" w:space="0" w:color="auto"/>
            <w:left w:val="none" w:sz="0" w:space="0" w:color="auto"/>
            <w:bottom w:val="none" w:sz="0" w:space="0" w:color="auto"/>
            <w:right w:val="none" w:sz="0" w:space="0" w:color="auto"/>
          </w:divBdr>
        </w:div>
      </w:divsChild>
    </w:div>
    <w:div w:id="934753815">
      <w:marLeft w:val="0"/>
      <w:marRight w:val="0"/>
      <w:marTop w:val="180"/>
      <w:marBottom w:val="120"/>
      <w:divBdr>
        <w:top w:val="none" w:sz="0" w:space="0" w:color="auto"/>
        <w:left w:val="none" w:sz="0" w:space="0" w:color="auto"/>
        <w:bottom w:val="none" w:sz="0" w:space="0" w:color="auto"/>
        <w:right w:val="none" w:sz="0" w:space="0" w:color="auto"/>
      </w:divBdr>
    </w:div>
    <w:div w:id="935138757">
      <w:marLeft w:val="0"/>
      <w:marRight w:val="0"/>
      <w:marTop w:val="0"/>
      <w:marBottom w:val="0"/>
      <w:divBdr>
        <w:top w:val="none" w:sz="0" w:space="0" w:color="auto"/>
        <w:left w:val="none" w:sz="0" w:space="0" w:color="auto"/>
        <w:bottom w:val="none" w:sz="0" w:space="0" w:color="auto"/>
        <w:right w:val="none" w:sz="0" w:space="0" w:color="auto"/>
      </w:divBdr>
      <w:divsChild>
        <w:div w:id="1676881434">
          <w:marLeft w:val="0"/>
          <w:marRight w:val="0"/>
          <w:marTop w:val="0"/>
          <w:marBottom w:val="0"/>
          <w:divBdr>
            <w:top w:val="none" w:sz="0" w:space="0" w:color="auto"/>
            <w:left w:val="none" w:sz="0" w:space="0" w:color="auto"/>
            <w:bottom w:val="none" w:sz="0" w:space="0" w:color="auto"/>
            <w:right w:val="none" w:sz="0" w:space="0" w:color="auto"/>
          </w:divBdr>
        </w:div>
      </w:divsChild>
    </w:div>
    <w:div w:id="935795758">
      <w:marLeft w:val="0"/>
      <w:marRight w:val="0"/>
      <w:marTop w:val="180"/>
      <w:marBottom w:val="0"/>
      <w:divBdr>
        <w:top w:val="none" w:sz="0" w:space="0" w:color="auto"/>
        <w:left w:val="none" w:sz="0" w:space="0" w:color="auto"/>
        <w:bottom w:val="none" w:sz="0" w:space="0" w:color="auto"/>
        <w:right w:val="none" w:sz="0" w:space="0" w:color="auto"/>
      </w:divBdr>
    </w:div>
    <w:div w:id="940070832">
      <w:marLeft w:val="0"/>
      <w:marRight w:val="0"/>
      <w:marTop w:val="240"/>
      <w:marBottom w:val="0"/>
      <w:divBdr>
        <w:top w:val="none" w:sz="0" w:space="0" w:color="auto"/>
        <w:left w:val="none" w:sz="0" w:space="0" w:color="auto"/>
        <w:bottom w:val="none" w:sz="0" w:space="0" w:color="auto"/>
        <w:right w:val="none" w:sz="0" w:space="0" w:color="auto"/>
      </w:divBdr>
    </w:div>
    <w:div w:id="940572722">
      <w:marLeft w:val="0"/>
      <w:marRight w:val="0"/>
      <w:marTop w:val="0"/>
      <w:marBottom w:val="0"/>
      <w:divBdr>
        <w:top w:val="none" w:sz="0" w:space="0" w:color="auto"/>
        <w:left w:val="none" w:sz="0" w:space="0" w:color="auto"/>
        <w:bottom w:val="none" w:sz="0" w:space="0" w:color="auto"/>
        <w:right w:val="none" w:sz="0" w:space="0" w:color="auto"/>
      </w:divBdr>
    </w:div>
    <w:div w:id="942104445">
      <w:marLeft w:val="0"/>
      <w:marRight w:val="0"/>
      <w:marTop w:val="180"/>
      <w:marBottom w:val="0"/>
      <w:divBdr>
        <w:top w:val="none" w:sz="0" w:space="0" w:color="auto"/>
        <w:left w:val="none" w:sz="0" w:space="0" w:color="auto"/>
        <w:bottom w:val="none" w:sz="0" w:space="0" w:color="auto"/>
        <w:right w:val="none" w:sz="0" w:space="0" w:color="auto"/>
      </w:divBdr>
    </w:div>
    <w:div w:id="946540773">
      <w:marLeft w:val="0"/>
      <w:marRight w:val="0"/>
      <w:marTop w:val="180"/>
      <w:marBottom w:val="0"/>
      <w:divBdr>
        <w:top w:val="none" w:sz="0" w:space="0" w:color="auto"/>
        <w:left w:val="none" w:sz="0" w:space="0" w:color="auto"/>
        <w:bottom w:val="none" w:sz="0" w:space="0" w:color="auto"/>
        <w:right w:val="none" w:sz="0" w:space="0" w:color="auto"/>
      </w:divBdr>
    </w:div>
    <w:div w:id="947930238">
      <w:marLeft w:val="0"/>
      <w:marRight w:val="0"/>
      <w:marTop w:val="180"/>
      <w:marBottom w:val="120"/>
      <w:divBdr>
        <w:top w:val="none" w:sz="0" w:space="0" w:color="auto"/>
        <w:left w:val="none" w:sz="0" w:space="0" w:color="auto"/>
        <w:bottom w:val="none" w:sz="0" w:space="0" w:color="auto"/>
        <w:right w:val="none" w:sz="0" w:space="0" w:color="auto"/>
      </w:divBdr>
    </w:div>
    <w:div w:id="952596866">
      <w:marLeft w:val="0"/>
      <w:marRight w:val="0"/>
      <w:marTop w:val="180"/>
      <w:marBottom w:val="0"/>
      <w:divBdr>
        <w:top w:val="none" w:sz="0" w:space="0" w:color="auto"/>
        <w:left w:val="none" w:sz="0" w:space="0" w:color="auto"/>
        <w:bottom w:val="none" w:sz="0" w:space="0" w:color="auto"/>
        <w:right w:val="none" w:sz="0" w:space="0" w:color="auto"/>
      </w:divBdr>
    </w:div>
    <w:div w:id="954749723">
      <w:marLeft w:val="0"/>
      <w:marRight w:val="0"/>
      <w:marTop w:val="180"/>
      <w:marBottom w:val="0"/>
      <w:divBdr>
        <w:top w:val="none" w:sz="0" w:space="0" w:color="auto"/>
        <w:left w:val="none" w:sz="0" w:space="0" w:color="auto"/>
        <w:bottom w:val="none" w:sz="0" w:space="0" w:color="auto"/>
        <w:right w:val="none" w:sz="0" w:space="0" w:color="auto"/>
      </w:divBdr>
    </w:div>
    <w:div w:id="954824127">
      <w:marLeft w:val="0"/>
      <w:marRight w:val="0"/>
      <w:marTop w:val="180"/>
      <w:marBottom w:val="0"/>
      <w:divBdr>
        <w:top w:val="none" w:sz="0" w:space="0" w:color="auto"/>
        <w:left w:val="none" w:sz="0" w:space="0" w:color="auto"/>
        <w:bottom w:val="none" w:sz="0" w:space="0" w:color="auto"/>
        <w:right w:val="none" w:sz="0" w:space="0" w:color="auto"/>
      </w:divBdr>
    </w:div>
    <w:div w:id="959645918">
      <w:marLeft w:val="0"/>
      <w:marRight w:val="0"/>
      <w:marTop w:val="240"/>
      <w:marBottom w:val="0"/>
      <w:divBdr>
        <w:top w:val="none" w:sz="0" w:space="0" w:color="auto"/>
        <w:left w:val="none" w:sz="0" w:space="0" w:color="auto"/>
        <w:bottom w:val="none" w:sz="0" w:space="0" w:color="auto"/>
        <w:right w:val="none" w:sz="0" w:space="0" w:color="auto"/>
      </w:divBdr>
    </w:div>
    <w:div w:id="960380617">
      <w:marLeft w:val="0"/>
      <w:marRight w:val="0"/>
      <w:marTop w:val="180"/>
      <w:marBottom w:val="0"/>
      <w:divBdr>
        <w:top w:val="none" w:sz="0" w:space="0" w:color="auto"/>
        <w:left w:val="none" w:sz="0" w:space="0" w:color="auto"/>
        <w:bottom w:val="none" w:sz="0" w:space="0" w:color="auto"/>
        <w:right w:val="none" w:sz="0" w:space="0" w:color="auto"/>
      </w:divBdr>
    </w:div>
    <w:div w:id="960527928">
      <w:marLeft w:val="0"/>
      <w:marRight w:val="0"/>
      <w:marTop w:val="0"/>
      <w:marBottom w:val="0"/>
      <w:divBdr>
        <w:top w:val="none" w:sz="0" w:space="0" w:color="auto"/>
        <w:left w:val="none" w:sz="0" w:space="0" w:color="auto"/>
        <w:bottom w:val="none" w:sz="0" w:space="0" w:color="auto"/>
        <w:right w:val="none" w:sz="0" w:space="0" w:color="auto"/>
      </w:divBdr>
      <w:divsChild>
        <w:div w:id="1810318429">
          <w:marLeft w:val="0"/>
          <w:marRight w:val="0"/>
          <w:marTop w:val="0"/>
          <w:marBottom w:val="0"/>
          <w:divBdr>
            <w:top w:val="none" w:sz="0" w:space="0" w:color="auto"/>
            <w:left w:val="none" w:sz="0" w:space="0" w:color="auto"/>
            <w:bottom w:val="none" w:sz="0" w:space="0" w:color="auto"/>
            <w:right w:val="none" w:sz="0" w:space="0" w:color="auto"/>
          </w:divBdr>
        </w:div>
      </w:divsChild>
    </w:div>
    <w:div w:id="961158643">
      <w:marLeft w:val="0"/>
      <w:marRight w:val="0"/>
      <w:marTop w:val="0"/>
      <w:marBottom w:val="0"/>
      <w:divBdr>
        <w:top w:val="none" w:sz="0" w:space="0" w:color="auto"/>
        <w:left w:val="none" w:sz="0" w:space="0" w:color="auto"/>
        <w:bottom w:val="none" w:sz="0" w:space="0" w:color="auto"/>
        <w:right w:val="none" w:sz="0" w:space="0" w:color="auto"/>
      </w:divBdr>
      <w:divsChild>
        <w:div w:id="925305418">
          <w:marLeft w:val="0"/>
          <w:marRight w:val="0"/>
          <w:marTop w:val="0"/>
          <w:marBottom w:val="0"/>
          <w:divBdr>
            <w:top w:val="none" w:sz="0" w:space="0" w:color="auto"/>
            <w:left w:val="none" w:sz="0" w:space="0" w:color="auto"/>
            <w:bottom w:val="none" w:sz="0" w:space="0" w:color="auto"/>
            <w:right w:val="none" w:sz="0" w:space="0" w:color="auto"/>
          </w:divBdr>
        </w:div>
      </w:divsChild>
    </w:div>
    <w:div w:id="961228384">
      <w:marLeft w:val="0"/>
      <w:marRight w:val="0"/>
      <w:marTop w:val="180"/>
      <w:marBottom w:val="0"/>
      <w:divBdr>
        <w:top w:val="none" w:sz="0" w:space="0" w:color="auto"/>
        <w:left w:val="none" w:sz="0" w:space="0" w:color="auto"/>
        <w:bottom w:val="none" w:sz="0" w:space="0" w:color="auto"/>
        <w:right w:val="none" w:sz="0" w:space="0" w:color="auto"/>
      </w:divBdr>
    </w:div>
    <w:div w:id="964235784">
      <w:marLeft w:val="0"/>
      <w:marRight w:val="0"/>
      <w:marTop w:val="180"/>
      <w:marBottom w:val="0"/>
      <w:divBdr>
        <w:top w:val="none" w:sz="0" w:space="0" w:color="auto"/>
        <w:left w:val="none" w:sz="0" w:space="0" w:color="auto"/>
        <w:bottom w:val="none" w:sz="0" w:space="0" w:color="auto"/>
        <w:right w:val="none" w:sz="0" w:space="0" w:color="auto"/>
      </w:divBdr>
    </w:div>
    <w:div w:id="968588955">
      <w:marLeft w:val="0"/>
      <w:marRight w:val="0"/>
      <w:marTop w:val="180"/>
      <w:marBottom w:val="120"/>
      <w:divBdr>
        <w:top w:val="none" w:sz="0" w:space="0" w:color="auto"/>
        <w:left w:val="none" w:sz="0" w:space="0" w:color="auto"/>
        <w:bottom w:val="none" w:sz="0" w:space="0" w:color="auto"/>
        <w:right w:val="none" w:sz="0" w:space="0" w:color="auto"/>
      </w:divBdr>
    </w:div>
    <w:div w:id="968703957">
      <w:marLeft w:val="0"/>
      <w:marRight w:val="0"/>
      <w:marTop w:val="180"/>
      <w:marBottom w:val="0"/>
      <w:divBdr>
        <w:top w:val="none" w:sz="0" w:space="0" w:color="auto"/>
        <w:left w:val="none" w:sz="0" w:space="0" w:color="auto"/>
        <w:bottom w:val="none" w:sz="0" w:space="0" w:color="auto"/>
        <w:right w:val="none" w:sz="0" w:space="0" w:color="auto"/>
      </w:divBdr>
    </w:div>
    <w:div w:id="972170934">
      <w:marLeft w:val="0"/>
      <w:marRight w:val="0"/>
      <w:marTop w:val="180"/>
      <w:marBottom w:val="0"/>
      <w:divBdr>
        <w:top w:val="none" w:sz="0" w:space="0" w:color="auto"/>
        <w:left w:val="none" w:sz="0" w:space="0" w:color="auto"/>
        <w:bottom w:val="none" w:sz="0" w:space="0" w:color="auto"/>
        <w:right w:val="none" w:sz="0" w:space="0" w:color="auto"/>
      </w:divBdr>
    </w:div>
    <w:div w:id="973371214">
      <w:marLeft w:val="0"/>
      <w:marRight w:val="0"/>
      <w:marTop w:val="180"/>
      <w:marBottom w:val="120"/>
      <w:divBdr>
        <w:top w:val="none" w:sz="0" w:space="0" w:color="auto"/>
        <w:left w:val="none" w:sz="0" w:space="0" w:color="auto"/>
        <w:bottom w:val="none" w:sz="0" w:space="0" w:color="auto"/>
        <w:right w:val="none" w:sz="0" w:space="0" w:color="auto"/>
      </w:divBdr>
    </w:div>
    <w:div w:id="975111578">
      <w:marLeft w:val="0"/>
      <w:marRight w:val="0"/>
      <w:marTop w:val="180"/>
      <w:marBottom w:val="0"/>
      <w:divBdr>
        <w:top w:val="none" w:sz="0" w:space="0" w:color="auto"/>
        <w:left w:val="none" w:sz="0" w:space="0" w:color="auto"/>
        <w:bottom w:val="none" w:sz="0" w:space="0" w:color="auto"/>
        <w:right w:val="none" w:sz="0" w:space="0" w:color="auto"/>
      </w:divBdr>
    </w:div>
    <w:div w:id="975910398">
      <w:marLeft w:val="0"/>
      <w:marRight w:val="0"/>
      <w:marTop w:val="0"/>
      <w:marBottom w:val="0"/>
      <w:divBdr>
        <w:top w:val="none" w:sz="0" w:space="0" w:color="auto"/>
        <w:left w:val="none" w:sz="0" w:space="0" w:color="auto"/>
        <w:bottom w:val="none" w:sz="0" w:space="0" w:color="auto"/>
        <w:right w:val="none" w:sz="0" w:space="0" w:color="auto"/>
      </w:divBdr>
      <w:divsChild>
        <w:div w:id="993218734">
          <w:marLeft w:val="0"/>
          <w:marRight w:val="0"/>
          <w:marTop w:val="0"/>
          <w:marBottom w:val="0"/>
          <w:divBdr>
            <w:top w:val="none" w:sz="0" w:space="0" w:color="auto"/>
            <w:left w:val="none" w:sz="0" w:space="0" w:color="auto"/>
            <w:bottom w:val="none" w:sz="0" w:space="0" w:color="auto"/>
            <w:right w:val="none" w:sz="0" w:space="0" w:color="auto"/>
          </w:divBdr>
          <w:divsChild>
            <w:div w:id="4998526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76103967">
      <w:marLeft w:val="0"/>
      <w:marRight w:val="0"/>
      <w:marTop w:val="0"/>
      <w:marBottom w:val="0"/>
      <w:divBdr>
        <w:top w:val="none" w:sz="0" w:space="0" w:color="auto"/>
        <w:left w:val="none" w:sz="0" w:space="0" w:color="auto"/>
        <w:bottom w:val="none" w:sz="0" w:space="0" w:color="auto"/>
        <w:right w:val="none" w:sz="0" w:space="0" w:color="auto"/>
      </w:divBdr>
      <w:divsChild>
        <w:div w:id="182742762">
          <w:marLeft w:val="0"/>
          <w:marRight w:val="0"/>
          <w:marTop w:val="180"/>
          <w:marBottom w:val="0"/>
          <w:divBdr>
            <w:top w:val="none" w:sz="0" w:space="0" w:color="auto"/>
            <w:left w:val="none" w:sz="0" w:space="0" w:color="auto"/>
            <w:bottom w:val="none" w:sz="0" w:space="0" w:color="auto"/>
            <w:right w:val="none" w:sz="0" w:space="0" w:color="auto"/>
          </w:divBdr>
        </w:div>
      </w:divsChild>
    </w:div>
    <w:div w:id="977302687">
      <w:marLeft w:val="0"/>
      <w:marRight w:val="0"/>
      <w:marTop w:val="180"/>
      <w:marBottom w:val="0"/>
      <w:divBdr>
        <w:top w:val="none" w:sz="0" w:space="0" w:color="auto"/>
        <w:left w:val="none" w:sz="0" w:space="0" w:color="auto"/>
        <w:bottom w:val="none" w:sz="0" w:space="0" w:color="auto"/>
        <w:right w:val="none" w:sz="0" w:space="0" w:color="auto"/>
      </w:divBdr>
    </w:div>
    <w:div w:id="978412903">
      <w:marLeft w:val="0"/>
      <w:marRight w:val="0"/>
      <w:marTop w:val="120"/>
      <w:marBottom w:val="0"/>
      <w:divBdr>
        <w:top w:val="none" w:sz="0" w:space="0" w:color="auto"/>
        <w:left w:val="none" w:sz="0" w:space="0" w:color="auto"/>
        <w:bottom w:val="none" w:sz="0" w:space="0" w:color="auto"/>
        <w:right w:val="none" w:sz="0" w:space="0" w:color="auto"/>
      </w:divBdr>
    </w:div>
    <w:div w:id="979463304">
      <w:marLeft w:val="0"/>
      <w:marRight w:val="0"/>
      <w:marTop w:val="240"/>
      <w:marBottom w:val="0"/>
      <w:divBdr>
        <w:top w:val="none" w:sz="0" w:space="0" w:color="auto"/>
        <w:left w:val="none" w:sz="0" w:space="0" w:color="auto"/>
        <w:bottom w:val="none" w:sz="0" w:space="0" w:color="auto"/>
        <w:right w:val="none" w:sz="0" w:space="0" w:color="auto"/>
      </w:divBdr>
    </w:div>
    <w:div w:id="980118909">
      <w:marLeft w:val="0"/>
      <w:marRight w:val="0"/>
      <w:marTop w:val="180"/>
      <w:marBottom w:val="0"/>
      <w:divBdr>
        <w:top w:val="none" w:sz="0" w:space="0" w:color="auto"/>
        <w:left w:val="none" w:sz="0" w:space="0" w:color="auto"/>
        <w:bottom w:val="none" w:sz="0" w:space="0" w:color="auto"/>
        <w:right w:val="none" w:sz="0" w:space="0" w:color="auto"/>
      </w:divBdr>
    </w:div>
    <w:div w:id="980497922">
      <w:marLeft w:val="0"/>
      <w:marRight w:val="0"/>
      <w:marTop w:val="180"/>
      <w:marBottom w:val="120"/>
      <w:divBdr>
        <w:top w:val="none" w:sz="0" w:space="0" w:color="auto"/>
        <w:left w:val="none" w:sz="0" w:space="0" w:color="auto"/>
        <w:bottom w:val="none" w:sz="0" w:space="0" w:color="auto"/>
        <w:right w:val="none" w:sz="0" w:space="0" w:color="auto"/>
      </w:divBdr>
    </w:div>
    <w:div w:id="982346606">
      <w:marLeft w:val="0"/>
      <w:marRight w:val="0"/>
      <w:marTop w:val="0"/>
      <w:marBottom w:val="0"/>
      <w:divBdr>
        <w:top w:val="none" w:sz="0" w:space="0" w:color="auto"/>
        <w:left w:val="none" w:sz="0" w:space="0" w:color="auto"/>
        <w:bottom w:val="none" w:sz="0" w:space="0" w:color="auto"/>
        <w:right w:val="none" w:sz="0" w:space="0" w:color="auto"/>
      </w:divBdr>
      <w:divsChild>
        <w:div w:id="319778001">
          <w:marLeft w:val="0"/>
          <w:marRight w:val="0"/>
          <w:marTop w:val="180"/>
          <w:marBottom w:val="0"/>
          <w:divBdr>
            <w:top w:val="none" w:sz="0" w:space="0" w:color="auto"/>
            <w:left w:val="none" w:sz="0" w:space="0" w:color="auto"/>
            <w:bottom w:val="none" w:sz="0" w:space="0" w:color="auto"/>
            <w:right w:val="none" w:sz="0" w:space="0" w:color="auto"/>
          </w:divBdr>
        </w:div>
      </w:divsChild>
    </w:div>
    <w:div w:id="983658595">
      <w:marLeft w:val="0"/>
      <w:marRight w:val="0"/>
      <w:marTop w:val="0"/>
      <w:marBottom w:val="0"/>
      <w:divBdr>
        <w:top w:val="none" w:sz="0" w:space="0" w:color="auto"/>
        <w:left w:val="none" w:sz="0" w:space="0" w:color="auto"/>
        <w:bottom w:val="none" w:sz="0" w:space="0" w:color="auto"/>
        <w:right w:val="none" w:sz="0" w:space="0" w:color="auto"/>
      </w:divBdr>
      <w:divsChild>
        <w:div w:id="1302737405">
          <w:marLeft w:val="0"/>
          <w:marRight w:val="0"/>
          <w:marTop w:val="0"/>
          <w:marBottom w:val="0"/>
          <w:divBdr>
            <w:top w:val="none" w:sz="0" w:space="0" w:color="auto"/>
            <w:left w:val="none" w:sz="0" w:space="0" w:color="auto"/>
            <w:bottom w:val="none" w:sz="0" w:space="0" w:color="auto"/>
            <w:right w:val="none" w:sz="0" w:space="0" w:color="auto"/>
          </w:divBdr>
          <w:divsChild>
            <w:div w:id="12425943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86398753">
      <w:marLeft w:val="0"/>
      <w:marRight w:val="0"/>
      <w:marTop w:val="180"/>
      <w:marBottom w:val="0"/>
      <w:divBdr>
        <w:top w:val="none" w:sz="0" w:space="0" w:color="auto"/>
        <w:left w:val="none" w:sz="0" w:space="0" w:color="auto"/>
        <w:bottom w:val="none" w:sz="0" w:space="0" w:color="auto"/>
        <w:right w:val="none" w:sz="0" w:space="0" w:color="auto"/>
      </w:divBdr>
    </w:div>
    <w:div w:id="987395281">
      <w:marLeft w:val="0"/>
      <w:marRight w:val="0"/>
      <w:marTop w:val="180"/>
      <w:marBottom w:val="0"/>
      <w:divBdr>
        <w:top w:val="none" w:sz="0" w:space="0" w:color="auto"/>
        <w:left w:val="none" w:sz="0" w:space="0" w:color="auto"/>
        <w:bottom w:val="none" w:sz="0" w:space="0" w:color="auto"/>
        <w:right w:val="none" w:sz="0" w:space="0" w:color="auto"/>
      </w:divBdr>
    </w:div>
    <w:div w:id="988903470">
      <w:marLeft w:val="0"/>
      <w:marRight w:val="0"/>
      <w:marTop w:val="180"/>
      <w:marBottom w:val="0"/>
      <w:divBdr>
        <w:top w:val="none" w:sz="0" w:space="0" w:color="auto"/>
        <w:left w:val="none" w:sz="0" w:space="0" w:color="auto"/>
        <w:bottom w:val="none" w:sz="0" w:space="0" w:color="auto"/>
        <w:right w:val="none" w:sz="0" w:space="0" w:color="auto"/>
      </w:divBdr>
    </w:div>
    <w:div w:id="989408345">
      <w:marLeft w:val="0"/>
      <w:marRight w:val="0"/>
      <w:marTop w:val="180"/>
      <w:marBottom w:val="0"/>
      <w:divBdr>
        <w:top w:val="none" w:sz="0" w:space="0" w:color="auto"/>
        <w:left w:val="none" w:sz="0" w:space="0" w:color="auto"/>
        <w:bottom w:val="none" w:sz="0" w:space="0" w:color="auto"/>
        <w:right w:val="none" w:sz="0" w:space="0" w:color="auto"/>
      </w:divBdr>
    </w:div>
    <w:div w:id="991641583">
      <w:marLeft w:val="0"/>
      <w:marRight w:val="0"/>
      <w:marTop w:val="180"/>
      <w:marBottom w:val="0"/>
      <w:divBdr>
        <w:top w:val="none" w:sz="0" w:space="0" w:color="auto"/>
        <w:left w:val="none" w:sz="0" w:space="0" w:color="auto"/>
        <w:bottom w:val="none" w:sz="0" w:space="0" w:color="auto"/>
        <w:right w:val="none" w:sz="0" w:space="0" w:color="auto"/>
      </w:divBdr>
    </w:div>
    <w:div w:id="992299356">
      <w:marLeft w:val="0"/>
      <w:marRight w:val="0"/>
      <w:marTop w:val="0"/>
      <w:marBottom w:val="200"/>
      <w:divBdr>
        <w:top w:val="none" w:sz="0" w:space="0" w:color="auto"/>
        <w:left w:val="none" w:sz="0" w:space="0" w:color="auto"/>
        <w:bottom w:val="none" w:sz="0" w:space="0" w:color="auto"/>
        <w:right w:val="none" w:sz="0" w:space="0" w:color="auto"/>
      </w:divBdr>
    </w:div>
    <w:div w:id="994256973">
      <w:marLeft w:val="0"/>
      <w:marRight w:val="0"/>
      <w:marTop w:val="180"/>
      <w:marBottom w:val="0"/>
      <w:divBdr>
        <w:top w:val="none" w:sz="0" w:space="0" w:color="auto"/>
        <w:left w:val="none" w:sz="0" w:space="0" w:color="auto"/>
        <w:bottom w:val="none" w:sz="0" w:space="0" w:color="auto"/>
        <w:right w:val="none" w:sz="0" w:space="0" w:color="auto"/>
      </w:divBdr>
    </w:div>
    <w:div w:id="999892662">
      <w:marLeft w:val="0"/>
      <w:marRight w:val="0"/>
      <w:marTop w:val="180"/>
      <w:marBottom w:val="12"/>
      <w:divBdr>
        <w:top w:val="none" w:sz="0" w:space="0" w:color="auto"/>
        <w:left w:val="none" w:sz="0" w:space="0" w:color="auto"/>
        <w:bottom w:val="none" w:sz="0" w:space="0" w:color="auto"/>
        <w:right w:val="none" w:sz="0" w:space="0" w:color="auto"/>
      </w:divBdr>
    </w:div>
    <w:div w:id="1000736942">
      <w:marLeft w:val="0"/>
      <w:marRight w:val="0"/>
      <w:marTop w:val="0"/>
      <w:marBottom w:val="0"/>
      <w:divBdr>
        <w:top w:val="none" w:sz="0" w:space="0" w:color="auto"/>
        <w:left w:val="none" w:sz="0" w:space="0" w:color="auto"/>
        <w:bottom w:val="none" w:sz="0" w:space="0" w:color="auto"/>
        <w:right w:val="none" w:sz="0" w:space="0" w:color="auto"/>
      </w:divBdr>
      <w:divsChild>
        <w:div w:id="1402870731">
          <w:marLeft w:val="0"/>
          <w:marRight w:val="0"/>
          <w:marTop w:val="0"/>
          <w:marBottom w:val="0"/>
          <w:divBdr>
            <w:top w:val="none" w:sz="0" w:space="0" w:color="auto"/>
            <w:left w:val="none" w:sz="0" w:space="0" w:color="auto"/>
            <w:bottom w:val="none" w:sz="0" w:space="0" w:color="auto"/>
            <w:right w:val="none" w:sz="0" w:space="0" w:color="auto"/>
          </w:divBdr>
        </w:div>
      </w:divsChild>
    </w:div>
    <w:div w:id="1000741343">
      <w:marLeft w:val="0"/>
      <w:marRight w:val="0"/>
      <w:marTop w:val="180"/>
      <w:marBottom w:val="0"/>
      <w:divBdr>
        <w:top w:val="none" w:sz="0" w:space="0" w:color="auto"/>
        <w:left w:val="none" w:sz="0" w:space="0" w:color="auto"/>
        <w:bottom w:val="none" w:sz="0" w:space="0" w:color="auto"/>
        <w:right w:val="none" w:sz="0" w:space="0" w:color="auto"/>
      </w:divBdr>
    </w:div>
    <w:div w:id="1004016071">
      <w:marLeft w:val="0"/>
      <w:marRight w:val="0"/>
      <w:marTop w:val="180"/>
      <w:marBottom w:val="0"/>
      <w:divBdr>
        <w:top w:val="none" w:sz="0" w:space="0" w:color="auto"/>
        <w:left w:val="none" w:sz="0" w:space="0" w:color="auto"/>
        <w:bottom w:val="none" w:sz="0" w:space="0" w:color="auto"/>
        <w:right w:val="none" w:sz="0" w:space="0" w:color="auto"/>
      </w:divBdr>
    </w:div>
    <w:div w:id="1004431211">
      <w:marLeft w:val="0"/>
      <w:marRight w:val="0"/>
      <w:marTop w:val="120"/>
      <w:marBottom w:val="0"/>
      <w:divBdr>
        <w:top w:val="none" w:sz="0" w:space="0" w:color="auto"/>
        <w:left w:val="none" w:sz="0" w:space="0" w:color="auto"/>
        <w:bottom w:val="none" w:sz="0" w:space="0" w:color="auto"/>
        <w:right w:val="none" w:sz="0" w:space="0" w:color="auto"/>
      </w:divBdr>
    </w:div>
    <w:div w:id="1004821322">
      <w:marLeft w:val="0"/>
      <w:marRight w:val="0"/>
      <w:marTop w:val="180"/>
      <w:marBottom w:val="180"/>
      <w:divBdr>
        <w:top w:val="none" w:sz="0" w:space="0" w:color="auto"/>
        <w:left w:val="none" w:sz="0" w:space="0" w:color="auto"/>
        <w:bottom w:val="none" w:sz="0" w:space="0" w:color="auto"/>
        <w:right w:val="none" w:sz="0" w:space="0" w:color="auto"/>
      </w:divBdr>
    </w:div>
    <w:div w:id="1005205560">
      <w:marLeft w:val="0"/>
      <w:marRight w:val="0"/>
      <w:marTop w:val="180"/>
      <w:marBottom w:val="0"/>
      <w:divBdr>
        <w:top w:val="none" w:sz="0" w:space="0" w:color="auto"/>
        <w:left w:val="none" w:sz="0" w:space="0" w:color="auto"/>
        <w:bottom w:val="none" w:sz="0" w:space="0" w:color="auto"/>
        <w:right w:val="none" w:sz="0" w:space="0" w:color="auto"/>
      </w:divBdr>
    </w:div>
    <w:div w:id="1005402253">
      <w:marLeft w:val="0"/>
      <w:marRight w:val="0"/>
      <w:marTop w:val="180"/>
      <w:marBottom w:val="0"/>
      <w:divBdr>
        <w:top w:val="none" w:sz="0" w:space="0" w:color="auto"/>
        <w:left w:val="none" w:sz="0" w:space="0" w:color="auto"/>
        <w:bottom w:val="none" w:sz="0" w:space="0" w:color="auto"/>
        <w:right w:val="none" w:sz="0" w:space="0" w:color="auto"/>
      </w:divBdr>
    </w:div>
    <w:div w:id="1008211212">
      <w:marLeft w:val="0"/>
      <w:marRight w:val="0"/>
      <w:marTop w:val="180"/>
      <w:marBottom w:val="120"/>
      <w:divBdr>
        <w:top w:val="none" w:sz="0" w:space="0" w:color="auto"/>
        <w:left w:val="none" w:sz="0" w:space="0" w:color="auto"/>
        <w:bottom w:val="none" w:sz="0" w:space="0" w:color="auto"/>
        <w:right w:val="none" w:sz="0" w:space="0" w:color="auto"/>
      </w:divBdr>
    </w:div>
    <w:div w:id="1008557290">
      <w:marLeft w:val="0"/>
      <w:marRight w:val="0"/>
      <w:marTop w:val="0"/>
      <w:marBottom w:val="0"/>
      <w:divBdr>
        <w:top w:val="none" w:sz="0" w:space="0" w:color="auto"/>
        <w:left w:val="none" w:sz="0" w:space="0" w:color="auto"/>
        <w:bottom w:val="none" w:sz="0" w:space="0" w:color="auto"/>
        <w:right w:val="none" w:sz="0" w:space="0" w:color="auto"/>
      </w:divBdr>
      <w:divsChild>
        <w:div w:id="1582254190">
          <w:marLeft w:val="0"/>
          <w:marRight w:val="0"/>
          <w:marTop w:val="180"/>
          <w:marBottom w:val="0"/>
          <w:divBdr>
            <w:top w:val="none" w:sz="0" w:space="0" w:color="auto"/>
            <w:left w:val="none" w:sz="0" w:space="0" w:color="auto"/>
            <w:bottom w:val="none" w:sz="0" w:space="0" w:color="auto"/>
            <w:right w:val="none" w:sz="0" w:space="0" w:color="auto"/>
          </w:divBdr>
        </w:div>
      </w:divsChild>
    </w:div>
    <w:div w:id="1010179946">
      <w:marLeft w:val="0"/>
      <w:marRight w:val="0"/>
      <w:marTop w:val="180"/>
      <w:marBottom w:val="0"/>
      <w:divBdr>
        <w:top w:val="none" w:sz="0" w:space="0" w:color="auto"/>
        <w:left w:val="none" w:sz="0" w:space="0" w:color="auto"/>
        <w:bottom w:val="none" w:sz="0" w:space="0" w:color="auto"/>
        <w:right w:val="none" w:sz="0" w:space="0" w:color="auto"/>
      </w:divBdr>
    </w:div>
    <w:div w:id="1011882479">
      <w:marLeft w:val="0"/>
      <w:marRight w:val="0"/>
      <w:marTop w:val="180"/>
      <w:marBottom w:val="120"/>
      <w:divBdr>
        <w:top w:val="none" w:sz="0" w:space="0" w:color="auto"/>
        <w:left w:val="none" w:sz="0" w:space="0" w:color="auto"/>
        <w:bottom w:val="none" w:sz="0" w:space="0" w:color="auto"/>
        <w:right w:val="none" w:sz="0" w:space="0" w:color="auto"/>
      </w:divBdr>
    </w:div>
    <w:div w:id="1013458694">
      <w:marLeft w:val="0"/>
      <w:marRight w:val="0"/>
      <w:marTop w:val="180"/>
      <w:marBottom w:val="0"/>
      <w:divBdr>
        <w:top w:val="none" w:sz="0" w:space="0" w:color="auto"/>
        <w:left w:val="none" w:sz="0" w:space="0" w:color="auto"/>
        <w:bottom w:val="none" w:sz="0" w:space="0" w:color="auto"/>
        <w:right w:val="none" w:sz="0" w:space="0" w:color="auto"/>
      </w:divBdr>
    </w:div>
    <w:div w:id="1014307066">
      <w:marLeft w:val="0"/>
      <w:marRight w:val="0"/>
      <w:marTop w:val="0"/>
      <w:marBottom w:val="0"/>
      <w:divBdr>
        <w:top w:val="none" w:sz="0" w:space="0" w:color="auto"/>
        <w:left w:val="none" w:sz="0" w:space="0" w:color="auto"/>
        <w:bottom w:val="none" w:sz="0" w:space="0" w:color="auto"/>
        <w:right w:val="none" w:sz="0" w:space="0" w:color="auto"/>
      </w:divBdr>
      <w:divsChild>
        <w:div w:id="1449398221">
          <w:marLeft w:val="0"/>
          <w:marRight w:val="0"/>
          <w:marTop w:val="0"/>
          <w:marBottom w:val="0"/>
          <w:divBdr>
            <w:top w:val="none" w:sz="0" w:space="0" w:color="auto"/>
            <w:left w:val="none" w:sz="0" w:space="0" w:color="auto"/>
            <w:bottom w:val="none" w:sz="0" w:space="0" w:color="auto"/>
            <w:right w:val="none" w:sz="0" w:space="0" w:color="auto"/>
          </w:divBdr>
        </w:div>
      </w:divsChild>
    </w:div>
    <w:div w:id="1016077180">
      <w:marLeft w:val="0"/>
      <w:marRight w:val="0"/>
      <w:marTop w:val="0"/>
      <w:marBottom w:val="0"/>
      <w:divBdr>
        <w:top w:val="none" w:sz="0" w:space="0" w:color="auto"/>
        <w:left w:val="none" w:sz="0" w:space="0" w:color="auto"/>
        <w:bottom w:val="none" w:sz="0" w:space="0" w:color="auto"/>
        <w:right w:val="none" w:sz="0" w:space="0" w:color="auto"/>
      </w:divBdr>
      <w:divsChild>
        <w:div w:id="478690977">
          <w:marLeft w:val="0"/>
          <w:marRight w:val="0"/>
          <w:marTop w:val="180"/>
          <w:marBottom w:val="0"/>
          <w:divBdr>
            <w:top w:val="none" w:sz="0" w:space="0" w:color="auto"/>
            <w:left w:val="none" w:sz="0" w:space="0" w:color="auto"/>
            <w:bottom w:val="none" w:sz="0" w:space="0" w:color="auto"/>
            <w:right w:val="none" w:sz="0" w:space="0" w:color="auto"/>
          </w:divBdr>
        </w:div>
      </w:divsChild>
    </w:div>
    <w:div w:id="1016923372">
      <w:marLeft w:val="0"/>
      <w:marRight w:val="0"/>
      <w:marTop w:val="180"/>
      <w:marBottom w:val="180"/>
      <w:divBdr>
        <w:top w:val="none" w:sz="0" w:space="0" w:color="auto"/>
        <w:left w:val="none" w:sz="0" w:space="0" w:color="auto"/>
        <w:bottom w:val="none" w:sz="0" w:space="0" w:color="auto"/>
        <w:right w:val="none" w:sz="0" w:space="0" w:color="auto"/>
      </w:divBdr>
    </w:div>
    <w:div w:id="1017005228">
      <w:marLeft w:val="0"/>
      <w:marRight w:val="0"/>
      <w:marTop w:val="180"/>
      <w:marBottom w:val="0"/>
      <w:divBdr>
        <w:top w:val="none" w:sz="0" w:space="0" w:color="auto"/>
        <w:left w:val="none" w:sz="0" w:space="0" w:color="auto"/>
        <w:bottom w:val="none" w:sz="0" w:space="0" w:color="auto"/>
        <w:right w:val="none" w:sz="0" w:space="0" w:color="auto"/>
      </w:divBdr>
    </w:div>
    <w:div w:id="1018967942">
      <w:marLeft w:val="0"/>
      <w:marRight w:val="0"/>
      <w:marTop w:val="0"/>
      <w:marBottom w:val="0"/>
      <w:divBdr>
        <w:top w:val="none" w:sz="0" w:space="0" w:color="auto"/>
        <w:left w:val="none" w:sz="0" w:space="0" w:color="auto"/>
        <w:bottom w:val="none" w:sz="0" w:space="0" w:color="auto"/>
        <w:right w:val="none" w:sz="0" w:space="0" w:color="auto"/>
      </w:divBdr>
      <w:divsChild>
        <w:div w:id="748649969">
          <w:marLeft w:val="0"/>
          <w:marRight w:val="0"/>
          <w:marTop w:val="0"/>
          <w:marBottom w:val="0"/>
          <w:divBdr>
            <w:top w:val="none" w:sz="0" w:space="0" w:color="auto"/>
            <w:left w:val="none" w:sz="0" w:space="0" w:color="auto"/>
            <w:bottom w:val="none" w:sz="0" w:space="0" w:color="auto"/>
            <w:right w:val="none" w:sz="0" w:space="0" w:color="auto"/>
          </w:divBdr>
          <w:divsChild>
            <w:div w:id="815332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21322765">
      <w:marLeft w:val="0"/>
      <w:marRight w:val="0"/>
      <w:marTop w:val="180"/>
      <w:marBottom w:val="0"/>
      <w:divBdr>
        <w:top w:val="none" w:sz="0" w:space="0" w:color="auto"/>
        <w:left w:val="none" w:sz="0" w:space="0" w:color="auto"/>
        <w:bottom w:val="none" w:sz="0" w:space="0" w:color="auto"/>
        <w:right w:val="none" w:sz="0" w:space="0" w:color="auto"/>
      </w:divBdr>
    </w:div>
    <w:div w:id="1025325372">
      <w:marLeft w:val="0"/>
      <w:marRight w:val="0"/>
      <w:marTop w:val="180"/>
      <w:marBottom w:val="0"/>
      <w:divBdr>
        <w:top w:val="none" w:sz="0" w:space="0" w:color="auto"/>
        <w:left w:val="none" w:sz="0" w:space="0" w:color="auto"/>
        <w:bottom w:val="none" w:sz="0" w:space="0" w:color="auto"/>
        <w:right w:val="none" w:sz="0" w:space="0" w:color="auto"/>
      </w:divBdr>
    </w:div>
    <w:div w:id="1025792276">
      <w:marLeft w:val="0"/>
      <w:marRight w:val="0"/>
      <w:marTop w:val="180"/>
      <w:marBottom w:val="0"/>
      <w:divBdr>
        <w:top w:val="none" w:sz="0" w:space="0" w:color="auto"/>
        <w:left w:val="none" w:sz="0" w:space="0" w:color="auto"/>
        <w:bottom w:val="none" w:sz="0" w:space="0" w:color="auto"/>
        <w:right w:val="none" w:sz="0" w:space="0" w:color="auto"/>
      </w:divBdr>
    </w:div>
    <w:div w:id="1030910838">
      <w:marLeft w:val="0"/>
      <w:marRight w:val="0"/>
      <w:marTop w:val="180"/>
      <w:marBottom w:val="0"/>
      <w:divBdr>
        <w:top w:val="none" w:sz="0" w:space="0" w:color="auto"/>
        <w:left w:val="none" w:sz="0" w:space="0" w:color="auto"/>
        <w:bottom w:val="none" w:sz="0" w:space="0" w:color="auto"/>
        <w:right w:val="none" w:sz="0" w:space="0" w:color="auto"/>
      </w:divBdr>
    </w:div>
    <w:div w:id="1031764539">
      <w:marLeft w:val="0"/>
      <w:marRight w:val="0"/>
      <w:marTop w:val="180"/>
      <w:marBottom w:val="0"/>
      <w:divBdr>
        <w:top w:val="none" w:sz="0" w:space="0" w:color="auto"/>
        <w:left w:val="none" w:sz="0" w:space="0" w:color="auto"/>
        <w:bottom w:val="none" w:sz="0" w:space="0" w:color="auto"/>
        <w:right w:val="none" w:sz="0" w:space="0" w:color="auto"/>
      </w:divBdr>
    </w:div>
    <w:div w:id="1032724717">
      <w:marLeft w:val="0"/>
      <w:marRight w:val="0"/>
      <w:marTop w:val="0"/>
      <w:marBottom w:val="0"/>
      <w:divBdr>
        <w:top w:val="none" w:sz="0" w:space="0" w:color="auto"/>
        <w:left w:val="none" w:sz="0" w:space="0" w:color="auto"/>
        <w:bottom w:val="none" w:sz="0" w:space="0" w:color="auto"/>
        <w:right w:val="none" w:sz="0" w:space="0" w:color="auto"/>
      </w:divBdr>
      <w:divsChild>
        <w:div w:id="1201091342">
          <w:marLeft w:val="0"/>
          <w:marRight w:val="0"/>
          <w:marTop w:val="180"/>
          <w:marBottom w:val="0"/>
          <w:divBdr>
            <w:top w:val="none" w:sz="0" w:space="0" w:color="auto"/>
            <w:left w:val="none" w:sz="0" w:space="0" w:color="auto"/>
            <w:bottom w:val="none" w:sz="0" w:space="0" w:color="auto"/>
            <w:right w:val="none" w:sz="0" w:space="0" w:color="auto"/>
          </w:divBdr>
        </w:div>
      </w:divsChild>
    </w:div>
    <w:div w:id="1034232021">
      <w:marLeft w:val="0"/>
      <w:marRight w:val="0"/>
      <w:marTop w:val="180"/>
      <w:marBottom w:val="0"/>
      <w:divBdr>
        <w:top w:val="none" w:sz="0" w:space="0" w:color="auto"/>
        <w:left w:val="none" w:sz="0" w:space="0" w:color="auto"/>
        <w:bottom w:val="none" w:sz="0" w:space="0" w:color="auto"/>
        <w:right w:val="none" w:sz="0" w:space="0" w:color="auto"/>
      </w:divBdr>
    </w:div>
    <w:div w:id="1034304361">
      <w:marLeft w:val="0"/>
      <w:marRight w:val="0"/>
      <w:marTop w:val="180"/>
      <w:marBottom w:val="60"/>
      <w:divBdr>
        <w:top w:val="none" w:sz="0" w:space="0" w:color="auto"/>
        <w:left w:val="none" w:sz="0" w:space="0" w:color="auto"/>
        <w:bottom w:val="none" w:sz="0" w:space="0" w:color="auto"/>
        <w:right w:val="none" w:sz="0" w:space="0" w:color="auto"/>
      </w:divBdr>
    </w:div>
    <w:div w:id="1034890502">
      <w:marLeft w:val="0"/>
      <w:marRight w:val="0"/>
      <w:marTop w:val="0"/>
      <w:marBottom w:val="0"/>
      <w:divBdr>
        <w:top w:val="none" w:sz="0" w:space="0" w:color="auto"/>
        <w:left w:val="none" w:sz="0" w:space="0" w:color="auto"/>
        <w:bottom w:val="none" w:sz="0" w:space="0" w:color="auto"/>
        <w:right w:val="none" w:sz="0" w:space="0" w:color="auto"/>
      </w:divBdr>
      <w:divsChild>
        <w:div w:id="160704449">
          <w:marLeft w:val="0"/>
          <w:marRight w:val="0"/>
          <w:marTop w:val="0"/>
          <w:marBottom w:val="0"/>
          <w:divBdr>
            <w:top w:val="none" w:sz="0" w:space="0" w:color="auto"/>
            <w:left w:val="none" w:sz="0" w:space="0" w:color="auto"/>
            <w:bottom w:val="none" w:sz="0" w:space="0" w:color="auto"/>
            <w:right w:val="none" w:sz="0" w:space="0" w:color="auto"/>
          </w:divBdr>
        </w:div>
      </w:divsChild>
    </w:div>
    <w:div w:id="1035472251">
      <w:marLeft w:val="0"/>
      <w:marRight w:val="0"/>
      <w:marTop w:val="0"/>
      <w:marBottom w:val="0"/>
      <w:divBdr>
        <w:top w:val="none" w:sz="0" w:space="0" w:color="auto"/>
        <w:left w:val="none" w:sz="0" w:space="0" w:color="auto"/>
        <w:bottom w:val="none" w:sz="0" w:space="0" w:color="auto"/>
        <w:right w:val="none" w:sz="0" w:space="0" w:color="auto"/>
      </w:divBdr>
      <w:divsChild>
        <w:div w:id="1244875192">
          <w:marLeft w:val="0"/>
          <w:marRight w:val="0"/>
          <w:marTop w:val="0"/>
          <w:marBottom w:val="0"/>
          <w:divBdr>
            <w:top w:val="none" w:sz="0" w:space="0" w:color="auto"/>
            <w:left w:val="none" w:sz="0" w:space="0" w:color="auto"/>
            <w:bottom w:val="none" w:sz="0" w:space="0" w:color="auto"/>
            <w:right w:val="none" w:sz="0" w:space="0" w:color="auto"/>
          </w:divBdr>
          <w:divsChild>
            <w:div w:id="2068385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35737416">
      <w:marLeft w:val="0"/>
      <w:marRight w:val="0"/>
      <w:marTop w:val="180"/>
      <w:marBottom w:val="0"/>
      <w:divBdr>
        <w:top w:val="none" w:sz="0" w:space="0" w:color="auto"/>
        <w:left w:val="none" w:sz="0" w:space="0" w:color="auto"/>
        <w:bottom w:val="none" w:sz="0" w:space="0" w:color="auto"/>
        <w:right w:val="none" w:sz="0" w:space="0" w:color="auto"/>
      </w:divBdr>
    </w:div>
    <w:div w:id="1036079341">
      <w:marLeft w:val="0"/>
      <w:marRight w:val="0"/>
      <w:marTop w:val="0"/>
      <w:marBottom w:val="0"/>
      <w:divBdr>
        <w:top w:val="none" w:sz="0" w:space="0" w:color="auto"/>
        <w:left w:val="none" w:sz="0" w:space="0" w:color="auto"/>
        <w:bottom w:val="none" w:sz="0" w:space="0" w:color="auto"/>
        <w:right w:val="none" w:sz="0" w:space="0" w:color="auto"/>
      </w:divBdr>
      <w:divsChild>
        <w:div w:id="363678924">
          <w:marLeft w:val="0"/>
          <w:marRight w:val="0"/>
          <w:marTop w:val="0"/>
          <w:marBottom w:val="0"/>
          <w:divBdr>
            <w:top w:val="none" w:sz="0" w:space="0" w:color="auto"/>
            <w:left w:val="none" w:sz="0" w:space="0" w:color="auto"/>
            <w:bottom w:val="none" w:sz="0" w:space="0" w:color="auto"/>
            <w:right w:val="none" w:sz="0" w:space="0" w:color="auto"/>
          </w:divBdr>
        </w:div>
      </w:divsChild>
    </w:div>
    <w:div w:id="1037969911">
      <w:marLeft w:val="0"/>
      <w:marRight w:val="0"/>
      <w:marTop w:val="0"/>
      <w:marBottom w:val="0"/>
      <w:divBdr>
        <w:top w:val="none" w:sz="0" w:space="0" w:color="auto"/>
        <w:left w:val="none" w:sz="0" w:space="0" w:color="auto"/>
        <w:bottom w:val="none" w:sz="0" w:space="0" w:color="auto"/>
        <w:right w:val="none" w:sz="0" w:space="0" w:color="auto"/>
      </w:divBdr>
    </w:div>
    <w:div w:id="1042365664">
      <w:marLeft w:val="0"/>
      <w:marRight w:val="0"/>
      <w:marTop w:val="0"/>
      <w:marBottom w:val="0"/>
      <w:divBdr>
        <w:top w:val="none" w:sz="0" w:space="0" w:color="auto"/>
        <w:left w:val="none" w:sz="0" w:space="0" w:color="auto"/>
        <w:bottom w:val="none" w:sz="0" w:space="0" w:color="auto"/>
        <w:right w:val="none" w:sz="0" w:space="0" w:color="auto"/>
      </w:divBdr>
      <w:divsChild>
        <w:div w:id="1144010527">
          <w:marLeft w:val="0"/>
          <w:marRight w:val="0"/>
          <w:marTop w:val="180"/>
          <w:marBottom w:val="0"/>
          <w:divBdr>
            <w:top w:val="none" w:sz="0" w:space="0" w:color="auto"/>
            <w:left w:val="none" w:sz="0" w:space="0" w:color="auto"/>
            <w:bottom w:val="none" w:sz="0" w:space="0" w:color="auto"/>
            <w:right w:val="none" w:sz="0" w:space="0" w:color="auto"/>
          </w:divBdr>
        </w:div>
      </w:divsChild>
    </w:div>
    <w:div w:id="1043598733">
      <w:marLeft w:val="0"/>
      <w:marRight w:val="0"/>
      <w:marTop w:val="180"/>
      <w:marBottom w:val="0"/>
      <w:divBdr>
        <w:top w:val="none" w:sz="0" w:space="0" w:color="auto"/>
        <w:left w:val="none" w:sz="0" w:space="0" w:color="auto"/>
        <w:bottom w:val="none" w:sz="0" w:space="0" w:color="auto"/>
        <w:right w:val="none" w:sz="0" w:space="0" w:color="auto"/>
      </w:divBdr>
    </w:div>
    <w:div w:id="1044329705">
      <w:marLeft w:val="0"/>
      <w:marRight w:val="0"/>
      <w:marTop w:val="180"/>
      <w:marBottom w:val="0"/>
      <w:divBdr>
        <w:top w:val="none" w:sz="0" w:space="0" w:color="auto"/>
        <w:left w:val="none" w:sz="0" w:space="0" w:color="auto"/>
        <w:bottom w:val="none" w:sz="0" w:space="0" w:color="auto"/>
        <w:right w:val="none" w:sz="0" w:space="0" w:color="auto"/>
      </w:divBdr>
    </w:div>
    <w:div w:id="1046762734">
      <w:marLeft w:val="0"/>
      <w:marRight w:val="0"/>
      <w:marTop w:val="180"/>
      <w:marBottom w:val="0"/>
      <w:divBdr>
        <w:top w:val="none" w:sz="0" w:space="0" w:color="auto"/>
        <w:left w:val="none" w:sz="0" w:space="0" w:color="auto"/>
        <w:bottom w:val="none" w:sz="0" w:space="0" w:color="auto"/>
        <w:right w:val="none" w:sz="0" w:space="0" w:color="auto"/>
      </w:divBdr>
    </w:div>
    <w:div w:id="1048187415">
      <w:marLeft w:val="0"/>
      <w:marRight w:val="0"/>
      <w:marTop w:val="180"/>
      <w:marBottom w:val="0"/>
      <w:divBdr>
        <w:top w:val="none" w:sz="0" w:space="0" w:color="auto"/>
        <w:left w:val="none" w:sz="0" w:space="0" w:color="auto"/>
        <w:bottom w:val="none" w:sz="0" w:space="0" w:color="auto"/>
        <w:right w:val="none" w:sz="0" w:space="0" w:color="auto"/>
      </w:divBdr>
    </w:div>
    <w:div w:id="1049764898">
      <w:marLeft w:val="0"/>
      <w:marRight w:val="0"/>
      <w:marTop w:val="180"/>
      <w:marBottom w:val="0"/>
      <w:divBdr>
        <w:top w:val="none" w:sz="0" w:space="0" w:color="auto"/>
        <w:left w:val="none" w:sz="0" w:space="0" w:color="auto"/>
        <w:bottom w:val="none" w:sz="0" w:space="0" w:color="auto"/>
        <w:right w:val="none" w:sz="0" w:space="0" w:color="auto"/>
      </w:divBdr>
    </w:div>
    <w:div w:id="1051151670">
      <w:marLeft w:val="0"/>
      <w:marRight w:val="0"/>
      <w:marTop w:val="180"/>
      <w:marBottom w:val="0"/>
      <w:divBdr>
        <w:top w:val="none" w:sz="0" w:space="0" w:color="auto"/>
        <w:left w:val="none" w:sz="0" w:space="0" w:color="auto"/>
        <w:bottom w:val="none" w:sz="0" w:space="0" w:color="auto"/>
        <w:right w:val="none" w:sz="0" w:space="0" w:color="auto"/>
      </w:divBdr>
    </w:div>
    <w:div w:id="1051921617">
      <w:marLeft w:val="0"/>
      <w:marRight w:val="0"/>
      <w:marTop w:val="180"/>
      <w:marBottom w:val="0"/>
      <w:divBdr>
        <w:top w:val="none" w:sz="0" w:space="0" w:color="auto"/>
        <w:left w:val="none" w:sz="0" w:space="0" w:color="auto"/>
        <w:bottom w:val="none" w:sz="0" w:space="0" w:color="auto"/>
        <w:right w:val="none" w:sz="0" w:space="0" w:color="auto"/>
      </w:divBdr>
    </w:div>
    <w:div w:id="1052774887">
      <w:marLeft w:val="0"/>
      <w:marRight w:val="0"/>
      <w:marTop w:val="240"/>
      <w:marBottom w:val="0"/>
      <w:divBdr>
        <w:top w:val="none" w:sz="0" w:space="0" w:color="auto"/>
        <w:left w:val="none" w:sz="0" w:space="0" w:color="auto"/>
        <w:bottom w:val="none" w:sz="0" w:space="0" w:color="auto"/>
        <w:right w:val="none" w:sz="0" w:space="0" w:color="auto"/>
      </w:divBdr>
    </w:div>
    <w:div w:id="1053114883">
      <w:marLeft w:val="0"/>
      <w:marRight w:val="0"/>
      <w:marTop w:val="180"/>
      <w:marBottom w:val="0"/>
      <w:divBdr>
        <w:top w:val="none" w:sz="0" w:space="0" w:color="auto"/>
        <w:left w:val="none" w:sz="0" w:space="0" w:color="auto"/>
        <w:bottom w:val="none" w:sz="0" w:space="0" w:color="auto"/>
        <w:right w:val="none" w:sz="0" w:space="0" w:color="auto"/>
      </w:divBdr>
    </w:div>
    <w:div w:id="1053117481">
      <w:marLeft w:val="0"/>
      <w:marRight w:val="0"/>
      <w:marTop w:val="180"/>
      <w:marBottom w:val="0"/>
      <w:divBdr>
        <w:top w:val="none" w:sz="0" w:space="0" w:color="auto"/>
        <w:left w:val="none" w:sz="0" w:space="0" w:color="auto"/>
        <w:bottom w:val="none" w:sz="0" w:space="0" w:color="auto"/>
        <w:right w:val="none" w:sz="0" w:space="0" w:color="auto"/>
      </w:divBdr>
    </w:div>
    <w:div w:id="1053164648">
      <w:marLeft w:val="0"/>
      <w:marRight w:val="0"/>
      <w:marTop w:val="240"/>
      <w:marBottom w:val="0"/>
      <w:divBdr>
        <w:top w:val="none" w:sz="0" w:space="0" w:color="auto"/>
        <w:left w:val="none" w:sz="0" w:space="0" w:color="auto"/>
        <w:bottom w:val="none" w:sz="0" w:space="0" w:color="auto"/>
        <w:right w:val="none" w:sz="0" w:space="0" w:color="auto"/>
      </w:divBdr>
    </w:div>
    <w:div w:id="1053576911">
      <w:marLeft w:val="0"/>
      <w:marRight w:val="0"/>
      <w:marTop w:val="180"/>
      <w:marBottom w:val="120"/>
      <w:divBdr>
        <w:top w:val="none" w:sz="0" w:space="0" w:color="auto"/>
        <w:left w:val="none" w:sz="0" w:space="0" w:color="auto"/>
        <w:bottom w:val="none" w:sz="0" w:space="0" w:color="auto"/>
        <w:right w:val="none" w:sz="0" w:space="0" w:color="auto"/>
      </w:divBdr>
    </w:div>
    <w:div w:id="1054742714">
      <w:marLeft w:val="0"/>
      <w:marRight w:val="0"/>
      <w:marTop w:val="0"/>
      <w:marBottom w:val="0"/>
      <w:divBdr>
        <w:top w:val="none" w:sz="0" w:space="0" w:color="auto"/>
        <w:left w:val="none" w:sz="0" w:space="0" w:color="auto"/>
        <w:bottom w:val="none" w:sz="0" w:space="0" w:color="auto"/>
        <w:right w:val="none" w:sz="0" w:space="0" w:color="auto"/>
      </w:divBdr>
    </w:div>
    <w:div w:id="1055280411">
      <w:marLeft w:val="0"/>
      <w:marRight w:val="0"/>
      <w:marTop w:val="180"/>
      <w:marBottom w:val="0"/>
      <w:divBdr>
        <w:top w:val="none" w:sz="0" w:space="0" w:color="auto"/>
        <w:left w:val="none" w:sz="0" w:space="0" w:color="auto"/>
        <w:bottom w:val="none" w:sz="0" w:space="0" w:color="auto"/>
        <w:right w:val="none" w:sz="0" w:space="0" w:color="auto"/>
      </w:divBdr>
    </w:div>
    <w:div w:id="1057509560">
      <w:marLeft w:val="0"/>
      <w:marRight w:val="0"/>
      <w:marTop w:val="300"/>
      <w:marBottom w:val="300"/>
      <w:divBdr>
        <w:top w:val="none" w:sz="0" w:space="0" w:color="auto"/>
        <w:left w:val="none" w:sz="0" w:space="0" w:color="auto"/>
        <w:bottom w:val="none" w:sz="0" w:space="0" w:color="auto"/>
        <w:right w:val="none" w:sz="0" w:space="0" w:color="auto"/>
      </w:divBdr>
    </w:div>
    <w:div w:id="1059859273">
      <w:marLeft w:val="0"/>
      <w:marRight w:val="0"/>
      <w:marTop w:val="180"/>
      <w:marBottom w:val="0"/>
      <w:divBdr>
        <w:top w:val="none" w:sz="0" w:space="0" w:color="auto"/>
        <w:left w:val="none" w:sz="0" w:space="0" w:color="auto"/>
        <w:bottom w:val="none" w:sz="0" w:space="0" w:color="auto"/>
        <w:right w:val="none" w:sz="0" w:space="0" w:color="auto"/>
      </w:divBdr>
    </w:div>
    <w:div w:id="1060396518">
      <w:marLeft w:val="0"/>
      <w:marRight w:val="0"/>
      <w:marTop w:val="180"/>
      <w:marBottom w:val="0"/>
      <w:divBdr>
        <w:top w:val="none" w:sz="0" w:space="0" w:color="auto"/>
        <w:left w:val="none" w:sz="0" w:space="0" w:color="auto"/>
        <w:bottom w:val="none" w:sz="0" w:space="0" w:color="auto"/>
        <w:right w:val="none" w:sz="0" w:space="0" w:color="auto"/>
      </w:divBdr>
    </w:div>
    <w:div w:id="1060985540">
      <w:marLeft w:val="0"/>
      <w:marRight w:val="0"/>
      <w:marTop w:val="0"/>
      <w:marBottom w:val="0"/>
      <w:divBdr>
        <w:top w:val="none" w:sz="0" w:space="0" w:color="auto"/>
        <w:left w:val="none" w:sz="0" w:space="0" w:color="auto"/>
        <w:bottom w:val="none" w:sz="0" w:space="0" w:color="auto"/>
        <w:right w:val="none" w:sz="0" w:space="0" w:color="auto"/>
      </w:divBdr>
      <w:divsChild>
        <w:div w:id="1128621381">
          <w:marLeft w:val="0"/>
          <w:marRight w:val="0"/>
          <w:marTop w:val="180"/>
          <w:marBottom w:val="0"/>
          <w:divBdr>
            <w:top w:val="none" w:sz="0" w:space="0" w:color="auto"/>
            <w:left w:val="none" w:sz="0" w:space="0" w:color="auto"/>
            <w:bottom w:val="none" w:sz="0" w:space="0" w:color="auto"/>
            <w:right w:val="none" w:sz="0" w:space="0" w:color="auto"/>
          </w:divBdr>
        </w:div>
      </w:divsChild>
    </w:div>
    <w:div w:id="1063142242">
      <w:marLeft w:val="0"/>
      <w:marRight w:val="0"/>
      <w:marTop w:val="180"/>
      <w:marBottom w:val="0"/>
      <w:divBdr>
        <w:top w:val="none" w:sz="0" w:space="0" w:color="auto"/>
        <w:left w:val="none" w:sz="0" w:space="0" w:color="auto"/>
        <w:bottom w:val="none" w:sz="0" w:space="0" w:color="auto"/>
        <w:right w:val="none" w:sz="0" w:space="0" w:color="auto"/>
      </w:divBdr>
    </w:div>
    <w:div w:id="1063143119">
      <w:marLeft w:val="0"/>
      <w:marRight w:val="0"/>
      <w:marTop w:val="180"/>
      <w:marBottom w:val="0"/>
      <w:divBdr>
        <w:top w:val="none" w:sz="0" w:space="0" w:color="auto"/>
        <w:left w:val="none" w:sz="0" w:space="0" w:color="auto"/>
        <w:bottom w:val="none" w:sz="0" w:space="0" w:color="auto"/>
        <w:right w:val="none" w:sz="0" w:space="0" w:color="auto"/>
      </w:divBdr>
    </w:div>
    <w:div w:id="1063527888">
      <w:marLeft w:val="0"/>
      <w:marRight w:val="0"/>
      <w:marTop w:val="180"/>
      <w:marBottom w:val="0"/>
      <w:divBdr>
        <w:top w:val="none" w:sz="0" w:space="0" w:color="auto"/>
        <w:left w:val="none" w:sz="0" w:space="0" w:color="auto"/>
        <w:bottom w:val="none" w:sz="0" w:space="0" w:color="auto"/>
        <w:right w:val="none" w:sz="0" w:space="0" w:color="auto"/>
      </w:divBdr>
    </w:div>
    <w:div w:id="1066881029">
      <w:marLeft w:val="0"/>
      <w:marRight w:val="0"/>
      <w:marTop w:val="180"/>
      <w:marBottom w:val="0"/>
      <w:divBdr>
        <w:top w:val="none" w:sz="0" w:space="0" w:color="auto"/>
        <w:left w:val="none" w:sz="0" w:space="0" w:color="auto"/>
        <w:bottom w:val="none" w:sz="0" w:space="0" w:color="auto"/>
        <w:right w:val="none" w:sz="0" w:space="0" w:color="auto"/>
      </w:divBdr>
    </w:div>
    <w:div w:id="1067846487">
      <w:marLeft w:val="0"/>
      <w:marRight w:val="0"/>
      <w:marTop w:val="180"/>
      <w:marBottom w:val="0"/>
      <w:divBdr>
        <w:top w:val="none" w:sz="0" w:space="0" w:color="auto"/>
        <w:left w:val="none" w:sz="0" w:space="0" w:color="auto"/>
        <w:bottom w:val="none" w:sz="0" w:space="0" w:color="auto"/>
        <w:right w:val="none" w:sz="0" w:space="0" w:color="auto"/>
      </w:divBdr>
    </w:div>
    <w:div w:id="1070038204">
      <w:marLeft w:val="0"/>
      <w:marRight w:val="0"/>
      <w:marTop w:val="0"/>
      <w:marBottom w:val="0"/>
      <w:divBdr>
        <w:top w:val="none" w:sz="0" w:space="0" w:color="auto"/>
        <w:left w:val="none" w:sz="0" w:space="0" w:color="auto"/>
        <w:bottom w:val="none" w:sz="0" w:space="0" w:color="auto"/>
        <w:right w:val="none" w:sz="0" w:space="0" w:color="auto"/>
      </w:divBdr>
      <w:divsChild>
        <w:div w:id="638919480">
          <w:marLeft w:val="0"/>
          <w:marRight w:val="0"/>
          <w:marTop w:val="180"/>
          <w:marBottom w:val="0"/>
          <w:divBdr>
            <w:top w:val="none" w:sz="0" w:space="0" w:color="auto"/>
            <w:left w:val="none" w:sz="0" w:space="0" w:color="auto"/>
            <w:bottom w:val="none" w:sz="0" w:space="0" w:color="auto"/>
            <w:right w:val="none" w:sz="0" w:space="0" w:color="auto"/>
          </w:divBdr>
        </w:div>
      </w:divsChild>
    </w:div>
    <w:div w:id="1070270111">
      <w:marLeft w:val="0"/>
      <w:marRight w:val="0"/>
      <w:marTop w:val="120"/>
      <w:marBottom w:val="0"/>
      <w:divBdr>
        <w:top w:val="none" w:sz="0" w:space="0" w:color="auto"/>
        <w:left w:val="none" w:sz="0" w:space="0" w:color="auto"/>
        <w:bottom w:val="none" w:sz="0" w:space="0" w:color="auto"/>
        <w:right w:val="none" w:sz="0" w:space="0" w:color="auto"/>
      </w:divBdr>
    </w:div>
    <w:div w:id="1071004906">
      <w:marLeft w:val="0"/>
      <w:marRight w:val="0"/>
      <w:marTop w:val="180"/>
      <w:marBottom w:val="0"/>
      <w:divBdr>
        <w:top w:val="none" w:sz="0" w:space="0" w:color="auto"/>
        <w:left w:val="none" w:sz="0" w:space="0" w:color="auto"/>
        <w:bottom w:val="none" w:sz="0" w:space="0" w:color="auto"/>
        <w:right w:val="none" w:sz="0" w:space="0" w:color="auto"/>
      </w:divBdr>
    </w:div>
    <w:div w:id="1074089873">
      <w:marLeft w:val="0"/>
      <w:marRight w:val="0"/>
      <w:marTop w:val="180"/>
      <w:marBottom w:val="0"/>
      <w:divBdr>
        <w:top w:val="none" w:sz="0" w:space="0" w:color="auto"/>
        <w:left w:val="none" w:sz="0" w:space="0" w:color="auto"/>
        <w:bottom w:val="none" w:sz="0" w:space="0" w:color="auto"/>
        <w:right w:val="none" w:sz="0" w:space="0" w:color="auto"/>
      </w:divBdr>
    </w:div>
    <w:div w:id="1076443081">
      <w:marLeft w:val="0"/>
      <w:marRight w:val="0"/>
      <w:marTop w:val="0"/>
      <w:marBottom w:val="0"/>
      <w:divBdr>
        <w:top w:val="none" w:sz="0" w:space="0" w:color="auto"/>
        <w:left w:val="none" w:sz="0" w:space="0" w:color="auto"/>
        <w:bottom w:val="none" w:sz="0" w:space="0" w:color="auto"/>
        <w:right w:val="none" w:sz="0" w:space="0" w:color="auto"/>
      </w:divBdr>
      <w:divsChild>
        <w:div w:id="855727369">
          <w:marLeft w:val="0"/>
          <w:marRight w:val="0"/>
          <w:marTop w:val="0"/>
          <w:marBottom w:val="0"/>
          <w:divBdr>
            <w:top w:val="none" w:sz="0" w:space="0" w:color="auto"/>
            <w:left w:val="none" w:sz="0" w:space="0" w:color="auto"/>
            <w:bottom w:val="none" w:sz="0" w:space="0" w:color="auto"/>
            <w:right w:val="none" w:sz="0" w:space="0" w:color="auto"/>
          </w:divBdr>
          <w:divsChild>
            <w:div w:id="7205962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8020018">
      <w:marLeft w:val="0"/>
      <w:marRight w:val="0"/>
      <w:marTop w:val="180"/>
      <w:marBottom w:val="0"/>
      <w:divBdr>
        <w:top w:val="none" w:sz="0" w:space="0" w:color="auto"/>
        <w:left w:val="none" w:sz="0" w:space="0" w:color="auto"/>
        <w:bottom w:val="none" w:sz="0" w:space="0" w:color="auto"/>
        <w:right w:val="none" w:sz="0" w:space="0" w:color="auto"/>
      </w:divBdr>
    </w:div>
    <w:div w:id="1078213867">
      <w:marLeft w:val="0"/>
      <w:marRight w:val="0"/>
      <w:marTop w:val="180"/>
      <w:marBottom w:val="120"/>
      <w:divBdr>
        <w:top w:val="none" w:sz="0" w:space="0" w:color="auto"/>
        <w:left w:val="none" w:sz="0" w:space="0" w:color="auto"/>
        <w:bottom w:val="none" w:sz="0" w:space="0" w:color="auto"/>
        <w:right w:val="none" w:sz="0" w:space="0" w:color="auto"/>
      </w:divBdr>
    </w:div>
    <w:div w:id="1080983394">
      <w:marLeft w:val="0"/>
      <w:marRight w:val="0"/>
      <w:marTop w:val="180"/>
      <w:marBottom w:val="0"/>
      <w:divBdr>
        <w:top w:val="none" w:sz="0" w:space="0" w:color="auto"/>
        <w:left w:val="none" w:sz="0" w:space="0" w:color="auto"/>
        <w:bottom w:val="none" w:sz="0" w:space="0" w:color="auto"/>
        <w:right w:val="none" w:sz="0" w:space="0" w:color="auto"/>
      </w:divBdr>
    </w:div>
    <w:div w:id="1082681816">
      <w:marLeft w:val="0"/>
      <w:marRight w:val="0"/>
      <w:marTop w:val="60"/>
      <w:marBottom w:val="240"/>
      <w:divBdr>
        <w:top w:val="none" w:sz="0" w:space="0" w:color="auto"/>
        <w:left w:val="none" w:sz="0" w:space="0" w:color="auto"/>
        <w:bottom w:val="none" w:sz="0" w:space="0" w:color="auto"/>
        <w:right w:val="none" w:sz="0" w:space="0" w:color="auto"/>
      </w:divBdr>
    </w:div>
    <w:div w:id="1082794263">
      <w:marLeft w:val="0"/>
      <w:marRight w:val="0"/>
      <w:marTop w:val="120"/>
      <w:marBottom w:val="0"/>
      <w:divBdr>
        <w:top w:val="none" w:sz="0" w:space="0" w:color="auto"/>
        <w:left w:val="none" w:sz="0" w:space="0" w:color="auto"/>
        <w:bottom w:val="none" w:sz="0" w:space="0" w:color="auto"/>
        <w:right w:val="none" w:sz="0" w:space="0" w:color="auto"/>
      </w:divBdr>
    </w:div>
    <w:div w:id="1082918814">
      <w:marLeft w:val="0"/>
      <w:marRight w:val="0"/>
      <w:marTop w:val="0"/>
      <w:marBottom w:val="120"/>
      <w:divBdr>
        <w:top w:val="none" w:sz="0" w:space="0" w:color="auto"/>
        <w:left w:val="none" w:sz="0" w:space="0" w:color="auto"/>
        <w:bottom w:val="none" w:sz="0" w:space="0" w:color="auto"/>
        <w:right w:val="none" w:sz="0" w:space="0" w:color="auto"/>
      </w:divBdr>
    </w:div>
    <w:div w:id="1083795933">
      <w:marLeft w:val="0"/>
      <w:marRight w:val="0"/>
      <w:marTop w:val="180"/>
      <w:marBottom w:val="60"/>
      <w:divBdr>
        <w:top w:val="none" w:sz="0" w:space="0" w:color="auto"/>
        <w:left w:val="none" w:sz="0" w:space="0" w:color="auto"/>
        <w:bottom w:val="none" w:sz="0" w:space="0" w:color="auto"/>
        <w:right w:val="none" w:sz="0" w:space="0" w:color="auto"/>
      </w:divBdr>
    </w:div>
    <w:div w:id="1084572798">
      <w:marLeft w:val="0"/>
      <w:marRight w:val="0"/>
      <w:marTop w:val="180"/>
      <w:marBottom w:val="0"/>
      <w:divBdr>
        <w:top w:val="none" w:sz="0" w:space="0" w:color="auto"/>
        <w:left w:val="none" w:sz="0" w:space="0" w:color="auto"/>
        <w:bottom w:val="none" w:sz="0" w:space="0" w:color="auto"/>
        <w:right w:val="none" w:sz="0" w:space="0" w:color="auto"/>
      </w:divBdr>
    </w:div>
    <w:div w:id="1084761950">
      <w:marLeft w:val="0"/>
      <w:marRight w:val="0"/>
      <w:marTop w:val="0"/>
      <w:marBottom w:val="0"/>
      <w:divBdr>
        <w:top w:val="none" w:sz="0" w:space="0" w:color="auto"/>
        <w:left w:val="none" w:sz="0" w:space="0" w:color="auto"/>
        <w:bottom w:val="none" w:sz="0" w:space="0" w:color="auto"/>
        <w:right w:val="none" w:sz="0" w:space="0" w:color="auto"/>
      </w:divBdr>
      <w:divsChild>
        <w:div w:id="1505171719">
          <w:marLeft w:val="0"/>
          <w:marRight w:val="0"/>
          <w:marTop w:val="180"/>
          <w:marBottom w:val="0"/>
          <w:divBdr>
            <w:top w:val="none" w:sz="0" w:space="0" w:color="auto"/>
            <w:left w:val="none" w:sz="0" w:space="0" w:color="auto"/>
            <w:bottom w:val="none" w:sz="0" w:space="0" w:color="auto"/>
            <w:right w:val="none" w:sz="0" w:space="0" w:color="auto"/>
          </w:divBdr>
        </w:div>
      </w:divsChild>
    </w:div>
    <w:div w:id="1086926852">
      <w:marLeft w:val="0"/>
      <w:marRight w:val="0"/>
      <w:marTop w:val="120"/>
      <w:marBottom w:val="0"/>
      <w:divBdr>
        <w:top w:val="none" w:sz="0" w:space="0" w:color="auto"/>
        <w:left w:val="none" w:sz="0" w:space="0" w:color="auto"/>
        <w:bottom w:val="none" w:sz="0" w:space="0" w:color="auto"/>
        <w:right w:val="none" w:sz="0" w:space="0" w:color="auto"/>
      </w:divBdr>
    </w:div>
    <w:div w:id="1088505885">
      <w:marLeft w:val="0"/>
      <w:marRight w:val="0"/>
      <w:marTop w:val="0"/>
      <w:marBottom w:val="0"/>
      <w:divBdr>
        <w:top w:val="none" w:sz="0" w:space="0" w:color="auto"/>
        <w:left w:val="none" w:sz="0" w:space="0" w:color="auto"/>
        <w:bottom w:val="none" w:sz="0" w:space="0" w:color="auto"/>
        <w:right w:val="none" w:sz="0" w:space="0" w:color="auto"/>
      </w:divBdr>
    </w:div>
    <w:div w:id="1091001622">
      <w:marLeft w:val="0"/>
      <w:marRight w:val="0"/>
      <w:marTop w:val="180"/>
      <w:marBottom w:val="0"/>
      <w:divBdr>
        <w:top w:val="none" w:sz="0" w:space="0" w:color="auto"/>
        <w:left w:val="none" w:sz="0" w:space="0" w:color="auto"/>
        <w:bottom w:val="none" w:sz="0" w:space="0" w:color="auto"/>
        <w:right w:val="none" w:sz="0" w:space="0" w:color="auto"/>
      </w:divBdr>
    </w:div>
    <w:div w:id="1091052360">
      <w:marLeft w:val="0"/>
      <w:marRight w:val="0"/>
      <w:marTop w:val="0"/>
      <w:marBottom w:val="0"/>
      <w:divBdr>
        <w:top w:val="none" w:sz="0" w:space="0" w:color="auto"/>
        <w:left w:val="none" w:sz="0" w:space="0" w:color="auto"/>
        <w:bottom w:val="none" w:sz="0" w:space="0" w:color="auto"/>
        <w:right w:val="none" w:sz="0" w:space="0" w:color="auto"/>
      </w:divBdr>
      <w:divsChild>
        <w:div w:id="130562784">
          <w:marLeft w:val="0"/>
          <w:marRight w:val="0"/>
          <w:marTop w:val="180"/>
          <w:marBottom w:val="0"/>
          <w:divBdr>
            <w:top w:val="none" w:sz="0" w:space="0" w:color="auto"/>
            <w:left w:val="none" w:sz="0" w:space="0" w:color="auto"/>
            <w:bottom w:val="none" w:sz="0" w:space="0" w:color="auto"/>
            <w:right w:val="none" w:sz="0" w:space="0" w:color="auto"/>
          </w:divBdr>
        </w:div>
      </w:divsChild>
    </w:div>
    <w:div w:id="1091123243">
      <w:marLeft w:val="0"/>
      <w:marRight w:val="0"/>
      <w:marTop w:val="0"/>
      <w:marBottom w:val="0"/>
      <w:divBdr>
        <w:top w:val="none" w:sz="0" w:space="0" w:color="auto"/>
        <w:left w:val="none" w:sz="0" w:space="0" w:color="auto"/>
        <w:bottom w:val="none" w:sz="0" w:space="0" w:color="auto"/>
        <w:right w:val="none" w:sz="0" w:space="0" w:color="auto"/>
      </w:divBdr>
      <w:divsChild>
        <w:div w:id="2009477772">
          <w:marLeft w:val="0"/>
          <w:marRight w:val="0"/>
          <w:marTop w:val="0"/>
          <w:marBottom w:val="0"/>
          <w:divBdr>
            <w:top w:val="none" w:sz="0" w:space="0" w:color="auto"/>
            <w:left w:val="none" w:sz="0" w:space="0" w:color="auto"/>
            <w:bottom w:val="none" w:sz="0" w:space="0" w:color="auto"/>
            <w:right w:val="none" w:sz="0" w:space="0" w:color="auto"/>
          </w:divBdr>
          <w:divsChild>
            <w:div w:id="11339850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95326350">
      <w:marLeft w:val="0"/>
      <w:marRight w:val="0"/>
      <w:marTop w:val="120"/>
      <w:marBottom w:val="0"/>
      <w:divBdr>
        <w:top w:val="none" w:sz="0" w:space="0" w:color="auto"/>
        <w:left w:val="none" w:sz="0" w:space="0" w:color="auto"/>
        <w:bottom w:val="none" w:sz="0" w:space="0" w:color="auto"/>
        <w:right w:val="none" w:sz="0" w:space="0" w:color="auto"/>
      </w:divBdr>
    </w:div>
    <w:div w:id="1095631350">
      <w:marLeft w:val="0"/>
      <w:marRight w:val="0"/>
      <w:marTop w:val="180"/>
      <w:marBottom w:val="0"/>
      <w:divBdr>
        <w:top w:val="none" w:sz="0" w:space="0" w:color="auto"/>
        <w:left w:val="none" w:sz="0" w:space="0" w:color="auto"/>
        <w:bottom w:val="none" w:sz="0" w:space="0" w:color="auto"/>
        <w:right w:val="none" w:sz="0" w:space="0" w:color="auto"/>
      </w:divBdr>
    </w:div>
    <w:div w:id="1096557648">
      <w:marLeft w:val="0"/>
      <w:marRight w:val="0"/>
      <w:marTop w:val="0"/>
      <w:marBottom w:val="0"/>
      <w:divBdr>
        <w:top w:val="none" w:sz="0" w:space="0" w:color="auto"/>
        <w:left w:val="none" w:sz="0" w:space="0" w:color="auto"/>
        <w:bottom w:val="none" w:sz="0" w:space="0" w:color="auto"/>
        <w:right w:val="none" w:sz="0" w:space="0" w:color="auto"/>
      </w:divBdr>
      <w:divsChild>
        <w:div w:id="1350791661">
          <w:marLeft w:val="0"/>
          <w:marRight w:val="0"/>
          <w:marTop w:val="0"/>
          <w:marBottom w:val="0"/>
          <w:divBdr>
            <w:top w:val="none" w:sz="0" w:space="0" w:color="auto"/>
            <w:left w:val="none" w:sz="0" w:space="0" w:color="auto"/>
            <w:bottom w:val="none" w:sz="0" w:space="0" w:color="auto"/>
            <w:right w:val="none" w:sz="0" w:space="0" w:color="auto"/>
          </w:divBdr>
          <w:divsChild>
            <w:div w:id="20476758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1756913">
      <w:marLeft w:val="0"/>
      <w:marRight w:val="0"/>
      <w:marTop w:val="0"/>
      <w:marBottom w:val="0"/>
      <w:divBdr>
        <w:top w:val="none" w:sz="0" w:space="0" w:color="auto"/>
        <w:left w:val="none" w:sz="0" w:space="0" w:color="auto"/>
        <w:bottom w:val="none" w:sz="0" w:space="0" w:color="auto"/>
        <w:right w:val="none" w:sz="0" w:space="0" w:color="auto"/>
      </w:divBdr>
      <w:divsChild>
        <w:div w:id="80413087">
          <w:marLeft w:val="0"/>
          <w:marRight w:val="0"/>
          <w:marTop w:val="0"/>
          <w:marBottom w:val="0"/>
          <w:divBdr>
            <w:top w:val="none" w:sz="0" w:space="0" w:color="auto"/>
            <w:left w:val="none" w:sz="0" w:space="0" w:color="auto"/>
            <w:bottom w:val="none" w:sz="0" w:space="0" w:color="auto"/>
            <w:right w:val="none" w:sz="0" w:space="0" w:color="auto"/>
          </w:divBdr>
          <w:divsChild>
            <w:div w:id="18409985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1797090">
      <w:marLeft w:val="0"/>
      <w:marRight w:val="0"/>
      <w:marTop w:val="200"/>
      <w:marBottom w:val="400"/>
      <w:divBdr>
        <w:top w:val="none" w:sz="0" w:space="0" w:color="auto"/>
        <w:left w:val="none" w:sz="0" w:space="0" w:color="auto"/>
        <w:bottom w:val="none" w:sz="0" w:space="0" w:color="auto"/>
        <w:right w:val="none" w:sz="0" w:space="0" w:color="auto"/>
      </w:divBdr>
    </w:div>
    <w:div w:id="1101876341">
      <w:marLeft w:val="0"/>
      <w:marRight w:val="0"/>
      <w:marTop w:val="180"/>
      <w:marBottom w:val="0"/>
      <w:divBdr>
        <w:top w:val="none" w:sz="0" w:space="0" w:color="auto"/>
        <w:left w:val="none" w:sz="0" w:space="0" w:color="auto"/>
        <w:bottom w:val="none" w:sz="0" w:space="0" w:color="auto"/>
        <w:right w:val="none" w:sz="0" w:space="0" w:color="auto"/>
      </w:divBdr>
    </w:div>
    <w:div w:id="1103065490">
      <w:marLeft w:val="0"/>
      <w:marRight w:val="0"/>
      <w:marTop w:val="180"/>
      <w:marBottom w:val="0"/>
      <w:divBdr>
        <w:top w:val="none" w:sz="0" w:space="0" w:color="auto"/>
        <w:left w:val="none" w:sz="0" w:space="0" w:color="auto"/>
        <w:bottom w:val="none" w:sz="0" w:space="0" w:color="auto"/>
        <w:right w:val="none" w:sz="0" w:space="0" w:color="auto"/>
      </w:divBdr>
    </w:div>
    <w:div w:id="1103456265">
      <w:marLeft w:val="0"/>
      <w:marRight w:val="0"/>
      <w:marTop w:val="0"/>
      <w:marBottom w:val="0"/>
      <w:divBdr>
        <w:top w:val="none" w:sz="0" w:space="0" w:color="auto"/>
        <w:left w:val="none" w:sz="0" w:space="0" w:color="auto"/>
        <w:bottom w:val="none" w:sz="0" w:space="0" w:color="auto"/>
        <w:right w:val="none" w:sz="0" w:space="0" w:color="auto"/>
      </w:divBdr>
      <w:divsChild>
        <w:div w:id="1640650633">
          <w:marLeft w:val="0"/>
          <w:marRight w:val="0"/>
          <w:marTop w:val="0"/>
          <w:marBottom w:val="0"/>
          <w:divBdr>
            <w:top w:val="none" w:sz="0" w:space="0" w:color="auto"/>
            <w:left w:val="none" w:sz="0" w:space="0" w:color="auto"/>
            <w:bottom w:val="none" w:sz="0" w:space="0" w:color="auto"/>
            <w:right w:val="none" w:sz="0" w:space="0" w:color="auto"/>
          </w:divBdr>
          <w:divsChild>
            <w:div w:id="18677858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4422600">
      <w:marLeft w:val="0"/>
      <w:marRight w:val="0"/>
      <w:marTop w:val="120"/>
      <w:marBottom w:val="0"/>
      <w:divBdr>
        <w:top w:val="none" w:sz="0" w:space="0" w:color="auto"/>
        <w:left w:val="none" w:sz="0" w:space="0" w:color="auto"/>
        <w:bottom w:val="none" w:sz="0" w:space="0" w:color="auto"/>
        <w:right w:val="none" w:sz="0" w:space="0" w:color="auto"/>
      </w:divBdr>
    </w:div>
    <w:div w:id="1104836512">
      <w:marLeft w:val="0"/>
      <w:marRight w:val="0"/>
      <w:marTop w:val="180"/>
      <w:marBottom w:val="0"/>
      <w:divBdr>
        <w:top w:val="none" w:sz="0" w:space="0" w:color="auto"/>
        <w:left w:val="none" w:sz="0" w:space="0" w:color="auto"/>
        <w:bottom w:val="none" w:sz="0" w:space="0" w:color="auto"/>
        <w:right w:val="none" w:sz="0" w:space="0" w:color="auto"/>
      </w:divBdr>
    </w:div>
    <w:div w:id="1106267519">
      <w:marLeft w:val="0"/>
      <w:marRight w:val="0"/>
      <w:marTop w:val="180"/>
      <w:marBottom w:val="60"/>
      <w:divBdr>
        <w:top w:val="none" w:sz="0" w:space="0" w:color="auto"/>
        <w:left w:val="none" w:sz="0" w:space="0" w:color="auto"/>
        <w:bottom w:val="none" w:sz="0" w:space="0" w:color="auto"/>
        <w:right w:val="none" w:sz="0" w:space="0" w:color="auto"/>
      </w:divBdr>
    </w:div>
    <w:div w:id="1108089325">
      <w:marLeft w:val="0"/>
      <w:marRight w:val="0"/>
      <w:marTop w:val="240"/>
      <w:marBottom w:val="0"/>
      <w:divBdr>
        <w:top w:val="none" w:sz="0" w:space="0" w:color="auto"/>
        <w:left w:val="none" w:sz="0" w:space="0" w:color="auto"/>
        <w:bottom w:val="none" w:sz="0" w:space="0" w:color="auto"/>
        <w:right w:val="none" w:sz="0" w:space="0" w:color="auto"/>
      </w:divBdr>
    </w:div>
    <w:div w:id="1112211664">
      <w:marLeft w:val="0"/>
      <w:marRight w:val="0"/>
      <w:marTop w:val="180"/>
      <w:marBottom w:val="0"/>
      <w:divBdr>
        <w:top w:val="none" w:sz="0" w:space="0" w:color="auto"/>
        <w:left w:val="none" w:sz="0" w:space="0" w:color="auto"/>
        <w:bottom w:val="none" w:sz="0" w:space="0" w:color="auto"/>
        <w:right w:val="none" w:sz="0" w:space="0" w:color="auto"/>
      </w:divBdr>
    </w:div>
    <w:div w:id="1113787728">
      <w:marLeft w:val="0"/>
      <w:marRight w:val="0"/>
      <w:marTop w:val="180"/>
      <w:marBottom w:val="240"/>
      <w:divBdr>
        <w:top w:val="none" w:sz="0" w:space="0" w:color="auto"/>
        <w:left w:val="none" w:sz="0" w:space="0" w:color="auto"/>
        <w:bottom w:val="none" w:sz="0" w:space="0" w:color="auto"/>
        <w:right w:val="none" w:sz="0" w:space="0" w:color="auto"/>
      </w:divBdr>
    </w:div>
    <w:div w:id="1118601121">
      <w:marLeft w:val="0"/>
      <w:marRight w:val="0"/>
      <w:marTop w:val="180"/>
      <w:marBottom w:val="0"/>
      <w:divBdr>
        <w:top w:val="none" w:sz="0" w:space="0" w:color="auto"/>
        <w:left w:val="none" w:sz="0" w:space="0" w:color="auto"/>
        <w:bottom w:val="none" w:sz="0" w:space="0" w:color="auto"/>
        <w:right w:val="none" w:sz="0" w:space="0" w:color="auto"/>
      </w:divBdr>
    </w:div>
    <w:div w:id="1119373638">
      <w:marLeft w:val="0"/>
      <w:marRight w:val="0"/>
      <w:marTop w:val="180"/>
      <w:marBottom w:val="0"/>
      <w:divBdr>
        <w:top w:val="none" w:sz="0" w:space="0" w:color="auto"/>
        <w:left w:val="none" w:sz="0" w:space="0" w:color="auto"/>
        <w:bottom w:val="none" w:sz="0" w:space="0" w:color="auto"/>
        <w:right w:val="none" w:sz="0" w:space="0" w:color="auto"/>
      </w:divBdr>
    </w:div>
    <w:div w:id="1122111020">
      <w:marLeft w:val="0"/>
      <w:marRight w:val="0"/>
      <w:marTop w:val="180"/>
      <w:marBottom w:val="0"/>
      <w:divBdr>
        <w:top w:val="none" w:sz="0" w:space="0" w:color="auto"/>
        <w:left w:val="none" w:sz="0" w:space="0" w:color="auto"/>
        <w:bottom w:val="none" w:sz="0" w:space="0" w:color="auto"/>
        <w:right w:val="none" w:sz="0" w:space="0" w:color="auto"/>
      </w:divBdr>
    </w:div>
    <w:div w:id="1125391673">
      <w:marLeft w:val="0"/>
      <w:marRight w:val="0"/>
      <w:marTop w:val="180"/>
      <w:marBottom w:val="0"/>
      <w:divBdr>
        <w:top w:val="none" w:sz="0" w:space="0" w:color="auto"/>
        <w:left w:val="none" w:sz="0" w:space="0" w:color="auto"/>
        <w:bottom w:val="none" w:sz="0" w:space="0" w:color="auto"/>
        <w:right w:val="none" w:sz="0" w:space="0" w:color="auto"/>
      </w:divBdr>
    </w:div>
    <w:div w:id="1128932557">
      <w:marLeft w:val="0"/>
      <w:marRight w:val="0"/>
      <w:marTop w:val="180"/>
      <w:marBottom w:val="0"/>
      <w:divBdr>
        <w:top w:val="none" w:sz="0" w:space="0" w:color="auto"/>
        <w:left w:val="none" w:sz="0" w:space="0" w:color="auto"/>
        <w:bottom w:val="none" w:sz="0" w:space="0" w:color="auto"/>
        <w:right w:val="none" w:sz="0" w:space="0" w:color="auto"/>
      </w:divBdr>
    </w:div>
    <w:div w:id="1131634903">
      <w:marLeft w:val="0"/>
      <w:marRight w:val="0"/>
      <w:marTop w:val="180"/>
      <w:marBottom w:val="0"/>
      <w:divBdr>
        <w:top w:val="none" w:sz="0" w:space="0" w:color="auto"/>
        <w:left w:val="none" w:sz="0" w:space="0" w:color="auto"/>
        <w:bottom w:val="none" w:sz="0" w:space="0" w:color="auto"/>
        <w:right w:val="none" w:sz="0" w:space="0" w:color="auto"/>
      </w:divBdr>
    </w:div>
    <w:div w:id="1132600853">
      <w:marLeft w:val="0"/>
      <w:marRight w:val="0"/>
      <w:marTop w:val="180"/>
      <w:marBottom w:val="0"/>
      <w:divBdr>
        <w:top w:val="none" w:sz="0" w:space="0" w:color="auto"/>
        <w:left w:val="none" w:sz="0" w:space="0" w:color="auto"/>
        <w:bottom w:val="none" w:sz="0" w:space="0" w:color="auto"/>
        <w:right w:val="none" w:sz="0" w:space="0" w:color="auto"/>
      </w:divBdr>
    </w:div>
    <w:div w:id="1133793077">
      <w:marLeft w:val="0"/>
      <w:marRight w:val="0"/>
      <w:marTop w:val="0"/>
      <w:marBottom w:val="120"/>
      <w:divBdr>
        <w:top w:val="none" w:sz="0" w:space="0" w:color="auto"/>
        <w:left w:val="none" w:sz="0" w:space="0" w:color="auto"/>
        <w:bottom w:val="none" w:sz="0" w:space="0" w:color="auto"/>
        <w:right w:val="none" w:sz="0" w:space="0" w:color="auto"/>
      </w:divBdr>
      <w:divsChild>
        <w:div w:id="175854012">
          <w:marLeft w:val="0"/>
          <w:marRight w:val="0"/>
          <w:marTop w:val="0"/>
          <w:marBottom w:val="0"/>
          <w:divBdr>
            <w:top w:val="none" w:sz="0" w:space="0" w:color="auto"/>
            <w:left w:val="none" w:sz="0" w:space="0" w:color="auto"/>
            <w:bottom w:val="none" w:sz="0" w:space="0" w:color="auto"/>
            <w:right w:val="none" w:sz="0" w:space="0" w:color="auto"/>
          </w:divBdr>
        </w:div>
        <w:div w:id="655647032">
          <w:marLeft w:val="0"/>
          <w:marRight w:val="0"/>
          <w:marTop w:val="0"/>
          <w:marBottom w:val="0"/>
          <w:divBdr>
            <w:top w:val="none" w:sz="0" w:space="0" w:color="auto"/>
            <w:left w:val="none" w:sz="0" w:space="0" w:color="auto"/>
            <w:bottom w:val="none" w:sz="0" w:space="0" w:color="auto"/>
            <w:right w:val="none" w:sz="0" w:space="0" w:color="auto"/>
          </w:divBdr>
        </w:div>
        <w:div w:id="1134566461">
          <w:marLeft w:val="0"/>
          <w:marRight w:val="0"/>
          <w:marTop w:val="0"/>
          <w:marBottom w:val="0"/>
          <w:divBdr>
            <w:top w:val="none" w:sz="0" w:space="0" w:color="auto"/>
            <w:left w:val="none" w:sz="0" w:space="0" w:color="auto"/>
            <w:bottom w:val="none" w:sz="0" w:space="0" w:color="auto"/>
            <w:right w:val="none" w:sz="0" w:space="0" w:color="auto"/>
          </w:divBdr>
        </w:div>
        <w:div w:id="1803886614">
          <w:marLeft w:val="0"/>
          <w:marRight w:val="0"/>
          <w:marTop w:val="0"/>
          <w:marBottom w:val="0"/>
          <w:divBdr>
            <w:top w:val="none" w:sz="0" w:space="0" w:color="auto"/>
            <w:left w:val="none" w:sz="0" w:space="0" w:color="auto"/>
            <w:bottom w:val="none" w:sz="0" w:space="0" w:color="auto"/>
            <w:right w:val="none" w:sz="0" w:space="0" w:color="auto"/>
          </w:divBdr>
        </w:div>
        <w:div w:id="39284985">
          <w:marLeft w:val="0"/>
          <w:marRight w:val="0"/>
          <w:marTop w:val="0"/>
          <w:marBottom w:val="0"/>
          <w:divBdr>
            <w:top w:val="none" w:sz="0" w:space="0" w:color="auto"/>
            <w:left w:val="none" w:sz="0" w:space="0" w:color="auto"/>
            <w:bottom w:val="none" w:sz="0" w:space="0" w:color="auto"/>
            <w:right w:val="none" w:sz="0" w:space="0" w:color="auto"/>
          </w:divBdr>
        </w:div>
        <w:div w:id="871497902">
          <w:marLeft w:val="0"/>
          <w:marRight w:val="0"/>
          <w:marTop w:val="0"/>
          <w:marBottom w:val="0"/>
          <w:divBdr>
            <w:top w:val="none" w:sz="0" w:space="0" w:color="auto"/>
            <w:left w:val="none" w:sz="0" w:space="0" w:color="auto"/>
            <w:bottom w:val="none" w:sz="0" w:space="0" w:color="auto"/>
            <w:right w:val="none" w:sz="0" w:space="0" w:color="auto"/>
          </w:divBdr>
        </w:div>
        <w:div w:id="244654149">
          <w:marLeft w:val="0"/>
          <w:marRight w:val="0"/>
          <w:marTop w:val="0"/>
          <w:marBottom w:val="0"/>
          <w:divBdr>
            <w:top w:val="none" w:sz="0" w:space="0" w:color="auto"/>
            <w:left w:val="none" w:sz="0" w:space="0" w:color="auto"/>
            <w:bottom w:val="none" w:sz="0" w:space="0" w:color="auto"/>
            <w:right w:val="none" w:sz="0" w:space="0" w:color="auto"/>
          </w:divBdr>
        </w:div>
        <w:div w:id="40860331">
          <w:marLeft w:val="0"/>
          <w:marRight w:val="0"/>
          <w:marTop w:val="0"/>
          <w:marBottom w:val="0"/>
          <w:divBdr>
            <w:top w:val="none" w:sz="0" w:space="0" w:color="auto"/>
            <w:left w:val="none" w:sz="0" w:space="0" w:color="auto"/>
            <w:bottom w:val="none" w:sz="0" w:space="0" w:color="auto"/>
            <w:right w:val="none" w:sz="0" w:space="0" w:color="auto"/>
          </w:divBdr>
        </w:div>
        <w:div w:id="718669035">
          <w:marLeft w:val="0"/>
          <w:marRight w:val="0"/>
          <w:marTop w:val="0"/>
          <w:marBottom w:val="0"/>
          <w:divBdr>
            <w:top w:val="none" w:sz="0" w:space="0" w:color="auto"/>
            <w:left w:val="none" w:sz="0" w:space="0" w:color="auto"/>
            <w:bottom w:val="none" w:sz="0" w:space="0" w:color="auto"/>
            <w:right w:val="none" w:sz="0" w:space="0" w:color="auto"/>
          </w:divBdr>
        </w:div>
        <w:div w:id="658190297">
          <w:marLeft w:val="0"/>
          <w:marRight w:val="0"/>
          <w:marTop w:val="0"/>
          <w:marBottom w:val="0"/>
          <w:divBdr>
            <w:top w:val="none" w:sz="0" w:space="0" w:color="auto"/>
            <w:left w:val="none" w:sz="0" w:space="0" w:color="auto"/>
            <w:bottom w:val="none" w:sz="0" w:space="0" w:color="auto"/>
            <w:right w:val="none" w:sz="0" w:space="0" w:color="auto"/>
          </w:divBdr>
        </w:div>
        <w:div w:id="843517612">
          <w:marLeft w:val="0"/>
          <w:marRight w:val="0"/>
          <w:marTop w:val="0"/>
          <w:marBottom w:val="0"/>
          <w:divBdr>
            <w:top w:val="none" w:sz="0" w:space="0" w:color="auto"/>
            <w:left w:val="none" w:sz="0" w:space="0" w:color="auto"/>
            <w:bottom w:val="none" w:sz="0" w:space="0" w:color="auto"/>
            <w:right w:val="none" w:sz="0" w:space="0" w:color="auto"/>
          </w:divBdr>
        </w:div>
      </w:divsChild>
    </w:div>
    <w:div w:id="1135297541">
      <w:marLeft w:val="0"/>
      <w:marRight w:val="0"/>
      <w:marTop w:val="180"/>
      <w:marBottom w:val="0"/>
      <w:divBdr>
        <w:top w:val="none" w:sz="0" w:space="0" w:color="auto"/>
        <w:left w:val="none" w:sz="0" w:space="0" w:color="auto"/>
        <w:bottom w:val="none" w:sz="0" w:space="0" w:color="auto"/>
        <w:right w:val="none" w:sz="0" w:space="0" w:color="auto"/>
      </w:divBdr>
    </w:div>
    <w:div w:id="1139029732">
      <w:marLeft w:val="0"/>
      <w:marRight w:val="0"/>
      <w:marTop w:val="180"/>
      <w:marBottom w:val="0"/>
      <w:divBdr>
        <w:top w:val="none" w:sz="0" w:space="0" w:color="auto"/>
        <w:left w:val="none" w:sz="0" w:space="0" w:color="auto"/>
        <w:bottom w:val="none" w:sz="0" w:space="0" w:color="auto"/>
        <w:right w:val="none" w:sz="0" w:space="0" w:color="auto"/>
      </w:divBdr>
    </w:div>
    <w:div w:id="1139030814">
      <w:marLeft w:val="0"/>
      <w:marRight w:val="0"/>
      <w:marTop w:val="0"/>
      <w:marBottom w:val="200"/>
      <w:divBdr>
        <w:top w:val="none" w:sz="0" w:space="0" w:color="auto"/>
        <w:left w:val="none" w:sz="0" w:space="0" w:color="auto"/>
        <w:bottom w:val="none" w:sz="0" w:space="0" w:color="auto"/>
        <w:right w:val="none" w:sz="0" w:space="0" w:color="auto"/>
      </w:divBdr>
    </w:div>
    <w:div w:id="1142313299">
      <w:marLeft w:val="0"/>
      <w:marRight w:val="0"/>
      <w:marTop w:val="0"/>
      <w:marBottom w:val="60"/>
      <w:divBdr>
        <w:top w:val="none" w:sz="0" w:space="0" w:color="auto"/>
        <w:left w:val="none" w:sz="0" w:space="0" w:color="auto"/>
        <w:bottom w:val="none" w:sz="0" w:space="0" w:color="auto"/>
        <w:right w:val="none" w:sz="0" w:space="0" w:color="auto"/>
      </w:divBdr>
    </w:div>
    <w:div w:id="1142506702">
      <w:marLeft w:val="0"/>
      <w:marRight w:val="0"/>
      <w:marTop w:val="120"/>
      <w:marBottom w:val="0"/>
      <w:divBdr>
        <w:top w:val="none" w:sz="0" w:space="0" w:color="auto"/>
        <w:left w:val="none" w:sz="0" w:space="0" w:color="auto"/>
        <w:bottom w:val="none" w:sz="0" w:space="0" w:color="auto"/>
        <w:right w:val="none" w:sz="0" w:space="0" w:color="auto"/>
      </w:divBdr>
    </w:div>
    <w:div w:id="1142845780">
      <w:marLeft w:val="0"/>
      <w:marRight w:val="0"/>
      <w:marTop w:val="0"/>
      <w:marBottom w:val="0"/>
      <w:divBdr>
        <w:top w:val="none" w:sz="0" w:space="0" w:color="auto"/>
        <w:left w:val="none" w:sz="0" w:space="0" w:color="auto"/>
        <w:bottom w:val="none" w:sz="0" w:space="0" w:color="auto"/>
        <w:right w:val="none" w:sz="0" w:space="0" w:color="auto"/>
      </w:divBdr>
      <w:divsChild>
        <w:div w:id="1358774255">
          <w:marLeft w:val="0"/>
          <w:marRight w:val="0"/>
          <w:marTop w:val="180"/>
          <w:marBottom w:val="0"/>
          <w:divBdr>
            <w:top w:val="none" w:sz="0" w:space="0" w:color="auto"/>
            <w:left w:val="none" w:sz="0" w:space="0" w:color="auto"/>
            <w:bottom w:val="none" w:sz="0" w:space="0" w:color="auto"/>
            <w:right w:val="none" w:sz="0" w:space="0" w:color="auto"/>
          </w:divBdr>
        </w:div>
      </w:divsChild>
    </w:div>
    <w:div w:id="1142847963">
      <w:marLeft w:val="0"/>
      <w:marRight w:val="0"/>
      <w:marTop w:val="180"/>
      <w:marBottom w:val="0"/>
      <w:divBdr>
        <w:top w:val="none" w:sz="0" w:space="0" w:color="auto"/>
        <w:left w:val="none" w:sz="0" w:space="0" w:color="auto"/>
        <w:bottom w:val="none" w:sz="0" w:space="0" w:color="auto"/>
        <w:right w:val="none" w:sz="0" w:space="0" w:color="auto"/>
      </w:divBdr>
    </w:div>
    <w:div w:id="1144659381">
      <w:marLeft w:val="0"/>
      <w:marRight w:val="0"/>
      <w:marTop w:val="180"/>
      <w:marBottom w:val="120"/>
      <w:divBdr>
        <w:top w:val="none" w:sz="0" w:space="0" w:color="auto"/>
        <w:left w:val="none" w:sz="0" w:space="0" w:color="auto"/>
        <w:bottom w:val="none" w:sz="0" w:space="0" w:color="auto"/>
        <w:right w:val="none" w:sz="0" w:space="0" w:color="auto"/>
      </w:divBdr>
    </w:div>
    <w:div w:id="1146242988">
      <w:marLeft w:val="0"/>
      <w:marRight w:val="0"/>
      <w:marTop w:val="240"/>
      <w:marBottom w:val="0"/>
      <w:divBdr>
        <w:top w:val="none" w:sz="0" w:space="0" w:color="auto"/>
        <w:left w:val="none" w:sz="0" w:space="0" w:color="auto"/>
        <w:bottom w:val="none" w:sz="0" w:space="0" w:color="auto"/>
        <w:right w:val="none" w:sz="0" w:space="0" w:color="auto"/>
      </w:divBdr>
    </w:div>
    <w:div w:id="1148858924">
      <w:marLeft w:val="0"/>
      <w:marRight w:val="0"/>
      <w:marTop w:val="240"/>
      <w:marBottom w:val="0"/>
      <w:divBdr>
        <w:top w:val="none" w:sz="0" w:space="0" w:color="auto"/>
        <w:left w:val="none" w:sz="0" w:space="0" w:color="auto"/>
        <w:bottom w:val="none" w:sz="0" w:space="0" w:color="auto"/>
        <w:right w:val="none" w:sz="0" w:space="0" w:color="auto"/>
      </w:divBdr>
    </w:div>
    <w:div w:id="1155800045">
      <w:marLeft w:val="0"/>
      <w:marRight w:val="0"/>
      <w:marTop w:val="180"/>
      <w:marBottom w:val="120"/>
      <w:divBdr>
        <w:top w:val="none" w:sz="0" w:space="0" w:color="auto"/>
        <w:left w:val="none" w:sz="0" w:space="0" w:color="auto"/>
        <w:bottom w:val="none" w:sz="0" w:space="0" w:color="auto"/>
        <w:right w:val="none" w:sz="0" w:space="0" w:color="auto"/>
      </w:divBdr>
    </w:div>
    <w:div w:id="1156339838">
      <w:marLeft w:val="0"/>
      <w:marRight w:val="0"/>
      <w:marTop w:val="180"/>
      <w:marBottom w:val="0"/>
      <w:divBdr>
        <w:top w:val="none" w:sz="0" w:space="0" w:color="auto"/>
        <w:left w:val="none" w:sz="0" w:space="0" w:color="auto"/>
        <w:bottom w:val="none" w:sz="0" w:space="0" w:color="auto"/>
        <w:right w:val="none" w:sz="0" w:space="0" w:color="auto"/>
      </w:divBdr>
    </w:div>
    <w:div w:id="1158349069">
      <w:marLeft w:val="0"/>
      <w:marRight w:val="0"/>
      <w:marTop w:val="180"/>
      <w:marBottom w:val="120"/>
      <w:divBdr>
        <w:top w:val="none" w:sz="0" w:space="0" w:color="auto"/>
        <w:left w:val="none" w:sz="0" w:space="0" w:color="auto"/>
        <w:bottom w:val="none" w:sz="0" w:space="0" w:color="auto"/>
        <w:right w:val="none" w:sz="0" w:space="0" w:color="auto"/>
      </w:divBdr>
      <w:divsChild>
        <w:div w:id="1429349206">
          <w:marLeft w:val="0"/>
          <w:marRight w:val="0"/>
          <w:marTop w:val="0"/>
          <w:marBottom w:val="0"/>
          <w:divBdr>
            <w:top w:val="none" w:sz="0" w:space="0" w:color="auto"/>
            <w:left w:val="none" w:sz="0" w:space="0" w:color="auto"/>
            <w:bottom w:val="none" w:sz="0" w:space="0" w:color="auto"/>
            <w:right w:val="none" w:sz="0" w:space="0" w:color="auto"/>
          </w:divBdr>
        </w:div>
        <w:div w:id="1004016708">
          <w:marLeft w:val="0"/>
          <w:marRight w:val="0"/>
          <w:marTop w:val="0"/>
          <w:marBottom w:val="0"/>
          <w:divBdr>
            <w:top w:val="none" w:sz="0" w:space="0" w:color="auto"/>
            <w:left w:val="none" w:sz="0" w:space="0" w:color="auto"/>
            <w:bottom w:val="none" w:sz="0" w:space="0" w:color="auto"/>
            <w:right w:val="none" w:sz="0" w:space="0" w:color="auto"/>
          </w:divBdr>
        </w:div>
      </w:divsChild>
    </w:div>
    <w:div w:id="1159007096">
      <w:marLeft w:val="0"/>
      <w:marRight w:val="0"/>
      <w:marTop w:val="180"/>
      <w:marBottom w:val="0"/>
      <w:divBdr>
        <w:top w:val="none" w:sz="0" w:space="0" w:color="auto"/>
        <w:left w:val="none" w:sz="0" w:space="0" w:color="auto"/>
        <w:bottom w:val="none" w:sz="0" w:space="0" w:color="auto"/>
        <w:right w:val="none" w:sz="0" w:space="0" w:color="auto"/>
      </w:divBdr>
    </w:div>
    <w:div w:id="1161239812">
      <w:marLeft w:val="0"/>
      <w:marRight w:val="0"/>
      <w:marTop w:val="180"/>
      <w:marBottom w:val="0"/>
      <w:divBdr>
        <w:top w:val="none" w:sz="0" w:space="0" w:color="auto"/>
        <w:left w:val="none" w:sz="0" w:space="0" w:color="auto"/>
        <w:bottom w:val="none" w:sz="0" w:space="0" w:color="auto"/>
        <w:right w:val="none" w:sz="0" w:space="0" w:color="auto"/>
      </w:divBdr>
    </w:div>
    <w:div w:id="1163351127">
      <w:marLeft w:val="0"/>
      <w:marRight w:val="0"/>
      <w:marTop w:val="0"/>
      <w:marBottom w:val="0"/>
      <w:divBdr>
        <w:top w:val="none" w:sz="0" w:space="0" w:color="auto"/>
        <w:left w:val="none" w:sz="0" w:space="0" w:color="auto"/>
        <w:bottom w:val="none" w:sz="0" w:space="0" w:color="auto"/>
        <w:right w:val="none" w:sz="0" w:space="0" w:color="auto"/>
      </w:divBdr>
      <w:divsChild>
        <w:div w:id="1055859746">
          <w:marLeft w:val="0"/>
          <w:marRight w:val="0"/>
          <w:marTop w:val="0"/>
          <w:marBottom w:val="0"/>
          <w:divBdr>
            <w:top w:val="none" w:sz="0" w:space="0" w:color="auto"/>
            <w:left w:val="none" w:sz="0" w:space="0" w:color="auto"/>
            <w:bottom w:val="none" w:sz="0" w:space="0" w:color="auto"/>
            <w:right w:val="none" w:sz="0" w:space="0" w:color="auto"/>
          </w:divBdr>
          <w:divsChild>
            <w:div w:id="1329116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5170512">
      <w:marLeft w:val="0"/>
      <w:marRight w:val="0"/>
      <w:marTop w:val="120"/>
      <w:marBottom w:val="0"/>
      <w:divBdr>
        <w:top w:val="none" w:sz="0" w:space="0" w:color="auto"/>
        <w:left w:val="none" w:sz="0" w:space="0" w:color="auto"/>
        <w:bottom w:val="none" w:sz="0" w:space="0" w:color="auto"/>
        <w:right w:val="none" w:sz="0" w:space="0" w:color="auto"/>
      </w:divBdr>
    </w:div>
    <w:div w:id="1165630068">
      <w:marLeft w:val="0"/>
      <w:marRight w:val="0"/>
      <w:marTop w:val="0"/>
      <w:marBottom w:val="0"/>
      <w:divBdr>
        <w:top w:val="none" w:sz="0" w:space="0" w:color="auto"/>
        <w:left w:val="none" w:sz="0" w:space="0" w:color="auto"/>
        <w:bottom w:val="none" w:sz="0" w:space="0" w:color="auto"/>
        <w:right w:val="none" w:sz="0" w:space="0" w:color="auto"/>
      </w:divBdr>
      <w:divsChild>
        <w:div w:id="619341926">
          <w:marLeft w:val="0"/>
          <w:marRight w:val="0"/>
          <w:marTop w:val="0"/>
          <w:marBottom w:val="0"/>
          <w:divBdr>
            <w:top w:val="none" w:sz="0" w:space="0" w:color="auto"/>
            <w:left w:val="none" w:sz="0" w:space="0" w:color="auto"/>
            <w:bottom w:val="none" w:sz="0" w:space="0" w:color="auto"/>
            <w:right w:val="none" w:sz="0" w:space="0" w:color="auto"/>
          </w:divBdr>
          <w:divsChild>
            <w:div w:id="14951467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5898728">
      <w:marLeft w:val="0"/>
      <w:marRight w:val="0"/>
      <w:marTop w:val="0"/>
      <w:marBottom w:val="0"/>
      <w:divBdr>
        <w:top w:val="none" w:sz="0" w:space="0" w:color="auto"/>
        <w:left w:val="none" w:sz="0" w:space="0" w:color="auto"/>
        <w:bottom w:val="none" w:sz="0" w:space="0" w:color="auto"/>
        <w:right w:val="none" w:sz="0" w:space="0" w:color="auto"/>
      </w:divBdr>
      <w:divsChild>
        <w:div w:id="177476221">
          <w:marLeft w:val="0"/>
          <w:marRight w:val="0"/>
          <w:marTop w:val="0"/>
          <w:marBottom w:val="0"/>
          <w:divBdr>
            <w:top w:val="none" w:sz="0" w:space="0" w:color="auto"/>
            <w:left w:val="none" w:sz="0" w:space="0" w:color="auto"/>
            <w:bottom w:val="none" w:sz="0" w:space="0" w:color="auto"/>
            <w:right w:val="none" w:sz="0" w:space="0" w:color="auto"/>
          </w:divBdr>
          <w:divsChild>
            <w:div w:id="15069433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7670769">
      <w:marLeft w:val="0"/>
      <w:marRight w:val="0"/>
      <w:marTop w:val="180"/>
      <w:marBottom w:val="0"/>
      <w:divBdr>
        <w:top w:val="none" w:sz="0" w:space="0" w:color="auto"/>
        <w:left w:val="none" w:sz="0" w:space="0" w:color="auto"/>
        <w:bottom w:val="none" w:sz="0" w:space="0" w:color="auto"/>
        <w:right w:val="none" w:sz="0" w:space="0" w:color="auto"/>
      </w:divBdr>
    </w:div>
    <w:div w:id="1168210067">
      <w:marLeft w:val="0"/>
      <w:marRight w:val="0"/>
      <w:marTop w:val="180"/>
      <w:marBottom w:val="120"/>
      <w:divBdr>
        <w:top w:val="none" w:sz="0" w:space="0" w:color="auto"/>
        <w:left w:val="none" w:sz="0" w:space="0" w:color="auto"/>
        <w:bottom w:val="none" w:sz="0" w:space="0" w:color="auto"/>
        <w:right w:val="none" w:sz="0" w:space="0" w:color="auto"/>
      </w:divBdr>
    </w:div>
    <w:div w:id="1169557477">
      <w:marLeft w:val="0"/>
      <w:marRight w:val="0"/>
      <w:marTop w:val="180"/>
      <w:marBottom w:val="0"/>
      <w:divBdr>
        <w:top w:val="none" w:sz="0" w:space="0" w:color="auto"/>
        <w:left w:val="none" w:sz="0" w:space="0" w:color="auto"/>
        <w:bottom w:val="none" w:sz="0" w:space="0" w:color="auto"/>
        <w:right w:val="none" w:sz="0" w:space="0" w:color="auto"/>
      </w:divBdr>
    </w:div>
    <w:div w:id="1170293529">
      <w:marLeft w:val="0"/>
      <w:marRight w:val="0"/>
      <w:marTop w:val="60"/>
      <w:marBottom w:val="120"/>
      <w:divBdr>
        <w:top w:val="none" w:sz="0" w:space="0" w:color="auto"/>
        <w:left w:val="none" w:sz="0" w:space="0" w:color="auto"/>
        <w:bottom w:val="none" w:sz="0" w:space="0" w:color="auto"/>
        <w:right w:val="none" w:sz="0" w:space="0" w:color="auto"/>
      </w:divBdr>
    </w:div>
    <w:div w:id="1175657440">
      <w:marLeft w:val="0"/>
      <w:marRight w:val="0"/>
      <w:marTop w:val="180"/>
      <w:marBottom w:val="0"/>
      <w:divBdr>
        <w:top w:val="none" w:sz="0" w:space="0" w:color="auto"/>
        <w:left w:val="none" w:sz="0" w:space="0" w:color="auto"/>
        <w:bottom w:val="none" w:sz="0" w:space="0" w:color="auto"/>
        <w:right w:val="none" w:sz="0" w:space="0" w:color="auto"/>
      </w:divBdr>
    </w:div>
    <w:div w:id="1176113644">
      <w:marLeft w:val="0"/>
      <w:marRight w:val="0"/>
      <w:marTop w:val="180"/>
      <w:marBottom w:val="0"/>
      <w:divBdr>
        <w:top w:val="none" w:sz="0" w:space="0" w:color="auto"/>
        <w:left w:val="none" w:sz="0" w:space="0" w:color="auto"/>
        <w:bottom w:val="none" w:sz="0" w:space="0" w:color="auto"/>
        <w:right w:val="none" w:sz="0" w:space="0" w:color="auto"/>
      </w:divBdr>
    </w:div>
    <w:div w:id="1176461395">
      <w:marLeft w:val="0"/>
      <w:marRight w:val="0"/>
      <w:marTop w:val="180"/>
      <w:marBottom w:val="0"/>
      <w:divBdr>
        <w:top w:val="none" w:sz="0" w:space="0" w:color="auto"/>
        <w:left w:val="none" w:sz="0" w:space="0" w:color="auto"/>
        <w:bottom w:val="none" w:sz="0" w:space="0" w:color="auto"/>
        <w:right w:val="none" w:sz="0" w:space="0" w:color="auto"/>
      </w:divBdr>
    </w:div>
    <w:div w:id="1180004180">
      <w:marLeft w:val="0"/>
      <w:marRight w:val="0"/>
      <w:marTop w:val="180"/>
      <w:marBottom w:val="0"/>
      <w:divBdr>
        <w:top w:val="none" w:sz="0" w:space="0" w:color="auto"/>
        <w:left w:val="none" w:sz="0" w:space="0" w:color="auto"/>
        <w:bottom w:val="none" w:sz="0" w:space="0" w:color="auto"/>
        <w:right w:val="none" w:sz="0" w:space="0" w:color="auto"/>
      </w:divBdr>
    </w:div>
    <w:div w:id="1183323826">
      <w:marLeft w:val="0"/>
      <w:marRight w:val="0"/>
      <w:marTop w:val="180"/>
      <w:marBottom w:val="0"/>
      <w:divBdr>
        <w:top w:val="none" w:sz="0" w:space="0" w:color="auto"/>
        <w:left w:val="none" w:sz="0" w:space="0" w:color="auto"/>
        <w:bottom w:val="none" w:sz="0" w:space="0" w:color="auto"/>
        <w:right w:val="none" w:sz="0" w:space="0" w:color="auto"/>
      </w:divBdr>
    </w:div>
    <w:div w:id="1186014436">
      <w:marLeft w:val="0"/>
      <w:marRight w:val="0"/>
      <w:marTop w:val="120"/>
      <w:marBottom w:val="0"/>
      <w:divBdr>
        <w:top w:val="none" w:sz="0" w:space="0" w:color="auto"/>
        <w:left w:val="none" w:sz="0" w:space="0" w:color="auto"/>
        <w:bottom w:val="none" w:sz="0" w:space="0" w:color="auto"/>
        <w:right w:val="none" w:sz="0" w:space="0" w:color="auto"/>
      </w:divBdr>
    </w:div>
    <w:div w:id="1187598957">
      <w:marLeft w:val="0"/>
      <w:marRight w:val="0"/>
      <w:marTop w:val="180"/>
      <w:marBottom w:val="0"/>
      <w:divBdr>
        <w:top w:val="none" w:sz="0" w:space="0" w:color="auto"/>
        <w:left w:val="none" w:sz="0" w:space="0" w:color="auto"/>
        <w:bottom w:val="none" w:sz="0" w:space="0" w:color="auto"/>
        <w:right w:val="none" w:sz="0" w:space="0" w:color="auto"/>
      </w:divBdr>
    </w:div>
    <w:div w:id="1189639302">
      <w:marLeft w:val="0"/>
      <w:marRight w:val="0"/>
      <w:marTop w:val="180"/>
      <w:marBottom w:val="0"/>
      <w:divBdr>
        <w:top w:val="none" w:sz="0" w:space="0" w:color="auto"/>
        <w:left w:val="none" w:sz="0" w:space="0" w:color="auto"/>
        <w:bottom w:val="none" w:sz="0" w:space="0" w:color="auto"/>
        <w:right w:val="none" w:sz="0" w:space="0" w:color="auto"/>
      </w:divBdr>
    </w:div>
    <w:div w:id="1190292351">
      <w:marLeft w:val="0"/>
      <w:marRight w:val="0"/>
      <w:marTop w:val="240"/>
      <w:marBottom w:val="0"/>
      <w:divBdr>
        <w:top w:val="none" w:sz="0" w:space="0" w:color="auto"/>
        <w:left w:val="none" w:sz="0" w:space="0" w:color="auto"/>
        <w:bottom w:val="none" w:sz="0" w:space="0" w:color="auto"/>
        <w:right w:val="none" w:sz="0" w:space="0" w:color="auto"/>
      </w:divBdr>
    </w:div>
    <w:div w:id="1191803547">
      <w:marLeft w:val="0"/>
      <w:marRight w:val="0"/>
      <w:marTop w:val="180"/>
      <w:marBottom w:val="60"/>
      <w:divBdr>
        <w:top w:val="none" w:sz="0" w:space="0" w:color="auto"/>
        <w:left w:val="none" w:sz="0" w:space="0" w:color="auto"/>
        <w:bottom w:val="none" w:sz="0" w:space="0" w:color="auto"/>
        <w:right w:val="none" w:sz="0" w:space="0" w:color="auto"/>
      </w:divBdr>
    </w:div>
    <w:div w:id="1191842956">
      <w:marLeft w:val="0"/>
      <w:marRight w:val="0"/>
      <w:marTop w:val="180"/>
      <w:marBottom w:val="0"/>
      <w:divBdr>
        <w:top w:val="none" w:sz="0" w:space="0" w:color="auto"/>
        <w:left w:val="none" w:sz="0" w:space="0" w:color="auto"/>
        <w:bottom w:val="none" w:sz="0" w:space="0" w:color="auto"/>
        <w:right w:val="none" w:sz="0" w:space="0" w:color="auto"/>
      </w:divBdr>
    </w:div>
    <w:div w:id="1192567117">
      <w:marLeft w:val="0"/>
      <w:marRight w:val="0"/>
      <w:marTop w:val="180"/>
      <w:marBottom w:val="0"/>
      <w:divBdr>
        <w:top w:val="none" w:sz="0" w:space="0" w:color="auto"/>
        <w:left w:val="none" w:sz="0" w:space="0" w:color="auto"/>
        <w:bottom w:val="none" w:sz="0" w:space="0" w:color="auto"/>
        <w:right w:val="none" w:sz="0" w:space="0" w:color="auto"/>
      </w:divBdr>
    </w:div>
    <w:div w:id="1192961952">
      <w:marLeft w:val="0"/>
      <w:marRight w:val="0"/>
      <w:marTop w:val="0"/>
      <w:marBottom w:val="0"/>
      <w:divBdr>
        <w:top w:val="none" w:sz="0" w:space="0" w:color="auto"/>
        <w:left w:val="none" w:sz="0" w:space="0" w:color="auto"/>
        <w:bottom w:val="none" w:sz="0" w:space="0" w:color="auto"/>
        <w:right w:val="none" w:sz="0" w:space="0" w:color="auto"/>
      </w:divBdr>
      <w:divsChild>
        <w:div w:id="1914045709">
          <w:marLeft w:val="0"/>
          <w:marRight w:val="0"/>
          <w:marTop w:val="0"/>
          <w:marBottom w:val="0"/>
          <w:divBdr>
            <w:top w:val="none" w:sz="0" w:space="0" w:color="auto"/>
            <w:left w:val="none" w:sz="0" w:space="0" w:color="auto"/>
            <w:bottom w:val="none" w:sz="0" w:space="0" w:color="auto"/>
            <w:right w:val="none" w:sz="0" w:space="0" w:color="auto"/>
          </w:divBdr>
          <w:divsChild>
            <w:div w:id="18251943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93686475">
      <w:marLeft w:val="0"/>
      <w:marRight w:val="0"/>
      <w:marTop w:val="180"/>
      <w:marBottom w:val="0"/>
      <w:divBdr>
        <w:top w:val="none" w:sz="0" w:space="0" w:color="auto"/>
        <w:left w:val="none" w:sz="0" w:space="0" w:color="auto"/>
        <w:bottom w:val="none" w:sz="0" w:space="0" w:color="auto"/>
        <w:right w:val="none" w:sz="0" w:space="0" w:color="auto"/>
      </w:divBdr>
    </w:div>
    <w:div w:id="1193689204">
      <w:marLeft w:val="0"/>
      <w:marRight w:val="0"/>
      <w:marTop w:val="180"/>
      <w:marBottom w:val="0"/>
      <w:divBdr>
        <w:top w:val="none" w:sz="0" w:space="0" w:color="auto"/>
        <w:left w:val="none" w:sz="0" w:space="0" w:color="auto"/>
        <w:bottom w:val="none" w:sz="0" w:space="0" w:color="auto"/>
        <w:right w:val="none" w:sz="0" w:space="0" w:color="auto"/>
      </w:divBdr>
    </w:div>
    <w:div w:id="1195581283">
      <w:marLeft w:val="0"/>
      <w:marRight w:val="0"/>
      <w:marTop w:val="180"/>
      <w:marBottom w:val="120"/>
      <w:divBdr>
        <w:top w:val="none" w:sz="0" w:space="0" w:color="auto"/>
        <w:left w:val="none" w:sz="0" w:space="0" w:color="auto"/>
        <w:bottom w:val="none" w:sz="0" w:space="0" w:color="auto"/>
        <w:right w:val="none" w:sz="0" w:space="0" w:color="auto"/>
      </w:divBdr>
      <w:divsChild>
        <w:div w:id="926764618">
          <w:marLeft w:val="0"/>
          <w:marRight w:val="0"/>
          <w:marTop w:val="0"/>
          <w:marBottom w:val="0"/>
          <w:divBdr>
            <w:top w:val="none" w:sz="0" w:space="0" w:color="auto"/>
            <w:left w:val="none" w:sz="0" w:space="0" w:color="auto"/>
            <w:bottom w:val="none" w:sz="0" w:space="0" w:color="auto"/>
            <w:right w:val="none" w:sz="0" w:space="0" w:color="auto"/>
          </w:divBdr>
        </w:div>
        <w:div w:id="413552622">
          <w:marLeft w:val="0"/>
          <w:marRight w:val="0"/>
          <w:marTop w:val="0"/>
          <w:marBottom w:val="0"/>
          <w:divBdr>
            <w:top w:val="none" w:sz="0" w:space="0" w:color="auto"/>
            <w:left w:val="none" w:sz="0" w:space="0" w:color="auto"/>
            <w:bottom w:val="none" w:sz="0" w:space="0" w:color="auto"/>
            <w:right w:val="none" w:sz="0" w:space="0" w:color="auto"/>
          </w:divBdr>
        </w:div>
        <w:div w:id="1969238692">
          <w:marLeft w:val="0"/>
          <w:marRight w:val="0"/>
          <w:marTop w:val="0"/>
          <w:marBottom w:val="0"/>
          <w:divBdr>
            <w:top w:val="none" w:sz="0" w:space="0" w:color="auto"/>
            <w:left w:val="none" w:sz="0" w:space="0" w:color="auto"/>
            <w:bottom w:val="none" w:sz="0" w:space="0" w:color="auto"/>
            <w:right w:val="none" w:sz="0" w:space="0" w:color="auto"/>
          </w:divBdr>
        </w:div>
        <w:div w:id="1574076395">
          <w:marLeft w:val="0"/>
          <w:marRight w:val="0"/>
          <w:marTop w:val="0"/>
          <w:marBottom w:val="0"/>
          <w:divBdr>
            <w:top w:val="none" w:sz="0" w:space="0" w:color="auto"/>
            <w:left w:val="none" w:sz="0" w:space="0" w:color="auto"/>
            <w:bottom w:val="none" w:sz="0" w:space="0" w:color="auto"/>
            <w:right w:val="none" w:sz="0" w:space="0" w:color="auto"/>
          </w:divBdr>
        </w:div>
        <w:div w:id="250117632">
          <w:marLeft w:val="0"/>
          <w:marRight w:val="0"/>
          <w:marTop w:val="0"/>
          <w:marBottom w:val="0"/>
          <w:divBdr>
            <w:top w:val="none" w:sz="0" w:space="0" w:color="auto"/>
            <w:left w:val="none" w:sz="0" w:space="0" w:color="auto"/>
            <w:bottom w:val="none" w:sz="0" w:space="0" w:color="auto"/>
            <w:right w:val="none" w:sz="0" w:space="0" w:color="auto"/>
          </w:divBdr>
        </w:div>
        <w:div w:id="1679501950">
          <w:marLeft w:val="0"/>
          <w:marRight w:val="0"/>
          <w:marTop w:val="0"/>
          <w:marBottom w:val="0"/>
          <w:divBdr>
            <w:top w:val="none" w:sz="0" w:space="0" w:color="auto"/>
            <w:left w:val="none" w:sz="0" w:space="0" w:color="auto"/>
            <w:bottom w:val="none" w:sz="0" w:space="0" w:color="auto"/>
            <w:right w:val="none" w:sz="0" w:space="0" w:color="auto"/>
          </w:divBdr>
        </w:div>
        <w:div w:id="1128936471">
          <w:marLeft w:val="0"/>
          <w:marRight w:val="0"/>
          <w:marTop w:val="0"/>
          <w:marBottom w:val="0"/>
          <w:divBdr>
            <w:top w:val="none" w:sz="0" w:space="0" w:color="auto"/>
            <w:left w:val="none" w:sz="0" w:space="0" w:color="auto"/>
            <w:bottom w:val="none" w:sz="0" w:space="0" w:color="auto"/>
            <w:right w:val="none" w:sz="0" w:space="0" w:color="auto"/>
          </w:divBdr>
        </w:div>
        <w:div w:id="1892032764">
          <w:marLeft w:val="0"/>
          <w:marRight w:val="0"/>
          <w:marTop w:val="0"/>
          <w:marBottom w:val="0"/>
          <w:divBdr>
            <w:top w:val="none" w:sz="0" w:space="0" w:color="auto"/>
            <w:left w:val="none" w:sz="0" w:space="0" w:color="auto"/>
            <w:bottom w:val="none" w:sz="0" w:space="0" w:color="auto"/>
            <w:right w:val="none" w:sz="0" w:space="0" w:color="auto"/>
          </w:divBdr>
        </w:div>
      </w:divsChild>
    </w:div>
    <w:div w:id="1196622760">
      <w:marLeft w:val="0"/>
      <w:marRight w:val="0"/>
      <w:marTop w:val="180"/>
      <w:marBottom w:val="0"/>
      <w:divBdr>
        <w:top w:val="none" w:sz="0" w:space="0" w:color="auto"/>
        <w:left w:val="none" w:sz="0" w:space="0" w:color="auto"/>
        <w:bottom w:val="none" w:sz="0" w:space="0" w:color="auto"/>
        <w:right w:val="none" w:sz="0" w:space="0" w:color="auto"/>
      </w:divBdr>
    </w:div>
    <w:div w:id="1197543476">
      <w:marLeft w:val="0"/>
      <w:marRight w:val="0"/>
      <w:marTop w:val="180"/>
      <w:marBottom w:val="0"/>
      <w:divBdr>
        <w:top w:val="none" w:sz="0" w:space="0" w:color="auto"/>
        <w:left w:val="none" w:sz="0" w:space="0" w:color="auto"/>
        <w:bottom w:val="none" w:sz="0" w:space="0" w:color="auto"/>
        <w:right w:val="none" w:sz="0" w:space="0" w:color="auto"/>
      </w:divBdr>
    </w:div>
    <w:div w:id="1202743939">
      <w:marLeft w:val="0"/>
      <w:marRight w:val="0"/>
      <w:marTop w:val="0"/>
      <w:marBottom w:val="200"/>
      <w:divBdr>
        <w:top w:val="none" w:sz="0" w:space="0" w:color="auto"/>
        <w:left w:val="none" w:sz="0" w:space="0" w:color="auto"/>
        <w:bottom w:val="none" w:sz="0" w:space="0" w:color="auto"/>
        <w:right w:val="none" w:sz="0" w:space="0" w:color="auto"/>
      </w:divBdr>
    </w:div>
    <w:div w:id="1206873906">
      <w:marLeft w:val="0"/>
      <w:marRight w:val="0"/>
      <w:marTop w:val="180"/>
      <w:marBottom w:val="0"/>
      <w:divBdr>
        <w:top w:val="none" w:sz="0" w:space="0" w:color="auto"/>
        <w:left w:val="none" w:sz="0" w:space="0" w:color="auto"/>
        <w:bottom w:val="none" w:sz="0" w:space="0" w:color="auto"/>
        <w:right w:val="none" w:sz="0" w:space="0" w:color="auto"/>
      </w:divBdr>
    </w:div>
    <w:div w:id="1208109478">
      <w:marLeft w:val="0"/>
      <w:marRight w:val="0"/>
      <w:marTop w:val="180"/>
      <w:marBottom w:val="0"/>
      <w:divBdr>
        <w:top w:val="none" w:sz="0" w:space="0" w:color="auto"/>
        <w:left w:val="none" w:sz="0" w:space="0" w:color="auto"/>
        <w:bottom w:val="none" w:sz="0" w:space="0" w:color="auto"/>
        <w:right w:val="none" w:sz="0" w:space="0" w:color="auto"/>
      </w:divBdr>
    </w:div>
    <w:div w:id="1208371483">
      <w:marLeft w:val="0"/>
      <w:marRight w:val="0"/>
      <w:marTop w:val="120"/>
      <w:marBottom w:val="0"/>
      <w:divBdr>
        <w:top w:val="none" w:sz="0" w:space="0" w:color="auto"/>
        <w:left w:val="none" w:sz="0" w:space="0" w:color="auto"/>
        <w:bottom w:val="none" w:sz="0" w:space="0" w:color="auto"/>
        <w:right w:val="none" w:sz="0" w:space="0" w:color="auto"/>
      </w:divBdr>
    </w:div>
    <w:div w:id="1208831224">
      <w:marLeft w:val="0"/>
      <w:marRight w:val="0"/>
      <w:marTop w:val="180"/>
      <w:marBottom w:val="0"/>
      <w:divBdr>
        <w:top w:val="none" w:sz="0" w:space="0" w:color="auto"/>
        <w:left w:val="none" w:sz="0" w:space="0" w:color="auto"/>
        <w:bottom w:val="none" w:sz="0" w:space="0" w:color="auto"/>
        <w:right w:val="none" w:sz="0" w:space="0" w:color="auto"/>
      </w:divBdr>
    </w:div>
    <w:div w:id="1210651986">
      <w:marLeft w:val="0"/>
      <w:marRight w:val="0"/>
      <w:marTop w:val="180"/>
      <w:marBottom w:val="12"/>
      <w:divBdr>
        <w:top w:val="none" w:sz="0" w:space="0" w:color="auto"/>
        <w:left w:val="none" w:sz="0" w:space="0" w:color="auto"/>
        <w:bottom w:val="none" w:sz="0" w:space="0" w:color="auto"/>
        <w:right w:val="none" w:sz="0" w:space="0" w:color="auto"/>
      </w:divBdr>
    </w:div>
    <w:div w:id="1210999225">
      <w:marLeft w:val="0"/>
      <w:marRight w:val="0"/>
      <w:marTop w:val="180"/>
      <w:marBottom w:val="0"/>
      <w:divBdr>
        <w:top w:val="none" w:sz="0" w:space="0" w:color="auto"/>
        <w:left w:val="none" w:sz="0" w:space="0" w:color="auto"/>
        <w:bottom w:val="none" w:sz="0" w:space="0" w:color="auto"/>
        <w:right w:val="none" w:sz="0" w:space="0" w:color="auto"/>
      </w:divBdr>
    </w:div>
    <w:div w:id="1212154968">
      <w:marLeft w:val="0"/>
      <w:marRight w:val="0"/>
      <w:marTop w:val="180"/>
      <w:marBottom w:val="0"/>
      <w:divBdr>
        <w:top w:val="none" w:sz="0" w:space="0" w:color="auto"/>
        <w:left w:val="none" w:sz="0" w:space="0" w:color="auto"/>
        <w:bottom w:val="none" w:sz="0" w:space="0" w:color="auto"/>
        <w:right w:val="none" w:sz="0" w:space="0" w:color="auto"/>
      </w:divBdr>
    </w:div>
    <w:div w:id="1214341665">
      <w:marLeft w:val="0"/>
      <w:marRight w:val="0"/>
      <w:marTop w:val="180"/>
      <w:marBottom w:val="0"/>
      <w:divBdr>
        <w:top w:val="none" w:sz="0" w:space="0" w:color="auto"/>
        <w:left w:val="none" w:sz="0" w:space="0" w:color="auto"/>
        <w:bottom w:val="none" w:sz="0" w:space="0" w:color="auto"/>
        <w:right w:val="none" w:sz="0" w:space="0" w:color="auto"/>
      </w:divBdr>
    </w:div>
    <w:div w:id="1218933662">
      <w:marLeft w:val="0"/>
      <w:marRight w:val="0"/>
      <w:marTop w:val="0"/>
      <w:marBottom w:val="0"/>
      <w:divBdr>
        <w:top w:val="none" w:sz="0" w:space="0" w:color="auto"/>
        <w:left w:val="none" w:sz="0" w:space="0" w:color="auto"/>
        <w:bottom w:val="none" w:sz="0" w:space="0" w:color="auto"/>
        <w:right w:val="none" w:sz="0" w:space="0" w:color="auto"/>
      </w:divBdr>
      <w:divsChild>
        <w:div w:id="1785421469">
          <w:marLeft w:val="0"/>
          <w:marRight w:val="0"/>
          <w:marTop w:val="180"/>
          <w:marBottom w:val="0"/>
          <w:divBdr>
            <w:top w:val="none" w:sz="0" w:space="0" w:color="auto"/>
            <w:left w:val="none" w:sz="0" w:space="0" w:color="auto"/>
            <w:bottom w:val="none" w:sz="0" w:space="0" w:color="auto"/>
            <w:right w:val="none" w:sz="0" w:space="0" w:color="auto"/>
          </w:divBdr>
        </w:div>
      </w:divsChild>
    </w:div>
    <w:div w:id="1219512613">
      <w:marLeft w:val="0"/>
      <w:marRight w:val="0"/>
      <w:marTop w:val="240"/>
      <w:marBottom w:val="0"/>
      <w:divBdr>
        <w:top w:val="none" w:sz="0" w:space="0" w:color="auto"/>
        <w:left w:val="none" w:sz="0" w:space="0" w:color="auto"/>
        <w:bottom w:val="none" w:sz="0" w:space="0" w:color="auto"/>
        <w:right w:val="none" w:sz="0" w:space="0" w:color="auto"/>
      </w:divBdr>
    </w:div>
    <w:div w:id="1221751839">
      <w:marLeft w:val="0"/>
      <w:marRight w:val="0"/>
      <w:marTop w:val="0"/>
      <w:marBottom w:val="200"/>
      <w:divBdr>
        <w:top w:val="none" w:sz="0" w:space="0" w:color="auto"/>
        <w:left w:val="none" w:sz="0" w:space="0" w:color="auto"/>
        <w:bottom w:val="none" w:sz="0" w:space="0" w:color="auto"/>
        <w:right w:val="none" w:sz="0" w:space="0" w:color="auto"/>
      </w:divBdr>
    </w:div>
    <w:div w:id="1223909354">
      <w:marLeft w:val="0"/>
      <w:marRight w:val="0"/>
      <w:marTop w:val="180"/>
      <w:marBottom w:val="0"/>
      <w:divBdr>
        <w:top w:val="none" w:sz="0" w:space="0" w:color="auto"/>
        <w:left w:val="none" w:sz="0" w:space="0" w:color="auto"/>
        <w:bottom w:val="none" w:sz="0" w:space="0" w:color="auto"/>
        <w:right w:val="none" w:sz="0" w:space="0" w:color="auto"/>
      </w:divBdr>
    </w:div>
    <w:div w:id="1226649943">
      <w:marLeft w:val="0"/>
      <w:marRight w:val="0"/>
      <w:marTop w:val="120"/>
      <w:marBottom w:val="0"/>
      <w:divBdr>
        <w:top w:val="none" w:sz="0" w:space="0" w:color="auto"/>
        <w:left w:val="none" w:sz="0" w:space="0" w:color="auto"/>
        <w:bottom w:val="none" w:sz="0" w:space="0" w:color="auto"/>
        <w:right w:val="none" w:sz="0" w:space="0" w:color="auto"/>
      </w:divBdr>
    </w:div>
    <w:div w:id="1226835049">
      <w:marLeft w:val="0"/>
      <w:marRight w:val="0"/>
      <w:marTop w:val="180"/>
      <w:marBottom w:val="0"/>
      <w:divBdr>
        <w:top w:val="none" w:sz="0" w:space="0" w:color="auto"/>
        <w:left w:val="none" w:sz="0" w:space="0" w:color="auto"/>
        <w:bottom w:val="none" w:sz="0" w:space="0" w:color="auto"/>
        <w:right w:val="none" w:sz="0" w:space="0" w:color="auto"/>
      </w:divBdr>
    </w:div>
    <w:div w:id="1226835860">
      <w:marLeft w:val="0"/>
      <w:marRight w:val="0"/>
      <w:marTop w:val="60"/>
      <w:marBottom w:val="120"/>
      <w:divBdr>
        <w:top w:val="none" w:sz="0" w:space="0" w:color="auto"/>
        <w:left w:val="none" w:sz="0" w:space="0" w:color="auto"/>
        <w:bottom w:val="none" w:sz="0" w:space="0" w:color="auto"/>
        <w:right w:val="none" w:sz="0" w:space="0" w:color="auto"/>
      </w:divBdr>
      <w:divsChild>
        <w:div w:id="1205630216">
          <w:marLeft w:val="0"/>
          <w:marRight w:val="0"/>
          <w:marTop w:val="0"/>
          <w:marBottom w:val="0"/>
          <w:divBdr>
            <w:top w:val="none" w:sz="0" w:space="0" w:color="auto"/>
            <w:left w:val="none" w:sz="0" w:space="0" w:color="auto"/>
            <w:bottom w:val="none" w:sz="0" w:space="0" w:color="auto"/>
            <w:right w:val="none" w:sz="0" w:space="0" w:color="auto"/>
          </w:divBdr>
        </w:div>
        <w:div w:id="1561205747">
          <w:marLeft w:val="0"/>
          <w:marRight w:val="0"/>
          <w:marTop w:val="0"/>
          <w:marBottom w:val="0"/>
          <w:divBdr>
            <w:top w:val="none" w:sz="0" w:space="0" w:color="auto"/>
            <w:left w:val="none" w:sz="0" w:space="0" w:color="auto"/>
            <w:bottom w:val="none" w:sz="0" w:space="0" w:color="auto"/>
            <w:right w:val="none" w:sz="0" w:space="0" w:color="auto"/>
          </w:divBdr>
        </w:div>
        <w:div w:id="1163660760">
          <w:marLeft w:val="0"/>
          <w:marRight w:val="0"/>
          <w:marTop w:val="0"/>
          <w:marBottom w:val="0"/>
          <w:divBdr>
            <w:top w:val="none" w:sz="0" w:space="0" w:color="auto"/>
            <w:left w:val="none" w:sz="0" w:space="0" w:color="auto"/>
            <w:bottom w:val="none" w:sz="0" w:space="0" w:color="auto"/>
            <w:right w:val="none" w:sz="0" w:space="0" w:color="auto"/>
          </w:divBdr>
        </w:div>
        <w:div w:id="304119180">
          <w:marLeft w:val="0"/>
          <w:marRight w:val="0"/>
          <w:marTop w:val="0"/>
          <w:marBottom w:val="0"/>
          <w:divBdr>
            <w:top w:val="none" w:sz="0" w:space="0" w:color="auto"/>
            <w:left w:val="none" w:sz="0" w:space="0" w:color="auto"/>
            <w:bottom w:val="none" w:sz="0" w:space="0" w:color="auto"/>
            <w:right w:val="none" w:sz="0" w:space="0" w:color="auto"/>
          </w:divBdr>
        </w:div>
        <w:div w:id="38288934">
          <w:marLeft w:val="0"/>
          <w:marRight w:val="0"/>
          <w:marTop w:val="0"/>
          <w:marBottom w:val="0"/>
          <w:divBdr>
            <w:top w:val="none" w:sz="0" w:space="0" w:color="auto"/>
            <w:left w:val="none" w:sz="0" w:space="0" w:color="auto"/>
            <w:bottom w:val="none" w:sz="0" w:space="0" w:color="auto"/>
            <w:right w:val="none" w:sz="0" w:space="0" w:color="auto"/>
          </w:divBdr>
        </w:div>
        <w:div w:id="1269316100">
          <w:marLeft w:val="0"/>
          <w:marRight w:val="0"/>
          <w:marTop w:val="0"/>
          <w:marBottom w:val="0"/>
          <w:divBdr>
            <w:top w:val="none" w:sz="0" w:space="0" w:color="auto"/>
            <w:left w:val="none" w:sz="0" w:space="0" w:color="auto"/>
            <w:bottom w:val="none" w:sz="0" w:space="0" w:color="auto"/>
            <w:right w:val="none" w:sz="0" w:space="0" w:color="auto"/>
          </w:divBdr>
        </w:div>
      </w:divsChild>
    </w:div>
    <w:div w:id="1227032210">
      <w:marLeft w:val="0"/>
      <w:marRight w:val="0"/>
      <w:marTop w:val="180"/>
      <w:marBottom w:val="0"/>
      <w:divBdr>
        <w:top w:val="none" w:sz="0" w:space="0" w:color="auto"/>
        <w:left w:val="none" w:sz="0" w:space="0" w:color="auto"/>
        <w:bottom w:val="none" w:sz="0" w:space="0" w:color="auto"/>
        <w:right w:val="none" w:sz="0" w:space="0" w:color="auto"/>
      </w:divBdr>
    </w:div>
    <w:div w:id="1227060943">
      <w:marLeft w:val="0"/>
      <w:marRight w:val="0"/>
      <w:marTop w:val="180"/>
      <w:marBottom w:val="0"/>
      <w:divBdr>
        <w:top w:val="none" w:sz="0" w:space="0" w:color="auto"/>
        <w:left w:val="none" w:sz="0" w:space="0" w:color="auto"/>
        <w:bottom w:val="none" w:sz="0" w:space="0" w:color="auto"/>
        <w:right w:val="none" w:sz="0" w:space="0" w:color="auto"/>
      </w:divBdr>
    </w:div>
    <w:div w:id="1228883800">
      <w:marLeft w:val="0"/>
      <w:marRight w:val="0"/>
      <w:marTop w:val="180"/>
      <w:marBottom w:val="0"/>
      <w:divBdr>
        <w:top w:val="none" w:sz="0" w:space="0" w:color="auto"/>
        <w:left w:val="none" w:sz="0" w:space="0" w:color="auto"/>
        <w:bottom w:val="none" w:sz="0" w:space="0" w:color="auto"/>
        <w:right w:val="none" w:sz="0" w:space="0" w:color="auto"/>
      </w:divBdr>
    </w:div>
    <w:div w:id="1231698778">
      <w:marLeft w:val="0"/>
      <w:marRight w:val="0"/>
      <w:marTop w:val="180"/>
      <w:marBottom w:val="120"/>
      <w:divBdr>
        <w:top w:val="none" w:sz="0" w:space="0" w:color="auto"/>
        <w:left w:val="none" w:sz="0" w:space="0" w:color="auto"/>
        <w:bottom w:val="none" w:sz="0" w:space="0" w:color="auto"/>
        <w:right w:val="none" w:sz="0" w:space="0" w:color="auto"/>
      </w:divBdr>
      <w:divsChild>
        <w:div w:id="1629630801">
          <w:marLeft w:val="0"/>
          <w:marRight w:val="0"/>
          <w:marTop w:val="0"/>
          <w:marBottom w:val="0"/>
          <w:divBdr>
            <w:top w:val="none" w:sz="0" w:space="0" w:color="auto"/>
            <w:left w:val="none" w:sz="0" w:space="0" w:color="auto"/>
            <w:bottom w:val="none" w:sz="0" w:space="0" w:color="auto"/>
            <w:right w:val="none" w:sz="0" w:space="0" w:color="auto"/>
          </w:divBdr>
        </w:div>
        <w:div w:id="2120104408">
          <w:marLeft w:val="0"/>
          <w:marRight w:val="0"/>
          <w:marTop w:val="0"/>
          <w:marBottom w:val="0"/>
          <w:divBdr>
            <w:top w:val="none" w:sz="0" w:space="0" w:color="auto"/>
            <w:left w:val="none" w:sz="0" w:space="0" w:color="auto"/>
            <w:bottom w:val="none" w:sz="0" w:space="0" w:color="auto"/>
            <w:right w:val="none" w:sz="0" w:space="0" w:color="auto"/>
          </w:divBdr>
        </w:div>
        <w:div w:id="976567117">
          <w:marLeft w:val="0"/>
          <w:marRight w:val="0"/>
          <w:marTop w:val="0"/>
          <w:marBottom w:val="0"/>
          <w:divBdr>
            <w:top w:val="none" w:sz="0" w:space="0" w:color="auto"/>
            <w:left w:val="none" w:sz="0" w:space="0" w:color="auto"/>
            <w:bottom w:val="none" w:sz="0" w:space="0" w:color="auto"/>
            <w:right w:val="none" w:sz="0" w:space="0" w:color="auto"/>
          </w:divBdr>
        </w:div>
      </w:divsChild>
    </w:div>
    <w:div w:id="1232228532">
      <w:marLeft w:val="0"/>
      <w:marRight w:val="0"/>
      <w:marTop w:val="180"/>
      <w:marBottom w:val="0"/>
      <w:divBdr>
        <w:top w:val="none" w:sz="0" w:space="0" w:color="auto"/>
        <w:left w:val="none" w:sz="0" w:space="0" w:color="auto"/>
        <w:bottom w:val="none" w:sz="0" w:space="0" w:color="auto"/>
        <w:right w:val="none" w:sz="0" w:space="0" w:color="auto"/>
      </w:divBdr>
    </w:div>
    <w:div w:id="1233354024">
      <w:marLeft w:val="0"/>
      <w:marRight w:val="0"/>
      <w:marTop w:val="180"/>
      <w:marBottom w:val="0"/>
      <w:divBdr>
        <w:top w:val="none" w:sz="0" w:space="0" w:color="auto"/>
        <w:left w:val="none" w:sz="0" w:space="0" w:color="auto"/>
        <w:bottom w:val="none" w:sz="0" w:space="0" w:color="auto"/>
        <w:right w:val="none" w:sz="0" w:space="0" w:color="auto"/>
      </w:divBdr>
    </w:div>
    <w:div w:id="1233807437">
      <w:marLeft w:val="0"/>
      <w:marRight w:val="0"/>
      <w:marTop w:val="180"/>
      <w:marBottom w:val="0"/>
      <w:divBdr>
        <w:top w:val="none" w:sz="0" w:space="0" w:color="auto"/>
        <w:left w:val="none" w:sz="0" w:space="0" w:color="auto"/>
        <w:bottom w:val="none" w:sz="0" w:space="0" w:color="auto"/>
        <w:right w:val="none" w:sz="0" w:space="0" w:color="auto"/>
      </w:divBdr>
    </w:div>
    <w:div w:id="1234122246">
      <w:marLeft w:val="0"/>
      <w:marRight w:val="0"/>
      <w:marTop w:val="180"/>
      <w:marBottom w:val="0"/>
      <w:divBdr>
        <w:top w:val="none" w:sz="0" w:space="0" w:color="auto"/>
        <w:left w:val="none" w:sz="0" w:space="0" w:color="auto"/>
        <w:bottom w:val="none" w:sz="0" w:space="0" w:color="auto"/>
        <w:right w:val="none" w:sz="0" w:space="0" w:color="auto"/>
      </w:divBdr>
    </w:div>
    <w:div w:id="1235621496">
      <w:marLeft w:val="0"/>
      <w:marRight w:val="0"/>
      <w:marTop w:val="0"/>
      <w:marBottom w:val="0"/>
      <w:divBdr>
        <w:top w:val="none" w:sz="0" w:space="0" w:color="auto"/>
        <w:left w:val="none" w:sz="0" w:space="0" w:color="auto"/>
        <w:bottom w:val="none" w:sz="0" w:space="0" w:color="auto"/>
        <w:right w:val="none" w:sz="0" w:space="0" w:color="auto"/>
      </w:divBdr>
      <w:divsChild>
        <w:div w:id="1249848235">
          <w:marLeft w:val="0"/>
          <w:marRight w:val="0"/>
          <w:marTop w:val="180"/>
          <w:marBottom w:val="0"/>
          <w:divBdr>
            <w:top w:val="none" w:sz="0" w:space="0" w:color="auto"/>
            <w:left w:val="none" w:sz="0" w:space="0" w:color="auto"/>
            <w:bottom w:val="none" w:sz="0" w:space="0" w:color="auto"/>
            <w:right w:val="none" w:sz="0" w:space="0" w:color="auto"/>
          </w:divBdr>
        </w:div>
      </w:divsChild>
    </w:div>
    <w:div w:id="1235824212">
      <w:marLeft w:val="0"/>
      <w:marRight w:val="0"/>
      <w:marTop w:val="180"/>
      <w:marBottom w:val="0"/>
      <w:divBdr>
        <w:top w:val="none" w:sz="0" w:space="0" w:color="auto"/>
        <w:left w:val="none" w:sz="0" w:space="0" w:color="auto"/>
        <w:bottom w:val="none" w:sz="0" w:space="0" w:color="auto"/>
        <w:right w:val="none" w:sz="0" w:space="0" w:color="auto"/>
      </w:divBdr>
    </w:div>
    <w:div w:id="1237284732">
      <w:marLeft w:val="0"/>
      <w:marRight w:val="0"/>
      <w:marTop w:val="160"/>
      <w:marBottom w:val="0"/>
      <w:divBdr>
        <w:top w:val="none" w:sz="0" w:space="0" w:color="auto"/>
        <w:left w:val="none" w:sz="0" w:space="0" w:color="auto"/>
        <w:bottom w:val="none" w:sz="0" w:space="0" w:color="auto"/>
        <w:right w:val="none" w:sz="0" w:space="0" w:color="auto"/>
      </w:divBdr>
    </w:div>
    <w:div w:id="1237594147">
      <w:marLeft w:val="0"/>
      <w:marRight w:val="0"/>
      <w:marTop w:val="180"/>
      <w:marBottom w:val="0"/>
      <w:divBdr>
        <w:top w:val="none" w:sz="0" w:space="0" w:color="auto"/>
        <w:left w:val="none" w:sz="0" w:space="0" w:color="auto"/>
        <w:bottom w:val="none" w:sz="0" w:space="0" w:color="auto"/>
        <w:right w:val="none" w:sz="0" w:space="0" w:color="auto"/>
      </w:divBdr>
    </w:div>
    <w:div w:id="1238512642">
      <w:marLeft w:val="0"/>
      <w:marRight w:val="0"/>
      <w:marTop w:val="0"/>
      <w:marBottom w:val="0"/>
      <w:divBdr>
        <w:top w:val="none" w:sz="0" w:space="0" w:color="auto"/>
        <w:left w:val="none" w:sz="0" w:space="0" w:color="auto"/>
        <w:bottom w:val="none" w:sz="0" w:space="0" w:color="auto"/>
        <w:right w:val="none" w:sz="0" w:space="0" w:color="auto"/>
      </w:divBdr>
      <w:divsChild>
        <w:div w:id="460881731">
          <w:marLeft w:val="0"/>
          <w:marRight w:val="0"/>
          <w:marTop w:val="0"/>
          <w:marBottom w:val="0"/>
          <w:divBdr>
            <w:top w:val="none" w:sz="0" w:space="0" w:color="auto"/>
            <w:left w:val="none" w:sz="0" w:space="0" w:color="auto"/>
            <w:bottom w:val="none" w:sz="0" w:space="0" w:color="auto"/>
            <w:right w:val="none" w:sz="0" w:space="0" w:color="auto"/>
          </w:divBdr>
          <w:divsChild>
            <w:div w:id="19433716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8899670">
      <w:marLeft w:val="0"/>
      <w:marRight w:val="0"/>
      <w:marTop w:val="180"/>
      <w:marBottom w:val="0"/>
      <w:divBdr>
        <w:top w:val="none" w:sz="0" w:space="0" w:color="auto"/>
        <w:left w:val="none" w:sz="0" w:space="0" w:color="auto"/>
        <w:bottom w:val="none" w:sz="0" w:space="0" w:color="auto"/>
        <w:right w:val="none" w:sz="0" w:space="0" w:color="auto"/>
      </w:divBdr>
    </w:div>
    <w:div w:id="1239171171">
      <w:marLeft w:val="0"/>
      <w:marRight w:val="0"/>
      <w:marTop w:val="180"/>
      <w:marBottom w:val="0"/>
      <w:divBdr>
        <w:top w:val="none" w:sz="0" w:space="0" w:color="auto"/>
        <w:left w:val="none" w:sz="0" w:space="0" w:color="auto"/>
        <w:bottom w:val="none" w:sz="0" w:space="0" w:color="auto"/>
        <w:right w:val="none" w:sz="0" w:space="0" w:color="auto"/>
      </w:divBdr>
    </w:div>
    <w:div w:id="1242833320">
      <w:marLeft w:val="0"/>
      <w:marRight w:val="0"/>
      <w:marTop w:val="180"/>
      <w:marBottom w:val="0"/>
      <w:divBdr>
        <w:top w:val="none" w:sz="0" w:space="0" w:color="auto"/>
        <w:left w:val="none" w:sz="0" w:space="0" w:color="auto"/>
        <w:bottom w:val="none" w:sz="0" w:space="0" w:color="auto"/>
        <w:right w:val="none" w:sz="0" w:space="0" w:color="auto"/>
      </w:divBdr>
    </w:div>
    <w:div w:id="1245412799">
      <w:marLeft w:val="0"/>
      <w:marRight w:val="0"/>
      <w:marTop w:val="180"/>
      <w:marBottom w:val="0"/>
      <w:divBdr>
        <w:top w:val="none" w:sz="0" w:space="0" w:color="auto"/>
        <w:left w:val="none" w:sz="0" w:space="0" w:color="auto"/>
        <w:bottom w:val="none" w:sz="0" w:space="0" w:color="auto"/>
        <w:right w:val="none" w:sz="0" w:space="0" w:color="auto"/>
      </w:divBdr>
    </w:div>
    <w:div w:id="1246458903">
      <w:marLeft w:val="0"/>
      <w:marRight w:val="0"/>
      <w:marTop w:val="180"/>
      <w:marBottom w:val="0"/>
      <w:divBdr>
        <w:top w:val="none" w:sz="0" w:space="0" w:color="auto"/>
        <w:left w:val="none" w:sz="0" w:space="0" w:color="auto"/>
        <w:bottom w:val="none" w:sz="0" w:space="0" w:color="auto"/>
        <w:right w:val="none" w:sz="0" w:space="0" w:color="auto"/>
      </w:divBdr>
    </w:div>
    <w:div w:id="1246569936">
      <w:marLeft w:val="0"/>
      <w:marRight w:val="0"/>
      <w:marTop w:val="180"/>
      <w:marBottom w:val="120"/>
      <w:divBdr>
        <w:top w:val="none" w:sz="0" w:space="0" w:color="auto"/>
        <w:left w:val="none" w:sz="0" w:space="0" w:color="auto"/>
        <w:bottom w:val="none" w:sz="0" w:space="0" w:color="auto"/>
        <w:right w:val="none" w:sz="0" w:space="0" w:color="auto"/>
      </w:divBdr>
    </w:div>
    <w:div w:id="1249734557">
      <w:marLeft w:val="0"/>
      <w:marRight w:val="0"/>
      <w:marTop w:val="0"/>
      <w:marBottom w:val="0"/>
      <w:divBdr>
        <w:top w:val="none" w:sz="0" w:space="0" w:color="auto"/>
        <w:left w:val="none" w:sz="0" w:space="0" w:color="auto"/>
        <w:bottom w:val="none" w:sz="0" w:space="0" w:color="auto"/>
        <w:right w:val="none" w:sz="0" w:space="0" w:color="auto"/>
      </w:divBdr>
      <w:divsChild>
        <w:div w:id="875851852">
          <w:marLeft w:val="0"/>
          <w:marRight w:val="0"/>
          <w:marTop w:val="0"/>
          <w:marBottom w:val="0"/>
          <w:divBdr>
            <w:top w:val="none" w:sz="0" w:space="0" w:color="auto"/>
            <w:left w:val="none" w:sz="0" w:space="0" w:color="auto"/>
            <w:bottom w:val="none" w:sz="0" w:space="0" w:color="auto"/>
            <w:right w:val="none" w:sz="0" w:space="0" w:color="auto"/>
          </w:divBdr>
        </w:div>
      </w:divsChild>
    </w:div>
    <w:div w:id="1250387552">
      <w:marLeft w:val="0"/>
      <w:marRight w:val="0"/>
      <w:marTop w:val="120"/>
      <w:marBottom w:val="0"/>
      <w:divBdr>
        <w:top w:val="none" w:sz="0" w:space="0" w:color="auto"/>
        <w:left w:val="none" w:sz="0" w:space="0" w:color="auto"/>
        <w:bottom w:val="none" w:sz="0" w:space="0" w:color="auto"/>
        <w:right w:val="none" w:sz="0" w:space="0" w:color="auto"/>
      </w:divBdr>
    </w:div>
    <w:div w:id="1252929047">
      <w:marLeft w:val="0"/>
      <w:marRight w:val="0"/>
      <w:marTop w:val="0"/>
      <w:marBottom w:val="0"/>
      <w:divBdr>
        <w:top w:val="none" w:sz="0" w:space="0" w:color="auto"/>
        <w:left w:val="none" w:sz="0" w:space="0" w:color="auto"/>
        <w:bottom w:val="none" w:sz="0" w:space="0" w:color="auto"/>
        <w:right w:val="none" w:sz="0" w:space="0" w:color="auto"/>
      </w:divBdr>
      <w:divsChild>
        <w:div w:id="2072388332">
          <w:marLeft w:val="0"/>
          <w:marRight w:val="0"/>
          <w:marTop w:val="0"/>
          <w:marBottom w:val="0"/>
          <w:divBdr>
            <w:top w:val="none" w:sz="0" w:space="0" w:color="auto"/>
            <w:left w:val="none" w:sz="0" w:space="0" w:color="auto"/>
            <w:bottom w:val="none" w:sz="0" w:space="0" w:color="auto"/>
            <w:right w:val="none" w:sz="0" w:space="0" w:color="auto"/>
          </w:divBdr>
          <w:divsChild>
            <w:div w:id="17434856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53932977">
      <w:marLeft w:val="0"/>
      <w:marRight w:val="0"/>
      <w:marTop w:val="180"/>
      <w:marBottom w:val="0"/>
      <w:divBdr>
        <w:top w:val="none" w:sz="0" w:space="0" w:color="auto"/>
        <w:left w:val="none" w:sz="0" w:space="0" w:color="auto"/>
        <w:bottom w:val="none" w:sz="0" w:space="0" w:color="auto"/>
        <w:right w:val="none" w:sz="0" w:space="0" w:color="auto"/>
      </w:divBdr>
    </w:div>
    <w:div w:id="1254044657">
      <w:marLeft w:val="0"/>
      <w:marRight w:val="0"/>
      <w:marTop w:val="180"/>
      <w:marBottom w:val="0"/>
      <w:divBdr>
        <w:top w:val="none" w:sz="0" w:space="0" w:color="auto"/>
        <w:left w:val="none" w:sz="0" w:space="0" w:color="auto"/>
        <w:bottom w:val="none" w:sz="0" w:space="0" w:color="auto"/>
        <w:right w:val="none" w:sz="0" w:space="0" w:color="auto"/>
      </w:divBdr>
    </w:div>
    <w:div w:id="1256940871">
      <w:marLeft w:val="0"/>
      <w:marRight w:val="0"/>
      <w:marTop w:val="240"/>
      <w:marBottom w:val="0"/>
      <w:divBdr>
        <w:top w:val="none" w:sz="0" w:space="0" w:color="auto"/>
        <w:left w:val="none" w:sz="0" w:space="0" w:color="auto"/>
        <w:bottom w:val="none" w:sz="0" w:space="0" w:color="auto"/>
        <w:right w:val="none" w:sz="0" w:space="0" w:color="auto"/>
      </w:divBdr>
    </w:div>
    <w:div w:id="1258366666">
      <w:marLeft w:val="0"/>
      <w:marRight w:val="0"/>
      <w:marTop w:val="0"/>
      <w:marBottom w:val="200"/>
      <w:divBdr>
        <w:top w:val="none" w:sz="0" w:space="0" w:color="auto"/>
        <w:left w:val="none" w:sz="0" w:space="0" w:color="auto"/>
        <w:bottom w:val="none" w:sz="0" w:space="0" w:color="auto"/>
        <w:right w:val="none" w:sz="0" w:space="0" w:color="auto"/>
      </w:divBdr>
    </w:div>
    <w:div w:id="1258562173">
      <w:marLeft w:val="0"/>
      <w:marRight w:val="0"/>
      <w:marTop w:val="180"/>
      <w:marBottom w:val="0"/>
      <w:divBdr>
        <w:top w:val="none" w:sz="0" w:space="0" w:color="auto"/>
        <w:left w:val="none" w:sz="0" w:space="0" w:color="auto"/>
        <w:bottom w:val="none" w:sz="0" w:space="0" w:color="auto"/>
        <w:right w:val="none" w:sz="0" w:space="0" w:color="auto"/>
      </w:divBdr>
    </w:div>
    <w:div w:id="1259408167">
      <w:marLeft w:val="0"/>
      <w:marRight w:val="0"/>
      <w:marTop w:val="180"/>
      <w:marBottom w:val="0"/>
      <w:divBdr>
        <w:top w:val="none" w:sz="0" w:space="0" w:color="auto"/>
        <w:left w:val="none" w:sz="0" w:space="0" w:color="auto"/>
        <w:bottom w:val="none" w:sz="0" w:space="0" w:color="auto"/>
        <w:right w:val="none" w:sz="0" w:space="0" w:color="auto"/>
      </w:divBdr>
    </w:div>
    <w:div w:id="1262758247">
      <w:marLeft w:val="0"/>
      <w:marRight w:val="0"/>
      <w:marTop w:val="0"/>
      <w:marBottom w:val="0"/>
      <w:divBdr>
        <w:top w:val="none" w:sz="0" w:space="0" w:color="auto"/>
        <w:left w:val="none" w:sz="0" w:space="0" w:color="auto"/>
        <w:bottom w:val="none" w:sz="0" w:space="0" w:color="auto"/>
        <w:right w:val="none" w:sz="0" w:space="0" w:color="auto"/>
      </w:divBdr>
      <w:divsChild>
        <w:div w:id="1764835514">
          <w:marLeft w:val="0"/>
          <w:marRight w:val="0"/>
          <w:marTop w:val="180"/>
          <w:marBottom w:val="0"/>
          <w:divBdr>
            <w:top w:val="none" w:sz="0" w:space="0" w:color="auto"/>
            <w:left w:val="none" w:sz="0" w:space="0" w:color="auto"/>
            <w:bottom w:val="none" w:sz="0" w:space="0" w:color="auto"/>
            <w:right w:val="none" w:sz="0" w:space="0" w:color="auto"/>
          </w:divBdr>
        </w:div>
      </w:divsChild>
    </w:div>
    <w:div w:id="1262763279">
      <w:marLeft w:val="0"/>
      <w:marRight w:val="0"/>
      <w:marTop w:val="180"/>
      <w:marBottom w:val="0"/>
      <w:divBdr>
        <w:top w:val="none" w:sz="0" w:space="0" w:color="auto"/>
        <w:left w:val="none" w:sz="0" w:space="0" w:color="auto"/>
        <w:bottom w:val="none" w:sz="0" w:space="0" w:color="auto"/>
        <w:right w:val="none" w:sz="0" w:space="0" w:color="auto"/>
      </w:divBdr>
    </w:div>
    <w:div w:id="1263298389">
      <w:marLeft w:val="0"/>
      <w:marRight w:val="0"/>
      <w:marTop w:val="180"/>
      <w:marBottom w:val="0"/>
      <w:divBdr>
        <w:top w:val="none" w:sz="0" w:space="0" w:color="auto"/>
        <w:left w:val="none" w:sz="0" w:space="0" w:color="auto"/>
        <w:bottom w:val="none" w:sz="0" w:space="0" w:color="auto"/>
        <w:right w:val="none" w:sz="0" w:space="0" w:color="auto"/>
      </w:divBdr>
    </w:div>
    <w:div w:id="1265266394">
      <w:marLeft w:val="0"/>
      <w:marRight w:val="0"/>
      <w:marTop w:val="0"/>
      <w:marBottom w:val="0"/>
      <w:divBdr>
        <w:top w:val="none" w:sz="0" w:space="0" w:color="auto"/>
        <w:left w:val="none" w:sz="0" w:space="0" w:color="auto"/>
        <w:bottom w:val="none" w:sz="0" w:space="0" w:color="auto"/>
        <w:right w:val="none" w:sz="0" w:space="0" w:color="auto"/>
      </w:divBdr>
      <w:divsChild>
        <w:div w:id="1237473912">
          <w:marLeft w:val="0"/>
          <w:marRight w:val="0"/>
          <w:marTop w:val="0"/>
          <w:marBottom w:val="0"/>
          <w:divBdr>
            <w:top w:val="none" w:sz="0" w:space="0" w:color="auto"/>
            <w:left w:val="none" w:sz="0" w:space="0" w:color="auto"/>
            <w:bottom w:val="none" w:sz="0" w:space="0" w:color="auto"/>
            <w:right w:val="none" w:sz="0" w:space="0" w:color="auto"/>
          </w:divBdr>
        </w:div>
      </w:divsChild>
    </w:div>
    <w:div w:id="1266380501">
      <w:marLeft w:val="0"/>
      <w:marRight w:val="0"/>
      <w:marTop w:val="180"/>
      <w:marBottom w:val="240"/>
      <w:divBdr>
        <w:top w:val="none" w:sz="0" w:space="0" w:color="auto"/>
        <w:left w:val="none" w:sz="0" w:space="0" w:color="auto"/>
        <w:bottom w:val="none" w:sz="0" w:space="0" w:color="auto"/>
        <w:right w:val="none" w:sz="0" w:space="0" w:color="auto"/>
      </w:divBdr>
    </w:div>
    <w:div w:id="1269047837">
      <w:marLeft w:val="0"/>
      <w:marRight w:val="0"/>
      <w:marTop w:val="180"/>
      <w:marBottom w:val="0"/>
      <w:divBdr>
        <w:top w:val="none" w:sz="0" w:space="0" w:color="auto"/>
        <w:left w:val="none" w:sz="0" w:space="0" w:color="auto"/>
        <w:bottom w:val="none" w:sz="0" w:space="0" w:color="auto"/>
        <w:right w:val="none" w:sz="0" w:space="0" w:color="auto"/>
      </w:divBdr>
    </w:div>
    <w:div w:id="1269390538">
      <w:marLeft w:val="0"/>
      <w:marRight w:val="0"/>
      <w:marTop w:val="180"/>
      <w:marBottom w:val="0"/>
      <w:divBdr>
        <w:top w:val="none" w:sz="0" w:space="0" w:color="auto"/>
        <w:left w:val="none" w:sz="0" w:space="0" w:color="auto"/>
        <w:bottom w:val="none" w:sz="0" w:space="0" w:color="auto"/>
        <w:right w:val="none" w:sz="0" w:space="0" w:color="auto"/>
      </w:divBdr>
    </w:div>
    <w:div w:id="1269391196">
      <w:marLeft w:val="0"/>
      <w:marRight w:val="0"/>
      <w:marTop w:val="180"/>
      <w:marBottom w:val="0"/>
      <w:divBdr>
        <w:top w:val="none" w:sz="0" w:space="0" w:color="auto"/>
        <w:left w:val="none" w:sz="0" w:space="0" w:color="auto"/>
        <w:bottom w:val="none" w:sz="0" w:space="0" w:color="auto"/>
        <w:right w:val="none" w:sz="0" w:space="0" w:color="auto"/>
      </w:divBdr>
    </w:div>
    <w:div w:id="1269658234">
      <w:marLeft w:val="0"/>
      <w:marRight w:val="0"/>
      <w:marTop w:val="180"/>
      <w:marBottom w:val="0"/>
      <w:divBdr>
        <w:top w:val="none" w:sz="0" w:space="0" w:color="auto"/>
        <w:left w:val="none" w:sz="0" w:space="0" w:color="auto"/>
        <w:bottom w:val="none" w:sz="0" w:space="0" w:color="auto"/>
        <w:right w:val="none" w:sz="0" w:space="0" w:color="auto"/>
      </w:divBdr>
    </w:div>
    <w:div w:id="1272861879">
      <w:marLeft w:val="0"/>
      <w:marRight w:val="0"/>
      <w:marTop w:val="180"/>
      <w:marBottom w:val="0"/>
      <w:divBdr>
        <w:top w:val="none" w:sz="0" w:space="0" w:color="auto"/>
        <w:left w:val="none" w:sz="0" w:space="0" w:color="auto"/>
        <w:bottom w:val="none" w:sz="0" w:space="0" w:color="auto"/>
        <w:right w:val="none" w:sz="0" w:space="0" w:color="auto"/>
      </w:divBdr>
    </w:div>
    <w:div w:id="1274172294">
      <w:marLeft w:val="0"/>
      <w:marRight w:val="0"/>
      <w:marTop w:val="180"/>
      <w:marBottom w:val="0"/>
      <w:divBdr>
        <w:top w:val="none" w:sz="0" w:space="0" w:color="auto"/>
        <w:left w:val="none" w:sz="0" w:space="0" w:color="auto"/>
        <w:bottom w:val="none" w:sz="0" w:space="0" w:color="auto"/>
        <w:right w:val="none" w:sz="0" w:space="0" w:color="auto"/>
      </w:divBdr>
    </w:div>
    <w:div w:id="1277179933">
      <w:marLeft w:val="0"/>
      <w:marRight w:val="0"/>
      <w:marTop w:val="180"/>
      <w:marBottom w:val="0"/>
      <w:divBdr>
        <w:top w:val="none" w:sz="0" w:space="0" w:color="auto"/>
        <w:left w:val="none" w:sz="0" w:space="0" w:color="auto"/>
        <w:bottom w:val="none" w:sz="0" w:space="0" w:color="auto"/>
        <w:right w:val="none" w:sz="0" w:space="0" w:color="auto"/>
      </w:divBdr>
    </w:div>
    <w:div w:id="1279681990">
      <w:marLeft w:val="0"/>
      <w:marRight w:val="0"/>
      <w:marTop w:val="0"/>
      <w:marBottom w:val="0"/>
      <w:divBdr>
        <w:top w:val="none" w:sz="0" w:space="0" w:color="auto"/>
        <w:left w:val="none" w:sz="0" w:space="0" w:color="auto"/>
        <w:bottom w:val="none" w:sz="0" w:space="0" w:color="auto"/>
        <w:right w:val="none" w:sz="0" w:space="0" w:color="auto"/>
      </w:divBdr>
      <w:divsChild>
        <w:div w:id="709379409">
          <w:marLeft w:val="0"/>
          <w:marRight w:val="0"/>
          <w:marTop w:val="0"/>
          <w:marBottom w:val="0"/>
          <w:divBdr>
            <w:top w:val="none" w:sz="0" w:space="0" w:color="auto"/>
            <w:left w:val="none" w:sz="0" w:space="0" w:color="auto"/>
            <w:bottom w:val="none" w:sz="0" w:space="0" w:color="auto"/>
            <w:right w:val="none" w:sz="0" w:space="0" w:color="auto"/>
          </w:divBdr>
          <w:divsChild>
            <w:div w:id="15659866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79868671">
      <w:marLeft w:val="0"/>
      <w:marRight w:val="0"/>
      <w:marTop w:val="0"/>
      <w:marBottom w:val="0"/>
      <w:divBdr>
        <w:top w:val="none" w:sz="0" w:space="0" w:color="auto"/>
        <w:left w:val="none" w:sz="0" w:space="0" w:color="auto"/>
        <w:bottom w:val="none" w:sz="0" w:space="0" w:color="auto"/>
        <w:right w:val="none" w:sz="0" w:space="0" w:color="auto"/>
      </w:divBdr>
      <w:divsChild>
        <w:div w:id="2035113652">
          <w:marLeft w:val="0"/>
          <w:marRight w:val="0"/>
          <w:marTop w:val="0"/>
          <w:marBottom w:val="0"/>
          <w:divBdr>
            <w:top w:val="none" w:sz="0" w:space="0" w:color="auto"/>
            <w:left w:val="none" w:sz="0" w:space="0" w:color="auto"/>
            <w:bottom w:val="none" w:sz="0" w:space="0" w:color="auto"/>
            <w:right w:val="none" w:sz="0" w:space="0" w:color="auto"/>
          </w:divBdr>
          <w:divsChild>
            <w:div w:id="4334023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0262777">
      <w:marLeft w:val="0"/>
      <w:marRight w:val="0"/>
      <w:marTop w:val="0"/>
      <w:marBottom w:val="0"/>
      <w:divBdr>
        <w:top w:val="none" w:sz="0" w:space="0" w:color="auto"/>
        <w:left w:val="none" w:sz="0" w:space="0" w:color="auto"/>
        <w:bottom w:val="none" w:sz="0" w:space="0" w:color="auto"/>
        <w:right w:val="none" w:sz="0" w:space="0" w:color="auto"/>
      </w:divBdr>
    </w:div>
    <w:div w:id="1281912789">
      <w:marLeft w:val="0"/>
      <w:marRight w:val="0"/>
      <w:marTop w:val="180"/>
      <w:marBottom w:val="0"/>
      <w:divBdr>
        <w:top w:val="none" w:sz="0" w:space="0" w:color="auto"/>
        <w:left w:val="none" w:sz="0" w:space="0" w:color="auto"/>
        <w:bottom w:val="none" w:sz="0" w:space="0" w:color="auto"/>
        <w:right w:val="none" w:sz="0" w:space="0" w:color="auto"/>
      </w:divBdr>
    </w:div>
    <w:div w:id="1289314771">
      <w:marLeft w:val="0"/>
      <w:marRight w:val="0"/>
      <w:marTop w:val="180"/>
      <w:marBottom w:val="0"/>
      <w:divBdr>
        <w:top w:val="none" w:sz="0" w:space="0" w:color="auto"/>
        <w:left w:val="none" w:sz="0" w:space="0" w:color="auto"/>
        <w:bottom w:val="none" w:sz="0" w:space="0" w:color="auto"/>
        <w:right w:val="none" w:sz="0" w:space="0" w:color="auto"/>
      </w:divBdr>
      <w:divsChild>
        <w:div w:id="1662276070">
          <w:marLeft w:val="0"/>
          <w:marRight w:val="0"/>
          <w:marTop w:val="0"/>
          <w:marBottom w:val="0"/>
          <w:divBdr>
            <w:top w:val="none" w:sz="0" w:space="0" w:color="auto"/>
            <w:left w:val="none" w:sz="0" w:space="0" w:color="auto"/>
            <w:bottom w:val="none" w:sz="0" w:space="0" w:color="auto"/>
            <w:right w:val="none" w:sz="0" w:space="0" w:color="auto"/>
          </w:divBdr>
        </w:div>
      </w:divsChild>
    </w:div>
    <w:div w:id="1291738832">
      <w:marLeft w:val="0"/>
      <w:marRight w:val="0"/>
      <w:marTop w:val="120"/>
      <w:marBottom w:val="0"/>
      <w:divBdr>
        <w:top w:val="none" w:sz="0" w:space="0" w:color="auto"/>
        <w:left w:val="none" w:sz="0" w:space="0" w:color="auto"/>
        <w:bottom w:val="none" w:sz="0" w:space="0" w:color="auto"/>
        <w:right w:val="none" w:sz="0" w:space="0" w:color="auto"/>
      </w:divBdr>
    </w:div>
    <w:div w:id="1296064938">
      <w:marLeft w:val="0"/>
      <w:marRight w:val="0"/>
      <w:marTop w:val="180"/>
      <w:marBottom w:val="0"/>
      <w:divBdr>
        <w:top w:val="none" w:sz="0" w:space="0" w:color="auto"/>
        <w:left w:val="none" w:sz="0" w:space="0" w:color="auto"/>
        <w:bottom w:val="none" w:sz="0" w:space="0" w:color="auto"/>
        <w:right w:val="none" w:sz="0" w:space="0" w:color="auto"/>
      </w:divBdr>
    </w:div>
    <w:div w:id="1297758929">
      <w:marLeft w:val="0"/>
      <w:marRight w:val="0"/>
      <w:marTop w:val="180"/>
      <w:marBottom w:val="0"/>
      <w:divBdr>
        <w:top w:val="none" w:sz="0" w:space="0" w:color="auto"/>
        <w:left w:val="none" w:sz="0" w:space="0" w:color="auto"/>
        <w:bottom w:val="none" w:sz="0" w:space="0" w:color="auto"/>
        <w:right w:val="none" w:sz="0" w:space="0" w:color="auto"/>
      </w:divBdr>
    </w:div>
    <w:div w:id="1299451561">
      <w:marLeft w:val="0"/>
      <w:marRight w:val="0"/>
      <w:marTop w:val="180"/>
      <w:marBottom w:val="0"/>
      <w:divBdr>
        <w:top w:val="none" w:sz="0" w:space="0" w:color="auto"/>
        <w:left w:val="none" w:sz="0" w:space="0" w:color="auto"/>
        <w:bottom w:val="none" w:sz="0" w:space="0" w:color="auto"/>
        <w:right w:val="none" w:sz="0" w:space="0" w:color="auto"/>
      </w:divBdr>
    </w:div>
    <w:div w:id="1302151674">
      <w:marLeft w:val="0"/>
      <w:marRight w:val="0"/>
      <w:marTop w:val="60"/>
      <w:marBottom w:val="0"/>
      <w:divBdr>
        <w:top w:val="none" w:sz="0" w:space="0" w:color="auto"/>
        <w:left w:val="none" w:sz="0" w:space="0" w:color="auto"/>
        <w:bottom w:val="none" w:sz="0" w:space="0" w:color="auto"/>
        <w:right w:val="none" w:sz="0" w:space="0" w:color="auto"/>
      </w:divBdr>
    </w:div>
    <w:div w:id="1303464161">
      <w:marLeft w:val="0"/>
      <w:marRight w:val="0"/>
      <w:marTop w:val="180"/>
      <w:marBottom w:val="0"/>
      <w:divBdr>
        <w:top w:val="none" w:sz="0" w:space="0" w:color="auto"/>
        <w:left w:val="none" w:sz="0" w:space="0" w:color="auto"/>
        <w:bottom w:val="none" w:sz="0" w:space="0" w:color="auto"/>
        <w:right w:val="none" w:sz="0" w:space="0" w:color="auto"/>
      </w:divBdr>
    </w:div>
    <w:div w:id="1303803453">
      <w:marLeft w:val="0"/>
      <w:marRight w:val="0"/>
      <w:marTop w:val="180"/>
      <w:marBottom w:val="0"/>
      <w:divBdr>
        <w:top w:val="none" w:sz="0" w:space="0" w:color="auto"/>
        <w:left w:val="none" w:sz="0" w:space="0" w:color="auto"/>
        <w:bottom w:val="none" w:sz="0" w:space="0" w:color="auto"/>
        <w:right w:val="none" w:sz="0" w:space="0" w:color="auto"/>
      </w:divBdr>
    </w:div>
    <w:div w:id="1304045297">
      <w:marLeft w:val="0"/>
      <w:marRight w:val="0"/>
      <w:marTop w:val="180"/>
      <w:marBottom w:val="0"/>
      <w:divBdr>
        <w:top w:val="none" w:sz="0" w:space="0" w:color="auto"/>
        <w:left w:val="none" w:sz="0" w:space="0" w:color="auto"/>
        <w:bottom w:val="none" w:sz="0" w:space="0" w:color="auto"/>
        <w:right w:val="none" w:sz="0" w:space="0" w:color="auto"/>
      </w:divBdr>
    </w:div>
    <w:div w:id="1304116240">
      <w:marLeft w:val="0"/>
      <w:marRight w:val="0"/>
      <w:marTop w:val="60"/>
      <w:marBottom w:val="120"/>
      <w:divBdr>
        <w:top w:val="none" w:sz="0" w:space="0" w:color="auto"/>
        <w:left w:val="none" w:sz="0" w:space="0" w:color="auto"/>
        <w:bottom w:val="none" w:sz="0" w:space="0" w:color="auto"/>
        <w:right w:val="none" w:sz="0" w:space="0" w:color="auto"/>
      </w:divBdr>
      <w:divsChild>
        <w:div w:id="855189366">
          <w:marLeft w:val="0"/>
          <w:marRight w:val="0"/>
          <w:marTop w:val="0"/>
          <w:marBottom w:val="0"/>
          <w:divBdr>
            <w:top w:val="none" w:sz="0" w:space="0" w:color="auto"/>
            <w:left w:val="none" w:sz="0" w:space="0" w:color="auto"/>
            <w:bottom w:val="none" w:sz="0" w:space="0" w:color="auto"/>
            <w:right w:val="none" w:sz="0" w:space="0" w:color="auto"/>
          </w:divBdr>
        </w:div>
        <w:div w:id="1815756777">
          <w:marLeft w:val="0"/>
          <w:marRight w:val="0"/>
          <w:marTop w:val="0"/>
          <w:marBottom w:val="0"/>
          <w:divBdr>
            <w:top w:val="none" w:sz="0" w:space="0" w:color="auto"/>
            <w:left w:val="none" w:sz="0" w:space="0" w:color="auto"/>
            <w:bottom w:val="none" w:sz="0" w:space="0" w:color="auto"/>
            <w:right w:val="none" w:sz="0" w:space="0" w:color="auto"/>
          </w:divBdr>
        </w:div>
        <w:div w:id="1558514731">
          <w:marLeft w:val="0"/>
          <w:marRight w:val="0"/>
          <w:marTop w:val="0"/>
          <w:marBottom w:val="0"/>
          <w:divBdr>
            <w:top w:val="none" w:sz="0" w:space="0" w:color="auto"/>
            <w:left w:val="none" w:sz="0" w:space="0" w:color="auto"/>
            <w:bottom w:val="none" w:sz="0" w:space="0" w:color="auto"/>
            <w:right w:val="none" w:sz="0" w:space="0" w:color="auto"/>
          </w:divBdr>
        </w:div>
        <w:div w:id="1439761625">
          <w:marLeft w:val="0"/>
          <w:marRight w:val="0"/>
          <w:marTop w:val="0"/>
          <w:marBottom w:val="0"/>
          <w:divBdr>
            <w:top w:val="none" w:sz="0" w:space="0" w:color="auto"/>
            <w:left w:val="none" w:sz="0" w:space="0" w:color="auto"/>
            <w:bottom w:val="none" w:sz="0" w:space="0" w:color="auto"/>
            <w:right w:val="none" w:sz="0" w:space="0" w:color="auto"/>
          </w:divBdr>
        </w:div>
      </w:divsChild>
    </w:div>
    <w:div w:id="1306087964">
      <w:marLeft w:val="0"/>
      <w:marRight w:val="0"/>
      <w:marTop w:val="0"/>
      <w:marBottom w:val="0"/>
      <w:divBdr>
        <w:top w:val="none" w:sz="0" w:space="0" w:color="auto"/>
        <w:left w:val="none" w:sz="0" w:space="0" w:color="auto"/>
        <w:bottom w:val="none" w:sz="0" w:space="0" w:color="auto"/>
        <w:right w:val="none" w:sz="0" w:space="0" w:color="auto"/>
      </w:divBdr>
      <w:divsChild>
        <w:div w:id="555973042">
          <w:marLeft w:val="0"/>
          <w:marRight w:val="0"/>
          <w:marTop w:val="0"/>
          <w:marBottom w:val="0"/>
          <w:divBdr>
            <w:top w:val="none" w:sz="0" w:space="0" w:color="auto"/>
            <w:left w:val="none" w:sz="0" w:space="0" w:color="auto"/>
            <w:bottom w:val="none" w:sz="0" w:space="0" w:color="auto"/>
            <w:right w:val="none" w:sz="0" w:space="0" w:color="auto"/>
          </w:divBdr>
        </w:div>
      </w:divsChild>
    </w:div>
    <w:div w:id="1310868787">
      <w:marLeft w:val="0"/>
      <w:marRight w:val="0"/>
      <w:marTop w:val="0"/>
      <w:marBottom w:val="200"/>
      <w:divBdr>
        <w:top w:val="none" w:sz="0" w:space="0" w:color="auto"/>
        <w:left w:val="none" w:sz="0" w:space="0" w:color="auto"/>
        <w:bottom w:val="none" w:sz="0" w:space="0" w:color="auto"/>
        <w:right w:val="none" w:sz="0" w:space="0" w:color="auto"/>
      </w:divBdr>
    </w:div>
    <w:div w:id="1311442713">
      <w:marLeft w:val="0"/>
      <w:marRight w:val="0"/>
      <w:marTop w:val="180"/>
      <w:marBottom w:val="0"/>
      <w:divBdr>
        <w:top w:val="none" w:sz="0" w:space="0" w:color="auto"/>
        <w:left w:val="none" w:sz="0" w:space="0" w:color="auto"/>
        <w:bottom w:val="none" w:sz="0" w:space="0" w:color="auto"/>
        <w:right w:val="none" w:sz="0" w:space="0" w:color="auto"/>
      </w:divBdr>
    </w:div>
    <w:div w:id="1313026835">
      <w:marLeft w:val="0"/>
      <w:marRight w:val="0"/>
      <w:marTop w:val="120"/>
      <w:marBottom w:val="0"/>
      <w:divBdr>
        <w:top w:val="none" w:sz="0" w:space="0" w:color="auto"/>
        <w:left w:val="none" w:sz="0" w:space="0" w:color="auto"/>
        <w:bottom w:val="none" w:sz="0" w:space="0" w:color="auto"/>
        <w:right w:val="none" w:sz="0" w:space="0" w:color="auto"/>
      </w:divBdr>
    </w:div>
    <w:div w:id="1313371594">
      <w:marLeft w:val="0"/>
      <w:marRight w:val="0"/>
      <w:marTop w:val="0"/>
      <w:marBottom w:val="0"/>
      <w:divBdr>
        <w:top w:val="none" w:sz="0" w:space="0" w:color="auto"/>
        <w:left w:val="none" w:sz="0" w:space="0" w:color="auto"/>
        <w:bottom w:val="none" w:sz="0" w:space="0" w:color="auto"/>
        <w:right w:val="none" w:sz="0" w:space="0" w:color="auto"/>
      </w:divBdr>
    </w:div>
    <w:div w:id="1313950049">
      <w:marLeft w:val="0"/>
      <w:marRight w:val="0"/>
      <w:marTop w:val="180"/>
      <w:marBottom w:val="0"/>
      <w:divBdr>
        <w:top w:val="none" w:sz="0" w:space="0" w:color="auto"/>
        <w:left w:val="none" w:sz="0" w:space="0" w:color="auto"/>
        <w:bottom w:val="none" w:sz="0" w:space="0" w:color="auto"/>
        <w:right w:val="none" w:sz="0" w:space="0" w:color="auto"/>
      </w:divBdr>
    </w:div>
    <w:div w:id="1315795829">
      <w:marLeft w:val="0"/>
      <w:marRight w:val="0"/>
      <w:marTop w:val="180"/>
      <w:marBottom w:val="0"/>
      <w:divBdr>
        <w:top w:val="none" w:sz="0" w:space="0" w:color="auto"/>
        <w:left w:val="none" w:sz="0" w:space="0" w:color="auto"/>
        <w:bottom w:val="none" w:sz="0" w:space="0" w:color="auto"/>
        <w:right w:val="none" w:sz="0" w:space="0" w:color="auto"/>
      </w:divBdr>
    </w:div>
    <w:div w:id="1318535177">
      <w:marLeft w:val="0"/>
      <w:marRight w:val="0"/>
      <w:marTop w:val="180"/>
      <w:marBottom w:val="0"/>
      <w:divBdr>
        <w:top w:val="none" w:sz="0" w:space="0" w:color="auto"/>
        <w:left w:val="none" w:sz="0" w:space="0" w:color="auto"/>
        <w:bottom w:val="none" w:sz="0" w:space="0" w:color="auto"/>
        <w:right w:val="none" w:sz="0" w:space="0" w:color="auto"/>
      </w:divBdr>
    </w:div>
    <w:div w:id="1322193550">
      <w:marLeft w:val="0"/>
      <w:marRight w:val="0"/>
      <w:marTop w:val="180"/>
      <w:marBottom w:val="0"/>
      <w:divBdr>
        <w:top w:val="none" w:sz="0" w:space="0" w:color="auto"/>
        <w:left w:val="none" w:sz="0" w:space="0" w:color="auto"/>
        <w:bottom w:val="none" w:sz="0" w:space="0" w:color="auto"/>
        <w:right w:val="none" w:sz="0" w:space="0" w:color="auto"/>
      </w:divBdr>
    </w:div>
    <w:div w:id="1322656486">
      <w:marLeft w:val="0"/>
      <w:marRight w:val="0"/>
      <w:marTop w:val="180"/>
      <w:marBottom w:val="120"/>
      <w:divBdr>
        <w:top w:val="none" w:sz="0" w:space="0" w:color="auto"/>
        <w:left w:val="none" w:sz="0" w:space="0" w:color="auto"/>
        <w:bottom w:val="none" w:sz="0" w:space="0" w:color="auto"/>
        <w:right w:val="none" w:sz="0" w:space="0" w:color="auto"/>
      </w:divBdr>
    </w:div>
    <w:div w:id="1323581351">
      <w:marLeft w:val="0"/>
      <w:marRight w:val="0"/>
      <w:marTop w:val="180"/>
      <w:marBottom w:val="0"/>
      <w:divBdr>
        <w:top w:val="none" w:sz="0" w:space="0" w:color="auto"/>
        <w:left w:val="none" w:sz="0" w:space="0" w:color="auto"/>
        <w:bottom w:val="none" w:sz="0" w:space="0" w:color="auto"/>
        <w:right w:val="none" w:sz="0" w:space="0" w:color="auto"/>
      </w:divBdr>
    </w:div>
    <w:div w:id="1325889913">
      <w:marLeft w:val="0"/>
      <w:marRight w:val="0"/>
      <w:marTop w:val="180"/>
      <w:marBottom w:val="0"/>
      <w:divBdr>
        <w:top w:val="none" w:sz="0" w:space="0" w:color="auto"/>
        <w:left w:val="none" w:sz="0" w:space="0" w:color="auto"/>
        <w:bottom w:val="none" w:sz="0" w:space="0" w:color="auto"/>
        <w:right w:val="none" w:sz="0" w:space="0" w:color="auto"/>
      </w:divBdr>
    </w:div>
    <w:div w:id="1326201112">
      <w:marLeft w:val="0"/>
      <w:marRight w:val="0"/>
      <w:marTop w:val="180"/>
      <w:marBottom w:val="0"/>
      <w:divBdr>
        <w:top w:val="none" w:sz="0" w:space="0" w:color="auto"/>
        <w:left w:val="none" w:sz="0" w:space="0" w:color="auto"/>
        <w:bottom w:val="none" w:sz="0" w:space="0" w:color="auto"/>
        <w:right w:val="none" w:sz="0" w:space="0" w:color="auto"/>
      </w:divBdr>
    </w:div>
    <w:div w:id="1328361032">
      <w:marLeft w:val="0"/>
      <w:marRight w:val="0"/>
      <w:marTop w:val="180"/>
      <w:marBottom w:val="0"/>
      <w:divBdr>
        <w:top w:val="none" w:sz="0" w:space="0" w:color="auto"/>
        <w:left w:val="none" w:sz="0" w:space="0" w:color="auto"/>
        <w:bottom w:val="none" w:sz="0" w:space="0" w:color="auto"/>
        <w:right w:val="none" w:sz="0" w:space="0" w:color="auto"/>
      </w:divBdr>
    </w:div>
    <w:div w:id="1329409044">
      <w:marLeft w:val="0"/>
      <w:marRight w:val="0"/>
      <w:marTop w:val="0"/>
      <w:marBottom w:val="0"/>
      <w:divBdr>
        <w:top w:val="none" w:sz="0" w:space="0" w:color="auto"/>
        <w:left w:val="none" w:sz="0" w:space="0" w:color="auto"/>
        <w:bottom w:val="none" w:sz="0" w:space="0" w:color="auto"/>
        <w:right w:val="none" w:sz="0" w:space="0" w:color="auto"/>
      </w:divBdr>
      <w:divsChild>
        <w:div w:id="1296526559">
          <w:marLeft w:val="0"/>
          <w:marRight w:val="0"/>
          <w:marTop w:val="180"/>
          <w:marBottom w:val="0"/>
          <w:divBdr>
            <w:top w:val="none" w:sz="0" w:space="0" w:color="auto"/>
            <w:left w:val="none" w:sz="0" w:space="0" w:color="auto"/>
            <w:bottom w:val="none" w:sz="0" w:space="0" w:color="auto"/>
            <w:right w:val="none" w:sz="0" w:space="0" w:color="auto"/>
          </w:divBdr>
        </w:div>
      </w:divsChild>
    </w:div>
    <w:div w:id="1330866216">
      <w:marLeft w:val="0"/>
      <w:marRight w:val="0"/>
      <w:marTop w:val="180"/>
      <w:marBottom w:val="0"/>
      <w:divBdr>
        <w:top w:val="none" w:sz="0" w:space="0" w:color="auto"/>
        <w:left w:val="none" w:sz="0" w:space="0" w:color="auto"/>
        <w:bottom w:val="none" w:sz="0" w:space="0" w:color="auto"/>
        <w:right w:val="none" w:sz="0" w:space="0" w:color="auto"/>
      </w:divBdr>
    </w:div>
    <w:div w:id="1332833751">
      <w:marLeft w:val="0"/>
      <w:marRight w:val="0"/>
      <w:marTop w:val="240"/>
      <w:marBottom w:val="0"/>
      <w:divBdr>
        <w:top w:val="none" w:sz="0" w:space="0" w:color="auto"/>
        <w:left w:val="none" w:sz="0" w:space="0" w:color="auto"/>
        <w:bottom w:val="none" w:sz="0" w:space="0" w:color="auto"/>
        <w:right w:val="none" w:sz="0" w:space="0" w:color="auto"/>
      </w:divBdr>
    </w:div>
    <w:div w:id="1333068918">
      <w:marLeft w:val="0"/>
      <w:marRight w:val="0"/>
      <w:marTop w:val="180"/>
      <w:marBottom w:val="120"/>
      <w:divBdr>
        <w:top w:val="none" w:sz="0" w:space="0" w:color="auto"/>
        <w:left w:val="none" w:sz="0" w:space="0" w:color="auto"/>
        <w:bottom w:val="none" w:sz="0" w:space="0" w:color="auto"/>
        <w:right w:val="none" w:sz="0" w:space="0" w:color="auto"/>
      </w:divBdr>
    </w:div>
    <w:div w:id="1337878132">
      <w:marLeft w:val="0"/>
      <w:marRight w:val="0"/>
      <w:marTop w:val="160"/>
      <w:marBottom w:val="0"/>
      <w:divBdr>
        <w:top w:val="none" w:sz="0" w:space="0" w:color="auto"/>
        <w:left w:val="none" w:sz="0" w:space="0" w:color="auto"/>
        <w:bottom w:val="none" w:sz="0" w:space="0" w:color="auto"/>
        <w:right w:val="none" w:sz="0" w:space="0" w:color="auto"/>
      </w:divBdr>
    </w:div>
    <w:div w:id="1338772514">
      <w:marLeft w:val="0"/>
      <w:marRight w:val="0"/>
      <w:marTop w:val="0"/>
      <w:marBottom w:val="0"/>
      <w:divBdr>
        <w:top w:val="none" w:sz="0" w:space="0" w:color="auto"/>
        <w:left w:val="none" w:sz="0" w:space="0" w:color="auto"/>
        <w:bottom w:val="none" w:sz="0" w:space="0" w:color="auto"/>
        <w:right w:val="none" w:sz="0" w:space="0" w:color="auto"/>
      </w:divBdr>
      <w:divsChild>
        <w:div w:id="122499728">
          <w:marLeft w:val="0"/>
          <w:marRight w:val="0"/>
          <w:marTop w:val="0"/>
          <w:marBottom w:val="0"/>
          <w:divBdr>
            <w:top w:val="none" w:sz="0" w:space="0" w:color="auto"/>
            <w:left w:val="none" w:sz="0" w:space="0" w:color="auto"/>
            <w:bottom w:val="none" w:sz="0" w:space="0" w:color="auto"/>
            <w:right w:val="none" w:sz="0" w:space="0" w:color="auto"/>
          </w:divBdr>
          <w:divsChild>
            <w:div w:id="9962245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40426369">
      <w:marLeft w:val="0"/>
      <w:marRight w:val="0"/>
      <w:marTop w:val="180"/>
      <w:marBottom w:val="120"/>
      <w:divBdr>
        <w:top w:val="none" w:sz="0" w:space="0" w:color="auto"/>
        <w:left w:val="none" w:sz="0" w:space="0" w:color="auto"/>
        <w:bottom w:val="none" w:sz="0" w:space="0" w:color="auto"/>
        <w:right w:val="none" w:sz="0" w:space="0" w:color="auto"/>
      </w:divBdr>
      <w:divsChild>
        <w:div w:id="1493255763">
          <w:marLeft w:val="0"/>
          <w:marRight w:val="0"/>
          <w:marTop w:val="120"/>
          <w:marBottom w:val="120"/>
          <w:divBdr>
            <w:top w:val="none" w:sz="0" w:space="0" w:color="auto"/>
            <w:left w:val="none" w:sz="0" w:space="0" w:color="auto"/>
            <w:bottom w:val="none" w:sz="0" w:space="0" w:color="auto"/>
            <w:right w:val="none" w:sz="0" w:space="0" w:color="auto"/>
          </w:divBdr>
        </w:div>
        <w:div w:id="139932167">
          <w:marLeft w:val="0"/>
          <w:marRight w:val="0"/>
          <w:marTop w:val="120"/>
          <w:marBottom w:val="120"/>
          <w:divBdr>
            <w:top w:val="none" w:sz="0" w:space="0" w:color="auto"/>
            <w:left w:val="none" w:sz="0" w:space="0" w:color="auto"/>
            <w:bottom w:val="none" w:sz="0" w:space="0" w:color="auto"/>
            <w:right w:val="none" w:sz="0" w:space="0" w:color="auto"/>
          </w:divBdr>
        </w:div>
        <w:div w:id="1497376216">
          <w:marLeft w:val="0"/>
          <w:marRight w:val="0"/>
          <w:marTop w:val="120"/>
          <w:marBottom w:val="120"/>
          <w:divBdr>
            <w:top w:val="none" w:sz="0" w:space="0" w:color="auto"/>
            <w:left w:val="none" w:sz="0" w:space="0" w:color="auto"/>
            <w:bottom w:val="none" w:sz="0" w:space="0" w:color="auto"/>
            <w:right w:val="none" w:sz="0" w:space="0" w:color="auto"/>
          </w:divBdr>
        </w:div>
        <w:div w:id="1489705657">
          <w:marLeft w:val="0"/>
          <w:marRight w:val="0"/>
          <w:marTop w:val="120"/>
          <w:marBottom w:val="120"/>
          <w:divBdr>
            <w:top w:val="none" w:sz="0" w:space="0" w:color="auto"/>
            <w:left w:val="none" w:sz="0" w:space="0" w:color="auto"/>
            <w:bottom w:val="none" w:sz="0" w:space="0" w:color="auto"/>
            <w:right w:val="none" w:sz="0" w:space="0" w:color="auto"/>
          </w:divBdr>
        </w:div>
        <w:div w:id="1129281518">
          <w:marLeft w:val="0"/>
          <w:marRight w:val="0"/>
          <w:marTop w:val="120"/>
          <w:marBottom w:val="120"/>
          <w:divBdr>
            <w:top w:val="none" w:sz="0" w:space="0" w:color="auto"/>
            <w:left w:val="none" w:sz="0" w:space="0" w:color="auto"/>
            <w:bottom w:val="none" w:sz="0" w:space="0" w:color="auto"/>
            <w:right w:val="none" w:sz="0" w:space="0" w:color="auto"/>
          </w:divBdr>
        </w:div>
      </w:divsChild>
    </w:div>
    <w:div w:id="1340549697">
      <w:marLeft w:val="0"/>
      <w:marRight w:val="0"/>
      <w:marTop w:val="180"/>
      <w:marBottom w:val="0"/>
      <w:divBdr>
        <w:top w:val="none" w:sz="0" w:space="0" w:color="auto"/>
        <w:left w:val="none" w:sz="0" w:space="0" w:color="auto"/>
        <w:bottom w:val="none" w:sz="0" w:space="0" w:color="auto"/>
        <w:right w:val="none" w:sz="0" w:space="0" w:color="auto"/>
      </w:divBdr>
    </w:div>
    <w:div w:id="1347711626">
      <w:marLeft w:val="0"/>
      <w:marRight w:val="0"/>
      <w:marTop w:val="60"/>
      <w:marBottom w:val="240"/>
      <w:divBdr>
        <w:top w:val="none" w:sz="0" w:space="0" w:color="auto"/>
        <w:left w:val="none" w:sz="0" w:space="0" w:color="auto"/>
        <w:bottom w:val="none" w:sz="0" w:space="0" w:color="auto"/>
        <w:right w:val="none" w:sz="0" w:space="0" w:color="auto"/>
      </w:divBdr>
    </w:div>
    <w:div w:id="1348217237">
      <w:marLeft w:val="0"/>
      <w:marRight w:val="0"/>
      <w:marTop w:val="180"/>
      <w:marBottom w:val="0"/>
      <w:divBdr>
        <w:top w:val="none" w:sz="0" w:space="0" w:color="auto"/>
        <w:left w:val="none" w:sz="0" w:space="0" w:color="auto"/>
        <w:bottom w:val="none" w:sz="0" w:space="0" w:color="auto"/>
        <w:right w:val="none" w:sz="0" w:space="0" w:color="auto"/>
      </w:divBdr>
    </w:div>
    <w:div w:id="1349064646">
      <w:marLeft w:val="0"/>
      <w:marRight w:val="0"/>
      <w:marTop w:val="120"/>
      <w:marBottom w:val="0"/>
      <w:divBdr>
        <w:top w:val="none" w:sz="0" w:space="0" w:color="auto"/>
        <w:left w:val="none" w:sz="0" w:space="0" w:color="auto"/>
        <w:bottom w:val="none" w:sz="0" w:space="0" w:color="auto"/>
        <w:right w:val="none" w:sz="0" w:space="0" w:color="auto"/>
      </w:divBdr>
    </w:div>
    <w:div w:id="1350713263">
      <w:marLeft w:val="0"/>
      <w:marRight w:val="0"/>
      <w:marTop w:val="240"/>
      <w:marBottom w:val="0"/>
      <w:divBdr>
        <w:top w:val="none" w:sz="0" w:space="0" w:color="auto"/>
        <w:left w:val="none" w:sz="0" w:space="0" w:color="auto"/>
        <w:bottom w:val="none" w:sz="0" w:space="0" w:color="auto"/>
        <w:right w:val="none" w:sz="0" w:space="0" w:color="auto"/>
      </w:divBdr>
    </w:div>
    <w:div w:id="1350914330">
      <w:marLeft w:val="0"/>
      <w:marRight w:val="0"/>
      <w:marTop w:val="180"/>
      <w:marBottom w:val="0"/>
      <w:divBdr>
        <w:top w:val="none" w:sz="0" w:space="0" w:color="auto"/>
        <w:left w:val="none" w:sz="0" w:space="0" w:color="auto"/>
        <w:bottom w:val="none" w:sz="0" w:space="0" w:color="auto"/>
        <w:right w:val="none" w:sz="0" w:space="0" w:color="auto"/>
      </w:divBdr>
    </w:div>
    <w:div w:id="1352029583">
      <w:marLeft w:val="0"/>
      <w:marRight w:val="0"/>
      <w:marTop w:val="0"/>
      <w:marBottom w:val="0"/>
      <w:divBdr>
        <w:top w:val="none" w:sz="0" w:space="0" w:color="auto"/>
        <w:left w:val="none" w:sz="0" w:space="0" w:color="auto"/>
        <w:bottom w:val="none" w:sz="0" w:space="0" w:color="auto"/>
        <w:right w:val="none" w:sz="0" w:space="0" w:color="auto"/>
      </w:divBdr>
      <w:divsChild>
        <w:div w:id="122160998">
          <w:marLeft w:val="0"/>
          <w:marRight w:val="0"/>
          <w:marTop w:val="180"/>
          <w:marBottom w:val="0"/>
          <w:divBdr>
            <w:top w:val="none" w:sz="0" w:space="0" w:color="auto"/>
            <w:left w:val="none" w:sz="0" w:space="0" w:color="auto"/>
            <w:bottom w:val="none" w:sz="0" w:space="0" w:color="auto"/>
            <w:right w:val="none" w:sz="0" w:space="0" w:color="auto"/>
          </w:divBdr>
        </w:div>
      </w:divsChild>
    </w:div>
    <w:div w:id="1358509114">
      <w:marLeft w:val="0"/>
      <w:marRight w:val="0"/>
      <w:marTop w:val="180"/>
      <w:marBottom w:val="0"/>
      <w:divBdr>
        <w:top w:val="none" w:sz="0" w:space="0" w:color="auto"/>
        <w:left w:val="none" w:sz="0" w:space="0" w:color="auto"/>
        <w:bottom w:val="none" w:sz="0" w:space="0" w:color="auto"/>
        <w:right w:val="none" w:sz="0" w:space="0" w:color="auto"/>
      </w:divBdr>
    </w:div>
    <w:div w:id="1359433430">
      <w:marLeft w:val="0"/>
      <w:marRight w:val="0"/>
      <w:marTop w:val="180"/>
      <w:marBottom w:val="0"/>
      <w:divBdr>
        <w:top w:val="none" w:sz="0" w:space="0" w:color="auto"/>
        <w:left w:val="none" w:sz="0" w:space="0" w:color="auto"/>
        <w:bottom w:val="none" w:sz="0" w:space="0" w:color="auto"/>
        <w:right w:val="none" w:sz="0" w:space="0" w:color="auto"/>
      </w:divBdr>
    </w:div>
    <w:div w:id="1369137775">
      <w:marLeft w:val="0"/>
      <w:marRight w:val="0"/>
      <w:marTop w:val="0"/>
      <w:marBottom w:val="0"/>
      <w:divBdr>
        <w:top w:val="none" w:sz="0" w:space="0" w:color="auto"/>
        <w:left w:val="none" w:sz="0" w:space="0" w:color="auto"/>
        <w:bottom w:val="none" w:sz="0" w:space="0" w:color="auto"/>
        <w:right w:val="none" w:sz="0" w:space="0" w:color="auto"/>
      </w:divBdr>
      <w:divsChild>
        <w:div w:id="96873584">
          <w:marLeft w:val="0"/>
          <w:marRight w:val="0"/>
          <w:marTop w:val="0"/>
          <w:marBottom w:val="0"/>
          <w:divBdr>
            <w:top w:val="none" w:sz="0" w:space="0" w:color="auto"/>
            <w:left w:val="none" w:sz="0" w:space="0" w:color="auto"/>
            <w:bottom w:val="none" w:sz="0" w:space="0" w:color="auto"/>
            <w:right w:val="none" w:sz="0" w:space="0" w:color="auto"/>
          </w:divBdr>
        </w:div>
      </w:divsChild>
    </w:div>
    <w:div w:id="1369331045">
      <w:marLeft w:val="0"/>
      <w:marRight w:val="0"/>
      <w:marTop w:val="180"/>
      <w:marBottom w:val="0"/>
      <w:divBdr>
        <w:top w:val="none" w:sz="0" w:space="0" w:color="auto"/>
        <w:left w:val="none" w:sz="0" w:space="0" w:color="auto"/>
        <w:bottom w:val="none" w:sz="0" w:space="0" w:color="auto"/>
        <w:right w:val="none" w:sz="0" w:space="0" w:color="auto"/>
      </w:divBdr>
    </w:div>
    <w:div w:id="1370883146">
      <w:marLeft w:val="0"/>
      <w:marRight w:val="0"/>
      <w:marTop w:val="180"/>
      <w:marBottom w:val="0"/>
      <w:divBdr>
        <w:top w:val="none" w:sz="0" w:space="0" w:color="auto"/>
        <w:left w:val="none" w:sz="0" w:space="0" w:color="auto"/>
        <w:bottom w:val="none" w:sz="0" w:space="0" w:color="auto"/>
        <w:right w:val="none" w:sz="0" w:space="0" w:color="auto"/>
      </w:divBdr>
    </w:div>
    <w:div w:id="1371610714">
      <w:marLeft w:val="0"/>
      <w:marRight w:val="0"/>
      <w:marTop w:val="180"/>
      <w:marBottom w:val="0"/>
      <w:divBdr>
        <w:top w:val="none" w:sz="0" w:space="0" w:color="auto"/>
        <w:left w:val="none" w:sz="0" w:space="0" w:color="auto"/>
        <w:bottom w:val="none" w:sz="0" w:space="0" w:color="auto"/>
        <w:right w:val="none" w:sz="0" w:space="0" w:color="auto"/>
      </w:divBdr>
    </w:div>
    <w:div w:id="1372728822">
      <w:marLeft w:val="0"/>
      <w:marRight w:val="0"/>
      <w:marTop w:val="180"/>
      <w:marBottom w:val="0"/>
      <w:divBdr>
        <w:top w:val="none" w:sz="0" w:space="0" w:color="auto"/>
        <w:left w:val="none" w:sz="0" w:space="0" w:color="auto"/>
        <w:bottom w:val="none" w:sz="0" w:space="0" w:color="auto"/>
        <w:right w:val="none" w:sz="0" w:space="0" w:color="auto"/>
      </w:divBdr>
    </w:div>
    <w:div w:id="1373653395">
      <w:marLeft w:val="0"/>
      <w:marRight w:val="0"/>
      <w:marTop w:val="180"/>
      <w:marBottom w:val="0"/>
      <w:divBdr>
        <w:top w:val="none" w:sz="0" w:space="0" w:color="auto"/>
        <w:left w:val="none" w:sz="0" w:space="0" w:color="auto"/>
        <w:bottom w:val="none" w:sz="0" w:space="0" w:color="auto"/>
        <w:right w:val="none" w:sz="0" w:space="0" w:color="auto"/>
      </w:divBdr>
    </w:div>
    <w:div w:id="1376468931">
      <w:marLeft w:val="0"/>
      <w:marRight w:val="0"/>
      <w:marTop w:val="0"/>
      <w:marBottom w:val="0"/>
      <w:divBdr>
        <w:top w:val="none" w:sz="0" w:space="0" w:color="auto"/>
        <w:left w:val="none" w:sz="0" w:space="0" w:color="auto"/>
        <w:bottom w:val="none" w:sz="0" w:space="0" w:color="auto"/>
        <w:right w:val="none" w:sz="0" w:space="0" w:color="auto"/>
      </w:divBdr>
      <w:divsChild>
        <w:div w:id="1784183245">
          <w:marLeft w:val="0"/>
          <w:marRight w:val="0"/>
          <w:marTop w:val="0"/>
          <w:marBottom w:val="0"/>
          <w:divBdr>
            <w:top w:val="none" w:sz="0" w:space="0" w:color="auto"/>
            <w:left w:val="none" w:sz="0" w:space="0" w:color="auto"/>
            <w:bottom w:val="none" w:sz="0" w:space="0" w:color="auto"/>
            <w:right w:val="none" w:sz="0" w:space="0" w:color="auto"/>
          </w:divBdr>
        </w:div>
      </w:divsChild>
    </w:div>
    <w:div w:id="1378117280">
      <w:marLeft w:val="0"/>
      <w:marRight w:val="0"/>
      <w:marTop w:val="180"/>
      <w:marBottom w:val="0"/>
      <w:divBdr>
        <w:top w:val="none" w:sz="0" w:space="0" w:color="auto"/>
        <w:left w:val="none" w:sz="0" w:space="0" w:color="auto"/>
        <w:bottom w:val="none" w:sz="0" w:space="0" w:color="auto"/>
        <w:right w:val="none" w:sz="0" w:space="0" w:color="auto"/>
      </w:divBdr>
    </w:div>
    <w:div w:id="1379355092">
      <w:marLeft w:val="0"/>
      <w:marRight w:val="0"/>
      <w:marTop w:val="180"/>
      <w:marBottom w:val="0"/>
      <w:divBdr>
        <w:top w:val="none" w:sz="0" w:space="0" w:color="auto"/>
        <w:left w:val="none" w:sz="0" w:space="0" w:color="auto"/>
        <w:bottom w:val="none" w:sz="0" w:space="0" w:color="auto"/>
        <w:right w:val="none" w:sz="0" w:space="0" w:color="auto"/>
      </w:divBdr>
    </w:div>
    <w:div w:id="1380472833">
      <w:marLeft w:val="0"/>
      <w:marRight w:val="0"/>
      <w:marTop w:val="180"/>
      <w:marBottom w:val="0"/>
      <w:divBdr>
        <w:top w:val="none" w:sz="0" w:space="0" w:color="auto"/>
        <w:left w:val="none" w:sz="0" w:space="0" w:color="auto"/>
        <w:bottom w:val="none" w:sz="0" w:space="0" w:color="auto"/>
        <w:right w:val="none" w:sz="0" w:space="0" w:color="auto"/>
      </w:divBdr>
    </w:div>
    <w:div w:id="1381241995">
      <w:marLeft w:val="0"/>
      <w:marRight w:val="0"/>
      <w:marTop w:val="0"/>
      <w:marBottom w:val="0"/>
      <w:divBdr>
        <w:top w:val="none" w:sz="0" w:space="0" w:color="auto"/>
        <w:left w:val="none" w:sz="0" w:space="0" w:color="auto"/>
        <w:bottom w:val="none" w:sz="0" w:space="0" w:color="auto"/>
        <w:right w:val="none" w:sz="0" w:space="0" w:color="auto"/>
      </w:divBdr>
      <w:divsChild>
        <w:div w:id="553390747">
          <w:marLeft w:val="0"/>
          <w:marRight w:val="0"/>
          <w:marTop w:val="180"/>
          <w:marBottom w:val="0"/>
          <w:divBdr>
            <w:top w:val="none" w:sz="0" w:space="0" w:color="auto"/>
            <w:left w:val="none" w:sz="0" w:space="0" w:color="auto"/>
            <w:bottom w:val="none" w:sz="0" w:space="0" w:color="auto"/>
            <w:right w:val="none" w:sz="0" w:space="0" w:color="auto"/>
          </w:divBdr>
        </w:div>
      </w:divsChild>
    </w:div>
    <w:div w:id="1381249845">
      <w:marLeft w:val="0"/>
      <w:marRight w:val="0"/>
      <w:marTop w:val="180"/>
      <w:marBottom w:val="0"/>
      <w:divBdr>
        <w:top w:val="none" w:sz="0" w:space="0" w:color="auto"/>
        <w:left w:val="none" w:sz="0" w:space="0" w:color="auto"/>
        <w:bottom w:val="none" w:sz="0" w:space="0" w:color="auto"/>
        <w:right w:val="none" w:sz="0" w:space="0" w:color="auto"/>
      </w:divBdr>
    </w:div>
    <w:div w:id="1381662503">
      <w:marLeft w:val="0"/>
      <w:marRight w:val="0"/>
      <w:marTop w:val="180"/>
      <w:marBottom w:val="0"/>
      <w:divBdr>
        <w:top w:val="none" w:sz="0" w:space="0" w:color="auto"/>
        <w:left w:val="none" w:sz="0" w:space="0" w:color="auto"/>
        <w:bottom w:val="none" w:sz="0" w:space="0" w:color="auto"/>
        <w:right w:val="none" w:sz="0" w:space="0" w:color="auto"/>
      </w:divBdr>
    </w:div>
    <w:div w:id="1386218046">
      <w:marLeft w:val="0"/>
      <w:marRight w:val="0"/>
      <w:marTop w:val="120"/>
      <w:marBottom w:val="0"/>
      <w:divBdr>
        <w:top w:val="none" w:sz="0" w:space="0" w:color="auto"/>
        <w:left w:val="none" w:sz="0" w:space="0" w:color="auto"/>
        <w:bottom w:val="none" w:sz="0" w:space="0" w:color="auto"/>
        <w:right w:val="none" w:sz="0" w:space="0" w:color="auto"/>
      </w:divBdr>
    </w:div>
    <w:div w:id="1388643393">
      <w:marLeft w:val="0"/>
      <w:marRight w:val="0"/>
      <w:marTop w:val="180"/>
      <w:marBottom w:val="0"/>
      <w:divBdr>
        <w:top w:val="none" w:sz="0" w:space="0" w:color="auto"/>
        <w:left w:val="none" w:sz="0" w:space="0" w:color="auto"/>
        <w:bottom w:val="none" w:sz="0" w:space="0" w:color="auto"/>
        <w:right w:val="none" w:sz="0" w:space="0" w:color="auto"/>
      </w:divBdr>
    </w:div>
    <w:div w:id="1390961673">
      <w:marLeft w:val="0"/>
      <w:marRight w:val="0"/>
      <w:marTop w:val="0"/>
      <w:marBottom w:val="0"/>
      <w:divBdr>
        <w:top w:val="none" w:sz="0" w:space="0" w:color="auto"/>
        <w:left w:val="none" w:sz="0" w:space="0" w:color="auto"/>
        <w:bottom w:val="none" w:sz="0" w:space="0" w:color="auto"/>
        <w:right w:val="none" w:sz="0" w:space="0" w:color="auto"/>
      </w:divBdr>
      <w:divsChild>
        <w:div w:id="425346165">
          <w:marLeft w:val="0"/>
          <w:marRight w:val="0"/>
          <w:marTop w:val="180"/>
          <w:marBottom w:val="0"/>
          <w:divBdr>
            <w:top w:val="none" w:sz="0" w:space="0" w:color="auto"/>
            <w:left w:val="none" w:sz="0" w:space="0" w:color="auto"/>
            <w:bottom w:val="none" w:sz="0" w:space="0" w:color="auto"/>
            <w:right w:val="none" w:sz="0" w:space="0" w:color="auto"/>
          </w:divBdr>
        </w:div>
      </w:divsChild>
    </w:div>
    <w:div w:id="1391341983">
      <w:marLeft w:val="0"/>
      <w:marRight w:val="0"/>
      <w:marTop w:val="180"/>
      <w:marBottom w:val="0"/>
      <w:divBdr>
        <w:top w:val="none" w:sz="0" w:space="0" w:color="auto"/>
        <w:left w:val="none" w:sz="0" w:space="0" w:color="auto"/>
        <w:bottom w:val="none" w:sz="0" w:space="0" w:color="auto"/>
        <w:right w:val="none" w:sz="0" w:space="0" w:color="auto"/>
      </w:divBdr>
    </w:div>
    <w:div w:id="1392197670">
      <w:marLeft w:val="0"/>
      <w:marRight w:val="0"/>
      <w:marTop w:val="180"/>
      <w:marBottom w:val="120"/>
      <w:divBdr>
        <w:top w:val="none" w:sz="0" w:space="0" w:color="auto"/>
        <w:left w:val="none" w:sz="0" w:space="0" w:color="auto"/>
        <w:bottom w:val="none" w:sz="0" w:space="0" w:color="auto"/>
        <w:right w:val="none" w:sz="0" w:space="0" w:color="auto"/>
      </w:divBdr>
    </w:div>
    <w:div w:id="1392382487">
      <w:marLeft w:val="0"/>
      <w:marRight w:val="0"/>
      <w:marTop w:val="0"/>
      <w:marBottom w:val="0"/>
      <w:divBdr>
        <w:top w:val="none" w:sz="0" w:space="0" w:color="auto"/>
        <w:left w:val="none" w:sz="0" w:space="0" w:color="auto"/>
        <w:bottom w:val="none" w:sz="0" w:space="0" w:color="auto"/>
        <w:right w:val="none" w:sz="0" w:space="0" w:color="auto"/>
      </w:divBdr>
    </w:div>
    <w:div w:id="1394812794">
      <w:marLeft w:val="0"/>
      <w:marRight w:val="0"/>
      <w:marTop w:val="180"/>
      <w:marBottom w:val="0"/>
      <w:divBdr>
        <w:top w:val="none" w:sz="0" w:space="0" w:color="auto"/>
        <w:left w:val="none" w:sz="0" w:space="0" w:color="auto"/>
        <w:bottom w:val="none" w:sz="0" w:space="0" w:color="auto"/>
        <w:right w:val="none" w:sz="0" w:space="0" w:color="auto"/>
      </w:divBdr>
    </w:div>
    <w:div w:id="1395355879">
      <w:marLeft w:val="0"/>
      <w:marRight w:val="0"/>
      <w:marTop w:val="180"/>
      <w:marBottom w:val="0"/>
      <w:divBdr>
        <w:top w:val="none" w:sz="0" w:space="0" w:color="auto"/>
        <w:left w:val="none" w:sz="0" w:space="0" w:color="auto"/>
        <w:bottom w:val="none" w:sz="0" w:space="0" w:color="auto"/>
        <w:right w:val="none" w:sz="0" w:space="0" w:color="auto"/>
      </w:divBdr>
    </w:div>
    <w:div w:id="1402874922">
      <w:marLeft w:val="0"/>
      <w:marRight w:val="0"/>
      <w:marTop w:val="180"/>
      <w:marBottom w:val="0"/>
      <w:divBdr>
        <w:top w:val="none" w:sz="0" w:space="0" w:color="auto"/>
        <w:left w:val="none" w:sz="0" w:space="0" w:color="auto"/>
        <w:bottom w:val="none" w:sz="0" w:space="0" w:color="auto"/>
        <w:right w:val="none" w:sz="0" w:space="0" w:color="auto"/>
      </w:divBdr>
    </w:div>
    <w:div w:id="1406032315">
      <w:marLeft w:val="0"/>
      <w:marRight w:val="0"/>
      <w:marTop w:val="180"/>
      <w:marBottom w:val="0"/>
      <w:divBdr>
        <w:top w:val="none" w:sz="0" w:space="0" w:color="auto"/>
        <w:left w:val="none" w:sz="0" w:space="0" w:color="auto"/>
        <w:bottom w:val="none" w:sz="0" w:space="0" w:color="auto"/>
        <w:right w:val="none" w:sz="0" w:space="0" w:color="auto"/>
      </w:divBdr>
    </w:div>
    <w:div w:id="1406145488">
      <w:marLeft w:val="0"/>
      <w:marRight w:val="0"/>
      <w:marTop w:val="180"/>
      <w:marBottom w:val="0"/>
      <w:divBdr>
        <w:top w:val="none" w:sz="0" w:space="0" w:color="auto"/>
        <w:left w:val="none" w:sz="0" w:space="0" w:color="auto"/>
        <w:bottom w:val="none" w:sz="0" w:space="0" w:color="auto"/>
        <w:right w:val="none" w:sz="0" w:space="0" w:color="auto"/>
      </w:divBdr>
    </w:div>
    <w:div w:id="1407730425">
      <w:marLeft w:val="0"/>
      <w:marRight w:val="0"/>
      <w:marTop w:val="240"/>
      <w:marBottom w:val="0"/>
      <w:divBdr>
        <w:top w:val="none" w:sz="0" w:space="0" w:color="auto"/>
        <w:left w:val="none" w:sz="0" w:space="0" w:color="auto"/>
        <w:bottom w:val="none" w:sz="0" w:space="0" w:color="auto"/>
        <w:right w:val="none" w:sz="0" w:space="0" w:color="auto"/>
      </w:divBdr>
    </w:div>
    <w:div w:id="1411540022">
      <w:marLeft w:val="0"/>
      <w:marRight w:val="0"/>
      <w:marTop w:val="0"/>
      <w:marBottom w:val="0"/>
      <w:divBdr>
        <w:top w:val="none" w:sz="0" w:space="0" w:color="auto"/>
        <w:left w:val="none" w:sz="0" w:space="0" w:color="auto"/>
        <w:bottom w:val="none" w:sz="0" w:space="0" w:color="auto"/>
        <w:right w:val="none" w:sz="0" w:space="0" w:color="auto"/>
      </w:divBdr>
    </w:div>
    <w:div w:id="1412240008">
      <w:marLeft w:val="0"/>
      <w:marRight w:val="0"/>
      <w:marTop w:val="180"/>
      <w:marBottom w:val="0"/>
      <w:divBdr>
        <w:top w:val="none" w:sz="0" w:space="0" w:color="auto"/>
        <w:left w:val="none" w:sz="0" w:space="0" w:color="auto"/>
        <w:bottom w:val="none" w:sz="0" w:space="0" w:color="auto"/>
        <w:right w:val="none" w:sz="0" w:space="0" w:color="auto"/>
      </w:divBdr>
    </w:div>
    <w:div w:id="1412773453">
      <w:marLeft w:val="0"/>
      <w:marRight w:val="0"/>
      <w:marTop w:val="0"/>
      <w:marBottom w:val="0"/>
      <w:divBdr>
        <w:top w:val="none" w:sz="0" w:space="0" w:color="auto"/>
        <w:left w:val="none" w:sz="0" w:space="0" w:color="auto"/>
        <w:bottom w:val="none" w:sz="0" w:space="0" w:color="auto"/>
        <w:right w:val="none" w:sz="0" w:space="0" w:color="auto"/>
      </w:divBdr>
      <w:divsChild>
        <w:div w:id="1599173499">
          <w:marLeft w:val="0"/>
          <w:marRight w:val="0"/>
          <w:marTop w:val="0"/>
          <w:marBottom w:val="0"/>
          <w:divBdr>
            <w:top w:val="none" w:sz="0" w:space="0" w:color="auto"/>
            <w:left w:val="none" w:sz="0" w:space="0" w:color="auto"/>
            <w:bottom w:val="none" w:sz="0" w:space="0" w:color="auto"/>
            <w:right w:val="none" w:sz="0" w:space="0" w:color="auto"/>
          </w:divBdr>
          <w:divsChild>
            <w:div w:id="1685742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14660788">
      <w:marLeft w:val="0"/>
      <w:marRight w:val="0"/>
      <w:marTop w:val="120"/>
      <w:marBottom w:val="0"/>
      <w:divBdr>
        <w:top w:val="none" w:sz="0" w:space="0" w:color="auto"/>
        <w:left w:val="none" w:sz="0" w:space="0" w:color="auto"/>
        <w:bottom w:val="none" w:sz="0" w:space="0" w:color="auto"/>
        <w:right w:val="none" w:sz="0" w:space="0" w:color="auto"/>
      </w:divBdr>
    </w:div>
    <w:div w:id="1422945166">
      <w:marLeft w:val="0"/>
      <w:marRight w:val="0"/>
      <w:marTop w:val="180"/>
      <w:marBottom w:val="0"/>
      <w:divBdr>
        <w:top w:val="none" w:sz="0" w:space="0" w:color="auto"/>
        <w:left w:val="none" w:sz="0" w:space="0" w:color="auto"/>
        <w:bottom w:val="none" w:sz="0" w:space="0" w:color="auto"/>
        <w:right w:val="none" w:sz="0" w:space="0" w:color="auto"/>
      </w:divBdr>
    </w:div>
    <w:div w:id="1423188861">
      <w:marLeft w:val="0"/>
      <w:marRight w:val="0"/>
      <w:marTop w:val="180"/>
      <w:marBottom w:val="60"/>
      <w:divBdr>
        <w:top w:val="none" w:sz="0" w:space="0" w:color="auto"/>
        <w:left w:val="none" w:sz="0" w:space="0" w:color="auto"/>
        <w:bottom w:val="none" w:sz="0" w:space="0" w:color="auto"/>
        <w:right w:val="none" w:sz="0" w:space="0" w:color="auto"/>
      </w:divBdr>
    </w:div>
    <w:div w:id="1424522978">
      <w:marLeft w:val="0"/>
      <w:marRight w:val="0"/>
      <w:marTop w:val="120"/>
      <w:marBottom w:val="0"/>
      <w:divBdr>
        <w:top w:val="none" w:sz="0" w:space="0" w:color="auto"/>
        <w:left w:val="none" w:sz="0" w:space="0" w:color="auto"/>
        <w:bottom w:val="none" w:sz="0" w:space="0" w:color="auto"/>
        <w:right w:val="none" w:sz="0" w:space="0" w:color="auto"/>
      </w:divBdr>
    </w:div>
    <w:div w:id="1425028573">
      <w:marLeft w:val="0"/>
      <w:marRight w:val="0"/>
      <w:marTop w:val="120"/>
      <w:marBottom w:val="120"/>
      <w:divBdr>
        <w:top w:val="none" w:sz="0" w:space="0" w:color="auto"/>
        <w:left w:val="none" w:sz="0" w:space="0" w:color="auto"/>
        <w:bottom w:val="none" w:sz="0" w:space="0" w:color="auto"/>
        <w:right w:val="none" w:sz="0" w:space="0" w:color="auto"/>
      </w:divBdr>
    </w:div>
    <w:div w:id="1426994546">
      <w:marLeft w:val="0"/>
      <w:marRight w:val="0"/>
      <w:marTop w:val="180"/>
      <w:marBottom w:val="0"/>
      <w:divBdr>
        <w:top w:val="none" w:sz="0" w:space="0" w:color="auto"/>
        <w:left w:val="none" w:sz="0" w:space="0" w:color="auto"/>
        <w:bottom w:val="none" w:sz="0" w:space="0" w:color="auto"/>
        <w:right w:val="none" w:sz="0" w:space="0" w:color="auto"/>
      </w:divBdr>
    </w:div>
    <w:div w:id="1428190252">
      <w:marLeft w:val="0"/>
      <w:marRight w:val="0"/>
      <w:marTop w:val="0"/>
      <w:marBottom w:val="200"/>
      <w:divBdr>
        <w:top w:val="none" w:sz="0" w:space="0" w:color="auto"/>
        <w:left w:val="none" w:sz="0" w:space="0" w:color="auto"/>
        <w:bottom w:val="none" w:sz="0" w:space="0" w:color="auto"/>
        <w:right w:val="none" w:sz="0" w:space="0" w:color="auto"/>
      </w:divBdr>
    </w:div>
    <w:div w:id="1429036945">
      <w:marLeft w:val="0"/>
      <w:marRight w:val="0"/>
      <w:marTop w:val="180"/>
      <w:marBottom w:val="0"/>
      <w:divBdr>
        <w:top w:val="none" w:sz="0" w:space="0" w:color="auto"/>
        <w:left w:val="none" w:sz="0" w:space="0" w:color="auto"/>
        <w:bottom w:val="none" w:sz="0" w:space="0" w:color="auto"/>
        <w:right w:val="none" w:sz="0" w:space="0" w:color="auto"/>
      </w:divBdr>
    </w:div>
    <w:div w:id="1430587272">
      <w:marLeft w:val="0"/>
      <w:marRight w:val="0"/>
      <w:marTop w:val="0"/>
      <w:marBottom w:val="0"/>
      <w:divBdr>
        <w:top w:val="none" w:sz="0" w:space="0" w:color="auto"/>
        <w:left w:val="none" w:sz="0" w:space="0" w:color="auto"/>
        <w:bottom w:val="none" w:sz="0" w:space="0" w:color="auto"/>
        <w:right w:val="none" w:sz="0" w:space="0" w:color="auto"/>
      </w:divBdr>
      <w:divsChild>
        <w:div w:id="2058777280">
          <w:marLeft w:val="0"/>
          <w:marRight w:val="0"/>
          <w:marTop w:val="180"/>
          <w:marBottom w:val="0"/>
          <w:divBdr>
            <w:top w:val="none" w:sz="0" w:space="0" w:color="auto"/>
            <w:left w:val="none" w:sz="0" w:space="0" w:color="auto"/>
            <w:bottom w:val="none" w:sz="0" w:space="0" w:color="auto"/>
            <w:right w:val="none" w:sz="0" w:space="0" w:color="auto"/>
          </w:divBdr>
        </w:div>
      </w:divsChild>
    </w:div>
    <w:div w:id="1430660951">
      <w:marLeft w:val="0"/>
      <w:marRight w:val="0"/>
      <w:marTop w:val="180"/>
      <w:marBottom w:val="0"/>
      <w:divBdr>
        <w:top w:val="none" w:sz="0" w:space="0" w:color="auto"/>
        <w:left w:val="none" w:sz="0" w:space="0" w:color="auto"/>
        <w:bottom w:val="none" w:sz="0" w:space="0" w:color="auto"/>
        <w:right w:val="none" w:sz="0" w:space="0" w:color="auto"/>
      </w:divBdr>
    </w:div>
    <w:div w:id="1431776345">
      <w:marLeft w:val="0"/>
      <w:marRight w:val="0"/>
      <w:marTop w:val="180"/>
      <w:marBottom w:val="0"/>
      <w:divBdr>
        <w:top w:val="none" w:sz="0" w:space="0" w:color="auto"/>
        <w:left w:val="none" w:sz="0" w:space="0" w:color="auto"/>
        <w:bottom w:val="none" w:sz="0" w:space="0" w:color="auto"/>
        <w:right w:val="none" w:sz="0" w:space="0" w:color="auto"/>
      </w:divBdr>
    </w:div>
    <w:div w:id="1432121584">
      <w:marLeft w:val="0"/>
      <w:marRight w:val="0"/>
      <w:marTop w:val="180"/>
      <w:marBottom w:val="120"/>
      <w:divBdr>
        <w:top w:val="none" w:sz="0" w:space="0" w:color="auto"/>
        <w:left w:val="none" w:sz="0" w:space="0" w:color="auto"/>
        <w:bottom w:val="none" w:sz="0" w:space="0" w:color="auto"/>
        <w:right w:val="none" w:sz="0" w:space="0" w:color="auto"/>
      </w:divBdr>
    </w:div>
    <w:div w:id="1433864152">
      <w:marLeft w:val="0"/>
      <w:marRight w:val="0"/>
      <w:marTop w:val="180"/>
      <w:marBottom w:val="0"/>
      <w:divBdr>
        <w:top w:val="none" w:sz="0" w:space="0" w:color="auto"/>
        <w:left w:val="none" w:sz="0" w:space="0" w:color="auto"/>
        <w:bottom w:val="none" w:sz="0" w:space="0" w:color="auto"/>
        <w:right w:val="none" w:sz="0" w:space="0" w:color="auto"/>
      </w:divBdr>
    </w:div>
    <w:div w:id="1436097820">
      <w:marLeft w:val="0"/>
      <w:marRight w:val="0"/>
      <w:marTop w:val="180"/>
      <w:marBottom w:val="0"/>
      <w:divBdr>
        <w:top w:val="none" w:sz="0" w:space="0" w:color="auto"/>
        <w:left w:val="none" w:sz="0" w:space="0" w:color="auto"/>
        <w:bottom w:val="none" w:sz="0" w:space="0" w:color="auto"/>
        <w:right w:val="none" w:sz="0" w:space="0" w:color="auto"/>
      </w:divBdr>
    </w:div>
    <w:div w:id="1436290524">
      <w:marLeft w:val="0"/>
      <w:marRight w:val="0"/>
      <w:marTop w:val="0"/>
      <w:marBottom w:val="0"/>
      <w:divBdr>
        <w:top w:val="none" w:sz="0" w:space="0" w:color="auto"/>
        <w:left w:val="none" w:sz="0" w:space="0" w:color="auto"/>
        <w:bottom w:val="none" w:sz="0" w:space="0" w:color="auto"/>
        <w:right w:val="none" w:sz="0" w:space="0" w:color="auto"/>
      </w:divBdr>
      <w:divsChild>
        <w:div w:id="2023048349">
          <w:marLeft w:val="0"/>
          <w:marRight w:val="0"/>
          <w:marTop w:val="180"/>
          <w:marBottom w:val="0"/>
          <w:divBdr>
            <w:top w:val="none" w:sz="0" w:space="0" w:color="auto"/>
            <w:left w:val="none" w:sz="0" w:space="0" w:color="auto"/>
            <w:bottom w:val="none" w:sz="0" w:space="0" w:color="auto"/>
            <w:right w:val="none" w:sz="0" w:space="0" w:color="auto"/>
          </w:divBdr>
        </w:div>
      </w:divsChild>
    </w:div>
    <w:div w:id="1436943194">
      <w:marLeft w:val="0"/>
      <w:marRight w:val="0"/>
      <w:marTop w:val="180"/>
      <w:marBottom w:val="0"/>
      <w:divBdr>
        <w:top w:val="none" w:sz="0" w:space="0" w:color="auto"/>
        <w:left w:val="none" w:sz="0" w:space="0" w:color="auto"/>
        <w:bottom w:val="none" w:sz="0" w:space="0" w:color="auto"/>
        <w:right w:val="none" w:sz="0" w:space="0" w:color="auto"/>
      </w:divBdr>
    </w:div>
    <w:div w:id="1438519482">
      <w:marLeft w:val="0"/>
      <w:marRight w:val="0"/>
      <w:marTop w:val="180"/>
      <w:marBottom w:val="0"/>
      <w:divBdr>
        <w:top w:val="none" w:sz="0" w:space="0" w:color="auto"/>
        <w:left w:val="none" w:sz="0" w:space="0" w:color="auto"/>
        <w:bottom w:val="none" w:sz="0" w:space="0" w:color="auto"/>
        <w:right w:val="none" w:sz="0" w:space="0" w:color="auto"/>
      </w:divBdr>
    </w:div>
    <w:div w:id="1439257863">
      <w:marLeft w:val="0"/>
      <w:marRight w:val="0"/>
      <w:marTop w:val="180"/>
      <w:marBottom w:val="0"/>
      <w:divBdr>
        <w:top w:val="none" w:sz="0" w:space="0" w:color="auto"/>
        <w:left w:val="none" w:sz="0" w:space="0" w:color="auto"/>
        <w:bottom w:val="none" w:sz="0" w:space="0" w:color="auto"/>
        <w:right w:val="none" w:sz="0" w:space="0" w:color="auto"/>
      </w:divBdr>
    </w:div>
    <w:div w:id="1441222355">
      <w:marLeft w:val="0"/>
      <w:marRight w:val="0"/>
      <w:marTop w:val="0"/>
      <w:marBottom w:val="0"/>
      <w:divBdr>
        <w:top w:val="none" w:sz="0" w:space="0" w:color="auto"/>
        <w:left w:val="none" w:sz="0" w:space="0" w:color="auto"/>
        <w:bottom w:val="none" w:sz="0" w:space="0" w:color="auto"/>
        <w:right w:val="none" w:sz="0" w:space="0" w:color="auto"/>
      </w:divBdr>
      <w:divsChild>
        <w:div w:id="776565470">
          <w:marLeft w:val="0"/>
          <w:marRight w:val="0"/>
          <w:marTop w:val="0"/>
          <w:marBottom w:val="0"/>
          <w:divBdr>
            <w:top w:val="none" w:sz="0" w:space="0" w:color="auto"/>
            <w:left w:val="none" w:sz="0" w:space="0" w:color="auto"/>
            <w:bottom w:val="none" w:sz="0" w:space="0" w:color="auto"/>
            <w:right w:val="none" w:sz="0" w:space="0" w:color="auto"/>
          </w:divBdr>
          <w:divsChild>
            <w:div w:id="4460451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45537595">
      <w:marLeft w:val="0"/>
      <w:marRight w:val="0"/>
      <w:marTop w:val="240"/>
      <w:marBottom w:val="120"/>
      <w:divBdr>
        <w:top w:val="none" w:sz="0" w:space="0" w:color="auto"/>
        <w:left w:val="none" w:sz="0" w:space="0" w:color="auto"/>
        <w:bottom w:val="none" w:sz="0" w:space="0" w:color="auto"/>
        <w:right w:val="none" w:sz="0" w:space="0" w:color="auto"/>
      </w:divBdr>
      <w:divsChild>
        <w:div w:id="288900826">
          <w:marLeft w:val="0"/>
          <w:marRight w:val="0"/>
          <w:marTop w:val="0"/>
          <w:marBottom w:val="0"/>
          <w:divBdr>
            <w:top w:val="none" w:sz="0" w:space="0" w:color="auto"/>
            <w:left w:val="none" w:sz="0" w:space="0" w:color="auto"/>
            <w:bottom w:val="none" w:sz="0" w:space="0" w:color="auto"/>
            <w:right w:val="none" w:sz="0" w:space="0" w:color="auto"/>
          </w:divBdr>
        </w:div>
        <w:div w:id="711609978">
          <w:marLeft w:val="0"/>
          <w:marRight w:val="0"/>
          <w:marTop w:val="0"/>
          <w:marBottom w:val="0"/>
          <w:divBdr>
            <w:top w:val="none" w:sz="0" w:space="0" w:color="auto"/>
            <w:left w:val="none" w:sz="0" w:space="0" w:color="auto"/>
            <w:bottom w:val="none" w:sz="0" w:space="0" w:color="auto"/>
            <w:right w:val="none" w:sz="0" w:space="0" w:color="auto"/>
          </w:divBdr>
        </w:div>
        <w:div w:id="1217929563">
          <w:marLeft w:val="0"/>
          <w:marRight w:val="0"/>
          <w:marTop w:val="0"/>
          <w:marBottom w:val="0"/>
          <w:divBdr>
            <w:top w:val="none" w:sz="0" w:space="0" w:color="auto"/>
            <w:left w:val="none" w:sz="0" w:space="0" w:color="auto"/>
            <w:bottom w:val="none" w:sz="0" w:space="0" w:color="auto"/>
            <w:right w:val="none" w:sz="0" w:space="0" w:color="auto"/>
          </w:divBdr>
        </w:div>
      </w:divsChild>
    </w:div>
    <w:div w:id="1449203804">
      <w:marLeft w:val="0"/>
      <w:marRight w:val="0"/>
      <w:marTop w:val="180"/>
      <w:marBottom w:val="180"/>
      <w:divBdr>
        <w:top w:val="none" w:sz="0" w:space="0" w:color="auto"/>
        <w:left w:val="none" w:sz="0" w:space="0" w:color="auto"/>
        <w:bottom w:val="none" w:sz="0" w:space="0" w:color="auto"/>
        <w:right w:val="none" w:sz="0" w:space="0" w:color="auto"/>
      </w:divBdr>
    </w:div>
    <w:div w:id="1449470127">
      <w:marLeft w:val="0"/>
      <w:marRight w:val="0"/>
      <w:marTop w:val="120"/>
      <w:marBottom w:val="0"/>
      <w:divBdr>
        <w:top w:val="none" w:sz="0" w:space="0" w:color="auto"/>
        <w:left w:val="none" w:sz="0" w:space="0" w:color="auto"/>
        <w:bottom w:val="none" w:sz="0" w:space="0" w:color="auto"/>
        <w:right w:val="none" w:sz="0" w:space="0" w:color="auto"/>
      </w:divBdr>
    </w:div>
    <w:div w:id="1451514408">
      <w:marLeft w:val="0"/>
      <w:marRight w:val="0"/>
      <w:marTop w:val="300"/>
      <w:marBottom w:val="0"/>
      <w:divBdr>
        <w:top w:val="none" w:sz="0" w:space="0" w:color="auto"/>
        <w:left w:val="none" w:sz="0" w:space="0" w:color="auto"/>
        <w:bottom w:val="none" w:sz="0" w:space="0" w:color="auto"/>
        <w:right w:val="none" w:sz="0" w:space="0" w:color="auto"/>
      </w:divBdr>
    </w:div>
    <w:div w:id="1452474700">
      <w:marLeft w:val="0"/>
      <w:marRight w:val="0"/>
      <w:marTop w:val="0"/>
      <w:marBottom w:val="200"/>
      <w:divBdr>
        <w:top w:val="none" w:sz="0" w:space="0" w:color="auto"/>
        <w:left w:val="none" w:sz="0" w:space="0" w:color="auto"/>
        <w:bottom w:val="none" w:sz="0" w:space="0" w:color="auto"/>
        <w:right w:val="none" w:sz="0" w:space="0" w:color="auto"/>
      </w:divBdr>
    </w:div>
    <w:div w:id="1452893620">
      <w:marLeft w:val="0"/>
      <w:marRight w:val="0"/>
      <w:marTop w:val="180"/>
      <w:marBottom w:val="0"/>
      <w:divBdr>
        <w:top w:val="none" w:sz="0" w:space="0" w:color="auto"/>
        <w:left w:val="none" w:sz="0" w:space="0" w:color="auto"/>
        <w:bottom w:val="none" w:sz="0" w:space="0" w:color="auto"/>
        <w:right w:val="none" w:sz="0" w:space="0" w:color="auto"/>
      </w:divBdr>
    </w:div>
    <w:div w:id="1454640637">
      <w:marLeft w:val="0"/>
      <w:marRight w:val="0"/>
      <w:marTop w:val="0"/>
      <w:marBottom w:val="0"/>
      <w:divBdr>
        <w:top w:val="none" w:sz="0" w:space="0" w:color="auto"/>
        <w:left w:val="none" w:sz="0" w:space="0" w:color="auto"/>
        <w:bottom w:val="none" w:sz="0" w:space="0" w:color="auto"/>
        <w:right w:val="none" w:sz="0" w:space="0" w:color="auto"/>
      </w:divBdr>
      <w:divsChild>
        <w:div w:id="808017588">
          <w:marLeft w:val="0"/>
          <w:marRight w:val="0"/>
          <w:marTop w:val="0"/>
          <w:marBottom w:val="0"/>
          <w:divBdr>
            <w:top w:val="none" w:sz="0" w:space="0" w:color="auto"/>
            <w:left w:val="none" w:sz="0" w:space="0" w:color="auto"/>
            <w:bottom w:val="none" w:sz="0" w:space="0" w:color="auto"/>
            <w:right w:val="none" w:sz="0" w:space="0" w:color="auto"/>
          </w:divBdr>
        </w:div>
      </w:divsChild>
    </w:div>
    <w:div w:id="1455053834">
      <w:marLeft w:val="0"/>
      <w:marRight w:val="0"/>
      <w:marTop w:val="180"/>
      <w:marBottom w:val="0"/>
      <w:divBdr>
        <w:top w:val="none" w:sz="0" w:space="0" w:color="auto"/>
        <w:left w:val="none" w:sz="0" w:space="0" w:color="auto"/>
        <w:bottom w:val="none" w:sz="0" w:space="0" w:color="auto"/>
        <w:right w:val="none" w:sz="0" w:space="0" w:color="auto"/>
      </w:divBdr>
    </w:div>
    <w:div w:id="1455055323">
      <w:marLeft w:val="0"/>
      <w:marRight w:val="0"/>
      <w:marTop w:val="60"/>
      <w:marBottom w:val="0"/>
      <w:divBdr>
        <w:top w:val="none" w:sz="0" w:space="0" w:color="auto"/>
        <w:left w:val="none" w:sz="0" w:space="0" w:color="auto"/>
        <w:bottom w:val="none" w:sz="0" w:space="0" w:color="auto"/>
        <w:right w:val="none" w:sz="0" w:space="0" w:color="auto"/>
      </w:divBdr>
    </w:div>
    <w:div w:id="1455102748">
      <w:marLeft w:val="0"/>
      <w:marRight w:val="0"/>
      <w:marTop w:val="0"/>
      <w:marBottom w:val="0"/>
      <w:divBdr>
        <w:top w:val="none" w:sz="0" w:space="0" w:color="auto"/>
        <w:left w:val="none" w:sz="0" w:space="0" w:color="auto"/>
        <w:bottom w:val="none" w:sz="0" w:space="0" w:color="auto"/>
        <w:right w:val="none" w:sz="0" w:space="0" w:color="auto"/>
      </w:divBdr>
      <w:divsChild>
        <w:div w:id="579678394">
          <w:marLeft w:val="0"/>
          <w:marRight w:val="0"/>
          <w:marTop w:val="180"/>
          <w:marBottom w:val="0"/>
          <w:divBdr>
            <w:top w:val="none" w:sz="0" w:space="0" w:color="auto"/>
            <w:left w:val="none" w:sz="0" w:space="0" w:color="auto"/>
            <w:bottom w:val="none" w:sz="0" w:space="0" w:color="auto"/>
            <w:right w:val="none" w:sz="0" w:space="0" w:color="auto"/>
          </w:divBdr>
        </w:div>
      </w:divsChild>
    </w:div>
    <w:div w:id="1457875034">
      <w:marLeft w:val="0"/>
      <w:marRight w:val="0"/>
      <w:marTop w:val="0"/>
      <w:marBottom w:val="0"/>
      <w:divBdr>
        <w:top w:val="none" w:sz="0" w:space="0" w:color="auto"/>
        <w:left w:val="none" w:sz="0" w:space="0" w:color="auto"/>
        <w:bottom w:val="none" w:sz="0" w:space="0" w:color="auto"/>
        <w:right w:val="none" w:sz="0" w:space="0" w:color="auto"/>
      </w:divBdr>
      <w:divsChild>
        <w:div w:id="1410737470">
          <w:marLeft w:val="0"/>
          <w:marRight w:val="0"/>
          <w:marTop w:val="180"/>
          <w:marBottom w:val="0"/>
          <w:divBdr>
            <w:top w:val="none" w:sz="0" w:space="0" w:color="auto"/>
            <w:left w:val="none" w:sz="0" w:space="0" w:color="auto"/>
            <w:bottom w:val="none" w:sz="0" w:space="0" w:color="auto"/>
            <w:right w:val="none" w:sz="0" w:space="0" w:color="auto"/>
          </w:divBdr>
        </w:div>
      </w:divsChild>
    </w:div>
    <w:div w:id="1458909774">
      <w:marLeft w:val="0"/>
      <w:marRight w:val="0"/>
      <w:marTop w:val="180"/>
      <w:marBottom w:val="0"/>
      <w:divBdr>
        <w:top w:val="none" w:sz="0" w:space="0" w:color="auto"/>
        <w:left w:val="none" w:sz="0" w:space="0" w:color="auto"/>
        <w:bottom w:val="none" w:sz="0" w:space="0" w:color="auto"/>
        <w:right w:val="none" w:sz="0" w:space="0" w:color="auto"/>
      </w:divBdr>
    </w:div>
    <w:div w:id="1460684216">
      <w:marLeft w:val="0"/>
      <w:marRight w:val="0"/>
      <w:marTop w:val="180"/>
      <w:marBottom w:val="0"/>
      <w:divBdr>
        <w:top w:val="none" w:sz="0" w:space="0" w:color="auto"/>
        <w:left w:val="none" w:sz="0" w:space="0" w:color="auto"/>
        <w:bottom w:val="none" w:sz="0" w:space="0" w:color="auto"/>
        <w:right w:val="none" w:sz="0" w:space="0" w:color="auto"/>
      </w:divBdr>
    </w:div>
    <w:div w:id="1460759824">
      <w:marLeft w:val="0"/>
      <w:marRight w:val="0"/>
      <w:marTop w:val="180"/>
      <w:marBottom w:val="0"/>
      <w:divBdr>
        <w:top w:val="none" w:sz="0" w:space="0" w:color="auto"/>
        <w:left w:val="none" w:sz="0" w:space="0" w:color="auto"/>
        <w:bottom w:val="none" w:sz="0" w:space="0" w:color="auto"/>
        <w:right w:val="none" w:sz="0" w:space="0" w:color="auto"/>
      </w:divBdr>
    </w:div>
    <w:div w:id="1461806252">
      <w:marLeft w:val="0"/>
      <w:marRight w:val="0"/>
      <w:marTop w:val="0"/>
      <w:marBottom w:val="300"/>
      <w:divBdr>
        <w:top w:val="none" w:sz="0" w:space="0" w:color="auto"/>
        <w:left w:val="none" w:sz="0" w:space="0" w:color="auto"/>
        <w:bottom w:val="none" w:sz="0" w:space="0" w:color="auto"/>
        <w:right w:val="none" w:sz="0" w:space="0" w:color="auto"/>
      </w:divBdr>
    </w:div>
    <w:div w:id="1462839676">
      <w:marLeft w:val="0"/>
      <w:marRight w:val="0"/>
      <w:marTop w:val="180"/>
      <w:marBottom w:val="0"/>
      <w:divBdr>
        <w:top w:val="none" w:sz="0" w:space="0" w:color="auto"/>
        <w:left w:val="none" w:sz="0" w:space="0" w:color="auto"/>
        <w:bottom w:val="none" w:sz="0" w:space="0" w:color="auto"/>
        <w:right w:val="none" w:sz="0" w:space="0" w:color="auto"/>
      </w:divBdr>
    </w:div>
    <w:div w:id="1463380491">
      <w:marLeft w:val="0"/>
      <w:marRight w:val="0"/>
      <w:marTop w:val="180"/>
      <w:marBottom w:val="0"/>
      <w:divBdr>
        <w:top w:val="none" w:sz="0" w:space="0" w:color="auto"/>
        <w:left w:val="none" w:sz="0" w:space="0" w:color="auto"/>
        <w:bottom w:val="none" w:sz="0" w:space="0" w:color="auto"/>
        <w:right w:val="none" w:sz="0" w:space="0" w:color="auto"/>
      </w:divBdr>
    </w:div>
    <w:div w:id="1463428628">
      <w:marLeft w:val="0"/>
      <w:marRight w:val="0"/>
      <w:marTop w:val="180"/>
      <w:marBottom w:val="0"/>
      <w:divBdr>
        <w:top w:val="none" w:sz="0" w:space="0" w:color="auto"/>
        <w:left w:val="none" w:sz="0" w:space="0" w:color="auto"/>
        <w:bottom w:val="none" w:sz="0" w:space="0" w:color="auto"/>
        <w:right w:val="none" w:sz="0" w:space="0" w:color="auto"/>
      </w:divBdr>
    </w:div>
    <w:div w:id="1463578039">
      <w:marLeft w:val="0"/>
      <w:marRight w:val="0"/>
      <w:marTop w:val="180"/>
      <w:marBottom w:val="120"/>
      <w:divBdr>
        <w:top w:val="none" w:sz="0" w:space="0" w:color="auto"/>
        <w:left w:val="none" w:sz="0" w:space="0" w:color="auto"/>
        <w:bottom w:val="none" w:sz="0" w:space="0" w:color="auto"/>
        <w:right w:val="none" w:sz="0" w:space="0" w:color="auto"/>
      </w:divBdr>
    </w:div>
    <w:div w:id="1464730133">
      <w:marLeft w:val="0"/>
      <w:marRight w:val="0"/>
      <w:marTop w:val="240"/>
      <w:marBottom w:val="0"/>
      <w:divBdr>
        <w:top w:val="none" w:sz="0" w:space="0" w:color="auto"/>
        <w:left w:val="none" w:sz="0" w:space="0" w:color="auto"/>
        <w:bottom w:val="none" w:sz="0" w:space="0" w:color="auto"/>
        <w:right w:val="none" w:sz="0" w:space="0" w:color="auto"/>
      </w:divBdr>
    </w:div>
    <w:div w:id="1465269315">
      <w:marLeft w:val="0"/>
      <w:marRight w:val="0"/>
      <w:marTop w:val="0"/>
      <w:marBottom w:val="200"/>
      <w:divBdr>
        <w:top w:val="none" w:sz="0" w:space="0" w:color="auto"/>
        <w:left w:val="none" w:sz="0" w:space="0" w:color="auto"/>
        <w:bottom w:val="none" w:sz="0" w:space="0" w:color="auto"/>
        <w:right w:val="none" w:sz="0" w:space="0" w:color="auto"/>
      </w:divBdr>
    </w:div>
    <w:div w:id="1468547672">
      <w:marLeft w:val="0"/>
      <w:marRight w:val="0"/>
      <w:marTop w:val="0"/>
      <w:marBottom w:val="0"/>
      <w:divBdr>
        <w:top w:val="none" w:sz="0" w:space="0" w:color="auto"/>
        <w:left w:val="none" w:sz="0" w:space="0" w:color="auto"/>
        <w:bottom w:val="none" w:sz="0" w:space="0" w:color="auto"/>
        <w:right w:val="none" w:sz="0" w:space="0" w:color="auto"/>
      </w:divBdr>
    </w:div>
    <w:div w:id="1469593587">
      <w:marLeft w:val="0"/>
      <w:marRight w:val="0"/>
      <w:marTop w:val="0"/>
      <w:marBottom w:val="0"/>
      <w:divBdr>
        <w:top w:val="none" w:sz="0" w:space="0" w:color="auto"/>
        <w:left w:val="none" w:sz="0" w:space="0" w:color="auto"/>
        <w:bottom w:val="none" w:sz="0" w:space="0" w:color="auto"/>
        <w:right w:val="none" w:sz="0" w:space="0" w:color="auto"/>
      </w:divBdr>
      <w:divsChild>
        <w:div w:id="647127066">
          <w:marLeft w:val="0"/>
          <w:marRight w:val="0"/>
          <w:marTop w:val="0"/>
          <w:marBottom w:val="0"/>
          <w:divBdr>
            <w:top w:val="none" w:sz="0" w:space="0" w:color="auto"/>
            <w:left w:val="none" w:sz="0" w:space="0" w:color="auto"/>
            <w:bottom w:val="none" w:sz="0" w:space="0" w:color="auto"/>
            <w:right w:val="none" w:sz="0" w:space="0" w:color="auto"/>
          </w:divBdr>
          <w:divsChild>
            <w:div w:id="8695373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69594507">
      <w:marLeft w:val="0"/>
      <w:marRight w:val="0"/>
      <w:marTop w:val="180"/>
      <w:marBottom w:val="0"/>
      <w:divBdr>
        <w:top w:val="none" w:sz="0" w:space="0" w:color="auto"/>
        <w:left w:val="none" w:sz="0" w:space="0" w:color="auto"/>
        <w:bottom w:val="none" w:sz="0" w:space="0" w:color="auto"/>
        <w:right w:val="none" w:sz="0" w:space="0" w:color="auto"/>
      </w:divBdr>
    </w:div>
    <w:div w:id="1472601385">
      <w:marLeft w:val="0"/>
      <w:marRight w:val="0"/>
      <w:marTop w:val="0"/>
      <w:marBottom w:val="0"/>
      <w:divBdr>
        <w:top w:val="none" w:sz="0" w:space="0" w:color="auto"/>
        <w:left w:val="none" w:sz="0" w:space="0" w:color="auto"/>
        <w:bottom w:val="none" w:sz="0" w:space="0" w:color="auto"/>
        <w:right w:val="none" w:sz="0" w:space="0" w:color="auto"/>
      </w:divBdr>
      <w:divsChild>
        <w:div w:id="807090252">
          <w:marLeft w:val="0"/>
          <w:marRight w:val="0"/>
          <w:marTop w:val="0"/>
          <w:marBottom w:val="0"/>
          <w:divBdr>
            <w:top w:val="none" w:sz="0" w:space="0" w:color="auto"/>
            <w:left w:val="none" w:sz="0" w:space="0" w:color="auto"/>
            <w:bottom w:val="none" w:sz="0" w:space="0" w:color="auto"/>
            <w:right w:val="none" w:sz="0" w:space="0" w:color="auto"/>
          </w:divBdr>
          <w:divsChild>
            <w:div w:id="21309318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75218719">
      <w:marLeft w:val="0"/>
      <w:marRight w:val="0"/>
      <w:marTop w:val="180"/>
      <w:marBottom w:val="0"/>
      <w:divBdr>
        <w:top w:val="none" w:sz="0" w:space="0" w:color="auto"/>
        <w:left w:val="none" w:sz="0" w:space="0" w:color="auto"/>
        <w:bottom w:val="none" w:sz="0" w:space="0" w:color="auto"/>
        <w:right w:val="none" w:sz="0" w:space="0" w:color="auto"/>
      </w:divBdr>
    </w:div>
    <w:div w:id="1477379785">
      <w:marLeft w:val="0"/>
      <w:marRight w:val="0"/>
      <w:marTop w:val="120"/>
      <w:marBottom w:val="0"/>
      <w:divBdr>
        <w:top w:val="none" w:sz="0" w:space="0" w:color="auto"/>
        <w:left w:val="none" w:sz="0" w:space="0" w:color="auto"/>
        <w:bottom w:val="none" w:sz="0" w:space="0" w:color="auto"/>
        <w:right w:val="none" w:sz="0" w:space="0" w:color="auto"/>
      </w:divBdr>
    </w:div>
    <w:div w:id="1478720683">
      <w:marLeft w:val="0"/>
      <w:marRight w:val="0"/>
      <w:marTop w:val="0"/>
      <w:marBottom w:val="0"/>
      <w:divBdr>
        <w:top w:val="none" w:sz="0" w:space="0" w:color="auto"/>
        <w:left w:val="none" w:sz="0" w:space="0" w:color="auto"/>
        <w:bottom w:val="none" w:sz="0" w:space="0" w:color="auto"/>
        <w:right w:val="none" w:sz="0" w:space="0" w:color="auto"/>
      </w:divBdr>
    </w:div>
    <w:div w:id="1479422263">
      <w:marLeft w:val="0"/>
      <w:marRight w:val="0"/>
      <w:marTop w:val="180"/>
      <w:marBottom w:val="120"/>
      <w:divBdr>
        <w:top w:val="none" w:sz="0" w:space="0" w:color="auto"/>
        <w:left w:val="none" w:sz="0" w:space="0" w:color="auto"/>
        <w:bottom w:val="none" w:sz="0" w:space="0" w:color="auto"/>
        <w:right w:val="none" w:sz="0" w:space="0" w:color="auto"/>
      </w:divBdr>
      <w:divsChild>
        <w:div w:id="1426413749">
          <w:marLeft w:val="0"/>
          <w:marRight w:val="0"/>
          <w:marTop w:val="0"/>
          <w:marBottom w:val="0"/>
          <w:divBdr>
            <w:top w:val="none" w:sz="0" w:space="0" w:color="auto"/>
            <w:left w:val="none" w:sz="0" w:space="0" w:color="auto"/>
            <w:bottom w:val="none" w:sz="0" w:space="0" w:color="auto"/>
            <w:right w:val="none" w:sz="0" w:space="0" w:color="auto"/>
          </w:divBdr>
        </w:div>
      </w:divsChild>
    </w:div>
    <w:div w:id="1481724736">
      <w:marLeft w:val="0"/>
      <w:marRight w:val="0"/>
      <w:marTop w:val="180"/>
      <w:marBottom w:val="0"/>
      <w:divBdr>
        <w:top w:val="none" w:sz="0" w:space="0" w:color="auto"/>
        <w:left w:val="none" w:sz="0" w:space="0" w:color="auto"/>
        <w:bottom w:val="none" w:sz="0" w:space="0" w:color="auto"/>
        <w:right w:val="none" w:sz="0" w:space="0" w:color="auto"/>
      </w:divBdr>
    </w:div>
    <w:div w:id="1482766905">
      <w:marLeft w:val="0"/>
      <w:marRight w:val="0"/>
      <w:marTop w:val="180"/>
      <w:marBottom w:val="0"/>
      <w:divBdr>
        <w:top w:val="none" w:sz="0" w:space="0" w:color="auto"/>
        <w:left w:val="none" w:sz="0" w:space="0" w:color="auto"/>
        <w:bottom w:val="none" w:sz="0" w:space="0" w:color="auto"/>
        <w:right w:val="none" w:sz="0" w:space="0" w:color="auto"/>
      </w:divBdr>
    </w:div>
    <w:div w:id="1486629885">
      <w:marLeft w:val="0"/>
      <w:marRight w:val="0"/>
      <w:marTop w:val="0"/>
      <w:marBottom w:val="0"/>
      <w:divBdr>
        <w:top w:val="none" w:sz="0" w:space="0" w:color="auto"/>
        <w:left w:val="none" w:sz="0" w:space="0" w:color="auto"/>
        <w:bottom w:val="none" w:sz="0" w:space="0" w:color="auto"/>
        <w:right w:val="none" w:sz="0" w:space="0" w:color="auto"/>
      </w:divBdr>
      <w:divsChild>
        <w:div w:id="1363819109">
          <w:marLeft w:val="0"/>
          <w:marRight w:val="0"/>
          <w:marTop w:val="0"/>
          <w:marBottom w:val="0"/>
          <w:divBdr>
            <w:top w:val="none" w:sz="0" w:space="0" w:color="auto"/>
            <w:left w:val="none" w:sz="0" w:space="0" w:color="auto"/>
            <w:bottom w:val="none" w:sz="0" w:space="0" w:color="auto"/>
            <w:right w:val="none" w:sz="0" w:space="0" w:color="auto"/>
          </w:divBdr>
          <w:divsChild>
            <w:div w:id="3790918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6779814">
      <w:marLeft w:val="0"/>
      <w:marRight w:val="0"/>
      <w:marTop w:val="0"/>
      <w:marBottom w:val="0"/>
      <w:divBdr>
        <w:top w:val="none" w:sz="0" w:space="0" w:color="auto"/>
        <w:left w:val="none" w:sz="0" w:space="0" w:color="auto"/>
        <w:bottom w:val="none" w:sz="0" w:space="0" w:color="auto"/>
        <w:right w:val="none" w:sz="0" w:space="0" w:color="auto"/>
      </w:divBdr>
      <w:divsChild>
        <w:div w:id="272179194">
          <w:marLeft w:val="0"/>
          <w:marRight w:val="0"/>
          <w:marTop w:val="180"/>
          <w:marBottom w:val="0"/>
          <w:divBdr>
            <w:top w:val="none" w:sz="0" w:space="0" w:color="auto"/>
            <w:left w:val="none" w:sz="0" w:space="0" w:color="auto"/>
            <w:bottom w:val="none" w:sz="0" w:space="0" w:color="auto"/>
            <w:right w:val="none" w:sz="0" w:space="0" w:color="auto"/>
          </w:divBdr>
        </w:div>
      </w:divsChild>
    </w:div>
    <w:div w:id="1489203586">
      <w:marLeft w:val="0"/>
      <w:marRight w:val="0"/>
      <w:marTop w:val="0"/>
      <w:marBottom w:val="0"/>
      <w:divBdr>
        <w:top w:val="none" w:sz="0" w:space="0" w:color="auto"/>
        <w:left w:val="none" w:sz="0" w:space="0" w:color="auto"/>
        <w:bottom w:val="none" w:sz="0" w:space="0" w:color="auto"/>
        <w:right w:val="none" w:sz="0" w:space="0" w:color="auto"/>
      </w:divBdr>
      <w:divsChild>
        <w:div w:id="1773434453">
          <w:marLeft w:val="0"/>
          <w:marRight w:val="0"/>
          <w:marTop w:val="0"/>
          <w:marBottom w:val="0"/>
          <w:divBdr>
            <w:top w:val="none" w:sz="0" w:space="0" w:color="auto"/>
            <w:left w:val="none" w:sz="0" w:space="0" w:color="auto"/>
            <w:bottom w:val="none" w:sz="0" w:space="0" w:color="auto"/>
            <w:right w:val="none" w:sz="0" w:space="0" w:color="auto"/>
          </w:divBdr>
          <w:divsChild>
            <w:div w:id="473460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9663313">
      <w:marLeft w:val="0"/>
      <w:marRight w:val="0"/>
      <w:marTop w:val="180"/>
      <w:marBottom w:val="120"/>
      <w:divBdr>
        <w:top w:val="none" w:sz="0" w:space="0" w:color="auto"/>
        <w:left w:val="none" w:sz="0" w:space="0" w:color="auto"/>
        <w:bottom w:val="none" w:sz="0" w:space="0" w:color="auto"/>
        <w:right w:val="none" w:sz="0" w:space="0" w:color="auto"/>
      </w:divBdr>
    </w:div>
    <w:div w:id="1492133135">
      <w:marLeft w:val="0"/>
      <w:marRight w:val="0"/>
      <w:marTop w:val="120"/>
      <w:marBottom w:val="0"/>
      <w:divBdr>
        <w:top w:val="none" w:sz="0" w:space="0" w:color="auto"/>
        <w:left w:val="none" w:sz="0" w:space="0" w:color="auto"/>
        <w:bottom w:val="none" w:sz="0" w:space="0" w:color="auto"/>
        <w:right w:val="none" w:sz="0" w:space="0" w:color="auto"/>
      </w:divBdr>
    </w:div>
    <w:div w:id="1492871067">
      <w:marLeft w:val="0"/>
      <w:marRight w:val="0"/>
      <w:marTop w:val="120"/>
      <w:marBottom w:val="120"/>
      <w:divBdr>
        <w:top w:val="none" w:sz="0" w:space="0" w:color="auto"/>
        <w:left w:val="none" w:sz="0" w:space="0" w:color="auto"/>
        <w:bottom w:val="none" w:sz="0" w:space="0" w:color="auto"/>
        <w:right w:val="none" w:sz="0" w:space="0" w:color="auto"/>
      </w:divBdr>
      <w:divsChild>
        <w:div w:id="1502309536">
          <w:marLeft w:val="0"/>
          <w:marRight w:val="0"/>
          <w:marTop w:val="0"/>
          <w:marBottom w:val="0"/>
          <w:divBdr>
            <w:top w:val="none" w:sz="0" w:space="0" w:color="auto"/>
            <w:left w:val="none" w:sz="0" w:space="0" w:color="auto"/>
            <w:bottom w:val="none" w:sz="0" w:space="0" w:color="auto"/>
            <w:right w:val="none" w:sz="0" w:space="0" w:color="auto"/>
          </w:divBdr>
        </w:div>
      </w:divsChild>
    </w:div>
    <w:div w:id="1493175057">
      <w:marLeft w:val="0"/>
      <w:marRight w:val="0"/>
      <w:marTop w:val="180"/>
      <w:marBottom w:val="0"/>
      <w:divBdr>
        <w:top w:val="none" w:sz="0" w:space="0" w:color="auto"/>
        <w:left w:val="none" w:sz="0" w:space="0" w:color="auto"/>
        <w:bottom w:val="none" w:sz="0" w:space="0" w:color="auto"/>
        <w:right w:val="none" w:sz="0" w:space="0" w:color="auto"/>
      </w:divBdr>
    </w:div>
    <w:div w:id="1496535979">
      <w:marLeft w:val="0"/>
      <w:marRight w:val="0"/>
      <w:marTop w:val="180"/>
      <w:marBottom w:val="0"/>
      <w:divBdr>
        <w:top w:val="none" w:sz="0" w:space="0" w:color="auto"/>
        <w:left w:val="none" w:sz="0" w:space="0" w:color="auto"/>
        <w:bottom w:val="none" w:sz="0" w:space="0" w:color="auto"/>
        <w:right w:val="none" w:sz="0" w:space="0" w:color="auto"/>
      </w:divBdr>
    </w:div>
    <w:div w:id="1497380106">
      <w:marLeft w:val="0"/>
      <w:marRight w:val="0"/>
      <w:marTop w:val="300"/>
      <w:marBottom w:val="0"/>
      <w:divBdr>
        <w:top w:val="none" w:sz="0" w:space="0" w:color="auto"/>
        <w:left w:val="none" w:sz="0" w:space="0" w:color="auto"/>
        <w:bottom w:val="none" w:sz="0" w:space="0" w:color="auto"/>
        <w:right w:val="none" w:sz="0" w:space="0" w:color="auto"/>
      </w:divBdr>
    </w:div>
    <w:div w:id="1499734952">
      <w:marLeft w:val="0"/>
      <w:marRight w:val="0"/>
      <w:marTop w:val="180"/>
      <w:marBottom w:val="0"/>
      <w:divBdr>
        <w:top w:val="none" w:sz="0" w:space="0" w:color="auto"/>
        <w:left w:val="none" w:sz="0" w:space="0" w:color="auto"/>
        <w:bottom w:val="none" w:sz="0" w:space="0" w:color="auto"/>
        <w:right w:val="none" w:sz="0" w:space="0" w:color="auto"/>
      </w:divBdr>
    </w:div>
    <w:div w:id="1500803037">
      <w:marLeft w:val="0"/>
      <w:marRight w:val="0"/>
      <w:marTop w:val="180"/>
      <w:marBottom w:val="0"/>
      <w:divBdr>
        <w:top w:val="none" w:sz="0" w:space="0" w:color="auto"/>
        <w:left w:val="none" w:sz="0" w:space="0" w:color="auto"/>
        <w:bottom w:val="none" w:sz="0" w:space="0" w:color="auto"/>
        <w:right w:val="none" w:sz="0" w:space="0" w:color="auto"/>
      </w:divBdr>
    </w:div>
    <w:div w:id="1501579273">
      <w:marLeft w:val="0"/>
      <w:marRight w:val="0"/>
      <w:marTop w:val="180"/>
      <w:marBottom w:val="0"/>
      <w:divBdr>
        <w:top w:val="none" w:sz="0" w:space="0" w:color="auto"/>
        <w:left w:val="none" w:sz="0" w:space="0" w:color="auto"/>
        <w:bottom w:val="none" w:sz="0" w:space="0" w:color="auto"/>
        <w:right w:val="none" w:sz="0" w:space="0" w:color="auto"/>
      </w:divBdr>
    </w:div>
    <w:div w:id="1502045224">
      <w:marLeft w:val="0"/>
      <w:marRight w:val="0"/>
      <w:marTop w:val="0"/>
      <w:marBottom w:val="0"/>
      <w:divBdr>
        <w:top w:val="none" w:sz="0" w:space="0" w:color="auto"/>
        <w:left w:val="none" w:sz="0" w:space="0" w:color="auto"/>
        <w:bottom w:val="none" w:sz="0" w:space="0" w:color="auto"/>
        <w:right w:val="none" w:sz="0" w:space="0" w:color="auto"/>
      </w:divBdr>
      <w:divsChild>
        <w:div w:id="589509996">
          <w:marLeft w:val="0"/>
          <w:marRight w:val="0"/>
          <w:marTop w:val="0"/>
          <w:marBottom w:val="0"/>
          <w:divBdr>
            <w:top w:val="none" w:sz="0" w:space="0" w:color="auto"/>
            <w:left w:val="none" w:sz="0" w:space="0" w:color="auto"/>
            <w:bottom w:val="none" w:sz="0" w:space="0" w:color="auto"/>
            <w:right w:val="none" w:sz="0" w:space="0" w:color="auto"/>
          </w:divBdr>
        </w:div>
        <w:div w:id="2050569903">
          <w:marLeft w:val="0"/>
          <w:marRight w:val="0"/>
          <w:marTop w:val="0"/>
          <w:marBottom w:val="0"/>
          <w:divBdr>
            <w:top w:val="none" w:sz="0" w:space="0" w:color="auto"/>
            <w:left w:val="none" w:sz="0" w:space="0" w:color="auto"/>
            <w:bottom w:val="none" w:sz="0" w:space="0" w:color="auto"/>
            <w:right w:val="none" w:sz="0" w:space="0" w:color="auto"/>
          </w:divBdr>
        </w:div>
        <w:div w:id="1636252745">
          <w:marLeft w:val="0"/>
          <w:marRight w:val="0"/>
          <w:marTop w:val="0"/>
          <w:marBottom w:val="0"/>
          <w:divBdr>
            <w:top w:val="none" w:sz="0" w:space="0" w:color="auto"/>
            <w:left w:val="none" w:sz="0" w:space="0" w:color="auto"/>
            <w:bottom w:val="none" w:sz="0" w:space="0" w:color="auto"/>
            <w:right w:val="none" w:sz="0" w:space="0" w:color="auto"/>
          </w:divBdr>
        </w:div>
        <w:div w:id="1270358685">
          <w:marLeft w:val="0"/>
          <w:marRight w:val="0"/>
          <w:marTop w:val="0"/>
          <w:marBottom w:val="0"/>
          <w:divBdr>
            <w:top w:val="none" w:sz="0" w:space="0" w:color="auto"/>
            <w:left w:val="none" w:sz="0" w:space="0" w:color="auto"/>
            <w:bottom w:val="none" w:sz="0" w:space="0" w:color="auto"/>
            <w:right w:val="none" w:sz="0" w:space="0" w:color="auto"/>
          </w:divBdr>
        </w:div>
        <w:div w:id="1995376272">
          <w:marLeft w:val="0"/>
          <w:marRight w:val="0"/>
          <w:marTop w:val="0"/>
          <w:marBottom w:val="0"/>
          <w:divBdr>
            <w:top w:val="none" w:sz="0" w:space="0" w:color="auto"/>
            <w:left w:val="none" w:sz="0" w:space="0" w:color="auto"/>
            <w:bottom w:val="none" w:sz="0" w:space="0" w:color="auto"/>
            <w:right w:val="none" w:sz="0" w:space="0" w:color="auto"/>
          </w:divBdr>
        </w:div>
        <w:div w:id="1064571115">
          <w:marLeft w:val="0"/>
          <w:marRight w:val="0"/>
          <w:marTop w:val="0"/>
          <w:marBottom w:val="0"/>
          <w:divBdr>
            <w:top w:val="none" w:sz="0" w:space="0" w:color="auto"/>
            <w:left w:val="none" w:sz="0" w:space="0" w:color="auto"/>
            <w:bottom w:val="none" w:sz="0" w:space="0" w:color="auto"/>
            <w:right w:val="none" w:sz="0" w:space="0" w:color="auto"/>
          </w:divBdr>
        </w:div>
        <w:div w:id="491724125">
          <w:marLeft w:val="0"/>
          <w:marRight w:val="0"/>
          <w:marTop w:val="0"/>
          <w:marBottom w:val="0"/>
          <w:divBdr>
            <w:top w:val="none" w:sz="0" w:space="0" w:color="auto"/>
            <w:left w:val="none" w:sz="0" w:space="0" w:color="auto"/>
            <w:bottom w:val="none" w:sz="0" w:space="0" w:color="auto"/>
            <w:right w:val="none" w:sz="0" w:space="0" w:color="auto"/>
          </w:divBdr>
        </w:div>
        <w:div w:id="96944449">
          <w:marLeft w:val="0"/>
          <w:marRight w:val="0"/>
          <w:marTop w:val="0"/>
          <w:marBottom w:val="0"/>
          <w:divBdr>
            <w:top w:val="none" w:sz="0" w:space="0" w:color="auto"/>
            <w:left w:val="none" w:sz="0" w:space="0" w:color="auto"/>
            <w:bottom w:val="none" w:sz="0" w:space="0" w:color="auto"/>
            <w:right w:val="none" w:sz="0" w:space="0" w:color="auto"/>
          </w:divBdr>
        </w:div>
        <w:div w:id="44766038">
          <w:marLeft w:val="0"/>
          <w:marRight w:val="0"/>
          <w:marTop w:val="0"/>
          <w:marBottom w:val="0"/>
          <w:divBdr>
            <w:top w:val="none" w:sz="0" w:space="0" w:color="auto"/>
            <w:left w:val="none" w:sz="0" w:space="0" w:color="auto"/>
            <w:bottom w:val="none" w:sz="0" w:space="0" w:color="auto"/>
            <w:right w:val="none" w:sz="0" w:space="0" w:color="auto"/>
          </w:divBdr>
        </w:div>
        <w:div w:id="1163549233">
          <w:marLeft w:val="0"/>
          <w:marRight w:val="0"/>
          <w:marTop w:val="0"/>
          <w:marBottom w:val="0"/>
          <w:divBdr>
            <w:top w:val="none" w:sz="0" w:space="0" w:color="auto"/>
            <w:left w:val="none" w:sz="0" w:space="0" w:color="auto"/>
            <w:bottom w:val="none" w:sz="0" w:space="0" w:color="auto"/>
            <w:right w:val="none" w:sz="0" w:space="0" w:color="auto"/>
          </w:divBdr>
        </w:div>
        <w:div w:id="902566571">
          <w:marLeft w:val="0"/>
          <w:marRight w:val="0"/>
          <w:marTop w:val="0"/>
          <w:marBottom w:val="0"/>
          <w:divBdr>
            <w:top w:val="none" w:sz="0" w:space="0" w:color="auto"/>
            <w:left w:val="none" w:sz="0" w:space="0" w:color="auto"/>
            <w:bottom w:val="none" w:sz="0" w:space="0" w:color="auto"/>
            <w:right w:val="none" w:sz="0" w:space="0" w:color="auto"/>
          </w:divBdr>
        </w:div>
        <w:div w:id="1146122865">
          <w:marLeft w:val="0"/>
          <w:marRight w:val="0"/>
          <w:marTop w:val="0"/>
          <w:marBottom w:val="0"/>
          <w:divBdr>
            <w:top w:val="none" w:sz="0" w:space="0" w:color="auto"/>
            <w:left w:val="none" w:sz="0" w:space="0" w:color="auto"/>
            <w:bottom w:val="none" w:sz="0" w:space="0" w:color="auto"/>
            <w:right w:val="none" w:sz="0" w:space="0" w:color="auto"/>
          </w:divBdr>
        </w:div>
        <w:div w:id="271740496">
          <w:marLeft w:val="0"/>
          <w:marRight w:val="0"/>
          <w:marTop w:val="0"/>
          <w:marBottom w:val="0"/>
          <w:divBdr>
            <w:top w:val="none" w:sz="0" w:space="0" w:color="auto"/>
            <w:left w:val="none" w:sz="0" w:space="0" w:color="auto"/>
            <w:bottom w:val="none" w:sz="0" w:space="0" w:color="auto"/>
            <w:right w:val="none" w:sz="0" w:space="0" w:color="auto"/>
          </w:divBdr>
        </w:div>
        <w:div w:id="172571501">
          <w:marLeft w:val="0"/>
          <w:marRight w:val="0"/>
          <w:marTop w:val="0"/>
          <w:marBottom w:val="0"/>
          <w:divBdr>
            <w:top w:val="none" w:sz="0" w:space="0" w:color="auto"/>
            <w:left w:val="none" w:sz="0" w:space="0" w:color="auto"/>
            <w:bottom w:val="none" w:sz="0" w:space="0" w:color="auto"/>
            <w:right w:val="none" w:sz="0" w:space="0" w:color="auto"/>
          </w:divBdr>
        </w:div>
        <w:div w:id="1662923164">
          <w:marLeft w:val="0"/>
          <w:marRight w:val="0"/>
          <w:marTop w:val="0"/>
          <w:marBottom w:val="0"/>
          <w:divBdr>
            <w:top w:val="none" w:sz="0" w:space="0" w:color="auto"/>
            <w:left w:val="none" w:sz="0" w:space="0" w:color="auto"/>
            <w:bottom w:val="none" w:sz="0" w:space="0" w:color="auto"/>
            <w:right w:val="none" w:sz="0" w:space="0" w:color="auto"/>
          </w:divBdr>
        </w:div>
        <w:div w:id="952782048">
          <w:marLeft w:val="0"/>
          <w:marRight w:val="0"/>
          <w:marTop w:val="0"/>
          <w:marBottom w:val="0"/>
          <w:divBdr>
            <w:top w:val="none" w:sz="0" w:space="0" w:color="auto"/>
            <w:left w:val="none" w:sz="0" w:space="0" w:color="auto"/>
            <w:bottom w:val="none" w:sz="0" w:space="0" w:color="auto"/>
            <w:right w:val="none" w:sz="0" w:space="0" w:color="auto"/>
          </w:divBdr>
        </w:div>
        <w:div w:id="1152714653">
          <w:marLeft w:val="0"/>
          <w:marRight w:val="0"/>
          <w:marTop w:val="0"/>
          <w:marBottom w:val="0"/>
          <w:divBdr>
            <w:top w:val="none" w:sz="0" w:space="0" w:color="auto"/>
            <w:left w:val="none" w:sz="0" w:space="0" w:color="auto"/>
            <w:bottom w:val="none" w:sz="0" w:space="0" w:color="auto"/>
            <w:right w:val="none" w:sz="0" w:space="0" w:color="auto"/>
          </w:divBdr>
        </w:div>
        <w:div w:id="286130404">
          <w:marLeft w:val="0"/>
          <w:marRight w:val="0"/>
          <w:marTop w:val="0"/>
          <w:marBottom w:val="0"/>
          <w:divBdr>
            <w:top w:val="none" w:sz="0" w:space="0" w:color="auto"/>
            <w:left w:val="none" w:sz="0" w:space="0" w:color="auto"/>
            <w:bottom w:val="none" w:sz="0" w:space="0" w:color="auto"/>
            <w:right w:val="none" w:sz="0" w:space="0" w:color="auto"/>
          </w:divBdr>
        </w:div>
        <w:div w:id="722945879">
          <w:marLeft w:val="0"/>
          <w:marRight w:val="0"/>
          <w:marTop w:val="0"/>
          <w:marBottom w:val="0"/>
          <w:divBdr>
            <w:top w:val="none" w:sz="0" w:space="0" w:color="auto"/>
            <w:left w:val="none" w:sz="0" w:space="0" w:color="auto"/>
            <w:bottom w:val="none" w:sz="0" w:space="0" w:color="auto"/>
            <w:right w:val="none" w:sz="0" w:space="0" w:color="auto"/>
          </w:divBdr>
        </w:div>
        <w:div w:id="2131896635">
          <w:marLeft w:val="0"/>
          <w:marRight w:val="0"/>
          <w:marTop w:val="0"/>
          <w:marBottom w:val="0"/>
          <w:divBdr>
            <w:top w:val="none" w:sz="0" w:space="0" w:color="auto"/>
            <w:left w:val="none" w:sz="0" w:space="0" w:color="auto"/>
            <w:bottom w:val="none" w:sz="0" w:space="0" w:color="auto"/>
            <w:right w:val="none" w:sz="0" w:space="0" w:color="auto"/>
          </w:divBdr>
        </w:div>
        <w:div w:id="1129474659">
          <w:marLeft w:val="0"/>
          <w:marRight w:val="0"/>
          <w:marTop w:val="0"/>
          <w:marBottom w:val="0"/>
          <w:divBdr>
            <w:top w:val="none" w:sz="0" w:space="0" w:color="auto"/>
            <w:left w:val="none" w:sz="0" w:space="0" w:color="auto"/>
            <w:bottom w:val="none" w:sz="0" w:space="0" w:color="auto"/>
            <w:right w:val="none" w:sz="0" w:space="0" w:color="auto"/>
          </w:divBdr>
        </w:div>
        <w:div w:id="172457187">
          <w:marLeft w:val="0"/>
          <w:marRight w:val="0"/>
          <w:marTop w:val="0"/>
          <w:marBottom w:val="0"/>
          <w:divBdr>
            <w:top w:val="none" w:sz="0" w:space="0" w:color="auto"/>
            <w:left w:val="none" w:sz="0" w:space="0" w:color="auto"/>
            <w:bottom w:val="none" w:sz="0" w:space="0" w:color="auto"/>
            <w:right w:val="none" w:sz="0" w:space="0" w:color="auto"/>
          </w:divBdr>
        </w:div>
        <w:div w:id="922494190">
          <w:marLeft w:val="0"/>
          <w:marRight w:val="0"/>
          <w:marTop w:val="0"/>
          <w:marBottom w:val="0"/>
          <w:divBdr>
            <w:top w:val="none" w:sz="0" w:space="0" w:color="auto"/>
            <w:left w:val="none" w:sz="0" w:space="0" w:color="auto"/>
            <w:bottom w:val="none" w:sz="0" w:space="0" w:color="auto"/>
            <w:right w:val="none" w:sz="0" w:space="0" w:color="auto"/>
          </w:divBdr>
        </w:div>
        <w:div w:id="1679506789">
          <w:marLeft w:val="0"/>
          <w:marRight w:val="0"/>
          <w:marTop w:val="0"/>
          <w:marBottom w:val="0"/>
          <w:divBdr>
            <w:top w:val="none" w:sz="0" w:space="0" w:color="auto"/>
            <w:left w:val="none" w:sz="0" w:space="0" w:color="auto"/>
            <w:bottom w:val="none" w:sz="0" w:space="0" w:color="auto"/>
            <w:right w:val="none" w:sz="0" w:space="0" w:color="auto"/>
          </w:divBdr>
        </w:div>
        <w:div w:id="1623997744">
          <w:marLeft w:val="0"/>
          <w:marRight w:val="0"/>
          <w:marTop w:val="0"/>
          <w:marBottom w:val="0"/>
          <w:divBdr>
            <w:top w:val="none" w:sz="0" w:space="0" w:color="auto"/>
            <w:left w:val="none" w:sz="0" w:space="0" w:color="auto"/>
            <w:bottom w:val="none" w:sz="0" w:space="0" w:color="auto"/>
            <w:right w:val="none" w:sz="0" w:space="0" w:color="auto"/>
          </w:divBdr>
        </w:div>
        <w:div w:id="11500251">
          <w:marLeft w:val="0"/>
          <w:marRight w:val="0"/>
          <w:marTop w:val="0"/>
          <w:marBottom w:val="0"/>
          <w:divBdr>
            <w:top w:val="none" w:sz="0" w:space="0" w:color="auto"/>
            <w:left w:val="none" w:sz="0" w:space="0" w:color="auto"/>
            <w:bottom w:val="none" w:sz="0" w:space="0" w:color="auto"/>
            <w:right w:val="none" w:sz="0" w:space="0" w:color="auto"/>
          </w:divBdr>
        </w:div>
        <w:div w:id="1574974549">
          <w:marLeft w:val="0"/>
          <w:marRight w:val="0"/>
          <w:marTop w:val="0"/>
          <w:marBottom w:val="0"/>
          <w:divBdr>
            <w:top w:val="none" w:sz="0" w:space="0" w:color="auto"/>
            <w:left w:val="none" w:sz="0" w:space="0" w:color="auto"/>
            <w:bottom w:val="none" w:sz="0" w:space="0" w:color="auto"/>
            <w:right w:val="none" w:sz="0" w:space="0" w:color="auto"/>
          </w:divBdr>
        </w:div>
        <w:div w:id="1221788280">
          <w:marLeft w:val="0"/>
          <w:marRight w:val="0"/>
          <w:marTop w:val="0"/>
          <w:marBottom w:val="0"/>
          <w:divBdr>
            <w:top w:val="none" w:sz="0" w:space="0" w:color="auto"/>
            <w:left w:val="none" w:sz="0" w:space="0" w:color="auto"/>
            <w:bottom w:val="none" w:sz="0" w:space="0" w:color="auto"/>
            <w:right w:val="none" w:sz="0" w:space="0" w:color="auto"/>
          </w:divBdr>
        </w:div>
        <w:div w:id="1033264655">
          <w:marLeft w:val="0"/>
          <w:marRight w:val="0"/>
          <w:marTop w:val="0"/>
          <w:marBottom w:val="0"/>
          <w:divBdr>
            <w:top w:val="none" w:sz="0" w:space="0" w:color="auto"/>
            <w:left w:val="none" w:sz="0" w:space="0" w:color="auto"/>
            <w:bottom w:val="none" w:sz="0" w:space="0" w:color="auto"/>
            <w:right w:val="none" w:sz="0" w:space="0" w:color="auto"/>
          </w:divBdr>
        </w:div>
        <w:div w:id="2124374812">
          <w:marLeft w:val="0"/>
          <w:marRight w:val="0"/>
          <w:marTop w:val="0"/>
          <w:marBottom w:val="0"/>
          <w:divBdr>
            <w:top w:val="none" w:sz="0" w:space="0" w:color="auto"/>
            <w:left w:val="none" w:sz="0" w:space="0" w:color="auto"/>
            <w:bottom w:val="none" w:sz="0" w:space="0" w:color="auto"/>
            <w:right w:val="none" w:sz="0" w:space="0" w:color="auto"/>
          </w:divBdr>
        </w:div>
        <w:div w:id="1616674071">
          <w:marLeft w:val="0"/>
          <w:marRight w:val="0"/>
          <w:marTop w:val="0"/>
          <w:marBottom w:val="0"/>
          <w:divBdr>
            <w:top w:val="none" w:sz="0" w:space="0" w:color="auto"/>
            <w:left w:val="none" w:sz="0" w:space="0" w:color="auto"/>
            <w:bottom w:val="none" w:sz="0" w:space="0" w:color="auto"/>
            <w:right w:val="none" w:sz="0" w:space="0" w:color="auto"/>
          </w:divBdr>
        </w:div>
        <w:div w:id="2128891944">
          <w:marLeft w:val="0"/>
          <w:marRight w:val="0"/>
          <w:marTop w:val="0"/>
          <w:marBottom w:val="0"/>
          <w:divBdr>
            <w:top w:val="none" w:sz="0" w:space="0" w:color="auto"/>
            <w:left w:val="none" w:sz="0" w:space="0" w:color="auto"/>
            <w:bottom w:val="none" w:sz="0" w:space="0" w:color="auto"/>
            <w:right w:val="none" w:sz="0" w:space="0" w:color="auto"/>
          </w:divBdr>
        </w:div>
        <w:div w:id="652220827">
          <w:marLeft w:val="0"/>
          <w:marRight w:val="0"/>
          <w:marTop w:val="0"/>
          <w:marBottom w:val="0"/>
          <w:divBdr>
            <w:top w:val="none" w:sz="0" w:space="0" w:color="auto"/>
            <w:left w:val="none" w:sz="0" w:space="0" w:color="auto"/>
            <w:bottom w:val="none" w:sz="0" w:space="0" w:color="auto"/>
            <w:right w:val="none" w:sz="0" w:space="0" w:color="auto"/>
          </w:divBdr>
        </w:div>
        <w:div w:id="1510755409">
          <w:marLeft w:val="0"/>
          <w:marRight w:val="0"/>
          <w:marTop w:val="0"/>
          <w:marBottom w:val="0"/>
          <w:divBdr>
            <w:top w:val="none" w:sz="0" w:space="0" w:color="auto"/>
            <w:left w:val="none" w:sz="0" w:space="0" w:color="auto"/>
            <w:bottom w:val="none" w:sz="0" w:space="0" w:color="auto"/>
            <w:right w:val="none" w:sz="0" w:space="0" w:color="auto"/>
          </w:divBdr>
        </w:div>
        <w:div w:id="1568758941">
          <w:marLeft w:val="0"/>
          <w:marRight w:val="0"/>
          <w:marTop w:val="0"/>
          <w:marBottom w:val="0"/>
          <w:divBdr>
            <w:top w:val="none" w:sz="0" w:space="0" w:color="auto"/>
            <w:left w:val="none" w:sz="0" w:space="0" w:color="auto"/>
            <w:bottom w:val="none" w:sz="0" w:space="0" w:color="auto"/>
            <w:right w:val="none" w:sz="0" w:space="0" w:color="auto"/>
          </w:divBdr>
        </w:div>
        <w:div w:id="307325954">
          <w:marLeft w:val="0"/>
          <w:marRight w:val="0"/>
          <w:marTop w:val="0"/>
          <w:marBottom w:val="0"/>
          <w:divBdr>
            <w:top w:val="none" w:sz="0" w:space="0" w:color="auto"/>
            <w:left w:val="none" w:sz="0" w:space="0" w:color="auto"/>
            <w:bottom w:val="none" w:sz="0" w:space="0" w:color="auto"/>
            <w:right w:val="none" w:sz="0" w:space="0" w:color="auto"/>
          </w:divBdr>
        </w:div>
        <w:div w:id="768427219">
          <w:marLeft w:val="0"/>
          <w:marRight w:val="0"/>
          <w:marTop w:val="0"/>
          <w:marBottom w:val="0"/>
          <w:divBdr>
            <w:top w:val="none" w:sz="0" w:space="0" w:color="auto"/>
            <w:left w:val="none" w:sz="0" w:space="0" w:color="auto"/>
            <w:bottom w:val="none" w:sz="0" w:space="0" w:color="auto"/>
            <w:right w:val="none" w:sz="0" w:space="0" w:color="auto"/>
          </w:divBdr>
        </w:div>
      </w:divsChild>
    </w:div>
    <w:div w:id="1503622643">
      <w:marLeft w:val="0"/>
      <w:marRight w:val="0"/>
      <w:marTop w:val="180"/>
      <w:marBottom w:val="0"/>
      <w:divBdr>
        <w:top w:val="none" w:sz="0" w:space="0" w:color="auto"/>
        <w:left w:val="none" w:sz="0" w:space="0" w:color="auto"/>
        <w:bottom w:val="none" w:sz="0" w:space="0" w:color="auto"/>
        <w:right w:val="none" w:sz="0" w:space="0" w:color="auto"/>
      </w:divBdr>
    </w:div>
    <w:div w:id="1504278904">
      <w:marLeft w:val="0"/>
      <w:marRight w:val="0"/>
      <w:marTop w:val="0"/>
      <w:marBottom w:val="0"/>
      <w:divBdr>
        <w:top w:val="none" w:sz="0" w:space="0" w:color="auto"/>
        <w:left w:val="none" w:sz="0" w:space="0" w:color="auto"/>
        <w:bottom w:val="none" w:sz="0" w:space="0" w:color="auto"/>
        <w:right w:val="none" w:sz="0" w:space="0" w:color="auto"/>
      </w:divBdr>
    </w:div>
    <w:div w:id="1507476566">
      <w:marLeft w:val="0"/>
      <w:marRight w:val="0"/>
      <w:marTop w:val="180"/>
      <w:marBottom w:val="120"/>
      <w:divBdr>
        <w:top w:val="none" w:sz="0" w:space="0" w:color="auto"/>
        <w:left w:val="none" w:sz="0" w:space="0" w:color="auto"/>
        <w:bottom w:val="none" w:sz="0" w:space="0" w:color="auto"/>
        <w:right w:val="none" w:sz="0" w:space="0" w:color="auto"/>
      </w:divBdr>
    </w:div>
    <w:div w:id="1509370601">
      <w:marLeft w:val="0"/>
      <w:marRight w:val="0"/>
      <w:marTop w:val="0"/>
      <w:marBottom w:val="0"/>
      <w:divBdr>
        <w:top w:val="none" w:sz="0" w:space="0" w:color="auto"/>
        <w:left w:val="none" w:sz="0" w:space="0" w:color="auto"/>
        <w:bottom w:val="none" w:sz="0" w:space="0" w:color="auto"/>
        <w:right w:val="none" w:sz="0" w:space="0" w:color="auto"/>
      </w:divBdr>
      <w:divsChild>
        <w:div w:id="1442534411">
          <w:marLeft w:val="0"/>
          <w:marRight w:val="0"/>
          <w:marTop w:val="0"/>
          <w:marBottom w:val="0"/>
          <w:divBdr>
            <w:top w:val="none" w:sz="0" w:space="0" w:color="auto"/>
            <w:left w:val="none" w:sz="0" w:space="0" w:color="auto"/>
            <w:bottom w:val="none" w:sz="0" w:space="0" w:color="auto"/>
            <w:right w:val="none" w:sz="0" w:space="0" w:color="auto"/>
          </w:divBdr>
          <w:divsChild>
            <w:div w:id="14384508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09784923">
      <w:marLeft w:val="0"/>
      <w:marRight w:val="0"/>
      <w:marTop w:val="180"/>
      <w:marBottom w:val="0"/>
      <w:divBdr>
        <w:top w:val="none" w:sz="0" w:space="0" w:color="auto"/>
        <w:left w:val="none" w:sz="0" w:space="0" w:color="auto"/>
        <w:bottom w:val="none" w:sz="0" w:space="0" w:color="auto"/>
        <w:right w:val="none" w:sz="0" w:space="0" w:color="auto"/>
      </w:divBdr>
    </w:div>
    <w:div w:id="1510094576">
      <w:marLeft w:val="0"/>
      <w:marRight w:val="0"/>
      <w:marTop w:val="180"/>
      <w:marBottom w:val="0"/>
      <w:divBdr>
        <w:top w:val="none" w:sz="0" w:space="0" w:color="auto"/>
        <w:left w:val="none" w:sz="0" w:space="0" w:color="auto"/>
        <w:bottom w:val="none" w:sz="0" w:space="0" w:color="auto"/>
        <w:right w:val="none" w:sz="0" w:space="0" w:color="auto"/>
      </w:divBdr>
    </w:div>
    <w:div w:id="1511021929">
      <w:marLeft w:val="0"/>
      <w:marRight w:val="0"/>
      <w:marTop w:val="180"/>
      <w:marBottom w:val="0"/>
      <w:divBdr>
        <w:top w:val="none" w:sz="0" w:space="0" w:color="auto"/>
        <w:left w:val="none" w:sz="0" w:space="0" w:color="auto"/>
        <w:bottom w:val="none" w:sz="0" w:space="0" w:color="auto"/>
        <w:right w:val="none" w:sz="0" w:space="0" w:color="auto"/>
      </w:divBdr>
    </w:div>
    <w:div w:id="1514686914">
      <w:marLeft w:val="0"/>
      <w:marRight w:val="0"/>
      <w:marTop w:val="0"/>
      <w:marBottom w:val="0"/>
      <w:divBdr>
        <w:top w:val="none" w:sz="0" w:space="0" w:color="auto"/>
        <w:left w:val="none" w:sz="0" w:space="0" w:color="auto"/>
        <w:bottom w:val="none" w:sz="0" w:space="0" w:color="auto"/>
        <w:right w:val="none" w:sz="0" w:space="0" w:color="auto"/>
      </w:divBdr>
      <w:divsChild>
        <w:div w:id="1306622790">
          <w:marLeft w:val="0"/>
          <w:marRight w:val="0"/>
          <w:marTop w:val="0"/>
          <w:marBottom w:val="0"/>
          <w:divBdr>
            <w:top w:val="none" w:sz="0" w:space="0" w:color="auto"/>
            <w:left w:val="none" w:sz="0" w:space="0" w:color="auto"/>
            <w:bottom w:val="none" w:sz="0" w:space="0" w:color="auto"/>
            <w:right w:val="none" w:sz="0" w:space="0" w:color="auto"/>
          </w:divBdr>
        </w:div>
      </w:divsChild>
    </w:div>
    <w:div w:id="1515652795">
      <w:marLeft w:val="0"/>
      <w:marRight w:val="0"/>
      <w:marTop w:val="180"/>
      <w:marBottom w:val="0"/>
      <w:divBdr>
        <w:top w:val="none" w:sz="0" w:space="0" w:color="auto"/>
        <w:left w:val="none" w:sz="0" w:space="0" w:color="auto"/>
        <w:bottom w:val="none" w:sz="0" w:space="0" w:color="auto"/>
        <w:right w:val="none" w:sz="0" w:space="0" w:color="auto"/>
      </w:divBdr>
    </w:div>
    <w:div w:id="1518498822">
      <w:marLeft w:val="0"/>
      <w:marRight w:val="0"/>
      <w:marTop w:val="0"/>
      <w:marBottom w:val="120"/>
      <w:divBdr>
        <w:top w:val="none" w:sz="0" w:space="0" w:color="auto"/>
        <w:left w:val="none" w:sz="0" w:space="0" w:color="auto"/>
        <w:bottom w:val="none" w:sz="0" w:space="0" w:color="auto"/>
        <w:right w:val="none" w:sz="0" w:space="0" w:color="auto"/>
      </w:divBdr>
      <w:divsChild>
        <w:div w:id="1605382315">
          <w:marLeft w:val="0"/>
          <w:marRight w:val="0"/>
          <w:marTop w:val="0"/>
          <w:marBottom w:val="60"/>
          <w:divBdr>
            <w:top w:val="none" w:sz="0" w:space="0" w:color="auto"/>
            <w:left w:val="none" w:sz="0" w:space="0" w:color="auto"/>
            <w:bottom w:val="none" w:sz="0" w:space="0" w:color="auto"/>
            <w:right w:val="none" w:sz="0" w:space="0" w:color="auto"/>
          </w:divBdr>
        </w:div>
        <w:div w:id="655106107">
          <w:marLeft w:val="0"/>
          <w:marRight w:val="0"/>
          <w:marTop w:val="0"/>
          <w:marBottom w:val="60"/>
          <w:divBdr>
            <w:top w:val="none" w:sz="0" w:space="0" w:color="auto"/>
            <w:left w:val="none" w:sz="0" w:space="0" w:color="auto"/>
            <w:bottom w:val="none" w:sz="0" w:space="0" w:color="auto"/>
            <w:right w:val="none" w:sz="0" w:space="0" w:color="auto"/>
          </w:divBdr>
        </w:div>
        <w:div w:id="2066369927">
          <w:marLeft w:val="0"/>
          <w:marRight w:val="0"/>
          <w:marTop w:val="0"/>
          <w:marBottom w:val="60"/>
          <w:divBdr>
            <w:top w:val="none" w:sz="0" w:space="0" w:color="auto"/>
            <w:left w:val="none" w:sz="0" w:space="0" w:color="auto"/>
            <w:bottom w:val="none" w:sz="0" w:space="0" w:color="auto"/>
            <w:right w:val="none" w:sz="0" w:space="0" w:color="auto"/>
          </w:divBdr>
        </w:div>
        <w:div w:id="1182545193">
          <w:marLeft w:val="0"/>
          <w:marRight w:val="0"/>
          <w:marTop w:val="0"/>
          <w:marBottom w:val="60"/>
          <w:divBdr>
            <w:top w:val="none" w:sz="0" w:space="0" w:color="auto"/>
            <w:left w:val="none" w:sz="0" w:space="0" w:color="auto"/>
            <w:bottom w:val="none" w:sz="0" w:space="0" w:color="auto"/>
            <w:right w:val="none" w:sz="0" w:space="0" w:color="auto"/>
          </w:divBdr>
        </w:div>
        <w:div w:id="1950237793">
          <w:marLeft w:val="0"/>
          <w:marRight w:val="0"/>
          <w:marTop w:val="0"/>
          <w:marBottom w:val="60"/>
          <w:divBdr>
            <w:top w:val="none" w:sz="0" w:space="0" w:color="auto"/>
            <w:left w:val="none" w:sz="0" w:space="0" w:color="auto"/>
            <w:bottom w:val="none" w:sz="0" w:space="0" w:color="auto"/>
            <w:right w:val="none" w:sz="0" w:space="0" w:color="auto"/>
          </w:divBdr>
        </w:div>
        <w:div w:id="1258489044">
          <w:marLeft w:val="0"/>
          <w:marRight w:val="0"/>
          <w:marTop w:val="0"/>
          <w:marBottom w:val="60"/>
          <w:divBdr>
            <w:top w:val="none" w:sz="0" w:space="0" w:color="auto"/>
            <w:left w:val="none" w:sz="0" w:space="0" w:color="auto"/>
            <w:bottom w:val="none" w:sz="0" w:space="0" w:color="auto"/>
            <w:right w:val="none" w:sz="0" w:space="0" w:color="auto"/>
          </w:divBdr>
        </w:div>
      </w:divsChild>
    </w:div>
    <w:div w:id="1519152598">
      <w:marLeft w:val="0"/>
      <w:marRight w:val="0"/>
      <w:marTop w:val="180"/>
      <w:marBottom w:val="0"/>
      <w:divBdr>
        <w:top w:val="none" w:sz="0" w:space="0" w:color="auto"/>
        <w:left w:val="none" w:sz="0" w:space="0" w:color="auto"/>
        <w:bottom w:val="none" w:sz="0" w:space="0" w:color="auto"/>
        <w:right w:val="none" w:sz="0" w:space="0" w:color="auto"/>
      </w:divBdr>
    </w:div>
    <w:div w:id="1523201183">
      <w:marLeft w:val="0"/>
      <w:marRight w:val="0"/>
      <w:marTop w:val="180"/>
      <w:marBottom w:val="0"/>
      <w:divBdr>
        <w:top w:val="none" w:sz="0" w:space="0" w:color="auto"/>
        <w:left w:val="none" w:sz="0" w:space="0" w:color="auto"/>
        <w:bottom w:val="none" w:sz="0" w:space="0" w:color="auto"/>
        <w:right w:val="none" w:sz="0" w:space="0" w:color="auto"/>
      </w:divBdr>
    </w:div>
    <w:div w:id="1524896578">
      <w:marLeft w:val="0"/>
      <w:marRight w:val="0"/>
      <w:marTop w:val="0"/>
      <w:marBottom w:val="0"/>
      <w:divBdr>
        <w:top w:val="none" w:sz="0" w:space="0" w:color="auto"/>
        <w:left w:val="none" w:sz="0" w:space="0" w:color="auto"/>
        <w:bottom w:val="none" w:sz="0" w:space="0" w:color="auto"/>
        <w:right w:val="none" w:sz="0" w:space="0" w:color="auto"/>
      </w:divBdr>
      <w:divsChild>
        <w:div w:id="223683252">
          <w:marLeft w:val="0"/>
          <w:marRight w:val="0"/>
          <w:marTop w:val="0"/>
          <w:marBottom w:val="0"/>
          <w:divBdr>
            <w:top w:val="none" w:sz="0" w:space="0" w:color="auto"/>
            <w:left w:val="none" w:sz="0" w:space="0" w:color="auto"/>
            <w:bottom w:val="none" w:sz="0" w:space="0" w:color="auto"/>
            <w:right w:val="none" w:sz="0" w:space="0" w:color="auto"/>
          </w:divBdr>
          <w:divsChild>
            <w:div w:id="4728744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25636487">
      <w:marLeft w:val="0"/>
      <w:marRight w:val="0"/>
      <w:marTop w:val="180"/>
      <w:marBottom w:val="0"/>
      <w:divBdr>
        <w:top w:val="none" w:sz="0" w:space="0" w:color="auto"/>
        <w:left w:val="none" w:sz="0" w:space="0" w:color="auto"/>
        <w:bottom w:val="none" w:sz="0" w:space="0" w:color="auto"/>
        <w:right w:val="none" w:sz="0" w:space="0" w:color="auto"/>
      </w:divBdr>
    </w:div>
    <w:div w:id="1529293428">
      <w:marLeft w:val="0"/>
      <w:marRight w:val="0"/>
      <w:marTop w:val="120"/>
      <w:marBottom w:val="0"/>
      <w:divBdr>
        <w:top w:val="none" w:sz="0" w:space="0" w:color="auto"/>
        <w:left w:val="none" w:sz="0" w:space="0" w:color="auto"/>
        <w:bottom w:val="none" w:sz="0" w:space="0" w:color="auto"/>
        <w:right w:val="none" w:sz="0" w:space="0" w:color="auto"/>
      </w:divBdr>
    </w:div>
    <w:div w:id="1532958143">
      <w:marLeft w:val="0"/>
      <w:marRight w:val="0"/>
      <w:marTop w:val="180"/>
      <w:marBottom w:val="240"/>
      <w:divBdr>
        <w:top w:val="none" w:sz="0" w:space="0" w:color="auto"/>
        <w:left w:val="none" w:sz="0" w:space="0" w:color="auto"/>
        <w:bottom w:val="none" w:sz="0" w:space="0" w:color="auto"/>
        <w:right w:val="none" w:sz="0" w:space="0" w:color="auto"/>
      </w:divBdr>
    </w:div>
    <w:div w:id="1536960194">
      <w:marLeft w:val="0"/>
      <w:marRight w:val="0"/>
      <w:marTop w:val="180"/>
      <w:marBottom w:val="0"/>
      <w:divBdr>
        <w:top w:val="none" w:sz="0" w:space="0" w:color="auto"/>
        <w:left w:val="none" w:sz="0" w:space="0" w:color="auto"/>
        <w:bottom w:val="none" w:sz="0" w:space="0" w:color="auto"/>
        <w:right w:val="none" w:sz="0" w:space="0" w:color="auto"/>
      </w:divBdr>
    </w:div>
    <w:div w:id="1539392664">
      <w:marLeft w:val="0"/>
      <w:marRight w:val="0"/>
      <w:marTop w:val="180"/>
      <w:marBottom w:val="0"/>
      <w:divBdr>
        <w:top w:val="none" w:sz="0" w:space="0" w:color="auto"/>
        <w:left w:val="none" w:sz="0" w:space="0" w:color="auto"/>
        <w:bottom w:val="none" w:sz="0" w:space="0" w:color="auto"/>
        <w:right w:val="none" w:sz="0" w:space="0" w:color="auto"/>
      </w:divBdr>
    </w:div>
    <w:div w:id="1539590798">
      <w:marLeft w:val="0"/>
      <w:marRight w:val="0"/>
      <w:marTop w:val="0"/>
      <w:marBottom w:val="0"/>
      <w:divBdr>
        <w:top w:val="none" w:sz="0" w:space="0" w:color="auto"/>
        <w:left w:val="none" w:sz="0" w:space="0" w:color="auto"/>
        <w:bottom w:val="none" w:sz="0" w:space="0" w:color="auto"/>
        <w:right w:val="none" w:sz="0" w:space="0" w:color="auto"/>
      </w:divBdr>
      <w:divsChild>
        <w:div w:id="2103837905">
          <w:marLeft w:val="0"/>
          <w:marRight w:val="0"/>
          <w:marTop w:val="0"/>
          <w:marBottom w:val="0"/>
          <w:divBdr>
            <w:top w:val="none" w:sz="0" w:space="0" w:color="auto"/>
            <w:left w:val="none" w:sz="0" w:space="0" w:color="auto"/>
            <w:bottom w:val="none" w:sz="0" w:space="0" w:color="auto"/>
            <w:right w:val="none" w:sz="0" w:space="0" w:color="auto"/>
          </w:divBdr>
          <w:divsChild>
            <w:div w:id="7969460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42403030">
      <w:marLeft w:val="0"/>
      <w:marRight w:val="0"/>
      <w:marTop w:val="120"/>
      <w:marBottom w:val="0"/>
      <w:divBdr>
        <w:top w:val="none" w:sz="0" w:space="0" w:color="auto"/>
        <w:left w:val="none" w:sz="0" w:space="0" w:color="auto"/>
        <w:bottom w:val="none" w:sz="0" w:space="0" w:color="auto"/>
        <w:right w:val="none" w:sz="0" w:space="0" w:color="auto"/>
      </w:divBdr>
    </w:div>
    <w:div w:id="1543516054">
      <w:marLeft w:val="0"/>
      <w:marRight w:val="0"/>
      <w:marTop w:val="240"/>
      <w:marBottom w:val="0"/>
      <w:divBdr>
        <w:top w:val="none" w:sz="0" w:space="0" w:color="auto"/>
        <w:left w:val="none" w:sz="0" w:space="0" w:color="auto"/>
        <w:bottom w:val="none" w:sz="0" w:space="0" w:color="auto"/>
        <w:right w:val="none" w:sz="0" w:space="0" w:color="auto"/>
      </w:divBdr>
      <w:divsChild>
        <w:div w:id="995766018">
          <w:marLeft w:val="0"/>
          <w:marRight w:val="0"/>
          <w:marTop w:val="0"/>
          <w:marBottom w:val="0"/>
          <w:divBdr>
            <w:top w:val="none" w:sz="0" w:space="0" w:color="auto"/>
            <w:left w:val="none" w:sz="0" w:space="0" w:color="auto"/>
            <w:bottom w:val="none" w:sz="0" w:space="0" w:color="auto"/>
            <w:right w:val="none" w:sz="0" w:space="0" w:color="auto"/>
          </w:divBdr>
        </w:div>
      </w:divsChild>
    </w:div>
    <w:div w:id="1544369607">
      <w:marLeft w:val="0"/>
      <w:marRight w:val="0"/>
      <w:marTop w:val="180"/>
      <w:marBottom w:val="0"/>
      <w:divBdr>
        <w:top w:val="none" w:sz="0" w:space="0" w:color="auto"/>
        <w:left w:val="none" w:sz="0" w:space="0" w:color="auto"/>
        <w:bottom w:val="none" w:sz="0" w:space="0" w:color="auto"/>
        <w:right w:val="none" w:sz="0" w:space="0" w:color="auto"/>
      </w:divBdr>
    </w:div>
    <w:div w:id="1544634502">
      <w:marLeft w:val="0"/>
      <w:marRight w:val="0"/>
      <w:marTop w:val="180"/>
      <w:marBottom w:val="0"/>
      <w:divBdr>
        <w:top w:val="none" w:sz="0" w:space="0" w:color="auto"/>
        <w:left w:val="none" w:sz="0" w:space="0" w:color="auto"/>
        <w:bottom w:val="none" w:sz="0" w:space="0" w:color="auto"/>
        <w:right w:val="none" w:sz="0" w:space="0" w:color="auto"/>
      </w:divBdr>
    </w:div>
    <w:div w:id="1545558546">
      <w:marLeft w:val="0"/>
      <w:marRight w:val="0"/>
      <w:marTop w:val="180"/>
      <w:marBottom w:val="0"/>
      <w:divBdr>
        <w:top w:val="none" w:sz="0" w:space="0" w:color="auto"/>
        <w:left w:val="none" w:sz="0" w:space="0" w:color="auto"/>
        <w:bottom w:val="none" w:sz="0" w:space="0" w:color="auto"/>
        <w:right w:val="none" w:sz="0" w:space="0" w:color="auto"/>
      </w:divBdr>
    </w:div>
    <w:div w:id="1547528458">
      <w:marLeft w:val="0"/>
      <w:marRight w:val="0"/>
      <w:marTop w:val="120"/>
      <w:marBottom w:val="0"/>
      <w:divBdr>
        <w:top w:val="none" w:sz="0" w:space="0" w:color="auto"/>
        <w:left w:val="none" w:sz="0" w:space="0" w:color="auto"/>
        <w:bottom w:val="none" w:sz="0" w:space="0" w:color="auto"/>
        <w:right w:val="none" w:sz="0" w:space="0" w:color="auto"/>
      </w:divBdr>
    </w:div>
    <w:div w:id="1549103227">
      <w:marLeft w:val="0"/>
      <w:marRight w:val="0"/>
      <w:marTop w:val="0"/>
      <w:marBottom w:val="200"/>
      <w:divBdr>
        <w:top w:val="none" w:sz="0" w:space="0" w:color="auto"/>
        <w:left w:val="none" w:sz="0" w:space="0" w:color="auto"/>
        <w:bottom w:val="none" w:sz="0" w:space="0" w:color="auto"/>
        <w:right w:val="none" w:sz="0" w:space="0" w:color="auto"/>
      </w:divBdr>
    </w:div>
    <w:div w:id="1549145007">
      <w:marLeft w:val="0"/>
      <w:marRight w:val="0"/>
      <w:marTop w:val="180"/>
      <w:marBottom w:val="0"/>
      <w:divBdr>
        <w:top w:val="none" w:sz="0" w:space="0" w:color="auto"/>
        <w:left w:val="none" w:sz="0" w:space="0" w:color="auto"/>
        <w:bottom w:val="none" w:sz="0" w:space="0" w:color="auto"/>
        <w:right w:val="none" w:sz="0" w:space="0" w:color="auto"/>
      </w:divBdr>
    </w:div>
    <w:div w:id="1550268185">
      <w:marLeft w:val="0"/>
      <w:marRight w:val="0"/>
      <w:marTop w:val="0"/>
      <w:marBottom w:val="0"/>
      <w:divBdr>
        <w:top w:val="none" w:sz="0" w:space="0" w:color="auto"/>
        <w:left w:val="none" w:sz="0" w:space="0" w:color="auto"/>
        <w:bottom w:val="none" w:sz="0" w:space="0" w:color="auto"/>
        <w:right w:val="none" w:sz="0" w:space="0" w:color="auto"/>
      </w:divBdr>
      <w:divsChild>
        <w:div w:id="1044987927">
          <w:marLeft w:val="0"/>
          <w:marRight w:val="0"/>
          <w:marTop w:val="180"/>
          <w:marBottom w:val="0"/>
          <w:divBdr>
            <w:top w:val="none" w:sz="0" w:space="0" w:color="auto"/>
            <w:left w:val="none" w:sz="0" w:space="0" w:color="auto"/>
            <w:bottom w:val="none" w:sz="0" w:space="0" w:color="auto"/>
            <w:right w:val="none" w:sz="0" w:space="0" w:color="auto"/>
          </w:divBdr>
        </w:div>
      </w:divsChild>
    </w:div>
    <w:div w:id="1551383116">
      <w:marLeft w:val="0"/>
      <w:marRight w:val="0"/>
      <w:marTop w:val="0"/>
      <w:marBottom w:val="0"/>
      <w:divBdr>
        <w:top w:val="none" w:sz="0" w:space="0" w:color="auto"/>
        <w:left w:val="none" w:sz="0" w:space="0" w:color="auto"/>
        <w:bottom w:val="none" w:sz="0" w:space="0" w:color="auto"/>
        <w:right w:val="none" w:sz="0" w:space="0" w:color="auto"/>
      </w:divBdr>
      <w:divsChild>
        <w:div w:id="222645079">
          <w:marLeft w:val="0"/>
          <w:marRight w:val="0"/>
          <w:marTop w:val="0"/>
          <w:marBottom w:val="0"/>
          <w:divBdr>
            <w:top w:val="none" w:sz="0" w:space="0" w:color="auto"/>
            <w:left w:val="none" w:sz="0" w:space="0" w:color="auto"/>
            <w:bottom w:val="none" w:sz="0" w:space="0" w:color="auto"/>
            <w:right w:val="none" w:sz="0" w:space="0" w:color="auto"/>
          </w:divBdr>
          <w:divsChild>
            <w:div w:id="3063278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52351897">
      <w:marLeft w:val="0"/>
      <w:marRight w:val="0"/>
      <w:marTop w:val="180"/>
      <w:marBottom w:val="120"/>
      <w:divBdr>
        <w:top w:val="none" w:sz="0" w:space="0" w:color="auto"/>
        <w:left w:val="none" w:sz="0" w:space="0" w:color="auto"/>
        <w:bottom w:val="none" w:sz="0" w:space="0" w:color="auto"/>
        <w:right w:val="none" w:sz="0" w:space="0" w:color="auto"/>
      </w:divBdr>
      <w:divsChild>
        <w:div w:id="1440759978">
          <w:marLeft w:val="0"/>
          <w:marRight w:val="0"/>
          <w:marTop w:val="0"/>
          <w:marBottom w:val="0"/>
          <w:divBdr>
            <w:top w:val="none" w:sz="0" w:space="0" w:color="auto"/>
            <w:left w:val="none" w:sz="0" w:space="0" w:color="auto"/>
            <w:bottom w:val="none" w:sz="0" w:space="0" w:color="auto"/>
            <w:right w:val="none" w:sz="0" w:space="0" w:color="auto"/>
          </w:divBdr>
        </w:div>
        <w:div w:id="1279989118">
          <w:marLeft w:val="0"/>
          <w:marRight w:val="0"/>
          <w:marTop w:val="0"/>
          <w:marBottom w:val="0"/>
          <w:divBdr>
            <w:top w:val="none" w:sz="0" w:space="0" w:color="auto"/>
            <w:left w:val="none" w:sz="0" w:space="0" w:color="auto"/>
            <w:bottom w:val="none" w:sz="0" w:space="0" w:color="auto"/>
            <w:right w:val="none" w:sz="0" w:space="0" w:color="auto"/>
          </w:divBdr>
        </w:div>
      </w:divsChild>
    </w:div>
    <w:div w:id="1552770781">
      <w:marLeft w:val="0"/>
      <w:marRight w:val="0"/>
      <w:marTop w:val="180"/>
      <w:marBottom w:val="120"/>
      <w:divBdr>
        <w:top w:val="none" w:sz="0" w:space="0" w:color="auto"/>
        <w:left w:val="none" w:sz="0" w:space="0" w:color="auto"/>
        <w:bottom w:val="none" w:sz="0" w:space="0" w:color="auto"/>
        <w:right w:val="none" w:sz="0" w:space="0" w:color="auto"/>
      </w:divBdr>
    </w:div>
    <w:div w:id="1553998643">
      <w:marLeft w:val="0"/>
      <w:marRight w:val="0"/>
      <w:marTop w:val="180"/>
      <w:marBottom w:val="0"/>
      <w:divBdr>
        <w:top w:val="none" w:sz="0" w:space="0" w:color="auto"/>
        <w:left w:val="none" w:sz="0" w:space="0" w:color="auto"/>
        <w:bottom w:val="none" w:sz="0" w:space="0" w:color="auto"/>
        <w:right w:val="none" w:sz="0" w:space="0" w:color="auto"/>
      </w:divBdr>
    </w:div>
    <w:div w:id="1554536685">
      <w:marLeft w:val="0"/>
      <w:marRight w:val="0"/>
      <w:marTop w:val="180"/>
      <w:marBottom w:val="0"/>
      <w:divBdr>
        <w:top w:val="none" w:sz="0" w:space="0" w:color="auto"/>
        <w:left w:val="none" w:sz="0" w:space="0" w:color="auto"/>
        <w:bottom w:val="none" w:sz="0" w:space="0" w:color="auto"/>
        <w:right w:val="none" w:sz="0" w:space="0" w:color="auto"/>
      </w:divBdr>
    </w:div>
    <w:div w:id="1557426963">
      <w:marLeft w:val="0"/>
      <w:marRight w:val="0"/>
      <w:marTop w:val="180"/>
      <w:marBottom w:val="0"/>
      <w:divBdr>
        <w:top w:val="none" w:sz="0" w:space="0" w:color="auto"/>
        <w:left w:val="none" w:sz="0" w:space="0" w:color="auto"/>
        <w:bottom w:val="none" w:sz="0" w:space="0" w:color="auto"/>
        <w:right w:val="none" w:sz="0" w:space="0" w:color="auto"/>
      </w:divBdr>
    </w:div>
    <w:div w:id="1562210420">
      <w:marLeft w:val="0"/>
      <w:marRight w:val="0"/>
      <w:marTop w:val="180"/>
      <w:marBottom w:val="0"/>
      <w:divBdr>
        <w:top w:val="none" w:sz="0" w:space="0" w:color="auto"/>
        <w:left w:val="none" w:sz="0" w:space="0" w:color="auto"/>
        <w:bottom w:val="none" w:sz="0" w:space="0" w:color="auto"/>
        <w:right w:val="none" w:sz="0" w:space="0" w:color="auto"/>
      </w:divBdr>
    </w:div>
    <w:div w:id="1565289472">
      <w:marLeft w:val="0"/>
      <w:marRight w:val="0"/>
      <w:marTop w:val="180"/>
      <w:marBottom w:val="0"/>
      <w:divBdr>
        <w:top w:val="none" w:sz="0" w:space="0" w:color="auto"/>
        <w:left w:val="none" w:sz="0" w:space="0" w:color="auto"/>
        <w:bottom w:val="none" w:sz="0" w:space="0" w:color="auto"/>
        <w:right w:val="none" w:sz="0" w:space="0" w:color="auto"/>
      </w:divBdr>
    </w:div>
    <w:div w:id="1567104747">
      <w:marLeft w:val="0"/>
      <w:marRight w:val="0"/>
      <w:marTop w:val="180"/>
      <w:marBottom w:val="0"/>
      <w:divBdr>
        <w:top w:val="none" w:sz="0" w:space="0" w:color="auto"/>
        <w:left w:val="none" w:sz="0" w:space="0" w:color="auto"/>
        <w:bottom w:val="none" w:sz="0" w:space="0" w:color="auto"/>
        <w:right w:val="none" w:sz="0" w:space="0" w:color="auto"/>
      </w:divBdr>
    </w:div>
    <w:div w:id="1567454158">
      <w:marLeft w:val="0"/>
      <w:marRight w:val="0"/>
      <w:marTop w:val="180"/>
      <w:marBottom w:val="120"/>
      <w:divBdr>
        <w:top w:val="none" w:sz="0" w:space="0" w:color="auto"/>
        <w:left w:val="none" w:sz="0" w:space="0" w:color="auto"/>
        <w:bottom w:val="none" w:sz="0" w:space="0" w:color="auto"/>
        <w:right w:val="none" w:sz="0" w:space="0" w:color="auto"/>
      </w:divBdr>
    </w:div>
    <w:div w:id="1568809138">
      <w:marLeft w:val="0"/>
      <w:marRight w:val="0"/>
      <w:marTop w:val="0"/>
      <w:marBottom w:val="0"/>
      <w:divBdr>
        <w:top w:val="none" w:sz="0" w:space="0" w:color="auto"/>
        <w:left w:val="none" w:sz="0" w:space="0" w:color="auto"/>
        <w:bottom w:val="none" w:sz="0" w:space="0" w:color="auto"/>
        <w:right w:val="none" w:sz="0" w:space="0" w:color="auto"/>
      </w:divBdr>
      <w:divsChild>
        <w:div w:id="1331056107">
          <w:marLeft w:val="0"/>
          <w:marRight w:val="0"/>
          <w:marTop w:val="180"/>
          <w:marBottom w:val="0"/>
          <w:divBdr>
            <w:top w:val="none" w:sz="0" w:space="0" w:color="auto"/>
            <w:left w:val="none" w:sz="0" w:space="0" w:color="auto"/>
            <w:bottom w:val="none" w:sz="0" w:space="0" w:color="auto"/>
            <w:right w:val="none" w:sz="0" w:space="0" w:color="auto"/>
          </w:divBdr>
        </w:div>
      </w:divsChild>
    </w:div>
    <w:div w:id="1569069470">
      <w:marLeft w:val="0"/>
      <w:marRight w:val="0"/>
      <w:marTop w:val="0"/>
      <w:marBottom w:val="0"/>
      <w:divBdr>
        <w:top w:val="none" w:sz="0" w:space="0" w:color="auto"/>
        <w:left w:val="none" w:sz="0" w:space="0" w:color="auto"/>
        <w:bottom w:val="none" w:sz="0" w:space="0" w:color="auto"/>
        <w:right w:val="none" w:sz="0" w:space="0" w:color="auto"/>
      </w:divBdr>
      <w:divsChild>
        <w:div w:id="1025448197">
          <w:marLeft w:val="0"/>
          <w:marRight w:val="0"/>
          <w:marTop w:val="0"/>
          <w:marBottom w:val="0"/>
          <w:divBdr>
            <w:top w:val="none" w:sz="0" w:space="0" w:color="auto"/>
            <w:left w:val="none" w:sz="0" w:space="0" w:color="auto"/>
            <w:bottom w:val="none" w:sz="0" w:space="0" w:color="auto"/>
            <w:right w:val="none" w:sz="0" w:space="0" w:color="auto"/>
          </w:divBdr>
          <w:divsChild>
            <w:div w:id="9387574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3004072">
      <w:marLeft w:val="0"/>
      <w:marRight w:val="0"/>
      <w:marTop w:val="0"/>
      <w:marBottom w:val="0"/>
      <w:divBdr>
        <w:top w:val="none" w:sz="0" w:space="0" w:color="auto"/>
        <w:left w:val="none" w:sz="0" w:space="0" w:color="auto"/>
        <w:bottom w:val="none" w:sz="0" w:space="0" w:color="auto"/>
        <w:right w:val="none" w:sz="0" w:space="0" w:color="auto"/>
      </w:divBdr>
      <w:divsChild>
        <w:div w:id="264655126">
          <w:marLeft w:val="0"/>
          <w:marRight w:val="0"/>
          <w:marTop w:val="0"/>
          <w:marBottom w:val="0"/>
          <w:divBdr>
            <w:top w:val="none" w:sz="0" w:space="0" w:color="auto"/>
            <w:left w:val="none" w:sz="0" w:space="0" w:color="auto"/>
            <w:bottom w:val="none" w:sz="0" w:space="0" w:color="auto"/>
            <w:right w:val="none" w:sz="0" w:space="0" w:color="auto"/>
          </w:divBdr>
          <w:divsChild>
            <w:div w:id="11550291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5822604">
      <w:marLeft w:val="0"/>
      <w:marRight w:val="0"/>
      <w:marTop w:val="180"/>
      <w:marBottom w:val="0"/>
      <w:divBdr>
        <w:top w:val="none" w:sz="0" w:space="0" w:color="auto"/>
        <w:left w:val="none" w:sz="0" w:space="0" w:color="auto"/>
        <w:bottom w:val="none" w:sz="0" w:space="0" w:color="auto"/>
        <w:right w:val="none" w:sz="0" w:space="0" w:color="auto"/>
      </w:divBdr>
    </w:div>
    <w:div w:id="1577979870">
      <w:marLeft w:val="0"/>
      <w:marRight w:val="0"/>
      <w:marTop w:val="180"/>
      <w:marBottom w:val="0"/>
      <w:divBdr>
        <w:top w:val="none" w:sz="0" w:space="0" w:color="auto"/>
        <w:left w:val="none" w:sz="0" w:space="0" w:color="auto"/>
        <w:bottom w:val="none" w:sz="0" w:space="0" w:color="auto"/>
        <w:right w:val="none" w:sz="0" w:space="0" w:color="auto"/>
      </w:divBdr>
    </w:div>
    <w:div w:id="1580367148">
      <w:marLeft w:val="0"/>
      <w:marRight w:val="0"/>
      <w:marTop w:val="180"/>
      <w:marBottom w:val="0"/>
      <w:divBdr>
        <w:top w:val="none" w:sz="0" w:space="0" w:color="auto"/>
        <w:left w:val="none" w:sz="0" w:space="0" w:color="auto"/>
        <w:bottom w:val="none" w:sz="0" w:space="0" w:color="auto"/>
        <w:right w:val="none" w:sz="0" w:space="0" w:color="auto"/>
      </w:divBdr>
    </w:div>
    <w:div w:id="1584294974">
      <w:marLeft w:val="0"/>
      <w:marRight w:val="0"/>
      <w:marTop w:val="120"/>
      <w:marBottom w:val="0"/>
      <w:divBdr>
        <w:top w:val="none" w:sz="0" w:space="0" w:color="auto"/>
        <w:left w:val="none" w:sz="0" w:space="0" w:color="auto"/>
        <w:bottom w:val="none" w:sz="0" w:space="0" w:color="auto"/>
        <w:right w:val="none" w:sz="0" w:space="0" w:color="auto"/>
      </w:divBdr>
    </w:div>
    <w:div w:id="1584728035">
      <w:marLeft w:val="0"/>
      <w:marRight w:val="0"/>
      <w:marTop w:val="0"/>
      <w:marBottom w:val="0"/>
      <w:divBdr>
        <w:top w:val="none" w:sz="0" w:space="0" w:color="auto"/>
        <w:left w:val="none" w:sz="0" w:space="0" w:color="auto"/>
        <w:bottom w:val="none" w:sz="0" w:space="0" w:color="auto"/>
        <w:right w:val="none" w:sz="0" w:space="0" w:color="auto"/>
      </w:divBdr>
      <w:divsChild>
        <w:div w:id="213927209">
          <w:marLeft w:val="0"/>
          <w:marRight w:val="0"/>
          <w:marTop w:val="180"/>
          <w:marBottom w:val="0"/>
          <w:divBdr>
            <w:top w:val="none" w:sz="0" w:space="0" w:color="auto"/>
            <w:left w:val="none" w:sz="0" w:space="0" w:color="auto"/>
            <w:bottom w:val="none" w:sz="0" w:space="0" w:color="auto"/>
            <w:right w:val="none" w:sz="0" w:space="0" w:color="auto"/>
          </w:divBdr>
        </w:div>
      </w:divsChild>
    </w:div>
    <w:div w:id="1585141424">
      <w:marLeft w:val="0"/>
      <w:marRight w:val="0"/>
      <w:marTop w:val="180"/>
      <w:marBottom w:val="0"/>
      <w:divBdr>
        <w:top w:val="none" w:sz="0" w:space="0" w:color="auto"/>
        <w:left w:val="none" w:sz="0" w:space="0" w:color="auto"/>
        <w:bottom w:val="none" w:sz="0" w:space="0" w:color="auto"/>
        <w:right w:val="none" w:sz="0" w:space="0" w:color="auto"/>
      </w:divBdr>
    </w:div>
    <w:div w:id="1586066046">
      <w:marLeft w:val="0"/>
      <w:marRight w:val="0"/>
      <w:marTop w:val="180"/>
      <w:marBottom w:val="0"/>
      <w:divBdr>
        <w:top w:val="none" w:sz="0" w:space="0" w:color="auto"/>
        <w:left w:val="none" w:sz="0" w:space="0" w:color="auto"/>
        <w:bottom w:val="none" w:sz="0" w:space="0" w:color="auto"/>
        <w:right w:val="none" w:sz="0" w:space="0" w:color="auto"/>
      </w:divBdr>
    </w:div>
    <w:div w:id="1586572078">
      <w:marLeft w:val="0"/>
      <w:marRight w:val="0"/>
      <w:marTop w:val="180"/>
      <w:marBottom w:val="0"/>
      <w:divBdr>
        <w:top w:val="none" w:sz="0" w:space="0" w:color="auto"/>
        <w:left w:val="none" w:sz="0" w:space="0" w:color="auto"/>
        <w:bottom w:val="none" w:sz="0" w:space="0" w:color="auto"/>
        <w:right w:val="none" w:sz="0" w:space="0" w:color="auto"/>
      </w:divBdr>
    </w:div>
    <w:div w:id="1588726693">
      <w:marLeft w:val="0"/>
      <w:marRight w:val="0"/>
      <w:marTop w:val="180"/>
      <w:marBottom w:val="0"/>
      <w:divBdr>
        <w:top w:val="none" w:sz="0" w:space="0" w:color="auto"/>
        <w:left w:val="none" w:sz="0" w:space="0" w:color="auto"/>
        <w:bottom w:val="none" w:sz="0" w:space="0" w:color="auto"/>
        <w:right w:val="none" w:sz="0" w:space="0" w:color="auto"/>
      </w:divBdr>
    </w:div>
    <w:div w:id="1592006930">
      <w:marLeft w:val="0"/>
      <w:marRight w:val="0"/>
      <w:marTop w:val="120"/>
      <w:marBottom w:val="0"/>
      <w:divBdr>
        <w:top w:val="none" w:sz="0" w:space="0" w:color="auto"/>
        <w:left w:val="none" w:sz="0" w:space="0" w:color="auto"/>
        <w:bottom w:val="none" w:sz="0" w:space="0" w:color="auto"/>
        <w:right w:val="none" w:sz="0" w:space="0" w:color="auto"/>
      </w:divBdr>
    </w:div>
    <w:div w:id="1592272310">
      <w:marLeft w:val="0"/>
      <w:marRight w:val="0"/>
      <w:marTop w:val="240"/>
      <w:marBottom w:val="120"/>
      <w:divBdr>
        <w:top w:val="none" w:sz="0" w:space="0" w:color="auto"/>
        <w:left w:val="none" w:sz="0" w:space="0" w:color="auto"/>
        <w:bottom w:val="none" w:sz="0" w:space="0" w:color="auto"/>
        <w:right w:val="none" w:sz="0" w:space="0" w:color="auto"/>
      </w:divBdr>
      <w:divsChild>
        <w:div w:id="439841274">
          <w:marLeft w:val="0"/>
          <w:marRight w:val="0"/>
          <w:marTop w:val="0"/>
          <w:marBottom w:val="0"/>
          <w:divBdr>
            <w:top w:val="none" w:sz="0" w:space="0" w:color="auto"/>
            <w:left w:val="none" w:sz="0" w:space="0" w:color="auto"/>
            <w:bottom w:val="none" w:sz="0" w:space="0" w:color="auto"/>
            <w:right w:val="none" w:sz="0" w:space="0" w:color="auto"/>
          </w:divBdr>
        </w:div>
        <w:div w:id="625890643">
          <w:marLeft w:val="0"/>
          <w:marRight w:val="0"/>
          <w:marTop w:val="0"/>
          <w:marBottom w:val="0"/>
          <w:divBdr>
            <w:top w:val="none" w:sz="0" w:space="0" w:color="auto"/>
            <w:left w:val="none" w:sz="0" w:space="0" w:color="auto"/>
            <w:bottom w:val="none" w:sz="0" w:space="0" w:color="auto"/>
            <w:right w:val="none" w:sz="0" w:space="0" w:color="auto"/>
          </w:divBdr>
        </w:div>
        <w:div w:id="1752385087">
          <w:marLeft w:val="0"/>
          <w:marRight w:val="0"/>
          <w:marTop w:val="0"/>
          <w:marBottom w:val="0"/>
          <w:divBdr>
            <w:top w:val="none" w:sz="0" w:space="0" w:color="auto"/>
            <w:left w:val="none" w:sz="0" w:space="0" w:color="auto"/>
            <w:bottom w:val="none" w:sz="0" w:space="0" w:color="auto"/>
            <w:right w:val="none" w:sz="0" w:space="0" w:color="auto"/>
          </w:divBdr>
        </w:div>
        <w:div w:id="2139638108">
          <w:marLeft w:val="0"/>
          <w:marRight w:val="0"/>
          <w:marTop w:val="0"/>
          <w:marBottom w:val="0"/>
          <w:divBdr>
            <w:top w:val="none" w:sz="0" w:space="0" w:color="auto"/>
            <w:left w:val="none" w:sz="0" w:space="0" w:color="auto"/>
            <w:bottom w:val="none" w:sz="0" w:space="0" w:color="auto"/>
            <w:right w:val="none" w:sz="0" w:space="0" w:color="auto"/>
          </w:divBdr>
        </w:div>
        <w:div w:id="2076661589">
          <w:marLeft w:val="0"/>
          <w:marRight w:val="0"/>
          <w:marTop w:val="0"/>
          <w:marBottom w:val="0"/>
          <w:divBdr>
            <w:top w:val="none" w:sz="0" w:space="0" w:color="auto"/>
            <w:left w:val="none" w:sz="0" w:space="0" w:color="auto"/>
            <w:bottom w:val="none" w:sz="0" w:space="0" w:color="auto"/>
            <w:right w:val="none" w:sz="0" w:space="0" w:color="auto"/>
          </w:divBdr>
        </w:div>
        <w:div w:id="1892687867">
          <w:marLeft w:val="0"/>
          <w:marRight w:val="0"/>
          <w:marTop w:val="0"/>
          <w:marBottom w:val="0"/>
          <w:divBdr>
            <w:top w:val="none" w:sz="0" w:space="0" w:color="auto"/>
            <w:left w:val="none" w:sz="0" w:space="0" w:color="auto"/>
            <w:bottom w:val="none" w:sz="0" w:space="0" w:color="auto"/>
            <w:right w:val="none" w:sz="0" w:space="0" w:color="auto"/>
          </w:divBdr>
        </w:div>
        <w:div w:id="1900968629">
          <w:marLeft w:val="0"/>
          <w:marRight w:val="0"/>
          <w:marTop w:val="0"/>
          <w:marBottom w:val="0"/>
          <w:divBdr>
            <w:top w:val="none" w:sz="0" w:space="0" w:color="auto"/>
            <w:left w:val="none" w:sz="0" w:space="0" w:color="auto"/>
            <w:bottom w:val="none" w:sz="0" w:space="0" w:color="auto"/>
            <w:right w:val="none" w:sz="0" w:space="0" w:color="auto"/>
          </w:divBdr>
        </w:div>
        <w:div w:id="568001620">
          <w:marLeft w:val="0"/>
          <w:marRight w:val="0"/>
          <w:marTop w:val="0"/>
          <w:marBottom w:val="0"/>
          <w:divBdr>
            <w:top w:val="none" w:sz="0" w:space="0" w:color="auto"/>
            <w:left w:val="none" w:sz="0" w:space="0" w:color="auto"/>
            <w:bottom w:val="none" w:sz="0" w:space="0" w:color="auto"/>
            <w:right w:val="none" w:sz="0" w:space="0" w:color="auto"/>
          </w:divBdr>
        </w:div>
        <w:div w:id="322856119">
          <w:marLeft w:val="0"/>
          <w:marRight w:val="0"/>
          <w:marTop w:val="0"/>
          <w:marBottom w:val="0"/>
          <w:divBdr>
            <w:top w:val="none" w:sz="0" w:space="0" w:color="auto"/>
            <w:left w:val="none" w:sz="0" w:space="0" w:color="auto"/>
            <w:bottom w:val="none" w:sz="0" w:space="0" w:color="auto"/>
            <w:right w:val="none" w:sz="0" w:space="0" w:color="auto"/>
          </w:divBdr>
        </w:div>
        <w:div w:id="1404180363">
          <w:marLeft w:val="0"/>
          <w:marRight w:val="0"/>
          <w:marTop w:val="0"/>
          <w:marBottom w:val="0"/>
          <w:divBdr>
            <w:top w:val="none" w:sz="0" w:space="0" w:color="auto"/>
            <w:left w:val="none" w:sz="0" w:space="0" w:color="auto"/>
            <w:bottom w:val="none" w:sz="0" w:space="0" w:color="auto"/>
            <w:right w:val="none" w:sz="0" w:space="0" w:color="auto"/>
          </w:divBdr>
        </w:div>
      </w:divsChild>
    </w:div>
    <w:div w:id="1592590369">
      <w:marLeft w:val="0"/>
      <w:marRight w:val="0"/>
      <w:marTop w:val="180"/>
      <w:marBottom w:val="0"/>
      <w:divBdr>
        <w:top w:val="none" w:sz="0" w:space="0" w:color="auto"/>
        <w:left w:val="none" w:sz="0" w:space="0" w:color="auto"/>
        <w:bottom w:val="none" w:sz="0" w:space="0" w:color="auto"/>
        <w:right w:val="none" w:sz="0" w:space="0" w:color="auto"/>
      </w:divBdr>
    </w:div>
    <w:div w:id="1592735150">
      <w:marLeft w:val="0"/>
      <w:marRight w:val="0"/>
      <w:marTop w:val="180"/>
      <w:marBottom w:val="0"/>
      <w:divBdr>
        <w:top w:val="none" w:sz="0" w:space="0" w:color="auto"/>
        <w:left w:val="none" w:sz="0" w:space="0" w:color="auto"/>
        <w:bottom w:val="none" w:sz="0" w:space="0" w:color="auto"/>
        <w:right w:val="none" w:sz="0" w:space="0" w:color="auto"/>
      </w:divBdr>
    </w:div>
    <w:div w:id="1593853188">
      <w:marLeft w:val="0"/>
      <w:marRight w:val="0"/>
      <w:marTop w:val="240"/>
      <w:marBottom w:val="0"/>
      <w:divBdr>
        <w:top w:val="none" w:sz="0" w:space="0" w:color="auto"/>
        <w:left w:val="none" w:sz="0" w:space="0" w:color="auto"/>
        <w:bottom w:val="none" w:sz="0" w:space="0" w:color="auto"/>
        <w:right w:val="none" w:sz="0" w:space="0" w:color="auto"/>
      </w:divBdr>
    </w:div>
    <w:div w:id="1594701538">
      <w:marLeft w:val="0"/>
      <w:marRight w:val="0"/>
      <w:marTop w:val="180"/>
      <w:marBottom w:val="0"/>
      <w:divBdr>
        <w:top w:val="none" w:sz="0" w:space="0" w:color="auto"/>
        <w:left w:val="none" w:sz="0" w:space="0" w:color="auto"/>
        <w:bottom w:val="none" w:sz="0" w:space="0" w:color="auto"/>
        <w:right w:val="none" w:sz="0" w:space="0" w:color="auto"/>
      </w:divBdr>
    </w:div>
    <w:div w:id="1596203414">
      <w:marLeft w:val="0"/>
      <w:marRight w:val="0"/>
      <w:marTop w:val="0"/>
      <w:marBottom w:val="0"/>
      <w:divBdr>
        <w:top w:val="none" w:sz="0" w:space="0" w:color="auto"/>
        <w:left w:val="none" w:sz="0" w:space="0" w:color="auto"/>
        <w:bottom w:val="none" w:sz="0" w:space="0" w:color="auto"/>
        <w:right w:val="none" w:sz="0" w:space="0" w:color="auto"/>
      </w:divBdr>
      <w:divsChild>
        <w:div w:id="578909421">
          <w:marLeft w:val="0"/>
          <w:marRight w:val="0"/>
          <w:marTop w:val="0"/>
          <w:marBottom w:val="0"/>
          <w:divBdr>
            <w:top w:val="none" w:sz="0" w:space="0" w:color="auto"/>
            <w:left w:val="none" w:sz="0" w:space="0" w:color="auto"/>
            <w:bottom w:val="none" w:sz="0" w:space="0" w:color="auto"/>
            <w:right w:val="none" w:sz="0" w:space="0" w:color="auto"/>
          </w:divBdr>
          <w:divsChild>
            <w:div w:id="4164375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96938425">
      <w:marLeft w:val="0"/>
      <w:marRight w:val="0"/>
      <w:marTop w:val="180"/>
      <w:marBottom w:val="0"/>
      <w:divBdr>
        <w:top w:val="none" w:sz="0" w:space="0" w:color="auto"/>
        <w:left w:val="none" w:sz="0" w:space="0" w:color="auto"/>
        <w:bottom w:val="none" w:sz="0" w:space="0" w:color="auto"/>
        <w:right w:val="none" w:sz="0" w:space="0" w:color="auto"/>
      </w:divBdr>
    </w:div>
    <w:div w:id="1597707129">
      <w:marLeft w:val="0"/>
      <w:marRight w:val="0"/>
      <w:marTop w:val="0"/>
      <w:marBottom w:val="0"/>
      <w:divBdr>
        <w:top w:val="none" w:sz="0" w:space="0" w:color="auto"/>
        <w:left w:val="none" w:sz="0" w:space="0" w:color="auto"/>
        <w:bottom w:val="none" w:sz="0" w:space="0" w:color="auto"/>
        <w:right w:val="none" w:sz="0" w:space="0" w:color="auto"/>
      </w:divBdr>
    </w:div>
    <w:div w:id="1598174618">
      <w:marLeft w:val="0"/>
      <w:marRight w:val="0"/>
      <w:marTop w:val="0"/>
      <w:marBottom w:val="0"/>
      <w:divBdr>
        <w:top w:val="none" w:sz="0" w:space="0" w:color="auto"/>
        <w:left w:val="none" w:sz="0" w:space="0" w:color="auto"/>
        <w:bottom w:val="none" w:sz="0" w:space="0" w:color="auto"/>
        <w:right w:val="none" w:sz="0" w:space="0" w:color="auto"/>
      </w:divBdr>
      <w:divsChild>
        <w:div w:id="1816069787">
          <w:marLeft w:val="0"/>
          <w:marRight w:val="0"/>
          <w:marTop w:val="180"/>
          <w:marBottom w:val="0"/>
          <w:divBdr>
            <w:top w:val="none" w:sz="0" w:space="0" w:color="auto"/>
            <w:left w:val="none" w:sz="0" w:space="0" w:color="auto"/>
            <w:bottom w:val="none" w:sz="0" w:space="0" w:color="auto"/>
            <w:right w:val="none" w:sz="0" w:space="0" w:color="auto"/>
          </w:divBdr>
        </w:div>
      </w:divsChild>
    </w:div>
    <w:div w:id="1599485186">
      <w:marLeft w:val="0"/>
      <w:marRight w:val="0"/>
      <w:marTop w:val="180"/>
      <w:marBottom w:val="0"/>
      <w:divBdr>
        <w:top w:val="none" w:sz="0" w:space="0" w:color="auto"/>
        <w:left w:val="none" w:sz="0" w:space="0" w:color="auto"/>
        <w:bottom w:val="none" w:sz="0" w:space="0" w:color="auto"/>
        <w:right w:val="none" w:sz="0" w:space="0" w:color="auto"/>
      </w:divBdr>
    </w:div>
    <w:div w:id="1603755654">
      <w:marLeft w:val="0"/>
      <w:marRight w:val="0"/>
      <w:marTop w:val="180"/>
      <w:marBottom w:val="0"/>
      <w:divBdr>
        <w:top w:val="none" w:sz="0" w:space="0" w:color="auto"/>
        <w:left w:val="none" w:sz="0" w:space="0" w:color="auto"/>
        <w:bottom w:val="none" w:sz="0" w:space="0" w:color="auto"/>
        <w:right w:val="none" w:sz="0" w:space="0" w:color="auto"/>
      </w:divBdr>
    </w:div>
    <w:div w:id="1607079038">
      <w:marLeft w:val="0"/>
      <w:marRight w:val="0"/>
      <w:marTop w:val="180"/>
      <w:marBottom w:val="0"/>
      <w:divBdr>
        <w:top w:val="none" w:sz="0" w:space="0" w:color="auto"/>
        <w:left w:val="none" w:sz="0" w:space="0" w:color="auto"/>
        <w:bottom w:val="none" w:sz="0" w:space="0" w:color="auto"/>
        <w:right w:val="none" w:sz="0" w:space="0" w:color="auto"/>
      </w:divBdr>
    </w:div>
    <w:div w:id="1607152813">
      <w:marLeft w:val="0"/>
      <w:marRight w:val="0"/>
      <w:marTop w:val="180"/>
      <w:marBottom w:val="0"/>
      <w:divBdr>
        <w:top w:val="none" w:sz="0" w:space="0" w:color="auto"/>
        <w:left w:val="none" w:sz="0" w:space="0" w:color="auto"/>
        <w:bottom w:val="none" w:sz="0" w:space="0" w:color="auto"/>
        <w:right w:val="none" w:sz="0" w:space="0" w:color="auto"/>
      </w:divBdr>
    </w:div>
    <w:div w:id="1607543446">
      <w:marLeft w:val="0"/>
      <w:marRight w:val="0"/>
      <w:marTop w:val="120"/>
      <w:marBottom w:val="0"/>
      <w:divBdr>
        <w:top w:val="none" w:sz="0" w:space="0" w:color="auto"/>
        <w:left w:val="none" w:sz="0" w:space="0" w:color="auto"/>
        <w:bottom w:val="none" w:sz="0" w:space="0" w:color="auto"/>
        <w:right w:val="none" w:sz="0" w:space="0" w:color="auto"/>
      </w:divBdr>
    </w:div>
    <w:div w:id="1610089555">
      <w:marLeft w:val="0"/>
      <w:marRight w:val="0"/>
      <w:marTop w:val="180"/>
      <w:marBottom w:val="0"/>
      <w:divBdr>
        <w:top w:val="none" w:sz="0" w:space="0" w:color="auto"/>
        <w:left w:val="none" w:sz="0" w:space="0" w:color="auto"/>
        <w:bottom w:val="none" w:sz="0" w:space="0" w:color="auto"/>
        <w:right w:val="none" w:sz="0" w:space="0" w:color="auto"/>
      </w:divBdr>
    </w:div>
    <w:div w:id="1610161552">
      <w:marLeft w:val="0"/>
      <w:marRight w:val="0"/>
      <w:marTop w:val="0"/>
      <w:marBottom w:val="0"/>
      <w:divBdr>
        <w:top w:val="none" w:sz="0" w:space="0" w:color="auto"/>
        <w:left w:val="none" w:sz="0" w:space="0" w:color="auto"/>
        <w:bottom w:val="none" w:sz="0" w:space="0" w:color="auto"/>
        <w:right w:val="none" w:sz="0" w:space="0" w:color="auto"/>
      </w:divBdr>
    </w:div>
    <w:div w:id="1613902431">
      <w:marLeft w:val="0"/>
      <w:marRight w:val="0"/>
      <w:marTop w:val="0"/>
      <w:marBottom w:val="0"/>
      <w:divBdr>
        <w:top w:val="none" w:sz="0" w:space="0" w:color="auto"/>
        <w:left w:val="none" w:sz="0" w:space="0" w:color="auto"/>
        <w:bottom w:val="none" w:sz="0" w:space="0" w:color="auto"/>
        <w:right w:val="none" w:sz="0" w:space="0" w:color="auto"/>
      </w:divBdr>
      <w:divsChild>
        <w:div w:id="625047396">
          <w:marLeft w:val="0"/>
          <w:marRight w:val="0"/>
          <w:marTop w:val="0"/>
          <w:marBottom w:val="0"/>
          <w:divBdr>
            <w:top w:val="none" w:sz="0" w:space="0" w:color="auto"/>
            <w:left w:val="none" w:sz="0" w:space="0" w:color="auto"/>
            <w:bottom w:val="none" w:sz="0" w:space="0" w:color="auto"/>
            <w:right w:val="none" w:sz="0" w:space="0" w:color="auto"/>
          </w:divBdr>
          <w:divsChild>
            <w:div w:id="2401391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16060221">
      <w:marLeft w:val="0"/>
      <w:marRight w:val="0"/>
      <w:marTop w:val="0"/>
      <w:marBottom w:val="340"/>
      <w:divBdr>
        <w:top w:val="none" w:sz="0" w:space="0" w:color="auto"/>
        <w:left w:val="none" w:sz="0" w:space="0" w:color="auto"/>
        <w:bottom w:val="none" w:sz="0" w:space="0" w:color="auto"/>
        <w:right w:val="none" w:sz="0" w:space="0" w:color="auto"/>
      </w:divBdr>
    </w:div>
    <w:div w:id="1620532145">
      <w:marLeft w:val="0"/>
      <w:marRight w:val="0"/>
      <w:marTop w:val="180"/>
      <w:marBottom w:val="0"/>
      <w:divBdr>
        <w:top w:val="none" w:sz="0" w:space="0" w:color="auto"/>
        <w:left w:val="none" w:sz="0" w:space="0" w:color="auto"/>
        <w:bottom w:val="none" w:sz="0" w:space="0" w:color="auto"/>
        <w:right w:val="none" w:sz="0" w:space="0" w:color="auto"/>
      </w:divBdr>
    </w:div>
    <w:div w:id="1622034211">
      <w:marLeft w:val="0"/>
      <w:marRight w:val="0"/>
      <w:marTop w:val="180"/>
      <w:marBottom w:val="0"/>
      <w:divBdr>
        <w:top w:val="none" w:sz="0" w:space="0" w:color="auto"/>
        <w:left w:val="none" w:sz="0" w:space="0" w:color="auto"/>
        <w:bottom w:val="none" w:sz="0" w:space="0" w:color="auto"/>
        <w:right w:val="none" w:sz="0" w:space="0" w:color="auto"/>
      </w:divBdr>
    </w:div>
    <w:div w:id="1622109673">
      <w:marLeft w:val="0"/>
      <w:marRight w:val="0"/>
      <w:marTop w:val="180"/>
      <w:marBottom w:val="0"/>
      <w:divBdr>
        <w:top w:val="none" w:sz="0" w:space="0" w:color="auto"/>
        <w:left w:val="none" w:sz="0" w:space="0" w:color="auto"/>
        <w:bottom w:val="none" w:sz="0" w:space="0" w:color="auto"/>
        <w:right w:val="none" w:sz="0" w:space="0" w:color="auto"/>
      </w:divBdr>
    </w:div>
    <w:div w:id="1622373051">
      <w:marLeft w:val="0"/>
      <w:marRight w:val="0"/>
      <w:marTop w:val="180"/>
      <w:marBottom w:val="120"/>
      <w:divBdr>
        <w:top w:val="none" w:sz="0" w:space="0" w:color="auto"/>
        <w:left w:val="none" w:sz="0" w:space="0" w:color="auto"/>
        <w:bottom w:val="none" w:sz="0" w:space="0" w:color="auto"/>
        <w:right w:val="none" w:sz="0" w:space="0" w:color="auto"/>
      </w:divBdr>
      <w:divsChild>
        <w:div w:id="1189758268">
          <w:marLeft w:val="0"/>
          <w:marRight w:val="0"/>
          <w:marTop w:val="0"/>
          <w:marBottom w:val="0"/>
          <w:divBdr>
            <w:top w:val="none" w:sz="0" w:space="0" w:color="auto"/>
            <w:left w:val="none" w:sz="0" w:space="0" w:color="auto"/>
            <w:bottom w:val="none" w:sz="0" w:space="0" w:color="auto"/>
            <w:right w:val="none" w:sz="0" w:space="0" w:color="auto"/>
          </w:divBdr>
        </w:div>
      </w:divsChild>
    </w:div>
    <w:div w:id="1624270242">
      <w:marLeft w:val="0"/>
      <w:marRight w:val="0"/>
      <w:marTop w:val="240"/>
      <w:marBottom w:val="0"/>
      <w:divBdr>
        <w:top w:val="none" w:sz="0" w:space="0" w:color="auto"/>
        <w:left w:val="none" w:sz="0" w:space="0" w:color="auto"/>
        <w:bottom w:val="none" w:sz="0" w:space="0" w:color="auto"/>
        <w:right w:val="none" w:sz="0" w:space="0" w:color="auto"/>
      </w:divBdr>
    </w:div>
    <w:div w:id="1630016490">
      <w:marLeft w:val="0"/>
      <w:marRight w:val="0"/>
      <w:marTop w:val="180"/>
      <w:marBottom w:val="0"/>
      <w:divBdr>
        <w:top w:val="none" w:sz="0" w:space="0" w:color="auto"/>
        <w:left w:val="none" w:sz="0" w:space="0" w:color="auto"/>
        <w:bottom w:val="none" w:sz="0" w:space="0" w:color="auto"/>
        <w:right w:val="none" w:sz="0" w:space="0" w:color="auto"/>
      </w:divBdr>
    </w:div>
    <w:div w:id="1633748351">
      <w:marLeft w:val="0"/>
      <w:marRight w:val="0"/>
      <w:marTop w:val="180"/>
      <w:marBottom w:val="120"/>
      <w:divBdr>
        <w:top w:val="none" w:sz="0" w:space="0" w:color="auto"/>
        <w:left w:val="none" w:sz="0" w:space="0" w:color="auto"/>
        <w:bottom w:val="none" w:sz="0" w:space="0" w:color="auto"/>
        <w:right w:val="none" w:sz="0" w:space="0" w:color="auto"/>
      </w:divBdr>
    </w:div>
    <w:div w:id="1635403044">
      <w:marLeft w:val="0"/>
      <w:marRight w:val="0"/>
      <w:marTop w:val="180"/>
      <w:marBottom w:val="0"/>
      <w:divBdr>
        <w:top w:val="none" w:sz="0" w:space="0" w:color="auto"/>
        <w:left w:val="none" w:sz="0" w:space="0" w:color="auto"/>
        <w:bottom w:val="none" w:sz="0" w:space="0" w:color="auto"/>
        <w:right w:val="none" w:sz="0" w:space="0" w:color="auto"/>
      </w:divBdr>
    </w:div>
    <w:div w:id="1636137117">
      <w:marLeft w:val="0"/>
      <w:marRight w:val="0"/>
      <w:marTop w:val="180"/>
      <w:marBottom w:val="0"/>
      <w:divBdr>
        <w:top w:val="none" w:sz="0" w:space="0" w:color="auto"/>
        <w:left w:val="none" w:sz="0" w:space="0" w:color="auto"/>
        <w:bottom w:val="none" w:sz="0" w:space="0" w:color="auto"/>
        <w:right w:val="none" w:sz="0" w:space="0" w:color="auto"/>
      </w:divBdr>
    </w:div>
    <w:div w:id="1637376329">
      <w:marLeft w:val="0"/>
      <w:marRight w:val="0"/>
      <w:marTop w:val="0"/>
      <w:marBottom w:val="0"/>
      <w:divBdr>
        <w:top w:val="none" w:sz="0" w:space="0" w:color="auto"/>
        <w:left w:val="none" w:sz="0" w:space="0" w:color="auto"/>
        <w:bottom w:val="none" w:sz="0" w:space="0" w:color="auto"/>
        <w:right w:val="none" w:sz="0" w:space="0" w:color="auto"/>
      </w:divBdr>
      <w:divsChild>
        <w:div w:id="1658538308">
          <w:marLeft w:val="0"/>
          <w:marRight w:val="0"/>
          <w:marTop w:val="0"/>
          <w:marBottom w:val="0"/>
          <w:divBdr>
            <w:top w:val="none" w:sz="0" w:space="0" w:color="auto"/>
            <w:left w:val="none" w:sz="0" w:space="0" w:color="auto"/>
            <w:bottom w:val="none" w:sz="0" w:space="0" w:color="auto"/>
            <w:right w:val="none" w:sz="0" w:space="0" w:color="auto"/>
          </w:divBdr>
          <w:divsChild>
            <w:div w:id="14882077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38105020">
      <w:marLeft w:val="0"/>
      <w:marRight w:val="0"/>
      <w:marTop w:val="0"/>
      <w:marBottom w:val="0"/>
      <w:divBdr>
        <w:top w:val="none" w:sz="0" w:space="0" w:color="auto"/>
        <w:left w:val="none" w:sz="0" w:space="0" w:color="auto"/>
        <w:bottom w:val="none" w:sz="0" w:space="0" w:color="auto"/>
        <w:right w:val="none" w:sz="0" w:space="0" w:color="auto"/>
      </w:divBdr>
      <w:divsChild>
        <w:div w:id="1880777517">
          <w:marLeft w:val="0"/>
          <w:marRight w:val="0"/>
          <w:marTop w:val="0"/>
          <w:marBottom w:val="0"/>
          <w:divBdr>
            <w:top w:val="none" w:sz="0" w:space="0" w:color="auto"/>
            <w:left w:val="none" w:sz="0" w:space="0" w:color="auto"/>
            <w:bottom w:val="none" w:sz="0" w:space="0" w:color="auto"/>
            <w:right w:val="none" w:sz="0" w:space="0" w:color="auto"/>
          </w:divBdr>
          <w:divsChild>
            <w:div w:id="12535904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40114628">
      <w:marLeft w:val="0"/>
      <w:marRight w:val="0"/>
      <w:marTop w:val="180"/>
      <w:marBottom w:val="0"/>
      <w:divBdr>
        <w:top w:val="none" w:sz="0" w:space="0" w:color="auto"/>
        <w:left w:val="none" w:sz="0" w:space="0" w:color="auto"/>
        <w:bottom w:val="none" w:sz="0" w:space="0" w:color="auto"/>
        <w:right w:val="none" w:sz="0" w:space="0" w:color="auto"/>
      </w:divBdr>
    </w:div>
    <w:div w:id="1641108199">
      <w:marLeft w:val="0"/>
      <w:marRight w:val="0"/>
      <w:marTop w:val="180"/>
      <w:marBottom w:val="0"/>
      <w:divBdr>
        <w:top w:val="none" w:sz="0" w:space="0" w:color="auto"/>
        <w:left w:val="none" w:sz="0" w:space="0" w:color="auto"/>
        <w:bottom w:val="none" w:sz="0" w:space="0" w:color="auto"/>
        <w:right w:val="none" w:sz="0" w:space="0" w:color="auto"/>
      </w:divBdr>
    </w:div>
    <w:div w:id="1643459000">
      <w:marLeft w:val="0"/>
      <w:marRight w:val="0"/>
      <w:marTop w:val="180"/>
      <w:marBottom w:val="0"/>
      <w:divBdr>
        <w:top w:val="none" w:sz="0" w:space="0" w:color="auto"/>
        <w:left w:val="none" w:sz="0" w:space="0" w:color="auto"/>
        <w:bottom w:val="none" w:sz="0" w:space="0" w:color="auto"/>
        <w:right w:val="none" w:sz="0" w:space="0" w:color="auto"/>
      </w:divBdr>
    </w:div>
    <w:div w:id="1648052608">
      <w:marLeft w:val="0"/>
      <w:marRight w:val="0"/>
      <w:marTop w:val="180"/>
      <w:marBottom w:val="0"/>
      <w:divBdr>
        <w:top w:val="none" w:sz="0" w:space="0" w:color="auto"/>
        <w:left w:val="none" w:sz="0" w:space="0" w:color="auto"/>
        <w:bottom w:val="none" w:sz="0" w:space="0" w:color="auto"/>
        <w:right w:val="none" w:sz="0" w:space="0" w:color="auto"/>
      </w:divBdr>
    </w:div>
    <w:div w:id="1649087679">
      <w:marLeft w:val="0"/>
      <w:marRight w:val="0"/>
      <w:marTop w:val="180"/>
      <w:marBottom w:val="0"/>
      <w:divBdr>
        <w:top w:val="none" w:sz="0" w:space="0" w:color="auto"/>
        <w:left w:val="none" w:sz="0" w:space="0" w:color="auto"/>
        <w:bottom w:val="none" w:sz="0" w:space="0" w:color="auto"/>
        <w:right w:val="none" w:sz="0" w:space="0" w:color="auto"/>
      </w:divBdr>
    </w:div>
    <w:div w:id="1651594096">
      <w:marLeft w:val="0"/>
      <w:marRight w:val="0"/>
      <w:marTop w:val="180"/>
      <w:marBottom w:val="0"/>
      <w:divBdr>
        <w:top w:val="none" w:sz="0" w:space="0" w:color="auto"/>
        <w:left w:val="none" w:sz="0" w:space="0" w:color="auto"/>
        <w:bottom w:val="none" w:sz="0" w:space="0" w:color="auto"/>
        <w:right w:val="none" w:sz="0" w:space="0" w:color="auto"/>
      </w:divBdr>
    </w:div>
    <w:div w:id="1652059458">
      <w:marLeft w:val="0"/>
      <w:marRight w:val="0"/>
      <w:marTop w:val="180"/>
      <w:marBottom w:val="0"/>
      <w:divBdr>
        <w:top w:val="none" w:sz="0" w:space="0" w:color="auto"/>
        <w:left w:val="none" w:sz="0" w:space="0" w:color="auto"/>
        <w:bottom w:val="none" w:sz="0" w:space="0" w:color="auto"/>
        <w:right w:val="none" w:sz="0" w:space="0" w:color="auto"/>
      </w:divBdr>
    </w:div>
    <w:div w:id="1652755601">
      <w:marLeft w:val="0"/>
      <w:marRight w:val="0"/>
      <w:marTop w:val="0"/>
      <w:marBottom w:val="0"/>
      <w:divBdr>
        <w:top w:val="none" w:sz="0" w:space="0" w:color="auto"/>
        <w:left w:val="none" w:sz="0" w:space="0" w:color="auto"/>
        <w:bottom w:val="none" w:sz="0" w:space="0" w:color="auto"/>
        <w:right w:val="none" w:sz="0" w:space="0" w:color="auto"/>
      </w:divBdr>
      <w:divsChild>
        <w:div w:id="1418795082">
          <w:marLeft w:val="0"/>
          <w:marRight w:val="0"/>
          <w:marTop w:val="180"/>
          <w:marBottom w:val="0"/>
          <w:divBdr>
            <w:top w:val="none" w:sz="0" w:space="0" w:color="auto"/>
            <w:left w:val="none" w:sz="0" w:space="0" w:color="auto"/>
            <w:bottom w:val="none" w:sz="0" w:space="0" w:color="auto"/>
            <w:right w:val="none" w:sz="0" w:space="0" w:color="auto"/>
          </w:divBdr>
        </w:div>
      </w:divsChild>
    </w:div>
    <w:div w:id="1656301004">
      <w:marLeft w:val="0"/>
      <w:marRight w:val="0"/>
      <w:marTop w:val="180"/>
      <w:marBottom w:val="0"/>
      <w:divBdr>
        <w:top w:val="none" w:sz="0" w:space="0" w:color="auto"/>
        <w:left w:val="none" w:sz="0" w:space="0" w:color="auto"/>
        <w:bottom w:val="none" w:sz="0" w:space="0" w:color="auto"/>
        <w:right w:val="none" w:sz="0" w:space="0" w:color="auto"/>
      </w:divBdr>
    </w:div>
    <w:div w:id="1657105831">
      <w:marLeft w:val="0"/>
      <w:marRight w:val="0"/>
      <w:marTop w:val="180"/>
      <w:marBottom w:val="0"/>
      <w:divBdr>
        <w:top w:val="none" w:sz="0" w:space="0" w:color="auto"/>
        <w:left w:val="none" w:sz="0" w:space="0" w:color="auto"/>
        <w:bottom w:val="none" w:sz="0" w:space="0" w:color="auto"/>
        <w:right w:val="none" w:sz="0" w:space="0" w:color="auto"/>
      </w:divBdr>
    </w:div>
    <w:div w:id="1657613002">
      <w:marLeft w:val="0"/>
      <w:marRight w:val="0"/>
      <w:marTop w:val="0"/>
      <w:marBottom w:val="0"/>
      <w:divBdr>
        <w:top w:val="none" w:sz="0" w:space="0" w:color="auto"/>
        <w:left w:val="none" w:sz="0" w:space="0" w:color="auto"/>
        <w:bottom w:val="none" w:sz="0" w:space="0" w:color="auto"/>
        <w:right w:val="none" w:sz="0" w:space="0" w:color="auto"/>
      </w:divBdr>
      <w:divsChild>
        <w:div w:id="621307807">
          <w:marLeft w:val="0"/>
          <w:marRight w:val="0"/>
          <w:marTop w:val="0"/>
          <w:marBottom w:val="0"/>
          <w:divBdr>
            <w:top w:val="none" w:sz="0" w:space="0" w:color="auto"/>
            <w:left w:val="none" w:sz="0" w:space="0" w:color="auto"/>
            <w:bottom w:val="none" w:sz="0" w:space="0" w:color="auto"/>
            <w:right w:val="none" w:sz="0" w:space="0" w:color="auto"/>
          </w:divBdr>
          <w:divsChild>
            <w:div w:id="11571130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59377430">
      <w:marLeft w:val="0"/>
      <w:marRight w:val="0"/>
      <w:marTop w:val="180"/>
      <w:marBottom w:val="0"/>
      <w:divBdr>
        <w:top w:val="none" w:sz="0" w:space="0" w:color="auto"/>
        <w:left w:val="none" w:sz="0" w:space="0" w:color="auto"/>
        <w:bottom w:val="none" w:sz="0" w:space="0" w:color="auto"/>
        <w:right w:val="none" w:sz="0" w:space="0" w:color="auto"/>
      </w:divBdr>
    </w:div>
    <w:div w:id="1660621786">
      <w:marLeft w:val="0"/>
      <w:marRight w:val="0"/>
      <w:marTop w:val="180"/>
      <w:marBottom w:val="120"/>
      <w:divBdr>
        <w:top w:val="none" w:sz="0" w:space="0" w:color="auto"/>
        <w:left w:val="none" w:sz="0" w:space="0" w:color="auto"/>
        <w:bottom w:val="none" w:sz="0" w:space="0" w:color="auto"/>
        <w:right w:val="none" w:sz="0" w:space="0" w:color="auto"/>
      </w:divBdr>
      <w:divsChild>
        <w:div w:id="330060619">
          <w:marLeft w:val="0"/>
          <w:marRight w:val="0"/>
          <w:marTop w:val="0"/>
          <w:marBottom w:val="0"/>
          <w:divBdr>
            <w:top w:val="none" w:sz="0" w:space="0" w:color="auto"/>
            <w:left w:val="none" w:sz="0" w:space="0" w:color="auto"/>
            <w:bottom w:val="none" w:sz="0" w:space="0" w:color="auto"/>
            <w:right w:val="none" w:sz="0" w:space="0" w:color="auto"/>
          </w:divBdr>
        </w:div>
        <w:div w:id="2066173605">
          <w:marLeft w:val="0"/>
          <w:marRight w:val="0"/>
          <w:marTop w:val="0"/>
          <w:marBottom w:val="0"/>
          <w:divBdr>
            <w:top w:val="none" w:sz="0" w:space="0" w:color="auto"/>
            <w:left w:val="none" w:sz="0" w:space="0" w:color="auto"/>
            <w:bottom w:val="none" w:sz="0" w:space="0" w:color="auto"/>
            <w:right w:val="none" w:sz="0" w:space="0" w:color="auto"/>
          </w:divBdr>
        </w:div>
        <w:div w:id="895122267">
          <w:marLeft w:val="0"/>
          <w:marRight w:val="0"/>
          <w:marTop w:val="0"/>
          <w:marBottom w:val="0"/>
          <w:divBdr>
            <w:top w:val="none" w:sz="0" w:space="0" w:color="auto"/>
            <w:left w:val="none" w:sz="0" w:space="0" w:color="auto"/>
            <w:bottom w:val="none" w:sz="0" w:space="0" w:color="auto"/>
            <w:right w:val="none" w:sz="0" w:space="0" w:color="auto"/>
          </w:divBdr>
        </w:div>
        <w:div w:id="143936265">
          <w:marLeft w:val="0"/>
          <w:marRight w:val="0"/>
          <w:marTop w:val="0"/>
          <w:marBottom w:val="0"/>
          <w:divBdr>
            <w:top w:val="none" w:sz="0" w:space="0" w:color="auto"/>
            <w:left w:val="none" w:sz="0" w:space="0" w:color="auto"/>
            <w:bottom w:val="none" w:sz="0" w:space="0" w:color="auto"/>
            <w:right w:val="none" w:sz="0" w:space="0" w:color="auto"/>
          </w:divBdr>
        </w:div>
        <w:div w:id="850994424">
          <w:marLeft w:val="0"/>
          <w:marRight w:val="0"/>
          <w:marTop w:val="0"/>
          <w:marBottom w:val="0"/>
          <w:divBdr>
            <w:top w:val="none" w:sz="0" w:space="0" w:color="auto"/>
            <w:left w:val="none" w:sz="0" w:space="0" w:color="auto"/>
            <w:bottom w:val="none" w:sz="0" w:space="0" w:color="auto"/>
            <w:right w:val="none" w:sz="0" w:space="0" w:color="auto"/>
          </w:divBdr>
        </w:div>
        <w:div w:id="1381979029">
          <w:marLeft w:val="0"/>
          <w:marRight w:val="0"/>
          <w:marTop w:val="0"/>
          <w:marBottom w:val="0"/>
          <w:divBdr>
            <w:top w:val="none" w:sz="0" w:space="0" w:color="auto"/>
            <w:left w:val="none" w:sz="0" w:space="0" w:color="auto"/>
            <w:bottom w:val="none" w:sz="0" w:space="0" w:color="auto"/>
            <w:right w:val="none" w:sz="0" w:space="0" w:color="auto"/>
          </w:divBdr>
        </w:div>
        <w:div w:id="284191491">
          <w:marLeft w:val="0"/>
          <w:marRight w:val="0"/>
          <w:marTop w:val="0"/>
          <w:marBottom w:val="0"/>
          <w:divBdr>
            <w:top w:val="none" w:sz="0" w:space="0" w:color="auto"/>
            <w:left w:val="none" w:sz="0" w:space="0" w:color="auto"/>
            <w:bottom w:val="none" w:sz="0" w:space="0" w:color="auto"/>
            <w:right w:val="none" w:sz="0" w:space="0" w:color="auto"/>
          </w:divBdr>
        </w:div>
        <w:div w:id="1753047315">
          <w:marLeft w:val="0"/>
          <w:marRight w:val="0"/>
          <w:marTop w:val="0"/>
          <w:marBottom w:val="0"/>
          <w:divBdr>
            <w:top w:val="none" w:sz="0" w:space="0" w:color="auto"/>
            <w:left w:val="none" w:sz="0" w:space="0" w:color="auto"/>
            <w:bottom w:val="none" w:sz="0" w:space="0" w:color="auto"/>
            <w:right w:val="none" w:sz="0" w:space="0" w:color="auto"/>
          </w:divBdr>
        </w:div>
      </w:divsChild>
    </w:div>
    <w:div w:id="1661034130">
      <w:marLeft w:val="0"/>
      <w:marRight w:val="0"/>
      <w:marTop w:val="180"/>
      <w:marBottom w:val="0"/>
      <w:divBdr>
        <w:top w:val="none" w:sz="0" w:space="0" w:color="auto"/>
        <w:left w:val="none" w:sz="0" w:space="0" w:color="auto"/>
        <w:bottom w:val="none" w:sz="0" w:space="0" w:color="auto"/>
        <w:right w:val="none" w:sz="0" w:space="0" w:color="auto"/>
      </w:divBdr>
    </w:div>
    <w:div w:id="1661620416">
      <w:marLeft w:val="0"/>
      <w:marRight w:val="0"/>
      <w:marTop w:val="180"/>
      <w:marBottom w:val="0"/>
      <w:divBdr>
        <w:top w:val="none" w:sz="0" w:space="0" w:color="auto"/>
        <w:left w:val="none" w:sz="0" w:space="0" w:color="auto"/>
        <w:bottom w:val="none" w:sz="0" w:space="0" w:color="auto"/>
        <w:right w:val="none" w:sz="0" w:space="0" w:color="auto"/>
      </w:divBdr>
    </w:div>
    <w:div w:id="1664963574">
      <w:marLeft w:val="0"/>
      <w:marRight w:val="0"/>
      <w:marTop w:val="180"/>
      <w:marBottom w:val="0"/>
      <w:divBdr>
        <w:top w:val="none" w:sz="0" w:space="0" w:color="auto"/>
        <w:left w:val="none" w:sz="0" w:space="0" w:color="auto"/>
        <w:bottom w:val="none" w:sz="0" w:space="0" w:color="auto"/>
        <w:right w:val="none" w:sz="0" w:space="0" w:color="auto"/>
      </w:divBdr>
    </w:div>
    <w:div w:id="1666670347">
      <w:marLeft w:val="0"/>
      <w:marRight w:val="0"/>
      <w:marTop w:val="0"/>
      <w:marBottom w:val="0"/>
      <w:divBdr>
        <w:top w:val="none" w:sz="0" w:space="0" w:color="auto"/>
        <w:left w:val="none" w:sz="0" w:space="0" w:color="auto"/>
        <w:bottom w:val="none" w:sz="0" w:space="0" w:color="auto"/>
        <w:right w:val="none" w:sz="0" w:space="0" w:color="auto"/>
      </w:divBdr>
      <w:divsChild>
        <w:div w:id="684525794">
          <w:marLeft w:val="0"/>
          <w:marRight w:val="0"/>
          <w:marTop w:val="180"/>
          <w:marBottom w:val="0"/>
          <w:divBdr>
            <w:top w:val="none" w:sz="0" w:space="0" w:color="auto"/>
            <w:left w:val="none" w:sz="0" w:space="0" w:color="auto"/>
            <w:bottom w:val="none" w:sz="0" w:space="0" w:color="auto"/>
            <w:right w:val="none" w:sz="0" w:space="0" w:color="auto"/>
          </w:divBdr>
        </w:div>
      </w:divsChild>
    </w:div>
    <w:div w:id="1669794462">
      <w:marLeft w:val="0"/>
      <w:marRight w:val="0"/>
      <w:marTop w:val="180"/>
      <w:marBottom w:val="0"/>
      <w:divBdr>
        <w:top w:val="none" w:sz="0" w:space="0" w:color="auto"/>
        <w:left w:val="none" w:sz="0" w:space="0" w:color="auto"/>
        <w:bottom w:val="none" w:sz="0" w:space="0" w:color="auto"/>
        <w:right w:val="none" w:sz="0" w:space="0" w:color="auto"/>
      </w:divBdr>
    </w:div>
    <w:div w:id="1669939892">
      <w:marLeft w:val="0"/>
      <w:marRight w:val="0"/>
      <w:marTop w:val="180"/>
      <w:marBottom w:val="120"/>
      <w:divBdr>
        <w:top w:val="none" w:sz="0" w:space="0" w:color="auto"/>
        <w:left w:val="none" w:sz="0" w:space="0" w:color="auto"/>
        <w:bottom w:val="none" w:sz="0" w:space="0" w:color="auto"/>
        <w:right w:val="none" w:sz="0" w:space="0" w:color="auto"/>
      </w:divBdr>
    </w:div>
    <w:div w:id="1670016381">
      <w:marLeft w:val="0"/>
      <w:marRight w:val="0"/>
      <w:marTop w:val="0"/>
      <w:marBottom w:val="0"/>
      <w:divBdr>
        <w:top w:val="none" w:sz="0" w:space="0" w:color="auto"/>
        <w:left w:val="none" w:sz="0" w:space="0" w:color="auto"/>
        <w:bottom w:val="none" w:sz="0" w:space="0" w:color="auto"/>
        <w:right w:val="none" w:sz="0" w:space="0" w:color="auto"/>
      </w:divBdr>
      <w:divsChild>
        <w:div w:id="1819876753">
          <w:marLeft w:val="0"/>
          <w:marRight w:val="0"/>
          <w:marTop w:val="0"/>
          <w:marBottom w:val="0"/>
          <w:divBdr>
            <w:top w:val="none" w:sz="0" w:space="0" w:color="auto"/>
            <w:left w:val="none" w:sz="0" w:space="0" w:color="auto"/>
            <w:bottom w:val="none" w:sz="0" w:space="0" w:color="auto"/>
            <w:right w:val="none" w:sz="0" w:space="0" w:color="auto"/>
          </w:divBdr>
          <w:divsChild>
            <w:div w:id="7697411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70671775">
      <w:marLeft w:val="0"/>
      <w:marRight w:val="0"/>
      <w:marTop w:val="180"/>
      <w:marBottom w:val="0"/>
      <w:divBdr>
        <w:top w:val="none" w:sz="0" w:space="0" w:color="auto"/>
        <w:left w:val="none" w:sz="0" w:space="0" w:color="auto"/>
        <w:bottom w:val="none" w:sz="0" w:space="0" w:color="auto"/>
        <w:right w:val="none" w:sz="0" w:space="0" w:color="auto"/>
      </w:divBdr>
    </w:div>
    <w:div w:id="1671134048">
      <w:marLeft w:val="0"/>
      <w:marRight w:val="0"/>
      <w:marTop w:val="180"/>
      <w:marBottom w:val="0"/>
      <w:divBdr>
        <w:top w:val="none" w:sz="0" w:space="0" w:color="auto"/>
        <w:left w:val="none" w:sz="0" w:space="0" w:color="auto"/>
        <w:bottom w:val="none" w:sz="0" w:space="0" w:color="auto"/>
        <w:right w:val="none" w:sz="0" w:space="0" w:color="auto"/>
      </w:divBdr>
    </w:div>
    <w:div w:id="1671712799">
      <w:marLeft w:val="0"/>
      <w:marRight w:val="0"/>
      <w:marTop w:val="180"/>
      <w:marBottom w:val="0"/>
      <w:divBdr>
        <w:top w:val="none" w:sz="0" w:space="0" w:color="auto"/>
        <w:left w:val="none" w:sz="0" w:space="0" w:color="auto"/>
        <w:bottom w:val="none" w:sz="0" w:space="0" w:color="auto"/>
        <w:right w:val="none" w:sz="0" w:space="0" w:color="auto"/>
      </w:divBdr>
    </w:div>
    <w:div w:id="1671758753">
      <w:marLeft w:val="0"/>
      <w:marRight w:val="0"/>
      <w:marTop w:val="0"/>
      <w:marBottom w:val="120"/>
      <w:divBdr>
        <w:top w:val="none" w:sz="0" w:space="0" w:color="auto"/>
        <w:left w:val="none" w:sz="0" w:space="0" w:color="auto"/>
        <w:bottom w:val="none" w:sz="0" w:space="0" w:color="auto"/>
        <w:right w:val="none" w:sz="0" w:space="0" w:color="auto"/>
      </w:divBdr>
      <w:divsChild>
        <w:div w:id="2025402633">
          <w:marLeft w:val="0"/>
          <w:marRight w:val="0"/>
          <w:marTop w:val="0"/>
          <w:marBottom w:val="0"/>
          <w:divBdr>
            <w:top w:val="none" w:sz="0" w:space="0" w:color="auto"/>
            <w:left w:val="none" w:sz="0" w:space="0" w:color="auto"/>
            <w:bottom w:val="none" w:sz="0" w:space="0" w:color="auto"/>
            <w:right w:val="none" w:sz="0" w:space="0" w:color="auto"/>
          </w:divBdr>
        </w:div>
        <w:div w:id="1269584466">
          <w:marLeft w:val="0"/>
          <w:marRight w:val="0"/>
          <w:marTop w:val="0"/>
          <w:marBottom w:val="0"/>
          <w:divBdr>
            <w:top w:val="none" w:sz="0" w:space="0" w:color="auto"/>
            <w:left w:val="none" w:sz="0" w:space="0" w:color="auto"/>
            <w:bottom w:val="none" w:sz="0" w:space="0" w:color="auto"/>
            <w:right w:val="none" w:sz="0" w:space="0" w:color="auto"/>
          </w:divBdr>
        </w:div>
        <w:div w:id="615529088">
          <w:marLeft w:val="0"/>
          <w:marRight w:val="0"/>
          <w:marTop w:val="0"/>
          <w:marBottom w:val="0"/>
          <w:divBdr>
            <w:top w:val="none" w:sz="0" w:space="0" w:color="auto"/>
            <w:left w:val="none" w:sz="0" w:space="0" w:color="auto"/>
            <w:bottom w:val="none" w:sz="0" w:space="0" w:color="auto"/>
            <w:right w:val="none" w:sz="0" w:space="0" w:color="auto"/>
          </w:divBdr>
        </w:div>
        <w:div w:id="1225143457">
          <w:marLeft w:val="0"/>
          <w:marRight w:val="0"/>
          <w:marTop w:val="0"/>
          <w:marBottom w:val="0"/>
          <w:divBdr>
            <w:top w:val="none" w:sz="0" w:space="0" w:color="auto"/>
            <w:left w:val="none" w:sz="0" w:space="0" w:color="auto"/>
            <w:bottom w:val="none" w:sz="0" w:space="0" w:color="auto"/>
            <w:right w:val="none" w:sz="0" w:space="0" w:color="auto"/>
          </w:divBdr>
        </w:div>
        <w:div w:id="317534251">
          <w:marLeft w:val="0"/>
          <w:marRight w:val="0"/>
          <w:marTop w:val="0"/>
          <w:marBottom w:val="0"/>
          <w:divBdr>
            <w:top w:val="none" w:sz="0" w:space="0" w:color="auto"/>
            <w:left w:val="none" w:sz="0" w:space="0" w:color="auto"/>
            <w:bottom w:val="none" w:sz="0" w:space="0" w:color="auto"/>
            <w:right w:val="none" w:sz="0" w:space="0" w:color="auto"/>
          </w:divBdr>
        </w:div>
        <w:div w:id="2114737705">
          <w:marLeft w:val="0"/>
          <w:marRight w:val="0"/>
          <w:marTop w:val="0"/>
          <w:marBottom w:val="0"/>
          <w:divBdr>
            <w:top w:val="none" w:sz="0" w:space="0" w:color="auto"/>
            <w:left w:val="none" w:sz="0" w:space="0" w:color="auto"/>
            <w:bottom w:val="none" w:sz="0" w:space="0" w:color="auto"/>
            <w:right w:val="none" w:sz="0" w:space="0" w:color="auto"/>
          </w:divBdr>
        </w:div>
        <w:div w:id="273833520">
          <w:marLeft w:val="0"/>
          <w:marRight w:val="0"/>
          <w:marTop w:val="0"/>
          <w:marBottom w:val="0"/>
          <w:divBdr>
            <w:top w:val="none" w:sz="0" w:space="0" w:color="auto"/>
            <w:left w:val="none" w:sz="0" w:space="0" w:color="auto"/>
            <w:bottom w:val="none" w:sz="0" w:space="0" w:color="auto"/>
            <w:right w:val="none" w:sz="0" w:space="0" w:color="auto"/>
          </w:divBdr>
        </w:div>
        <w:div w:id="204873417">
          <w:marLeft w:val="0"/>
          <w:marRight w:val="0"/>
          <w:marTop w:val="0"/>
          <w:marBottom w:val="0"/>
          <w:divBdr>
            <w:top w:val="none" w:sz="0" w:space="0" w:color="auto"/>
            <w:left w:val="none" w:sz="0" w:space="0" w:color="auto"/>
            <w:bottom w:val="none" w:sz="0" w:space="0" w:color="auto"/>
            <w:right w:val="none" w:sz="0" w:space="0" w:color="auto"/>
          </w:divBdr>
        </w:div>
        <w:div w:id="511379163">
          <w:marLeft w:val="0"/>
          <w:marRight w:val="0"/>
          <w:marTop w:val="0"/>
          <w:marBottom w:val="0"/>
          <w:divBdr>
            <w:top w:val="none" w:sz="0" w:space="0" w:color="auto"/>
            <w:left w:val="none" w:sz="0" w:space="0" w:color="auto"/>
            <w:bottom w:val="none" w:sz="0" w:space="0" w:color="auto"/>
            <w:right w:val="none" w:sz="0" w:space="0" w:color="auto"/>
          </w:divBdr>
        </w:div>
        <w:div w:id="158617438">
          <w:marLeft w:val="0"/>
          <w:marRight w:val="0"/>
          <w:marTop w:val="0"/>
          <w:marBottom w:val="0"/>
          <w:divBdr>
            <w:top w:val="none" w:sz="0" w:space="0" w:color="auto"/>
            <w:left w:val="none" w:sz="0" w:space="0" w:color="auto"/>
            <w:bottom w:val="none" w:sz="0" w:space="0" w:color="auto"/>
            <w:right w:val="none" w:sz="0" w:space="0" w:color="auto"/>
          </w:divBdr>
        </w:div>
        <w:div w:id="1579050371">
          <w:marLeft w:val="0"/>
          <w:marRight w:val="0"/>
          <w:marTop w:val="0"/>
          <w:marBottom w:val="0"/>
          <w:divBdr>
            <w:top w:val="none" w:sz="0" w:space="0" w:color="auto"/>
            <w:left w:val="none" w:sz="0" w:space="0" w:color="auto"/>
            <w:bottom w:val="none" w:sz="0" w:space="0" w:color="auto"/>
            <w:right w:val="none" w:sz="0" w:space="0" w:color="auto"/>
          </w:divBdr>
        </w:div>
        <w:div w:id="2030911069">
          <w:marLeft w:val="0"/>
          <w:marRight w:val="0"/>
          <w:marTop w:val="0"/>
          <w:marBottom w:val="0"/>
          <w:divBdr>
            <w:top w:val="none" w:sz="0" w:space="0" w:color="auto"/>
            <w:left w:val="none" w:sz="0" w:space="0" w:color="auto"/>
            <w:bottom w:val="none" w:sz="0" w:space="0" w:color="auto"/>
            <w:right w:val="none" w:sz="0" w:space="0" w:color="auto"/>
          </w:divBdr>
        </w:div>
        <w:div w:id="314339767">
          <w:marLeft w:val="0"/>
          <w:marRight w:val="0"/>
          <w:marTop w:val="0"/>
          <w:marBottom w:val="0"/>
          <w:divBdr>
            <w:top w:val="none" w:sz="0" w:space="0" w:color="auto"/>
            <w:left w:val="none" w:sz="0" w:space="0" w:color="auto"/>
            <w:bottom w:val="none" w:sz="0" w:space="0" w:color="auto"/>
            <w:right w:val="none" w:sz="0" w:space="0" w:color="auto"/>
          </w:divBdr>
        </w:div>
        <w:div w:id="874001258">
          <w:marLeft w:val="0"/>
          <w:marRight w:val="0"/>
          <w:marTop w:val="0"/>
          <w:marBottom w:val="0"/>
          <w:divBdr>
            <w:top w:val="none" w:sz="0" w:space="0" w:color="auto"/>
            <w:left w:val="none" w:sz="0" w:space="0" w:color="auto"/>
            <w:bottom w:val="none" w:sz="0" w:space="0" w:color="auto"/>
            <w:right w:val="none" w:sz="0" w:space="0" w:color="auto"/>
          </w:divBdr>
        </w:div>
        <w:div w:id="1951889304">
          <w:marLeft w:val="0"/>
          <w:marRight w:val="0"/>
          <w:marTop w:val="0"/>
          <w:marBottom w:val="0"/>
          <w:divBdr>
            <w:top w:val="none" w:sz="0" w:space="0" w:color="auto"/>
            <w:left w:val="none" w:sz="0" w:space="0" w:color="auto"/>
            <w:bottom w:val="none" w:sz="0" w:space="0" w:color="auto"/>
            <w:right w:val="none" w:sz="0" w:space="0" w:color="auto"/>
          </w:divBdr>
        </w:div>
        <w:div w:id="625283302">
          <w:marLeft w:val="0"/>
          <w:marRight w:val="0"/>
          <w:marTop w:val="0"/>
          <w:marBottom w:val="0"/>
          <w:divBdr>
            <w:top w:val="none" w:sz="0" w:space="0" w:color="auto"/>
            <w:left w:val="none" w:sz="0" w:space="0" w:color="auto"/>
            <w:bottom w:val="none" w:sz="0" w:space="0" w:color="auto"/>
            <w:right w:val="none" w:sz="0" w:space="0" w:color="auto"/>
          </w:divBdr>
        </w:div>
        <w:div w:id="1470898324">
          <w:marLeft w:val="0"/>
          <w:marRight w:val="0"/>
          <w:marTop w:val="0"/>
          <w:marBottom w:val="0"/>
          <w:divBdr>
            <w:top w:val="none" w:sz="0" w:space="0" w:color="auto"/>
            <w:left w:val="none" w:sz="0" w:space="0" w:color="auto"/>
            <w:bottom w:val="none" w:sz="0" w:space="0" w:color="auto"/>
            <w:right w:val="none" w:sz="0" w:space="0" w:color="auto"/>
          </w:divBdr>
        </w:div>
      </w:divsChild>
    </w:div>
    <w:div w:id="1672950264">
      <w:marLeft w:val="0"/>
      <w:marRight w:val="0"/>
      <w:marTop w:val="0"/>
      <w:marBottom w:val="120"/>
      <w:divBdr>
        <w:top w:val="none" w:sz="0" w:space="0" w:color="auto"/>
        <w:left w:val="none" w:sz="0" w:space="0" w:color="auto"/>
        <w:bottom w:val="none" w:sz="0" w:space="0" w:color="auto"/>
        <w:right w:val="none" w:sz="0" w:space="0" w:color="auto"/>
      </w:divBdr>
      <w:divsChild>
        <w:div w:id="12804280">
          <w:marLeft w:val="0"/>
          <w:marRight w:val="0"/>
          <w:marTop w:val="0"/>
          <w:marBottom w:val="0"/>
          <w:divBdr>
            <w:top w:val="none" w:sz="0" w:space="0" w:color="auto"/>
            <w:left w:val="none" w:sz="0" w:space="0" w:color="auto"/>
            <w:bottom w:val="none" w:sz="0" w:space="0" w:color="auto"/>
            <w:right w:val="none" w:sz="0" w:space="0" w:color="auto"/>
          </w:divBdr>
        </w:div>
        <w:div w:id="225380407">
          <w:marLeft w:val="0"/>
          <w:marRight w:val="0"/>
          <w:marTop w:val="0"/>
          <w:marBottom w:val="0"/>
          <w:divBdr>
            <w:top w:val="none" w:sz="0" w:space="0" w:color="auto"/>
            <w:left w:val="none" w:sz="0" w:space="0" w:color="auto"/>
            <w:bottom w:val="none" w:sz="0" w:space="0" w:color="auto"/>
            <w:right w:val="none" w:sz="0" w:space="0" w:color="auto"/>
          </w:divBdr>
        </w:div>
        <w:div w:id="542407506">
          <w:marLeft w:val="0"/>
          <w:marRight w:val="0"/>
          <w:marTop w:val="0"/>
          <w:marBottom w:val="0"/>
          <w:divBdr>
            <w:top w:val="none" w:sz="0" w:space="0" w:color="auto"/>
            <w:left w:val="none" w:sz="0" w:space="0" w:color="auto"/>
            <w:bottom w:val="none" w:sz="0" w:space="0" w:color="auto"/>
            <w:right w:val="none" w:sz="0" w:space="0" w:color="auto"/>
          </w:divBdr>
        </w:div>
        <w:div w:id="665595974">
          <w:marLeft w:val="0"/>
          <w:marRight w:val="0"/>
          <w:marTop w:val="0"/>
          <w:marBottom w:val="0"/>
          <w:divBdr>
            <w:top w:val="none" w:sz="0" w:space="0" w:color="auto"/>
            <w:left w:val="none" w:sz="0" w:space="0" w:color="auto"/>
            <w:bottom w:val="none" w:sz="0" w:space="0" w:color="auto"/>
            <w:right w:val="none" w:sz="0" w:space="0" w:color="auto"/>
          </w:divBdr>
        </w:div>
        <w:div w:id="2049716277">
          <w:marLeft w:val="0"/>
          <w:marRight w:val="0"/>
          <w:marTop w:val="0"/>
          <w:marBottom w:val="0"/>
          <w:divBdr>
            <w:top w:val="none" w:sz="0" w:space="0" w:color="auto"/>
            <w:left w:val="none" w:sz="0" w:space="0" w:color="auto"/>
            <w:bottom w:val="none" w:sz="0" w:space="0" w:color="auto"/>
            <w:right w:val="none" w:sz="0" w:space="0" w:color="auto"/>
          </w:divBdr>
        </w:div>
        <w:div w:id="1838571871">
          <w:marLeft w:val="0"/>
          <w:marRight w:val="0"/>
          <w:marTop w:val="0"/>
          <w:marBottom w:val="0"/>
          <w:divBdr>
            <w:top w:val="none" w:sz="0" w:space="0" w:color="auto"/>
            <w:left w:val="none" w:sz="0" w:space="0" w:color="auto"/>
            <w:bottom w:val="none" w:sz="0" w:space="0" w:color="auto"/>
            <w:right w:val="none" w:sz="0" w:space="0" w:color="auto"/>
          </w:divBdr>
        </w:div>
        <w:div w:id="426312686">
          <w:marLeft w:val="0"/>
          <w:marRight w:val="0"/>
          <w:marTop w:val="0"/>
          <w:marBottom w:val="0"/>
          <w:divBdr>
            <w:top w:val="none" w:sz="0" w:space="0" w:color="auto"/>
            <w:left w:val="none" w:sz="0" w:space="0" w:color="auto"/>
            <w:bottom w:val="none" w:sz="0" w:space="0" w:color="auto"/>
            <w:right w:val="none" w:sz="0" w:space="0" w:color="auto"/>
          </w:divBdr>
        </w:div>
        <w:div w:id="1284919422">
          <w:marLeft w:val="0"/>
          <w:marRight w:val="0"/>
          <w:marTop w:val="0"/>
          <w:marBottom w:val="0"/>
          <w:divBdr>
            <w:top w:val="none" w:sz="0" w:space="0" w:color="auto"/>
            <w:left w:val="none" w:sz="0" w:space="0" w:color="auto"/>
            <w:bottom w:val="none" w:sz="0" w:space="0" w:color="auto"/>
            <w:right w:val="none" w:sz="0" w:space="0" w:color="auto"/>
          </w:divBdr>
        </w:div>
        <w:div w:id="120803708">
          <w:marLeft w:val="0"/>
          <w:marRight w:val="0"/>
          <w:marTop w:val="0"/>
          <w:marBottom w:val="0"/>
          <w:divBdr>
            <w:top w:val="none" w:sz="0" w:space="0" w:color="auto"/>
            <w:left w:val="none" w:sz="0" w:space="0" w:color="auto"/>
            <w:bottom w:val="none" w:sz="0" w:space="0" w:color="auto"/>
            <w:right w:val="none" w:sz="0" w:space="0" w:color="auto"/>
          </w:divBdr>
        </w:div>
        <w:div w:id="639652426">
          <w:marLeft w:val="0"/>
          <w:marRight w:val="0"/>
          <w:marTop w:val="0"/>
          <w:marBottom w:val="0"/>
          <w:divBdr>
            <w:top w:val="none" w:sz="0" w:space="0" w:color="auto"/>
            <w:left w:val="none" w:sz="0" w:space="0" w:color="auto"/>
            <w:bottom w:val="none" w:sz="0" w:space="0" w:color="auto"/>
            <w:right w:val="none" w:sz="0" w:space="0" w:color="auto"/>
          </w:divBdr>
        </w:div>
        <w:div w:id="1921788832">
          <w:marLeft w:val="0"/>
          <w:marRight w:val="0"/>
          <w:marTop w:val="0"/>
          <w:marBottom w:val="0"/>
          <w:divBdr>
            <w:top w:val="none" w:sz="0" w:space="0" w:color="auto"/>
            <w:left w:val="none" w:sz="0" w:space="0" w:color="auto"/>
            <w:bottom w:val="none" w:sz="0" w:space="0" w:color="auto"/>
            <w:right w:val="none" w:sz="0" w:space="0" w:color="auto"/>
          </w:divBdr>
        </w:div>
        <w:div w:id="1012300425">
          <w:marLeft w:val="0"/>
          <w:marRight w:val="0"/>
          <w:marTop w:val="0"/>
          <w:marBottom w:val="0"/>
          <w:divBdr>
            <w:top w:val="none" w:sz="0" w:space="0" w:color="auto"/>
            <w:left w:val="none" w:sz="0" w:space="0" w:color="auto"/>
            <w:bottom w:val="none" w:sz="0" w:space="0" w:color="auto"/>
            <w:right w:val="none" w:sz="0" w:space="0" w:color="auto"/>
          </w:divBdr>
        </w:div>
        <w:div w:id="30107672">
          <w:marLeft w:val="0"/>
          <w:marRight w:val="0"/>
          <w:marTop w:val="0"/>
          <w:marBottom w:val="0"/>
          <w:divBdr>
            <w:top w:val="none" w:sz="0" w:space="0" w:color="auto"/>
            <w:left w:val="none" w:sz="0" w:space="0" w:color="auto"/>
            <w:bottom w:val="none" w:sz="0" w:space="0" w:color="auto"/>
            <w:right w:val="none" w:sz="0" w:space="0" w:color="auto"/>
          </w:divBdr>
        </w:div>
      </w:divsChild>
    </w:div>
    <w:div w:id="1673214536">
      <w:marLeft w:val="0"/>
      <w:marRight w:val="0"/>
      <w:marTop w:val="180"/>
      <w:marBottom w:val="0"/>
      <w:divBdr>
        <w:top w:val="none" w:sz="0" w:space="0" w:color="auto"/>
        <w:left w:val="none" w:sz="0" w:space="0" w:color="auto"/>
        <w:bottom w:val="none" w:sz="0" w:space="0" w:color="auto"/>
        <w:right w:val="none" w:sz="0" w:space="0" w:color="auto"/>
      </w:divBdr>
    </w:div>
    <w:div w:id="1674408215">
      <w:marLeft w:val="0"/>
      <w:marRight w:val="0"/>
      <w:marTop w:val="120"/>
      <w:marBottom w:val="0"/>
      <w:divBdr>
        <w:top w:val="none" w:sz="0" w:space="0" w:color="auto"/>
        <w:left w:val="none" w:sz="0" w:space="0" w:color="auto"/>
        <w:bottom w:val="none" w:sz="0" w:space="0" w:color="auto"/>
        <w:right w:val="none" w:sz="0" w:space="0" w:color="auto"/>
      </w:divBdr>
    </w:div>
    <w:div w:id="1674603943">
      <w:marLeft w:val="0"/>
      <w:marRight w:val="0"/>
      <w:marTop w:val="180"/>
      <w:marBottom w:val="0"/>
      <w:divBdr>
        <w:top w:val="none" w:sz="0" w:space="0" w:color="auto"/>
        <w:left w:val="none" w:sz="0" w:space="0" w:color="auto"/>
        <w:bottom w:val="none" w:sz="0" w:space="0" w:color="auto"/>
        <w:right w:val="none" w:sz="0" w:space="0" w:color="auto"/>
      </w:divBdr>
    </w:div>
    <w:div w:id="1675649437">
      <w:marLeft w:val="0"/>
      <w:marRight w:val="0"/>
      <w:marTop w:val="180"/>
      <w:marBottom w:val="0"/>
      <w:divBdr>
        <w:top w:val="none" w:sz="0" w:space="0" w:color="auto"/>
        <w:left w:val="none" w:sz="0" w:space="0" w:color="auto"/>
        <w:bottom w:val="none" w:sz="0" w:space="0" w:color="auto"/>
        <w:right w:val="none" w:sz="0" w:space="0" w:color="auto"/>
      </w:divBdr>
    </w:div>
    <w:div w:id="1675842801">
      <w:marLeft w:val="0"/>
      <w:marRight w:val="0"/>
      <w:marTop w:val="240"/>
      <w:marBottom w:val="0"/>
      <w:divBdr>
        <w:top w:val="none" w:sz="0" w:space="0" w:color="auto"/>
        <w:left w:val="none" w:sz="0" w:space="0" w:color="auto"/>
        <w:bottom w:val="none" w:sz="0" w:space="0" w:color="auto"/>
        <w:right w:val="none" w:sz="0" w:space="0" w:color="auto"/>
      </w:divBdr>
    </w:div>
    <w:div w:id="1680232209">
      <w:marLeft w:val="0"/>
      <w:marRight w:val="0"/>
      <w:marTop w:val="180"/>
      <w:marBottom w:val="0"/>
      <w:divBdr>
        <w:top w:val="none" w:sz="0" w:space="0" w:color="auto"/>
        <w:left w:val="none" w:sz="0" w:space="0" w:color="auto"/>
        <w:bottom w:val="none" w:sz="0" w:space="0" w:color="auto"/>
        <w:right w:val="none" w:sz="0" w:space="0" w:color="auto"/>
      </w:divBdr>
    </w:div>
    <w:div w:id="1682586085">
      <w:marLeft w:val="0"/>
      <w:marRight w:val="0"/>
      <w:marTop w:val="180"/>
      <w:marBottom w:val="120"/>
      <w:divBdr>
        <w:top w:val="none" w:sz="0" w:space="0" w:color="auto"/>
        <w:left w:val="none" w:sz="0" w:space="0" w:color="auto"/>
        <w:bottom w:val="none" w:sz="0" w:space="0" w:color="auto"/>
        <w:right w:val="none" w:sz="0" w:space="0" w:color="auto"/>
      </w:divBdr>
    </w:div>
    <w:div w:id="1683311388">
      <w:marLeft w:val="0"/>
      <w:marRight w:val="0"/>
      <w:marTop w:val="0"/>
      <w:marBottom w:val="200"/>
      <w:divBdr>
        <w:top w:val="none" w:sz="0" w:space="0" w:color="auto"/>
        <w:left w:val="none" w:sz="0" w:space="0" w:color="auto"/>
        <w:bottom w:val="none" w:sz="0" w:space="0" w:color="auto"/>
        <w:right w:val="none" w:sz="0" w:space="0" w:color="auto"/>
      </w:divBdr>
    </w:div>
    <w:div w:id="1684237104">
      <w:marLeft w:val="0"/>
      <w:marRight w:val="0"/>
      <w:marTop w:val="0"/>
      <w:marBottom w:val="0"/>
      <w:divBdr>
        <w:top w:val="none" w:sz="0" w:space="0" w:color="auto"/>
        <w:left w:val="none" w:sz="0" w:space="0" w:color="auto"/>
        <w:bottom w:val="none" w:sz="0" w:space="0" w:color="auto"/>
        <w:right w:val="none" w:sz="0" w:space="0" w:color="auto"/>
      </w:divBdr>
      <w:divsChild>
        <w:div w:id="1733701061">
          <w:marLeft w:val="0"/>
          <w:marRight w:val="0"/>
          <w:marTop w:val="0"/>
          <w:marBottom w:val="0"/>
          <w:divBdr>
            <w:top w:val="none" w:sz="0" w:space="0" w:color="auto"/>
            <w:left w:val="none" w:sz="0" w:space="0" w:color="auto"/>
            <w:bottom w:val="none" w:sz="0" w:space="0" w:color="auto"/>
            <w:right w:val="none" w:sz="0" w:space="0" w:color="auto"/>
          </w:divBdr>
          <w:divsChild>
            <w:div w:id="19213320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84741120">
      <w:marLeft w:val="0"/>
      <w:marRight w:val="0"/>
      <w:marTop w:val="0"/>
      <w:marBottom w:val="200"/>
      <w:divBdr>
        <w:top w:val="none" w:sz="0" w:space="0" w:color="auto"/>
        <w:left w:val="none" w:sz="0" w:space="0" w:color="auto"/>
        <w:bottom w:val="none" w:sz="0" w:space="0" w:color="auto"/>
        <w:right w:val="none" w:sz="0" w:space="0" w:color="auto"/>
      </w:divBdr>
    </w:div>
    <w:div w:id="1688946087">
      <w:marLeft w:val="0"/>
      <w:marRight w:val="0"/>
      <w:marTop w:val="180"/>
      <w:marBottom w:val="60"/>
      <w:divBdr>
        <w:top w:val="none" w:sz="0" w:space="0" w:color="auto"/>
        <w:left w:val="none" w:sz="0" w:space="0" w:color="auto"/>
        <w:bottom w:val="none" w:sz="0" w:space="0" w:color="auto"/>
        <w:right w:val="none" w:sz="0" w:space="0" w:color="auto"/>
      </w:divBdr>
    </w:div>
    <w:div w:id="1692410833">
      <w:marLeft w:val="0"/>
      <w:marRight w:val="0"/>
      <w:marTop w:val="180"/>
      <w:marBottom w:val="120"/>
      <w:divBdr>
        <w:top w:val="none" w:sz="0" w:space="0" w:color="auto"/>
        <w:left w:val="none" w:sz="0" w:space="0" w:color="auto"/>
        <w:bottom w:val="none" w:sz="0" w:space="0" w:color="auto"/>
        <w:right w:val="none" w:sz="0" w:space="0" w:color="auto"/>
      </w:divBdr>
      <w:divsChild>
        <w:div w:id="586155601">
          <w:marLeft w:val="0"/>
          <w:marRight w:val="0"/>
          <w:marTop w:val="0"/>
          <w:marBottom w:val="0"/>
          <w:divBdr>
            <w:top w:val="none" w:sz="0" w:space="0" w:color="auto"/>
            <w:left w:val="none" w:sz="0" w:space="0" w:color="auto"/>
            <w:bottom w:val="none" w:sz="0" w:space="0" w:color="auto"/>
            <w:right w:val="none" w:sz="0" w:space="0" w:color="auto"/>
          </w:divBdr>
        </w:div>
        <w:div w:id="1346437410">
          <w:marLeft w:val="0"/>
          <w:marRight w:val="0"/>
          <w:marTop w:val="0"/>
          <w:marBottom w:val="0"/>
          <w:divBdr>
            <w:top w:val="none" w:sz="0" w:space="0" w:color="auto"/>
            <w:left w:val="none" w:sz="0" w:space="0" w:color="auto"/>
            <w:bottom w:val="none" w:sz="0" w:space="0" w:color="auto"/>
            <w:right w:val="none" w:sz="0" w:space="0" w:color="auto"/>
          </w:divBdr>
        </w:div>
        <w:div w:id="245069622">
          <w:marLeft w:val="0"/>
          <w:marRight w:val="0"/>
          <w:marTop w:val="0"/>
          <w:marBottom w:val="0"/>
          <w:divBdr>
            <w:top w:val="none" w:sz="0" w:space="0" w:color="auto"/>
            <w:left w:val="none" w:sz="0" w:space="0" w:color="auto"/>
            <w:bottom w:val="none" w:sz="0" w:space="0" w:color="auto"/>
            <w:right w:val="none" w:sz="0" w:space="0" w:color="auto"/>
          </w:divBdr>
        </w:div>
      </w:divsChild>
    </w:div>
    <w:div w:id="1692802942">
      <w:marLeft w:val="0"/>
      <w:marRight w:val="0"/>
      <w:marTop w:val="180"/>
      <w:marBottom w:val="0"/>
      <w:divBdr>
        <w:top w:val="none" w:sz="0" w:space="0" w:color="auto"/>
        <w:left w:val="none" w:sz="0" w:space="0" w:color="auto"/>
        <w:bottom w:val="none" w:sz="0" w:space="0" w:color="auto"/>
        <w:right w:val="none" w:sz="0" w:space="0" w:color="auto"/>
      </w:divBdr>
    </w:div>
    <w:div w:id="1695031713">
      <w:marLeft w:val="0"/>
      <w:marRight w:val="0"/>
      <w:marTop w:val="0"/>
      <w:marBottom w:val="0"/>
      <w:divBdr>
        <w:top w:val="none" w:sz="0" w:space="0" w:color="auto"/>
        <w:left w:val="none" w:sz="0" w:space="0" w:color="auto"/>
        <w:bottom w:val="none" w:sz="0" w:space="0" w:color="auto"/>
        <w:right w:val="none" w:sz="0" w:space="0" w:color="auto"/>
      </w:divBdr>
    </w:div>
    <w:div w:id="1695691783">
      <w:marLeft w:val="0"/>
      <w:marRight w:val="0"/>
      <w:marTop w:val="180"/>
      <w:marBottom w:val="0"/>
      <w:divBdr>
        <w:top w:val="none" w:sz="0" w:space="0" w:color="auto"/>
        <w:left w:val="none" w:sz="0" w:space="0" w:color="auto"/>
        <w:bottom w:val="none" w:sz="0" w:space="0" w:color="auto"/>
        <w:right w:val="none" w:sz="0" w:space="0" w:color="auto"/>
      </w:divBdr>
    </w:div>
    <w:div w:id="1696343217">
      <w:marLeft w:val="0"/>
      <w:marRight w:val="0"/>
      <w:marTop w:val="0"/>
      <w:marBottom w:val="0"/>
      <w:divBdr>
        <w:top w:val="none" w:sz="0" w:space="0" w:color="auto"/>
        <w:left w:val="none" w:sz="0" w:space="0" w:color="auto"/>
        <w:bottom w:val="none" w:sz="0" w:space="0" w:color="auto"/>
        <w:right w:val="none" w:sz="0" w:space="0" w:color="auto"/>
      </w:divBdr>
      <w:divsChild>
        <w:div w:id="754594895">
          <w:marLeft w:val="0"/>
          <w:marRight w:val="0"/>
          <w:marTop w:val="180"/>
          <w:marBottom w:val="0"/>
          <w:divBdr>
            <w:top w:val="none" w:sz="0" w:space="0" w:color="auto"/>
            <w:left w:val="none" w:sz="0" w:space="0" w:color="auto"/>
            <w:bottom w:val="none" w:sz="0" w:space="0" w:color="auto"/>
            <w:right w:val="none" w:sz="0" w:space="0" w:color="auto"/>
          </w:divBdr>
        </w:div>
      </w:divsChild>
    </w:div>
    <w:div w:id="1697150651">
      <w:marLeft w:val="0"/>
      <w:marRight w:val="0"/>
      <w:marTop w:val="180"/>
      <w:marBottom w:val="0"/>
      <w:divBdr>
        <w:top w:val="none" w:sz="0" w:space="0" w:color="auto"/>
        <w:left w:val="none" w:sz="0" w:space="0" w:color="auto"/>
        <w:bottom w:val="none" w:sz="0" w:space="0" w:color="auto"/>
        <w:right w:val="none" w:sz="0" w:space="0" w:color="auto"/>
      </w:divBdr>
    </w:div>
    <w:div w:id="1698388392">
      <w:marLeft w:val="0"/>
      <w:marRight w:val="0"/>
      <w:marTop w:val="20"/>
      <w:marBottom w:val="0"/>
      <w:divBdr>
        <w:top w:val="none" w:sz="0" w:space="0" w:color="auto"/>
        <w:left w:val="none" w:sz="0" w:space="0" w:color="auto"/>
        <w:bottom w:val="none" w:sz="0" w:space="0" w:color="auto"/>
        <w:right w:val="none" w:sz="0" w:space="0" w:color="auto"/>
      </w:divBdr>
    </w:div>
    <w:div w:id="1699041861">
      <w:marLeft w:val="0"/>
      <w:marRight w:val="0"/>
      <w:marTop w:val="180"/>
      <w:marBottom w:val="0"/>
      <w:divBdr>
        <w:top w:val="none" w:sz="0" w:space="0" w:color="auto"/>
        <w:left w:val="none" w:sz="0" w:space="0" w:color="auto"/>
        <w:bottom w:val="none" w:sz="0" w:space="0" w:color="auto"/>
        <w:right w:val="none" w:sz="0" w:space="0" w:color="auto"/>
      </w:divBdr>
    </w:div>
    <w:div w:id="1699501501">
      <w:marLeft w:val="0"/>
      <w:marRight w:val="0"/>
      <w:marTop w:val="180"/>
      <w:marBottom w:val="0"/>
      <w:divBdr>
        <w:top w:val="none" w:sz="0" w:space="0" w:color="auto"/>
        <w:left w:val="none" w:sz="0" w:space="0" w:color="auto"/>
        <w:bottom w:val="none" w:sz="0" w:space="0" w:color="auto"/>
        <w:right w:val="none" w:sz="0" w:space="0" w:color="auto"/>
      </w:divBdr>
    </w:div>
    <w:div w:id="1700162387">
      <w:marLeft w:val="0"/>
      <w:marRight w:val="0"/>
      <w:marTop w:val="180"/>
      <w:marBottom w:val="0"/>
      <w:divBdr>
        <w:top w:val="none" w:sz="0" w:space="0" w:color="auto"/>
        <w:left w:val="none" w:sz="0" w:space="0" w:color="auto"/>
        <w:bottom w:val="none" w:sz="0" w:space="0" w:color="auto"/>
        <w:right w:val="none" w:sz="0" w:space="0" w:color="auto"/>
      </w:divBdr>
    </w:div>
    <w:div w:id="1702901885">
      <w:marLeft w:val="0"/>
      <w:marRight w:val="0"/>
      <w:marTop w:val="180"/>
      <w:marBottom w:val="120"/>
      <w:divBdr>
        <w:top w:val="none" w:sz="0" w:space="0" w:color="auto"/>
        <w:left w:val="none" w:sz="0" w:space="0" w:color="auto"/>
        <w:bottom w:val="none" w:sz="0" w:space="0" w:color="auto"/>
        <w:right w:val="none" w:sz="0" w:space="0" w:color="auto"/>
      </w:divBdr>
    </w:div>
    <w:div w:id="1707565328">
      <w:marLeft w:val="0"/>
      <w:marRight w:val="0"/>
      <w:marTop w:val="180"/>
      <w:marBottom w:val="0"/>
      <w:divBdr>
        <w:top w:val="none" w:sz="0" w:space="0" w:color="auto"/>
        <w:left w:val="none" w:sz="0" w:space="0" w:color="auto"/>
        <w:bottom w:val="none" w:sz="0" w:space="0" w:color="auto"/>
        <w:right w:val="none" w:sz="0" w:space="0" w:color="auto"/>
      </w:divBdr>
    </w:div>
    <w:div w:id="1708294117">
      <w:marLeft w:val="0"/>
      <w:marRight w:val="0"/>
      <w:marTop w:val="120"/>
      <w:marBottom w:val="0"/>
      <w:divBdr>
        <w:top w:val="none" w:sz="0" w:space="0" w:color="auto"/>
        <w:left w:val="none" w:sz="0" w:space="0" w:color="auto"/>
        <w:bottom w:val="none" w:sz="0" w:space="0" w:color="auto"/>
        <w:right w:val="none" w:sz="0" w:space="0" w:color="auto"/>
      </w:divBdr>
    </w:div>
    <w:div w:id="1709182396">
      <w:marLeft w:val="0"/>
      <w:marRight w:val="0"/>
      <w:marTop w:val="180"/>
      <w:marBottom w:val="0"/>
      <w:divBdr>
        <w:top w:val="none" w:sz="0" w:space="0" w:color="auto"/>
        <w:left w:val="none" w:sz="0" w:space="0" w:color="auto"/>
        <w:bottom w:val="none" w:sz="0" w:space="0" w:color="auto"/>
        <w:right w:val="none" w:sz="0" w:space="0" w:color="auto"/>
      </w:divBdr>
    </w:div>
    <w:div w:id="1710884656">
      <w:marLeft w:val="0"/>
      <w:marRight w:val="0"/>
      <w:marTop w:val="180"/>
      <w:marBottom w:val="0"/>
      <w:divBdr>
        <w:top w:val="none" w:sz="0" w:space="0" w:color="auto"/>
        <w:left w:val="none" w:sz="0" w:space="0" w:color="auto"/>
        <w:bottom w:val="none" w:sz="0" w:space="0" w:color="auto"/>
        <w:right w:val="none" w:sz="0" w:space="0" w:color="auto"/>
      </w:divBdr>
    </w:div>
    <w:div w:id="1712074826">
      <w:marLeft w:val="0"/>
      <w:marRight w:val="0"/>
      <w:marTop w:val="0"/>
      <w:marBottom w:val="0"/>
      <w:divBdr>
        <w:top w:val="none" w:sz="0" w:space="0" w:color="auto"/>
        <w:left w:val="none" w:sz="0" w:space="0" w:color="auto"/>
        <w:bottom w:val="none" w:sz="0" w:space="0" w:color="auto"/>
        <w:right w:val="none" w:sz="0" w:space="0" w:color="auto"/>
      </w:divBdr>
      <w:divsChild>
        <w:div w:id="209659666">
          <w:marLeft w:val="0"/>
          <w:marRight w:val="0"/>
          <w:marTop w:val="180"/>
          <w:marBottom w:val="0"/>
          <w:divBdr>
            <w:top w:val="none" w:sz="0" w:space="0" w:color="auto"/>
            <w:left w:val="none" w:sz="0" w:space="0" w:color="auto"/>
            <w:bottom w:val="none" w:sz="0" w:space="0" w:color="auto"/>
            <w:right w:val="none" w:sz="0" w:space="0" w:color="auto"/>
          </w:divBdr>
        </w:div>
      </w:divsChild>
    </w:div>
    <w:div w:id="1713532804">
      <w:marLeft w:val="0"/>
      <w:marRight w:val="0"/>
      <w:marTop w:val="180"/>
      <w:marBottom w:val="0"/>
      <w:divBdr>
        <w:top w:val="none" w:sz="0" w:space="0" w:color="auto"/>
        <w:left w:val="none" w:sz="0" w:space="0" w:color="auto"/>
        <w:bottom w:val="none" w:sz="0" w:space="0" w:color="auto"/>
        <w:right w:val="none" w:sz="0" w:space="0" w:color="auto"/>
      </w:divBdr>
    </w:div>
    <w:div w:id="1721392736">
      <w:marLeft w:val="0"/>
      <w:marRight w:val="0"/>
      <w:marTop w:val="180"/>
      <w:marBottom w:val="0"/>
      <w:divBdr>
        <w:top w:val="none" w:sz="0" w:space="0" w:color="auto"/>
        <w:left w:val="none" w:sz="0" w:space="0" w:color="auto"/>
        <w:bottom w:val="none" w:sz="0" w:space="0" w:color="auto"/>
        <w:right w:val="none" w:sz="0" w:space="0" w:color="auto"/>
      </w:divBdr>
    </w:div>
    <w:div w:id="1724014664">
      <w:marLeft w:val="0"/>
      <w:marRight w:val="0"/>
      <w:marTop w:val="60"/>
      <w:marBottom w:val="240"/>
      <w:divBdr>
        <w:top w:val="none" w:sz="0" w:space="0" w:color="auto"/>
        <w:left w:val="none" w:sz="0" w:space="0" w:color="auto"/>
        <w:bottom w:val="none" w:sz="0" w:space="0" w:color="auto"/>
        <w:right w:val="none" w:sz="0" w:space="0" w:color="auto"/>
      </w:divBdr>
    </w:div>
    <w:div w:id="1724140712">
      <w:marLeft w:val="0"/>
      <w:marRight w:val="0"/>
      <w:marTop w:val="180"/>
      <w:marBottom w:val="0"/>
      <w:divBdr>
        <w:top w:val="none" w:sz="0" w:space="0" w:color="auto"/>
        <w:left w:val="none" w:sz="0" w:space="0" w:color="auto"/>
        <w:bottom w:val="none" w:sz="0" w:space="0" w:color="auto"/>
        <w:right w:val="none" w:sz="0" w:space="0" w:color="auto"/>
      </w:divBdr>
    </w:div>
    <w:div w:id="1725907004">
      <w:marLeft w:val="0"/>
      <w:marRight w:val="0"/>
      <w:marTop w:val="180"/>
      <w:marBottom w:val="0"/>
      <w:divBdr>
        <w:top w:val="none" w:sz="0" w:space="0" w:color="auto"/>
        <w:left w:val="none" w:sz="0" w:space="0" w:color="auto"/>
        <w:bottom w:val="none" w:sz="0" w:space="0" w:color="auto"/>
        <w:right w:val="none" w:sz="0" w:space="0" w:color="auto"/>
      </w:divBdr>
    </w:div>
    <w:div w:id="1728068951">
      <w:marLeft w:val="0"/>
      <w:marRight w:val="0"/>
      <w:marTop w:val="180"/>
      <w:marBottom w:val="0"/>
      <w:divBdr>
        <w:top w:val="none" w:sz="0" w:space="0" w:color="auto"/>
        <w:left w:val="none" w:sz="0" w:space="0" w:color="auto"/>
        <w:bottom w:val="none" w:sz="0" w:space="0" w:color="auto"/>
        <w:right w:val="none" w:sz="0" w:space="0" w:color="auto"/>
      </w:divBdr>
    </w:div>
    <w:div w:id="1733188797">
      <w:marLeft w:val="0"/>
      <w:marRight w:val="0"/>
      <w:marTop w:val="180"/>
      <w:marBottom w:val="0"/>
      <w:divBdr>
        <w:top w:val="none" w:sz="0" w:space="0" w:color="auto"/>
        <w:left w:val="none" w:sz="0" w:space="0" w:color="auto"/>
        <w:bottom w:val="none" w:sz="0" w:space="0" w:color="auto"/>
        <w:right w:val="none" w:sz="0" w:space="0" w:color="auto"/>
      </w:divBdr>
    </w:div>
    <w:div w:id="1733850730">
      <w:marLeft w:val="0"/>
      <w:marRight w:val="0"/>
      <w:marTop w:val="0"/>
      <w:marBottom w:val="120"/>
      <w:divBdr>
        <w:top w:val="none" w:sz="0" w:space="0" w:color="auto"/>
        <w:left w:val="none" w:sz="0" w:space="0" w:color="auto"/>
        <w:bottom w:val="none" w:sz="0" w:space="0" w:color="auto"/>
        <w:right w:val="none" w:sz="0" w:space="0" w:color="auto"/>
      </w:divBdr>
      <w:divsChild>
        <w:div w:id="1173495238">
          <w:marLeft w:val="0"/>
          <w:marRight w:val="0"/>
          <w:marTop w:val="0"/>
          <w:marBottom w:val="0"/>
          <w:divBdr>
            <w:top w:val="none" w:sz="0" w:space="0" w:color="auto"/>
            <w:left w:val="none" w:sz="0" w:space="0" w:color="auto"/>
            <w:bottom w:val="none" w:sz="0" w:space="0" w:color="auto"/>
            <w:right w:val="none" w:sz="0" w:space="0" w:color="auto"/>
          </w:divBdr>
        </w:div>
        <w:div w:id="928003006">
          <w:marLeft w:val="0"/>
          <w:marRight w:val="0"/>
          <w:marTop w:val="0"/>
          <w:marBottom w:val="0"/>
          <w:divBdr>
            <w:top w:val="none" w:sz="0" w:space="0" w:color="auto"/>
            <w:left w:val="none" w:sz="0" w:space="0" w:color="auto"/>
            <w:bottom w:val="none" w:sz="0" w:space="0" w:color="auto"/>
            <w:right w:val="none" w:sz="0" w:space="0" w:color="auto"/>
          </w:divBdr>
        </w:div>
        <w:div w:id="328943926">
          <w:marLeft w:val="0"/>
          <w:marRight w:val="0"/>
          <w:marTop w:val="0"/>
          <w:marBottom w:val="0"/>
          <w:divBdr>
            <w:top w:val="none" w:sz="0" w:space="0" w:color="auto"/>
            <w:left w:val="none" w:sz="0" w:space="0" w:color="auto"/>
            <w:bottom w:val="none" w:sz="0" w:space="0" w:color="auto"/>
            <w:right w:val="none" w:sz="0" w:space="0" w:color="auto"/>
          </w:divBdr>
        </w:div>
        <w:div w:id="861668526">
          <w:marLeft w:val="0"/>
          <w:marRight w:val="0"/>
          <w:marTop w:val="0"/>
          <w:marBottom w:val="0"/>
          <w:divBdr>
            <w:top w:val="none" w:sz="0" w:space="0" w:color="auto"/>
            <w:left w:val="none" w:sz="0" w:space="0" w:color="auto"/>
            <w:bottom w:val="none" w:sz="0" w:space="0" w:color="auto"/>
            <w:right w:val="none" w:sz="0" w:space="0" w:color="auto"/>
          </w:divBdr>
        </w:div>
        <w:div w:id="414976915">
          <w:marLeft w:val="0"/>
          <w:marRight w:val="0"/>
          <w:marTop w:val="0"/>
          <w:marBottom w:val="0"/>
          <w:divBdr>
            <w:top w:val="none" w:sz="0" w:space="0" w:color="auto"/>
            <w:left w:val="none" w:sz="0" w:space="0" w:color="auto"/>
            <w:bottom w:val="none" w:sz="0" w:space="0" w:color="auto"/>
            <w:right w:val="none" w:sz="0" w:space="0" w:color="auto"/>
          </w:divBdr>
        </w:div>
        <w:div w:id="571088571">
          <w:marLeft w:val="0"/>
          <w:marRight w:val="0"/>
          <w:marTop w:val="0"/>
          <w:marBottom w:val="0"/>
          <w:divBdr>
            <w:top w:val="none" w:sz="0" w:space="0" w:color="auto"/>
            <w:left w:val="none" w:sz="0" w:space="0" w:color="auto"/>
            <w:bottom w:val="none" w:sz="0" w:space="0" w:color="auto"/>
            <w:right w:val="none" w:sz="0" w:space="0" w:color="auto"/>
          </w:divBdr>
        </w:div>
        <w:div w:id="2519193">
          <w:marLeft w:val="0"/>
          <w:marRight w:val="0"/>
          <w:marTop w:val="0"/>
          <w:marBottom w:val="0"/>
          <w:divBdr>
            <w:top w:val="none" w:sz="0" w:space="0" w:color="auto"/>
            <w:left w:val="none" w:sz="0" w:space="0" w:color="auto"/>
            <w:bottom w:val="none" w:sz="0" w:space="0" w:color="auto"/>
            <w:right w:val="none" w:sz="0" w:space="0" w:color="auto"/>
          </w:divBdr>
        </w:div>
        <w:div w:id="1108812406">
          <w:marLeft w:val="0"/>
          <w:marRight w:val="0"/>
          <w:marTop w:val="0"/>
          <w:marBottom w:val="0"/>
          <w:divBdr>
            <w:top w:val="none" w:sz="0" w:space="0" w:color="auto"/>
            <w:left w:val="none" w:sz="0" w:space="0" w:color="auto"/>
            <w:bottom w:val="none" w:sz="0" w:space="0" w:color="auto"/>
            <w:right w:val="none" w:sz="0" w:space="0" w:color="auto"/>
          </w:divBdr>
        </w:div>
        <w:div w:id="163399603">
          <w:marLeft w:val="0"/>
          <w:marRight w:val="0"/>
          <w:marTop w:val="0"/>
          <w:marBottom w:val="0"/>
          <w:divBdr>
            <w:top w:val="none" w:sz="0" w:space="0" w:color="auto"/>
            <w:left w:val="none" w:sz="0" w:space="0" w:color="auto"/>
            <w:bottom w:val="none" w:sz="0" w:space="0" w:color="auto"/>
            <w:right w:val="none" w:sz="0" w:space="0" w:color="auto"/>
          </w:divBdr>
        </w:div>
        <w:div w:id="902371171">
          <w:marLeft w:val="0"/>
          <w:marRight w:val="0"/>
          <w:marTop w:val="0"/>
          <w:marBottom w:val="0"/>
          <w:divBdr>
            <w:top w:val="none" w:sz="0" w:space="0" w:color="auto"/>
            <w:left w:val="none" w:sz="0" w:space="0" w:color="auto"/>
            <w:bottom w:val="none" w:sz="0" w:space="0" w:color="auto"/>
            <w:right w:val="none" w:sz="0" w:space="0" w:color="auto"/>
          </w:divBdr>
        </w:div>
        <w:div w:id="1100219938">
          <w:marLeft w:val="0"/>
          <w:marRight w:val="0"/>
          <w:marTop w:val="0"/>
          <w:marBottom w:val="0"/>
          <w:divBdr>
            <w:top w:val="none" w:sz="0" w:space="0" w:color="auto"/>
            <w:left w:val="none" w:sz="0" w:space="0" w:color="auto"/>
            <w:bottom w:val="none" w:sz="0" w:space="0" w:color="auto"/>
            <w:right w:val="none" w:sz="0" w:space="0" w:color="auto"/>
          </w:divBdr>
        </w:div>
        <w:div w:id="1082875106">
          <w:marLeft w:val="0"/>
          <w:marRight w:val="0"/>
          <w:marTop w:val="0"/>
          <w:marBottom w:val="0"/>
          <w:divBdr>
            <w:top w:val="none" w:sz="0" w:space="0" w:color="auto"/>
            <w:left w:val="none" w:sz="0" w:space="0" w:color="auto"/>
            <w:bottom w:val="none" w:sz="0" w:space="0" w:color="auto"/>
            <w:right w:val="none" w:sz="0" w:space="0" w:color="auto"/>
          </w:divBdr>
        </w:div>
        <w:div w:id="2032106200">
          <w:marLeft w:val="0"/>
          <w:marRight w:val="0"/>
          <w:marTop w:val="0"/>
          <w:marBottom w:val="0"/>
          <w:divBdr>
            <w:top w:val="none" w:sz="0" w:space="0" w:color="auto"/>
            <w:left w:val="none" w:sz="0" w:space="0" w:color="auto"/>
            <w:bottom w:val="none" w:sz="0" w:space="0" w:color="auto"/>
            <w:right w:val="none" w:sz="0" w:space="0" w:color="auto"/>
          </w:divBdr>
        </w:div>
        <w:div w:id="1795634620">
          <w:marLeft w:val="0"/>
          <w:marRight w:val="0"/>
          <w:marTop w:val="0"/>
          <w:marBottom w:val="0"/>
          <w:divBdr>
            <w:top w:val="none" w:sz="0" w:space="0" w:color="auto"/>
            <w:left w:val="none" w:sz="0" w:space="0" w:color="auto"/>
            <w:bottom w:val="none" w:sz="0" w:space="0" w:color="auto"/>
            <w:right w:val="none" w:sz="0" w:space="0" w:color="auto"/>
          </w:divBdr>
        </w:div>
        <w:div w:id="52581730">
          <w:marLeft w:val="0"/>
          <w:marRight w:val="0"/>
          <w:marTop w:val="0"/>
          <w:marBottom w:val="0"/>
          <w:divBdr>
            <w:top w:val="none" w:sz="0" w:space="0" w:color="auto"/>
            <w:left w:val="none" w:sz="0" w:space="0" w:color="auto"/>
            <w:bottom w:val="none" w:sz="0" w:space="0" w:color="auto"/>
            <w:right w:val="none" w:sz="0" w:space="0" w:color="auto"/>
          </w:divBdr>
        </w:div>
        <w:div w:id="1100831481">
          <w:marLeft w:val="0"/>
          <w:marRight w:val="0"/>
          <w:marTop w:val="0"/>
          <w:marBottom w:val="0"/>
          <w:divBdr>
            <w:top w:val="none" w:sz="0" w:space="0" w:color="auto"/>
            <w:left w:val="none" w:sz="0" w:space="0" w:color="auto"/>
            <w:bottom w:val="none" w:sz="0" w:space="0" w:color="auto"/>
            <w:right w:val="none" w:sz="0" w:space="0" w:color="auto"/>
          </w:divBdr>
        </w:div>
        <w:div w:id="432215305">
          <w:marLeft w:val="0"/>
          <w:marRight w:val="0"/>
          <w:marTop w:val="0"/>
          <w:marBottom w:val="0"/>
          <w:divBdr>
            <w:top w:val="none" w:sz="0" w:space="0" w:color="auto"/>
            <w:left w:val="none" w:sz="0" w:space="0" w:color="auto"/>
            <w:bottom w:val="none" w:sz="0" w:space="0" w:color="auto"/>
            <w:right w:val="none" w:sz="0" w:space="0" w:color="auto"/>
          </w:divBdr>
        </w:div>
        <w:div w:id="184755275">
          <w:marLeft w:val="0"/>
          <w:marRight w:val="0"/>
          <w:marTop w:val="0"/>
          <w:marBottom w:val="0"/>
          <w:divBdr>
            <w:top w:val="none" w:sz="0" w:space="0" w:color="auto"/>
            <w:left w:val="none" w:sz="0" w:space="0" w:color="auto"/>
            <w:bottom w:val="none" w:sz="0" w:space="0" w:color="auto"/>
            <w:right w:val="none" w:sz="0" w:space="0" w:color="auto"/>
          </w:divBdr>
        </w:div>
        <w:div w:id="1879852596">
          <w:marLeft w:val="0"/>
          <w:marRight w:val="0"/>
          <w:marTop w:val="0"/>
          <w:marBottom w:val="0"/>
          <w:divBdr>
            <w:top w:val="none" w:sz="0" w:space="0" w:color="auto"/>
            <w:left w:val="none" w:sz="0" w:space="0" w:color="auto"/>
            <w:bottom w:val="none" w:sz="0" w:space="0" w:color="auto"/>
            <w:right w:val="none" w:sz="0" w:space="0" w:color="auto"/>
          </w:divBdr>
        </w:div>
        <w:div w:id="1361324096">
          <w:marLeft w:val="0"/>
          <w:marRight w:val="0"/>
          <w:marTop w:val="0"/>
          <w:marBottom w:val="0"/>
          <w:divBdr>
            <w:top w:val="none" w:sz="0" w:space="0" w:color="auto"/>
            <w:left w:val="none" w:sz="0" w:space="0" w:color="auto"/>
            <w:bottom w:val="none" w:sz="0" w:space="0" w:color="auto"/>
            <w:right w:val="none" w:sz="0" w:space="0" w:color="auto"/>
          </w:divBdr>
        </w:div>
      </w:divsChild>
    </w:div>
    <w:div w:id="1734308887">
      <w:marLeft w:val="0"/>
      <w:marRight w:val="0"/>
      <w:marTop w:val="180"/>
      <w:marBottom w:val="0"/>
      <w:divBdr>
        <w:top w:val="none" w:sz="0" w:space="0" w:color="auto"/>
        <w:left w:val="none" w:sz="0" w:space="0" w:color="auto"/>
        <w:bottom w:val="none" w:sz="0" w:space="0" w:color="auto"/>
        <w:right w:val="none" w:sz="0" w:space="0" w:color="auto"/>
      </w:divBdr>
    </w:div>
    <w:div w:id="1736318874">
      <w:marLeft w:val="0"/>
      <w:marRight w:val="0"/>
      <w:marTop w:val="120"/>
      <w:marBottom w:val="0"/>
      <w:divBdr>
        <w:top w:val="none" w:sz="0" w:space="0" w:color="auto"/>
        <w:left w:val="none" w:sz="0" w:space="0" w:color="auto"/>
        <w:bottom w:val="none" w:sz="0" w:space="0" w:color="auto"/>
        <w:right w:val="none" w:sz="0" w:space="0" w:color="auto"/>
      </w:divBdr>
    </w:div>
    <w:div w:id="1736394026">
      <w:marLeft w:val="0"/>
      <w:marRight w:val="0"/>
      <w:marTop w:val="120"/>
      <w:marBottom w:val="0"/>
      <w:divBdr>
        <w:top w:val="none" w:sz="0" w:space="0" w:color="auto"/>
        <w:left w:val="none" w:sz="0" w:space="0" w:color="auto"/>
        <w:bottom w:val="none" w:sz="0" w:space="0" w:color="auto"/>
        <w:right w:val="none" w:sz="0" w:space="0" w:color="auto"/>
      </w:divBdr>
    </w:div>
    <w:div w:id="1736971502">
      <w:marLeft w:val="0"/>
      <w:marRight w:val="0"/>
      <w:marTop w:val="60"/>
      <w:marBottom w:val="120"/>
      <w:divBdr>
        <w:top w:val="none" w:sz="0" w:space="0" w:color="auto"/>
        <w:left w:val="none" w:sz="0" w:space="0" w:color="auto"/>
        <w:bottom w:val="none" w:sz="0" w:space="0" w:color="auto"/>
        <w:right w:val="none" w:sz="0" w:space="0" w:color="auto"/>
      </w:divBdr>
    </w:div>
    <w:div w:id="1738363497">
      <w:marLeft w:val="0"/>
      <w:marRight w:val="0"/>
      <w:marTop w:val="180"/>
      <w:marBottom w:val="0"/>
      <w:divBdr>
        <w:top w:val="none" w:sz="0" w:space="0" w:color="auto"/>
        <w:left w:val="none" w:sz="0" w:space="0" w:color="auto"/>
        <w:bottom w:val="none" w:sz="0" w:space="0" w:color="auto"/>
        <w:right w:val="none" w:sz="0" w:space="0" w:color="auto"/>
      </w:divBdr>
    </w:div>
    <w:div w:id="1739326606">
      <w:marLeft w:val="0"/>
      <w:marRight w:val="0"/>
      <w:marTop w:val="180"/>
      <w:marBottom w:val="0"/>
      <w:divBdr>
        <w:top w:val="none" w:sz="0" w:space="0" w:color="auto"/>
        <w:left w:val="none" w:sz="0" w:space="0" w:color="auto"/>
        <w:bottom w:val="none" w:sz="0" w:space="0" w:color="auto"/>
        <w:right w:val="none" w:sz="0" w:space="0" w:color="auto"/>
      </w:divBdr>
    </w:div>
    <w:div w:id="1745031588">
      <w:marLeft w:val="0"/>
      <w:marRight w:val="0"/>
      <w:marTop w:val="180"/>
      <w:marBottom w:val="0"/>
      <w:divBdr>
        <w:top w:val="none" w:sz="0" w:space="0" w:color="auto"/>
        <w:left w:val="none" w:sz="0" w:space="0" w:color="auto"/>
        <w:bottom w:val="none" w:sz="0" w:space="0" w:color="auto"/>
        <w:right w:val="none" w:sz="0" w:space="0" w:color="auto"/>
      </w:divBdr>
    </w:div>
    <w:div w:id="1749500101">
      <w:marLeft w:val="0"/>
      <w:marRight w:val="0"/>
      <w:marTop w:val="180"/>
      <w:marBottom w:val="0"/>
      <w:divBdr>
        <w:top w:val="none" w:sz="0" w:space="0" w:color="auto"/>
        <w:left w:val="none" w:sz="0" w:space="0" w:color="auto"/>
        <w:bottom w:val="none" w:sz="0" w:space="0" w:color="auto"/>
        <w:right w:val="none" w:sz="0" w:space="0" w:color="auto"/>
      </w:divBdr>
    </w:div>
    <w:div w:id="1749500387">
      <w:marLeft w:val="0"/>
      <w:marRight w:val="0"/>
      <w:marTop w:val="60"/>
      <w:marBottom w:val="120"/>
      <w:divBdr>
        <w:top w:val="none" w:sz="0" w:space="0" w:color="auto"/>
        <w:left w:val="none" w:sz="0" w:space="0" w:color="auto"/>
        <w:bottom w:val="none" w:sz="0" w:space="0" w:color="auto"/>
        <w:right w:val="none" w:sz="0" w:space="0" w:color="auto"/>
      </w:divBdr>
    </w:div>
    <w:div w:id="1750273115">
      <w:marLeft w:val="0"/>
      <w:marRight w:val="0"/>
      <w:marTop w:val="180"/>
      <w:marBottom w:val="0"/>
      <w:divBdr>
        <w:top w:val="none" w:sz="0" w:space="0" w:color="auto"/>
        <w:left w:val="none" w:sz="0" w:space="0" w:color="auto"/>
        <w:bottom w:val="none" w:sz="0" w:space="0" w:color="auto"/>
        <w:right w:val="none" w:sz="0" w:space="0" w:color="auto"/>
      </w:divBdr>
    </w:div>
    <w:div w:id="1752240274">
      <w:marLeft w:val="0"/>
      <w:marRight w:val="0"/>
      <w:marTop w:val="180"/>
      <w:marBottom w:val="0"/>
      <w:divBdr>
        <w:top w:val="none" w:sz="0" w:space="0" w:color="auto"/>
        <w:left w:val="none" w:sz="0" w:space="0" w:color="auto"/>
        <w:bottom w:val="none" w:sz="0" w:space="0" w:color="auto"/>
        <w:right w:val="none" w:sz="0" w:space="0" w:color="auto"/>
      </w:divBdr>
    </w:div>
    <w:div w:id="1755518178">
      <w:marLeft w:val="0"/>
      <w:marRight w:val="0"/>
      <w:marTop w:val="180"/>
      <w:marBottom w:val="0"/>
      <w:divBdr>
        <w:top w:val="none" w:sz="0" w:space="0" w:color="auto"/>
        <w:left w:val="none" w:sz="0" w:space="0" w:color="auto"/>
        <w:bottom w:val="none" w:sz="0" w:space="0" w:color="auto"/>
        <w:right w:val="none" w:sz="0" w:space="0" w:color="auto"/>
      </w:divBdr>
    </w:div>
    <w:div w:id="1758209450">
      <w:marLeft w:val="0"/>
      <w:marRight w:val="0"/>
      <w:marTop w:val="60"/>
      <w:marBottom w:val="60"/>
      <w:divBdr>
        <w:top w:val="none" w:sz="0" w:space="0" w:color="auto"/>
        <w:left w:val="none" w:sz="0" w:space="0" w:color="auto"/>
        <w:bottom w:val="none" w:sz="0" w:space="0" w:color="auto"/>
        <w:right w:val="none" w:sz="0" w:space="0" w:color="auto"/>
      </w:divBdr>
    </w:div>
    <w:div w:id="1759596908">
      <w:marLeft w:val="0"/>
      <w:marRight w:val="0"/>
      <w:marTop w:val="240"/>
      <w:marBottom w:val="0"/>
      <w:divBdr>
        <w:top w:val="none" w:sz="0" w:space="0" w:color="auto"/>
        <w:left w:val="none" w:sz="0" w:space="0" w:color="auto"/>
        <w:bottom w:val="none" w:sz="0" w:space="0" w:color="auto"/>
        <w:right w:val="none" w:sz="0" w:space="0" w:color="auto"/>
      </w:divBdr>
    </w:div>
    <w:div w:id="1761439966">
      <w:marLeft w:val="0"/>
      <w:marRight w:val="0"/>
      <w:marTop w:val="0"/>
      <w:marBottom w:val="0"/>
      <w:divBdr>
        <w:top w:val="none" w:sz="0" w:space="0" w:color="auto"/>
        <w:left w:val="none" w:sz="0" w:space="0" w:color="auto"/>
        <w:bottom w:val="none" w:sz="0" w:space="0" w:color="auto"/>
        <w:right w:val="none" w:sz="0" w:space="0" w:color="auto"/>
      </w:divBdr>
      <w:divsChild>
        <w:div w:id="1749229329">
          <w:marLeft w:val="0"/>
          <w:marRight w:val="0"/>
          <w:marTop w:val="180"/>
          <w:marBottom w:val="0"/>
          <w:divBdr>
            <w:top w:val="none" w:sz="0" w:space="0" w:color="auto"/>
            <w:left w:val="none" w:sz="0" w:space="0" w:color="auto"/>
            <w:bottom w:val="none" w:sz="0" w:space="0" w:color="auto"/>
            <w:right w:val="none" w:sz="0" w:space="0" w:color="auto"/>
          </w:divBdr>
        </w:div>
      </w:divsChild>
    </w:div>
    <w:div w:id="1765877121">
      <w:marLeft w:val="0"/>
      <w:marRight w:val="0"/>
      <w:marTop w:val="0"/>
      <w:marBottom w:val="0"/>
      <w:divBdr>
        <w:top w:val="none" w:sz="0" w:space="0" w:color="auto"/>
        <w:left w:val="none" w:sz="0" w:space="0" w:color="auto"/>
        <w:bottom w:val="none" w:sz="0" w:space="0" w:color="auto"/>
        <w:right w:val="none" w:sz="0" w:space="0" w:color="auto"/>
      </w:divBdr>
      <w:divsChild>
        <w:div w:id="1059864129">
          <w:marLeft w:val="0"/>
          <w:marRight w:val="0"/>
          <w:marTop w:val="180"/>
          <w:marBottom w:val="0"/>
          <w:divBdr>
            <w:top w:val="none" w:sz="0" w:space="0" w:color="auto"/>
            <w:left w:val="none" w:sz="0" w:space="0" w:color="auto"/>
            <w:bottom w:val="none" w:sz="0" w:space="0" w:color="auto"/>
            <w:right w:val="none" w:sz="0" w:space="0" w:color="auto"/>
          </w:divBdr>
        </w:div>
      </w:divsChild>
    </w:div>
    <w:div w:id="1766918443">
      <w:marLeft w:val="0"/>
      <w:marRight w:val="0"/>
      <w:marTop w:val="180"/>
      <w:marBottom w:val="120"/>
      <w:divBdr>
        <w:top w:val="none" w:sz="0" w:space="0" w:color="auto"/>
        <w:left w:val="none" w:sz="0" w:space="0" w:color="auto"/>
        <w:bottom w:val="none" w:sz="0" w:space="0" w:color="auto"/>
        <w:right w:val="none" w:sz="0" w:space="0" w:color="auto"/>
      </w:divBdr>
    </w:div>
    <w:div w:id="1770000842">
      <w:marLeft w:val="0"/>
      <w:marRight w:val="0"/>
      <w:marTop w:val="180"/>
      <w:marBottom w:val="0"/>
      <w:divBdr>
        <w:top w:val="none" w:sz="0" w:space="0" w:color="auto"/>
        <w:left w:val="none" w:sz="0" w:space="0" w:color="auto"/>
        <w:bottom w:val="none" w:sz="0" w:space="0" w:color="auto"/>
        <w:right w:val="none" w:sz="0" w:space="0" w:color="auto"/>
      </w:divBdr>
    </w:div>
    <w:div w:id="1772965578">
      <w:marLeft w:val="0"/>
      <w:marRight w:val="0"/>
      <w:marTop w:val="180"/>
      <w:marBottom w:val="0"/>
      <w:divBdr>
        <w:top w:val="none" w:sz="0" w:space="0" w:color="auto"/>
        <w:left w:val="none" w:sz="0" w:space="0" w:color="auto"/>
        <w:bottom w:val="none" w:sz="0" w:space="0" w:color="auto"/>
        <w:right w:val="none" w:sz="0" w:space="0" w:color="auto"/>
      </w:divBdr>
    </w:div>
    <w:div w:id="1773823057">
      <w:marLeft w:val="0"/>
      <w:marRight w:val="0"/>
      <w:marTop w:val="180"/>
      <w:marBottom w:val="120"/>
      <w:divBdr>
        <w:top w:val="none" w:sz="0" w:space="0" w:color="auto"/>
        <w:left w:val="none" w:sz="0" w:space="0" w:color="auto"/>
        <w:bottom w:val="none" w:sz="0" w:space="0" w:color="auto"/>
        <w:right w:val="none" w:sz="0" w:space="0" w:color="auto"/>
      </w:divBdr>
    </w:div>
    <w:div w:id="1774205943">
      <w:marLeft w:val="0"/>
      <w:marRight w:val="0"/>
      <w:marTop w:val="180"/>
      <w:marBottom w:val="0"/>
      <w:divBdr>
        <w:top w:val="none" w:sz="0" w:space="0" w:color="auto"/>
        <w:left w:val="none" w:sz="0" w:space="0" w:color="auto"/>
        <w:bottom w:val="none" w:sz="0" w:space="0" w:color="auto"/>
        <w:right w:val="none" w:sz="0" w:space="0" w:color="auto"/>
      </w:divBdr>
    </w:div>
    <w:div w:id="1774938753">
      <w:marLeft w:val="0"/>
      <w:marRight w:val="0"/>
      <w:marTop w:val="180"/>
      <w:marBottom w:val="0"/>
      <w:divBdr>
        <w:top w:val="none" w:sz="0" w:space="0" w:color="auto"/>
        <w:left w:val="none" w:sz="0" w:space="0" w:color="auto"/>
        <w:bottom w:val="none" w:sz="0" w:space="0" w:color="auto"/>
        <w:right w:val="none" w:sz="0" w:space="0" w:color="auto"/>
      </w:divBdr>
    </w:div>
    <w:div w:id="1775400344">
      <w:marLeft w:val="0"/>
      <w:marRight w:val="0"/>
      <w:marTop w:val="180"/>
      <w:marBottom w:val="0"/>
      <w:divBdr>
        <w:top w:val="none" w:sz="0" w:space="0" w:color="auto"/>
        <w:left w:val="none" w:sz="0" w:space="0" w:color="auto"/>
        <w:bottom w:val="none" w:sz="0" w:space="0" w:color="auto"/>
        <w:right w:val="none" w:sz="0" w:space="0" w:color="auto"/>
      </w:divBdr>
    </w:div>
    <w:div w:id="1778672096">
      <w:marLeft w:val="0"/>
      <w:marRight w:val="0"/>
      <w:marTop w:val="0"/>
      <w:marBottom w:val="0"/>
      <w:divBdr>
        <w:top w:val="none" w:sz="0" w:space="0" w:color="auto"/>
        <w:left w:val="none" w:sz="0" w:space="0" w:color="auto"/>
        <w:bottom w:val="none" w:sz="0" w:space="0" w:color="auto"/>
        <w:right w:val="none" w:sz="0" w:space="0" w:color="auto"/>
      </w:divBdr>
      <w:divsChild>
        <w:div w:id="467892005">
          <w:marLeft w:val="0"/>
          <w:marRight w:val="0"/>
          <w:marTop w:val="180"/>
          <w:marBottom w:val="0"/>
          <w:divBdr>
            <w:top w:val="none" w:sz="0" w:space="0" w:color="auto"/>
            <w:left w:val="none" w:sz="0" w:space="0" w:color="auto"/>
            <w:bottom w:val="none" w:sz="0" w:space="0" w:color="auto"/>
            <w:right w:val="none" w:sz="0" w:space="0" w:color="auto"/>
          </w:divBdr>
        </w:div>
      </w:divsChild>
    </w:div>
    <w:div w:id="1778716652">
      <w:marLeft w:val="0"/>
      <w:marRight w:val="0"/>
      <w:marTop w:val="180"/>
      <w:marBottom w:val="0"/>
      <w:divBdr>
        <w:top w:val="none" w:sz="0" w:space="0" w:color="auto"/>
        <w:left w:val="none" w:sz="0" w:space="0" w:color="auto"/>
        <w:bottom w:val="none" w:sz="0" w:space="0" w:color="auto"/>
        <w:right w:val="none" w:sz="0" w:space="0" w:color="auto"/>
      </w:divBdr>
    </w:div>
    <w:div w:id="1780371644">
      <w:marLeft w:val="0"/>
      <w:marRight w:val="0"/>
      <w:marTop w:val="0"/>
      <w:marBottom w:val="0"/>
      <w:divBdr>
        <w:top w:val="none" w:sz="0" w:space="0" w:color="auto"/>
        <w:left w:val="none" w:sz="0" w:space="0" w:color="auto"/>
        <w:bottom w:val="none" w:sz="0" w:space="0" w:color="auto"/>
        <w:right w:val="none" w:sz="0" w:space="0" w:color="auto"/>
      </w:divBdr>
      <w:divsChild>
        <w:div w:id="2094232597">
          <w:marLeft w:val="0"/>
          <w:marRight w:val="0"/>
          <w:marTop w:val="0"/>
          <w:marBottom w:val="0"/>
          <w:divBdr>
            <w:top w:val="none" w:sz="0" w:space="0" w:color="auto"/>
            <w:left w:val="none" w:sz="0" w:space="0" w:color="auto"/>
            <w:bottom w:val="none" w:sz="0" w:space="0" w:color="auto"/>
            <w:right w:val="none" w:sz="0" w:space="0" w:color="auto"/>
          </w:divBdr>
          <w:divsChild>
            <w:div w:id="13876035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80493456">
      <w:marLeft w:val="0"/>
      <w:marRight w:val="0"/>
      <w:marTop w:val="180"/>
      <w:marBottom w:val="0"/>
      <w:divBdr>
        <w:top w:val="none" w:sz="0" w:space="0" w:color="auto"/>
        <w:left w:val="none" w:sz="0" w:space="0" w:color="auto"/>
        <w:bottom w:val="none" w:sz="0" w:space="0" w:color="auto"/>
        <w:right w:val="none" w:sz="0" w:space="0" w:color="auto"/>
      </w:divBdr>
    </w:div>
    <w:div w:id="1781028298">
      <w:marLeft w:val="0"/>
      <w:marRight w:val="0"/>
      <w:marTop w:val="240"/>
      <w:marBottom w:val="0"/>
      <w:divBdr>
        <w:top w:val="none" w:sz="0" w:space="0" w:color="auto"/>
        <w:left w:val="none" w:sz="0" w:space="0" w:color="auto"/>
        <w:bottom w:val="none" w:sz="0" w:space="0" w:color="auto"/>
        <w:right w:val="none" w:sz="0" w:space="0" w:color="auto"/>
      </w:divBdr>
    </w:div>
    <w:div w:id="1784962742">
      <w:marLeft w:val="0"/>
      <w:marRight w:val="0"/>
      <w:marTop w:val="180"/>
      <w:marBottom w:val="120"/>
      <w:divBdr>
        <w:top w:val="none" w:sz="0" w:space="0" w:color="auto"/>
        <w:left w:val="none" w:sz="0" w:space="0" w:color="auto"/>
        <w:bottom w:val="none" w:sz="0" w:space="0" w:color="auto"/>
        <w:right w:val="none" w:sz="0" w:space="0" w:color="auto"/>
      </w:divBdr>
    </w:div>
    <w:div w:id="1785267870">
      <w:marLeft w:val="0"/>
      <w:marRight w:val="0"/>
      <w:marTop w:val="180"/>
      <w:marBottom w:val="240"/>
      <w:divBdr>
        <w:top w:val="none" w:sz="0" w:space="0" w:color="auto"/>
        <w:left w:val="none" w:sz="0" w:space="0" w:color="auto"/>
        <w:bottom w:val="none" w:sz="0" w:space="0" w:color="auto"/>
        <w:right w:val="none" w:sz="0" w:space="0" w:color="auto"/>
      </w:divBdr>
    </w:div>
    <w:div w:id="1786339857">
      <w:marLeft w:val="0"/>
      <w:marRight w:val="0"/>
      <w:marTop w:val="180"/>
      <w:marBottom w:val="0"/>
      <w:divBdr>
        <w:top w:val="none" w:sz="0" w:space="0" w:color="auto"/>
        <w:left w:val="none" w:sz="0" w:space="0" w:color="auto"/>
        <w:bottom w:val="none" w:sz="0" w:space="0" w:color="auto"/>
        <w:right w:val="none" w:sz="0" w:space="0" w:color="auto"/>
      </w:divBdr>
    </w:div>
    <w:div w:id="1786846567">
      <w:marLeft w:val="0"/>
      <w:marRight w:val="0"/>
      <w:marTop w:val="180"/>
      <w:marBottom w:val="0"/>
      <w:divBdr>
        <w:top w:val="none" w:sz="0" w:space="0" w:color="auto"/>
        <w:left w:val="none" w:sz="0" w:space="0" w:color="auto"/>
        <w:bottom w:val="none" w:sz="0" w:space="0" w:color="auto"/>
        <w:right w:val="none" w:sz="0" w:space="0" w:color="auto"/>
      </w:divBdr>
    </w:div>
    <w:div w:id="1787044361">
      <w:marLeft w:val="0"/>
      <w:marRight w:val="0"/>
      <w:marTop w:val="0"/>
      <w:marBottom w:val="0"/>
      <w:divBdr>
        <w:top w:val="none" w:sz="0" w:space="0" w:color="auto"/>
        <w:left w:val="none" w:sz="0" w:space="0" w:color="auto"/>
        <w:bottom w:val="none" w:sz="0" w:space="0" w:color="auto"/>
        <w:right w:val="none" w:sz="0" w:space="0" w:color="auto"/>
      </w:divBdr>
      <w:divsChild>
        <w:div w:id="1032918484">
          <w:marLeft w:val="0"/>
          <w:marRight w:val="0"/>
          <w:marTop w:val="0"/>
          <w:marBottom w:val="0"/>
          <w:divBdr>
            <w:top w:val="none" w:sz="0" w:space="0" w:color="auto"/>
            <w:left w:val="none" w:sz="0" w:space="0" w:color="auto"/>
            <w:bottom w:val="none" w:sz="0" w:space="0" w:color="auto"/>
            <w:right w:val="none" w:sz="0" w:space="0" w:color="auto"/>
          </w:divBdr>
          <w:divsChild>
            <w:div w:id="13380767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90540083">
      <w:marLeft w:val="0"/>
      <w:marRight w:val="0"/>
      <w:marTop w:val="180"/>
      <w:marBottom w:val="0"/>
      <w:divBdr>
        <w:top w:val="none" w:sz="0" w:space="0" w:color="auto"/>
        <w:left w:val="none" w:sz="0" w:space="0" w:color="auto"/>
        <w:bottom w:val="none" w:sz="0" w:space="0" w:color="auto"/>
        <w:right w:val="none" w:sz="0" w:space="0" w:color="auto"/>
      </w:divBdr>
    </w:div>
    <w:div w:id="1792019376">
      <w:marLeft w:val="0"/>
      <w:marRight w:val="0"/>
      <w:marTop w:val="180"/>
      <w:marBottom w:val="0"/>
      <w:divBdr>
        <w:top w:val="none" w:sz="0" w:space="0" w:color="auto"/>
        <w:left w:val="none" w:sz="0" w:space="0" w:color="auto"/>
        <w:bottom w:val="none" w:sz="0" w:space="0" w:color="auto"/>
        <w:right w:val="none" w:sz="0" w:space="0" w:color="auto"/>
      </w:divBdr>
    </w:div>
    <w:div w:id="1797022523">
      <w:marLeft w:val="0"/>
      <w:marRight w:val="0"/>
      <w:marTop w:val="180"/>
      <w:marBottom w:val="120"/>
      <w:divBdr>
        <w:top w:val="none" w:sz="0" w:space="0" w:color="auto"/>
        <w:left w:val="none" w:sz="0" w:space="0" w:color="auto"/>
        <w:bottom w:val="none" w:sz="0" w:space="0" w:color="auto"/>
        <w:right w:val="none" w:sz="0" w:space="0" w:color="auto"/>
      </w:divBdr>
    </w:div>
    <w:div w:id="1797135761">
      <w:marLeft w:val="0"/>
      <w:marRight w:val="0"/>
      <w:marTop w:val="0"/>
      <w:marBottom w:val="60"/>
      <w:divBdr>
        <w:top w:val="none" w:sz="0" w:space="0" w:color="auto"/>
        <w:left w:val="none" w:sz="0" w:space="0" w:color="auto"/>
        <w:bottom w:val="none" w:sz="0" w:space="0" w:color="auto"/>
        <w:right w:val="none" w:sz="0" w:space="0" w:color="auto"/>
      </w:divBdr>
    </w:div>
    <w:div w:id="1798520786">
      <w:marLeft w:val="0"/>
      <w:marRight w:val="0"/>
      <w:marTop w:val="240"/>
      <w:marBottom w:val="0"/>
      <w:divBdr>
        <w:top w:val="none" w:sz="0" w:space="0" w:color="auto"/>
        <w:left w:val="none" w:sz="0" w:space="0" w:color="auto"/>
        <w:bottom w:val="none" w:sz="0" w:space="0" w:color="auto"/>
        <w:right w:val="none" w:sz="0" w:space="0" w:color="auto"/>
      </w:divBdr>
    </w:div>
    <w:div w:id="1798601521">
      <w:marLeft w:val="0"/>
      <w:marRight w:val="0"/>
      <w:marTop w:val="0"/>
      <w:marBottom w:val="200"/>
      <w:divBdr>
        <w:top w:val="none" w:sz="0" w:space="0" w:color="auto"/>
        <w:left w:val="none" w:sz="0" w:space="0" w:color="auto"/>
        <w:bottom w:val="none" w:sz="0" w:space="0" w:color="auto"/>
        <w:right w:val="none" w:sz="0" w:space="0" w:color="auto"/>
      </w:divBdr>
    </w:div>
    <w:div w:id="1800031789">
      <w:marLeft w:val="0"/>
      <w:marRight w:val="0"/>
      <w:marTop w:val="0"/>
      <w:marBottom w:val="0"/>
      <w:divBdr>
        <w:top w:val="none" w:sz="0" w:space="0" w:color="auto"/>
        <w:left w:val="none" w:sz="0" w:space="0" w:color="auto"/>
        <w:bottom w:val="none" w:sz="0" w:space="0" w:color="auto"/>
        <w:right w:val="none" w:sz="0" w:space="0" w:color="auto"/>
      </w:divBdr>
      <w:divsChild>
        <w:div w:id="974869930">
          <w:marLeft w:val="0"/>
          <w:marRight w:val="0"/>
          <w:marTop w:val="0"/>
          <w:marBottom w:val="0"/>
          <w:divBdr>
            <w:top w:val="none" w:sz="0" w:space="0" w:color="auto"/>
            <w:left w:val="none" w:sz="0" w:space="0" w:color="auto"/>
            <w:bottom w:val="none" w:sz="0" w:space="0" w:color="auto"/>
            <w:right w:val="none" w:sz="0" w:space="0" w:color="auto"/>
          </w:divBdr>
        </w:div>
      </w:divsChild>
    </w:div>
    <w:div w:id="1800223355">
      <w:marLeft w:val="0"/>
      <w:marRight w:val="0"/>
      <w:marTop w:val="0"/>
      <w:marBottom w:val="0"/>
      <w:divBdr>
        <w:top w:val="none" w:sz="0" w:space="0" w:color="auto"/>
        <w:left w:val="none" w:sz="0" w:space="0" w:color="auto"/>
        <w:bottom w:val="none" w:sz="0" w:space="0" w:color="auto"/>
        <w:right w:val="none" w:sz="0" w:space="0" w:color="auto"/>
      </w:divBdr>
      <w:divsChild>
        <w:div w:id="1517380861">
          <w:marLeft w:val="0"/>
          <w:marRight w:val="0"/>
          <w:marTop w:val="0"/>
          <w:marBottom w:val="0"/>
          <w:divBdr>
            <w:top w:val="none" w:sz="0" w:space="0" w:color="auto"/>
            <w:left w:val="none" w:sz="0" w:space="0" w:color="auto"/>
            <w:bottom w:val="none" w:sz="0" w:space="0" w:color="auto"/>
            <w:right w:val="none" w:sz="0" w:space="0" w:color="auto"/>
          </w:divBdr>
          <w:divsChild>
            <w:div w:id="18761898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1608724">
      <w:marLeft w:val="0"/>
      <w:marRight w:val="0"/>
      <w:marTop w:val="0"/>
      <w:marBottom w:val="0"/>
      <w:divBdr>
        <w:top w:val="none" w:sz="0" w:space="0" w:color="auto"/>
        <w:left w:val="none" w:sz="0" w:space="0" w:color="auto"/>
        <w:bottom w:val="none" w:sz="0" w:space="0" w:color="auto"/>
        <w:right w:val="none" w:sz="0" w:space="0" w:color="auto"/>
      </w:divBdr>
      <w:divsChild>
        <w:div w:id="1022125616">
          <w:marLeft w:val="0"/>
          <w:marRight w:val="0"/>
          <w:marTop w:val="0"/>
          <w:marBottom w:val="0"/>
          <w:divBdr>
            <w:top w:val="none" w:sz="0" w:space="0" w:color="auto"/>
            <w:left w:val="none" w:sz="0" w:space="0" w:color="auto"/>
            <w:bottom w:val="none" w:sz="0" w:space="0" w:color="auto"/>
            <w:right w:val="none" w:sz="0" w:space="0" w:color="auto"/>
          </w:divBdr>
          <w:divsChild>
            <w:div w:id="10565133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2764914">
      <w:marLeft w:val="0"/>
      <w:marRight w:val="0"/>
      <w:marTop w:val="60"/>
      <w:marBottom w:val="120"/>
      <w:divBdr>
        <w:top w:val="none" w:sz="0" w:space="0" w:color="auto"/>
        <w:left w:val="none" w:sz="0" w:space="0" w:color="auto"/>
        <w:bottom w:val="none" w:sz="0" w:space="0" w:color="auto"/>
        <w:right w:val="none" w:sz="0" w:space="0" w:color="auto"/>
      </w:divBdr>
    </w:div>
    <w:div w:id="1805930342">
      <w:marLeft w:val="0"/>
      <w:marRight w:val="0"/>
      <w:marTop w:val="180"/>
      <w:marBottom w:val="0"/>
      <w:divBdr>
        <w:top w:val="none" w:sz="0" w:space="0" w:color="auto"/>
        <w:left w:val="none" w:sz="0" w:space="0" w:color="auto"/>
        <w:bottom w:val="none" w:sz="0" w:space="0" w:color="auto"/>
        <w:right w:val="none" w:sz="0" w:space="0" w:color="auto"/>
      </w:divBdr>
    </w:div>
    <w:div w:id="1807770622">
      <w:marLeft w:val="0"/>
      <w:marRight w:val="0"/>
      <w:marTop w:val="120"/>
      <w:marBottom w:val="120"/>
      <w:divBdr>
        <w:top w:val="none" w:sz="0" w:space="0" w:color="auto"/>
        <w:left w:val="none" w:sz="0" w:space="0" w:color="auto"/>
        <w:bottom w:val="none" w:sz="0" w:space="0" w:color="auto"/>
        <w:right w:val="none" w:sz="0" w:space="0" w:color="auto"/>
      </w:divBdr>
    </w:div>
    <w:div w:id="1807896511">
      <w:marLeft w:val="0"/>
      <w:marRight w:val="0"/>
      <w:marTop w:val="0"/>
      <w:marBottom w:val="200"/>
      <w:divBdr>
        <w:top w:val="none" w:sz="0" w:space="0" w:color="auto"/>
        <w:left w:val="none" w:sz="0" w:space="0" w:color="auto"/>
        <w:bottom w:val="none" w:sz="0" w:space="0" w:color="auto"/>
        <w:right w:val="none" w:sz="0" w:space="0" w:color="auto"/>
      </w:divBdr>
    </w:div>
    <w:div w:id="1809392533">
      <w:marLeft w:val="0"/>
      <w:marRight w:val="0"/>
      <w:marTop w:val="0"/>
      <w:marBottom w:val="0"/>
      <w:divBdr>
        <w:top w:val="none" w:sz="0" w:space="0" w:color="auto"/>
        <w:left w:val="none" w:sz="0" w:space="0" w:color="auto"/>
        <w:bottom w:val="none" w:sz="0" w:space="0" w:color="auto"/>
        <w:right w:val="none" w:sz="0" w:space="0" w:color="auto"/>
      </w:divBdr>
      <w:divsChild>
        <w:div w:id="1791626937">
          <w:marLeft w:val="0"/>
          <w:marRight w:val="0"/>
          <w:marTop w:val="0"/>
          <w:marBottom w:val="0"/>
          <w:divBdr>
            <w:top w:val="none" w:sz="0" w:space="0" w:color="auto"/>
            <w:left w:val="none" w:sz="0" w:space="0" w:color="auto"/>
            <w:bottom w:val="none" w:sz="0" w:space="0" w:color="auto"/>
            <w:right w:val="none" w:sz="0" w:space="0" w:color="auto"/>
          </w:divBdr>
          <w:divsChild>
            <w:div w:id="14372116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0903900">
      <w:marLeft w:val="0"/>
      <w:marRight w:val="0"/>
      <w:marTop w:val="0"/>
      <w:marBottom w:val="0"/>
      <w:divBdr>
        <w:top w:val="none" w:sz="0" w:space="0" w:color="auto"/>
        <w:left w:val="none" w:sz="0" w:space="0" w:color="auto"/>
        <w:bottom w:val="none" w:sz="0" w:space="0" w:color="auto"/>
        <w:right w:val="none" w:sz="0" w:space="0" w:color="auto"/>
      </w:divBdr>
      <w:divsChild>
        <w:div w:id="95442693">
          <w:marLeft w:val="0"/>
          <w:marRight w:val="0"/>
          <w:marTop w:val="0"/>
          <w:marBottom w:val="0"/>
          <w:divBdr>
            <w:top w:val="none" w:sz="0" w:space="0" w:color="auto"/>
            <w:left w:val="none" w:sz="0" w:space="0" w:color="auto"/>
            <w:bottom w:val="none" w:sz="0" w:space="0" w:color="auto"/>
            <w:right w:val="none" w:sz="0" w:space="0" w:color="auto"/>
          </w:divBdr>
        </w:div>
      </w:divsChild>
    </w:div>
    <w:div w:id="1811896246">
      <w:marLeft w:val="0"/>
      <w:marRight w:val="0"/>
      <w:marTop w:val="180"/>
      <w:marBottom w:val="12"/>
      <w:divBdr>
        <w:top w:val="none" w:sz="0" w:space="0" w:color="auto"/>
        <w:left w:val="none" w:sz="0" w:space="0" w:color="auto"/>
        <w:bottom w:val="none" w:sz="0" w:space="0" w:color="auto"/>
        <w:right w:val="none" w:sz="0" w:space="0" w:color="auto"/>
      </w:divBdr>
    </w:div>
    <w:div w:id="1812014014">
      <w:marLeft w:val="0"/>
      <w:marRight w:val="0"/>
      <w:marTop w:val="0"/>
      <w:marBottom w:val="0"/>
      <w:divBdr>
        <w:top w:val="none" w:sz="0" w:space="0" w:color="auto"/>
        <w:left w:val="none" w:sz="0" w:space="0" w:color="auto"/>
        <w:bottom w:val="none" w:sz="0" w:space="0" w:color="auto"/>
        <w:right w:val="none" w:sz="0" w:space="0" w:color="auto"/>
      </w:divBdr>
      <w:divsChild>
        <w:div w:id="821889671">
          <w:marLeft w:val="0"/>
          <w:marRight w:val="0"/>
          <w:marTop w:val="0"/>
          <w:marBottom w:val="0"/>
          <w:divBdr>
            <w:top w:val="none" w:sz="0" w:space="0" w:color="auto"/>
            <w:left w:val="none" w:sz="0" w:space="0" w:color="auto"/>
            <w:bottom w:val="none" w:sz="0" w:space="0" w:color="auto"/>
            <w:right w:val="none" w:sz="0" w:space="0" w:color="auto"/>
          </w:divBdr>
          <w:divsChild>
            <w:div w:id="249129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2675977">
      <w:marLeft w:val="0"/>
      <w:marRight w:val="0"/>
      <w:marTop w:val="180"/>
      <w:marBottom w:val="0"/>
      <w:divBdr>
        <w:top w:val="none" w:sz="0" w:space="0" w:color="auto"/>
        <w:left w:val="none" w:sz="0" w:space="0" w:color="auto"/>
        <w:bottom w:val="none" w:sz="0" w:space="0" w:color="auto"/>
        <w:right w:val="none" w:sz="0" w:space="0" w:color="auto"/>
      </w:divBdr>
    </w:div>
    <w:div w:id="1815248006">
      <w:marLeft w:val="0"/>
      <w:marRight w:val="0"/>
      <w:marTop w:val="180"/>
      <w:marBottom w:val="0"/>
      <w:divBdr>
        <w:top w:val="none" w:sz="0" w:space="0" w:color="auto"/>
        <w:left w:val="none" w:sz="0" w:space="0" w:color="auto"/>
        <w:bottom w:val="none" w:sz="0" w:space="0" w:color="auto"/>
        <w:right w:val="none" w:sz="0" w:space="0" w:color="auto"/>
      </w:divBdr>
    </w:div>
    <w:div w:id="1815486828">
      <w:marLeft w:val="0"/>
      <w:marRight w:val="0"/>
      <w:marTop w:val="120"/>
      <w:marBottom w:val="0"/>
      <w:divBdr>
        <w:top w:val="none" w:sz="0" w:space="0" w:color="auto"/>
        <w:left w:val="none" w:sz="0" w:space="0" w:color="auto"/>
        <w:bottom w:val="none" w:sz="0" w:space="0" w:color="auto"/>
        <w:right w:val="none" w:sz="0" w:space="0" w:color="auto"/>
      </w:divBdr>
    </w:div>
    <w:div w:id="1816528283">
      <w:marLeft w:val="0"/>
      <w:marRight w:val="0"/>
      <w:marTop w:val="180"/>
      <w:marBottom w:val="0"/>
      <w:divBdr>
        <w:top w:val="none" w:sz="0" w:space="0" w:color="auto"/>
        <w:left w:val="none" w:sz="0" w:space="0" w:color="auto"/>
        <w:bottom w:val="none" w:sz="0" w:space="0" w:color="auto"/>
        <w:right w:val="none" w:sz="0" w:space="0" w:color="auto"/>
      </w:divBdr>
    </w:div>
    <w:div w:id="1820071057">
      <w:marLeft w:val="0"/>
      <w:marRight w:val="0"/>
      <w:marTop w:val="0"/>
      <w:marBottom w:val="0"/>
      <w:divBdr>
        <w:top w:val="none" w:sz="0" w:space="0" w:color="auto"/>
        <w:left w:val="none" w:sz="0" w:space="0" w:color="auto"/>
        <w:bottom w:val="none" w:sz="0" w:space="0" w:color="auto"/>
        <w:right w:val="none" w:sz="0" w:space="0" w:color="auto"/>
      </w:divBdr>
      <w:divsChild>
        <w:div w:id="2060396379">
          <w:marLeft w:val="0"/>
          <w:marRight w:val="0"/>
          <w:marTop w:val="0"/>
          <w:marBottom w:val="0"/>
          <w:divBdr>
            <w:top w:val="none" w:sz="0" w:space="0" w:color="auto"/>
            <w:left w:val="none" w:sz="0" w:space="0" w:color="auto"/>
            <w:bottom w:val="none" w:sz="0" w:space="0" w:color="auto"/>
            <w:right w:val="none" w:sz="0" w:space="0" w:color="auto"/>
          </w:divBdr>
          <w:divsChild>
            <w:div w:id="513934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20684613">
      <w:marLeft w:val="0"/>
      <w:marRight w:val="0"/>
      <w:marTop w:val="0"/>
      <w:marBottom w:val="0"/>
      <w:divBdr>
        <w:top w:val="none" w:sz="0" w:space="0" w:color="auto"/>
        <w:left w:val="none" w:sz="0" w:space="0" w:color="auto"/>
        <w:bottom w:val="none" w:sz="0" w:space="0" w:color="auto"/>
        <w:right w:val="none" w:sz="0" w:space="0" w:color="auto"/>
      </w:divBdr>
      <w:divsChild>
        <w:div w:id="2085225602">
          <w:marLeft w:val="0"/>
          <w:marRight w:val="0"/>
          <w:marTop w:val="0"/>
          <w:marBottom w:val="0"/>
          <w:divBdr>
            <w:top w:val="none" w:sz="0" w:space="0" w:color="auto"/>
            <w:left w:val="none" w:sz="0" w:space="0" w:color="auto"/>
            <w:bottom w:val="none" w:sz="0" w:space="0" w:color="auto"/>
            <w:right w:val="none" w:sz="0" w:space="0" w:color="auto"/>
          </w:divBdr>
          <w:divsChild>
            <w:div w:id="3432846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22037914">
      <w:marLeft w:val="0"/>
      <w:marRight w:val="0"/>
      <w:marTop w:val="180"/>
      <w:marBottom w:val="0"/>
      <w:divBdr>
        <w:top w:val="none" w:sz="0" w:space="0" w:color="auto"/>
        <w:left w:val="none" w:sz="0" w:space="0" w:color="auto"/>
        <w:bottom w:val="none" w:sz="0" w:space="0" w:color="auto"/>
        <w:right w:val="none" w:sz="0" w:space="0" w:color="auto"/>
      </w:divBdr>
    </w:div>
    <w:div w:id="1822235438">
      <w:marLeft w:val="0"/>
      <w:marRight w:val="0"/>
      <w:marTop w:val="180"/>
      <w:marBottom w:val="0"/>
      <w:divBdr>
        <w:top w:val="none" w:sz="0" w:space="0" w:color="auto"/>
        <w:left w:val="none" w:sz="0" w:space="0" w:color="auto"/>
        <w:bottom w:val="none" w:sz="0" w:space="0" w:color="auto"/>
        <w:right w:val="none" w:sz="0" w:space="0" w:color="auto"/>
      </w:divBdr>
    </w:div>
    <w:div w:id="1825851659">
      <w:marLeft w:val="0"/>
      <w:marRight w:val="0"/>
      <w:marTop w:val="180"/>
      <w:marBottom w:val="120"/>
      <w:divBdr>
        <w:top w:val="none" w:sz="0" w:space="0" w:color="auto"/>
        <w:left w:val="none" w:sz="0" w:space="0" w:color="auto"/>
        <w:bottom w:val="none" w:sz="0" w:space="0" w:color="auto"/>
        <w:right w:val="none" w:sz="0" w:space="0" w:color="auto"/>
      </w:divBdr>
    </w:div>
    <w:div w:id="1828936062">
      <w:marLeft w:val="0"/>
      <w:marRight w:val="0"/>
      <w:marTop w:val="180"/>
      <w:marBottom w:val="0"/>
      <w:divBdr>
        <w:top w:val="none" w:sz="0" w:space="0" w:color="auto"/>
        <w:left w:val="none" w:sz="0" w:space="0" w:color="auto"/>
        <w:bottom w:val="none" w:sz="0" w:space="0" w:color="auto"/>
        <w:right w:val="none" w:sz="0" w:space="0" w:color="auto"/>
      </w:divBdr>
    </w:div>
    <w:div w:id="1829441127">
      <w:marLeft w:val="0"/>
      <w:marRight w:val="0"/>
      <w:marTop w:val="180"/>
      <w:marBottom w:val="0"/>
      <w:divBdr>
        <w:top w:val="none" w:sz="0" w:space="0" w:color="auto"/>
        <w:left w:val="none" w:sz="0" w:space="0" w:color="auto"/>
        <w:bottom w:val="none" w:sz="0" w:space="0" w:color="auto"/>
        <w:right w:val="none" w:sz="0" w:space="0" w:color="auto"/>
      </w:divBdr>
    </w:div>
    <w:div w:id="1834369370">
      <w:marLeft w:val="0"/>
      <w:marRight w:val="0"/>
      <w:marTop w:val="180"/>
      <w:marBottom w:val="180"/>
      <w:divBdr>
        <w:top w:val="none" w:sz="0" w:space="0" w:color="auto"/>
        <w:left w:val="none" w:sz="0" w:space="0" w:color="auto"/>
        <w:bottom w:val="none" w:sz="0" w:space="0" w:color="auto"/>
        <w:right w:val="none" w:sz="0" w:space="0" w:color="auto"/>
      </w:divBdr>
    </w:div>
    <w:div w:id="1834639245">
      <w:marLeft w:val="0"/>
      <w:marRight w:val="0"/>
      <w:marTop w:val="180"/>
      <w:marBottom w:val="0"/>
      <w:divBdr>
        <w:top w:val="none" w:sz="0" w:space="0" w:color="auto"/>
        <w:left w:val="none" w:sz="0" w:space="0" w:color="auto"/>
        <w:bottom w:val="none" w:sz="0" w:space="0" w:color="auto"/>
        <w:right w:val="none" w:sz="0" w:space="0" w:color="auto"/>
      </w:divBdr>
    </w:div>
    <w:div w:id="1836529190">
      <w:marLeft w:val="0"/>
      <w:marRight w:val="0"/>
      <w:marTop w:val="180"/>
      <w:marBottom w:val="0"/>
      <w:divBdr>
        <w:top w:val="none" w:sz="0" w:space="0" w:color="auto"/>
        <w:left w:val="none" w:sz="0" w:space="0" w:color="auto"/>
        <w:bottom w:val="none" w:sz="0" w:space="0" w:color="auto"/>
        <w:right w:val="none" w:sz="0" w:space="0" w:color="auto"/>
      </w:divBdr>
    </w:div>
    <w:div w:id="1836873310">
      <w:marLeft w:val="0"/>
      <w:marRight w:val="0"/>
      <w:marTop w:val="180"/>
      <w:marBottom w:val="120"/>
      <w:divBdr>
        <w:top w:val="none" w:sz="0" w:space="0" w:color="auto"/>
        <w:left w:val="none" w:sz="0" w:space="0" w:color="auto"/>
        <w:bottom w:val="none" w:sz="0" w:space="0" w:color="auto"/>
        <w:right w:val="none" w:sz="0" w:space="0" w:color="auto"/>
      </w:divBdr>
      <w:divsChild>
        <w:div w:id="1385059275">
          <w:marLeft w:val="0"/>
          <w:marRight w:val="0"/>
          <w:marTop w:val="0"/>
          <w:marBottom w:val="0"/>
          <w:divBdr>
            <w:top w:val="none" w:sz="0" w:space="0" w:color="auto"/>
            <w:left w:val="none" w:sz="0" w:space="0" w:color="auto"/>
            <w:bottom w:val="none" w:sz="0" w:space="0" w:color="auto"/>
            <w:right w:val="none" w:sz="0" w:space="0" w:color="auto"/>
          </w:divBdr>
        </w:div>
        <w:div w:id="562788239">
          <w:marLeft w:val="0"/>
          <w:marRight w:val="0"/>
          <w:marTop w:val="0"/>
          <w:marBottom w:val="0"/>
          <w:divBdr>
            <w:top w:val="none" w:sz="0" w:space="0" w:color="auto"/>
            <w:left w:val="none" w:sz="0" w:space="0" w:color="auto"/>
            <w:bottom w:val="none" w:sz="0" w:space="0" w:color="auto"/>
            <w:right w:val="none" w:sz="0" w:space="0" w:color="auto"/>
          </w:divBdr>
        </w:div>
        <w:div w:id="1584680211">
          <w:marLeft w:val="0"/>
          <w:marRight w:val="0"/>
          <w:marTop w:val="0"/>
          <w:marBottom w:val="0"/>
          <w:divBdr>
            <w:top w:val="none" w:sz="0" w:space="0" w:color="auto"/>
            <w:left w:val="none" w:sz="0" w:space="0" w:color="auto"/>
            <w:bottom w:val="none" w:sz="0" w:space="0" w:color="auto"/>
            <w:right w:val="none" w:sz="0" w:space="0" w:color="auto"/>
          </w:divBdr>
        </w:div>
        <w:div w:id="1932929040">
          <w:marLeft w:val="0"/>
          <w:marRight w:val="0"/>
          <w:marTop w:val="0"/>
          <w:marBottom w:val="0"/>
          <w:divBdr>
            <w:top w:val="none" w:sz="0" w:space="0" w:color="auto"/>
            <w:left w:val="none" w:sz="0" w:space="0" w:color="auto"/>
            <w:bottom w:val="none" w:sz="0" w:space="0" w:color="auto"/>
            <w:right w:val="none" w:sz="0" w:space="0" w:color="auto"/>
          </w:divBdr>
        </w:div>
        <w:div w:id="216937981">
          <w:marLeft w:val="0"/>
          <w:marRight w:val="0"/>
          <w:marTop w:val="0"/>
          <w:marBottom w:val="0"/>
          <w:divBdr>
            <w:top w:val="none" w:sz="0" w:space="0" w:color="auto"/>
            <w:left w:val="none" w:sz="0" w:space="0" w:color="auto"/>
            <w:bottom w:val="none" w:sz="0" w:space="0" w:color="auto"/>
            <w:right w:val="none" w:sz="0" w:space="0" w:color="auto"/>
          </w:divBdr>
        </w:div>
        <w:div w:id="1289824429">
          <w:marLeft w:val="0"/>
          <w:marRight w:val="0"/>
          <w:marTop w:val="0"/>
          <w:marBottom w:val="0"/>
          <w:divBdr>
            <w:top w:val="none" w:sz="0" w:space="0" w:color="auto"/>
            <w:left w:val="none" w:sz="0" w:space="0" w:color="auto"/>
            <w:bottom w:val="none" w:sz="0" w:space="0" w:color="auto"/>
            <w:right w:val="none" w:sz="0" w:space="0" w:color="auto"/>
          </w:divBdr>
        </w:div>
      </w:divsChild>
    </w:div>
    <w:div w:id="1837957143">
      <w:marLeft w:val="0"/>
      <w:marRight w:val="0"/>
      <w:marTop w:val="180"/>
      <w:marBottom w:val="0"/>
      <w:divBdr>
        <w:top w:val="none" w:sz="0" w:space="0" w:color="auto"/>
        <w:left w:val="none" w:sz="0" w:space="0" w:color="auto"/>
        <w:bottom w:val="none" w:sz="0" w:space="0" w:color="auto"/>
        <w:right w:val="none" w:sz="0" w:space="0" w:color="auto"/>
      </w:divBdr>
    </w:div>
    <w:div w:id="1839229688">
      <w:marLeft w:val="0"/>
      <w:marRight w:val="0"/>
      <w:marTop w:val="180"/>
      <w:marBottom w:val="0"/>
      <w:divBdr>
        <w:top w:val="none" w:sz="0" w:space="0" w:color="auto"/>
        <w:left w:val="none" w:sz="0" w:space="0" w:color="auto"/>
        <w:bottom w:val="none" w:sz="0" w:space="0" w:color="auto"/>
        <w:right w:val="none" w:sz="0" w:space="0" w:color="auto"/>
      </w:divBdr>
    </w:div>
    <w:div w:id="1841577908">
      <w:marLeft w:val="0"/>
      <w:marRight w:val="0"/>
      <w:marTop w:val="0"/>
      <w:marBottom w:val="0"/>
      <w:divBdr>
        <w:top w:val="none" w:sz="0" w:space="0" w:color="auto"/>
        <w:left w:val="none" w:sz="0" w:space="0" w:color="auto"/>
        <w:bottom w:val="none" w:sz="0" w:space="0" w:color="auto"/>
        <w:right w:val="none" w:sz="0" w:space="0" w:color="auto"/>
      </w:divBdr>
      <w:divsChild>
        <w:div w:id="1701391960">
          <w:marLeft w:val="0"/>
          <w:marRight w:val="0"/>
          <w:marTop w:val="0"/>
          <w:marBottom w:val="0"/>
          <w:divBdr>
            <w:top w:val="none" w:sz="0" w:space="0" w:color="auto"/>
            <w:left w:val="none" w:sz="0" w:space="0" w:color="auto"/>
            <w:bottom w:val="none" w:sz="0" w:space="0" w:color="auto"/>
            <w:right w:val="none" w:sz="0" w:space="0" w:color="auto"/>
          </w:divBdr>
        </w:div>
      </w:divsChild>
    </w:div>
    <w:div w:id="1842311442">
      <w:marLeft w:val="0"/>
      <w:marRight w:val="0"/>
      <w:marTop w:val="180"/>
      <w:marBottom w:val="0"/>
      <w:divBdr>
        <w:top w:val="none" w:sz="0" w:space="0" w:color="auto"/>
        <w:left w:val="none" w:sz="0" w:space="0" w:color="auto"/>
        <w:bottom w:val="none" w:sz="0" w:space="0" w:color="auto"/>
        <w:right w:val="none" w:sz="0" w:space="0" w:color="auto"/>
      </w:divBdr>
    </w:div>
    <w:div w:id="1846244470">
      <w:marLeft w:val="0"/>
      <w:marRight w:val="0"/>
      <w:marTop w:val="180"/>
      <w:marBottom w:val="0"/>
      <w:divBdr>
        <w:top w:val="none" w:sz="0" w:space="0" w:color="auto"/>
        <w:left w:val="none" w:sz="0" w:space="0" w:color="auto"/>
        <w:bottom w:val="none" w:sz="0" w:space="0" w:color="auto"/>
        <w:right w:val="none" w:sz="0" w:space="0" w:color="auto"/>
      </w:divBdr>
    </w:div>
    <w:div w:id="1846744488">
      <w:marLeft w:val="0"/>
      <w:marRight w:val="0"/>
      <w:marTop w:val="180"/>
      <w:marBottom w:val="120"/>
      <w:divBdr>
        <w:top w:val="none" w:sz="0" w:space="0" w:color="auto"/>
        <w:left w:val="none" w:sz="0" w:space="0" w:color="auto"/>
        <w:bottom w:val="none" w:sz="0" w:space="0" w:color="auto"/>
        <w:right w:val="none" w:sz="0" w:space="0" w:color="auto"/>
      </w:divBdr>
    </w:div>
    <w:div w:id="1847210523">
      <w:marLeft w:val="0"/>
      <w:marRight w:val="0"/>
      <w:marTop w:val="180"/>
      <w:marBottom w:val="120"/>
      <w:divBdr>
        <w:top w:val="none" w:sz="0" w:space="0" w:color="auto"/>
        <w:left w:val="none" w:sz="0" w:space="0" w:color="auto"/>
        <w:bottom w:val="none" w:sz="0" w:space="0" w:color="auto"/>
        <w:right w:val="none" w:sz="0" w:space="0" w:color="auto"/>
      </w:divBdr>
    </w:div>
    <w:div w:id="1854146134">
      <w:marLeft w:val="0"/>
      <w:marRight w:val="0"/>
      <w:marTop w:val="180"/>
      <w:marBottom w:val="0"/>
      <w:divBdr>
        <w:top w:val="none" w:sz="0" w:space="0" w:color="auto"/>
        <w:left w:val="none" w:sz="0" w:space="0" w:color="auto"/>
        <w:bottom w:val="none" w:sz="0" w:space="0" w:color="auto"/>
        <w:right w:val="none" w:sz="0" w:space="0" w:color="auto"/>
      </w:divBdr>
    </w:div>
    <w:div w:id="1854495828">
      <w:marLeft w:val="0"/>
      <w:marRight w:val="0"/>
      <w:marTop w:val="240"/>
      <w:marBottom w:val="0"/>
      <w:divBdr>
        <w:top w:val="none" w:sz="0" w:space="0" w:color="auto"/>
        <w:left w:val="none" w:sz="0" w:space="0" w:color="auto"/>
        <w:bottom w:val="none" w:sz="0" w:space="0" w:color="auto"/>
        <w:right w:val="none" w:sz="0" w:space="0" w:color="auto"/>
      </w:divBdr>
    </w:div>
    <w:div w:id="1855876591">
      <w:marLeft w:val="0"/>
      <w:marRight w:val="0"/>
      <w:marTop w:val="0"/>
      <w:marBottom w:val="0"/>
      <w:divBdr>
        <w:top w:val="none" w:sz="0" w:space="0" w:color="auto"/>
        <w:left w:val="none" w:sz="0" w:space="0" w:color="auto"/>
        <w:bottom w:val="none" w:sz="0" w:space="0" w:color="auto"/>
        <w:right w:val="none" w:sz="0" w:space="0" w:color="auto"/>
      </w:divBdr>
      <w:divsChild>
        <w:div w:id="2125731954">
          <w:marLeft w:val="0"/>
          <w:marRight w:val="0"/>
          <w:marTop w:val="0"/>
          <w:marBottom w:val="0"/>
          <w:divBdr>
            <w:top w:val="none" w:sz="0" w:space="0" w:color="auto"/>
            <w:left w:val="none" w:sz="0" w:space="0" w:color="auto"/>
            <w:bottom w:val="none" w:sz="0" w:space="0" w:color="auto"/>
            <w:right w:val="none" w:sz="0" w:space="0" w:color="auto"/>
          </w:divBdr>
          <w:divsChild>
            <w:div w:id="12731246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56073926">
      <w:marLeft w:val="0"/>
      <w:marRight w:val="0"/>
      <w:marTop w:val="0"/>
      <w:marBottom w:val="0"/>
      <w:divBdr>
        <w:top w:val="none" w:sz="0" w:space="0" w:color="auto"/>
        <w:left w:val="none" w:sz="0" w:space="0" w:color="auto"/>
        <w:bottom w:val="none" w:sz="0" w:space="0" w:color="auto"/>
        <w:right w:val="none" w:sz="0" w:space="0" w:color="auto"/>
      </w:divBdr>
      <w:divsChild>
        <w:div w:id="928003232">
          <w:marLeft w:val="0"/>
          <w:marRight w:val="0"/>
          <w:marTop w:val="0"/>
          <w:marBottom w:val="0"/>
          <w:divBdr>
            <w:top w:val="none" w:sz="0" w:space="0" w:color="auto"/>
            <w:left w:val="none" w:sz="0" w:space="0" w:color="auto"/>
            <w:bottom w:val="none" w:sz="0" w:space="0" w:color="auto"/>
            <w:right w:val="none" w:sz="0" w:space="0" w:color="auto"/>
          </w:divBdr>
        </w:div>
      </w:divsChild>
    </w:div>
    <w:div w:id="1856769807">
      <w:marLeft w:val="0"/>
      <w:marRight w:val="0"/>
      <w:marTop w:val="180"/>
      <w:marBottom w:val="0"/>
      <w:divBdr>
        <w:top w:val="none" w:sz="0" w:space="0" w:color="auto"/>
        <w:left w:val="none" w:sz="0" w:space="0" w:color="auto"/>
        <w:bottom w:val="none" w:sz="0" w:space="0" w:color="auto"/>
        <w:right w:val="none" w:sz="0" w:space="0" w:color="auto"/>
      </w:divBdr>
    </w:div>
    <w:div w:id="1857573370">
      <w:marLeft w:val="0"/>
      <w:marRight w:val="0"/>
      <w:marTop w:val="180"/>
      <w:marBottom w:val="120"/>
      <w:divBdr>
        <w:top w:val="none" w:sz="0" w:space="0" w:color="auto"/>
        <w:left w:val="none" w:sz="0" w:space="0" w:color="auto"/>
        <w:bottom w:val="none" w:sz="0" w:space="0" w:color="auto"/>
        <w:right w:val="none" w:sz="0" w:space="0" w:color="auto"/>
      </w:divBdr>
      <w:divsChild>
        <w:div w:id="666400425">
          <w:marLeft w:val="0"/>
          <w:marRight w:val="0"/>
          <w:marTop w:val="0"/>
          <w:marBottom w:val="0"/>
          <w:divBdr>
            <w:top w:val="none" w:sz="0" w:space="0" w:color="auto"/>
            <w:left w:val="none" w:sz="0" w:space="0" w:color="auto"/>
            <w:bottom w:val="none" w:sz="0" w:space="0" w:color="auto"/>
            <w:right w:val="none" w:sz="0" w:space="0" w:color="auto"/>
          </w:divBdr>
        </w:div>
        <w:div w:id="1878665755">
          <w:marLeft w:val="0"/>
          <w:marRight w:val="0"/>
          <w:marTop w:val="0"/>
          <w:marBottom w:val="0"/>
          <w:divBdr>
            <w:top w:val="none" w:sz="0" w:space="0" w:color="auto"/>
            <w:left w:val="none" w:sz="0" w:space="0" w:color="auto"/>
            <w:bottom w:val="none" w:sz="0" w:space="0" w:color="auto"/>
            <w:right w:val="none" w:sz="0" w:space="0" w:color="auto"/>
          </w:divBdr>
        </w:div>
        <w:div w:id="1659378062">
          <w:marLeft w:val="0"/>
          <w:marRight w:val="0"/>
          <w:marTop w:val="0"/>
          <w:marBottom w:val="0"/>
          <w:divBdr>
            <w:top w:val="none" w:sz="0" w:space="0" w:color="auto"/>
            <w:left w:val="none" w:sz="0" w:space="0" w:color="auto"/>
            <w:bottom w:val="none" w:sz="0" w:space="0" w:color="auto"/>
            <w:right w:val="none" w:sz="0" w:space="0" w:color="auto"/>
          </w:divBdr>
        </w:div>
        <w:div w:id="1736853968">
          <w:marLeft w:val="0"/>
          <w:marRight w:val="0"/>
          <w:marTop w:val="0"/>
          <w:marBottom w:val="0"/>
          <w:divBdr>
            <w:top w:val="none" w:sz="0" w:space="0" w:color="auto"/>
            <w:left w:val="none" w:sz="0" w:space="0" w:color="auto"/>
            <w:bottom w:val="none" w:sz="0" w:space="0" w:color="auto"/>
            <w:right w:val="none" w:sz="0" w:space="0" w:color="auto"/>
          </w:divBdr>
        </w:div>
        <w:div w:id="1252658732">
          <w:marLeft w:val="0"/>
          <w:marRight w:val="0"/>
          <w:marTop w:val="0"/>
          <w:marBottom w:val="0"/>
          <w:divBdr>
            <w:top w:val="none" w:sz="0" w:space="0" w:color="auto"/>
            <w:left w:val="none" w:sz="0" w:space="0" w:color="auto"/>
            <w:bottom w:val="none" w:sz="0" w:space="0" w:color="auto"/>
            <w:right w:val="none" w:sz="0" w:space="0" w:color="auto"/>
          </w:divBdr>
        </w:div>
      </w:divsChild>
    </w:div>
    <w:div w:id="1859149423">
      <w:marLeft w:val="0"/>
      <w:marRight w:val="0"/>
      <w:marTop w:val="0"/>
      <w:marBottom w:val="60"/>
      <w:divBdr>
        <w:top w:val="none" w:sz="0" w:space="0" w:color="auto"/>
        <w:left w:val="none" w:sz="0" w:space="0" w:color="auto"/>
        <w:bottom w:val="none" w:sz="0" w:space="0" w:color="auto"/>
        <w:right w:val="none" w:sz="0" w:space="0" w:color="auto"/>
      </w:divBdr>
    </w:div>
    <w:div w:id="1859393116">
      <w:marLeft w:val="0"/>
      <w:marRight w:val="0"/>
      <w:marTop w:val="240"/>
      <w:marBottom w:val="0"/>
      <w:divBdr>
        <w:top w:val="none" w:sz="0" w:space="0" w:color="auto"/>
        <w:left w:val="none" w:sz="0" w:space="0" w:color="auto"/>
        <w:bottom w:val="none" w:sz="0" w:space="0" w:color="auto"/>
        <w:right w:val="none" w:sz="0" w:space="0" w:color="auto"/>
      </w:divBdr>
    </w:div>
    <w:div w:id="1861166956">
      <w:marLeft w:val="0"/>
      <w:marRight w:val="0"/>
      <w:marTop w:val="180"/>
      <w:marBottom w:val="0"/>
      <w:divBdr>
        <w:top w:val="none" w:sz="0" w:space="0" w:color="auto"/>
        <w:left w:val="none" w:sz="0" w:space="0" w:color="auto"/>
        <w:bottom w:val="none" w:sz="0" w:space="0" w:color="auto"/>
        <w:right w:val="none" w:sz="0" w:space="0" w:color="auto"/>
      </w:divBdr>
    </w:div>
    <w:div w:id="1867714318">
      <w:marLeft w:val="0"/>
      <w:marRight w:val="0"/>
      <w:marTop w:val="180"/>
      <w:marBottom w:val="0"/>
      <w:divBdr>
        <w:top w:val="none" w:sz="0" w:space="0" w:color="auto"/>
        <w:left w:val="none" w:sz="0" w:space="0" w:color="auto"/>
        <w:bottom w:val="none" w:sz="0" w:space="0" w:color="auto"/>
        <w:right w:val="none" w:sz="0" w:space="0" w:color="auto"/>
      </w:divBdr>
    </w:div>
    <w:div w:id="1871529875">
      <w:marLeft w:val="0"/>
      <w:marRight w:val="0"/>
      <w:marTop w:val="0"/>
      <w:marBottom w:val="0"/>
      <w:divBdr>
        <w:top w:val="none" w:sz="0" w:space="0" w:color="auto"/>
        <w:left w:val="none" w:sz="0" w:space="0" w:color="auto"/>
        <w:bottom w:val="none" w:sz="0" w:space="0" w:color="auto"/>
        <w:right w:val="none" w:sz="0" w:space="0" w:color="auto"/>
      </w:divBdr>
      <w:divsChild>
        <w:div w:id="942882283">
          <w:marLeft w:val="0"/>
          <w:marRight w:val="0"/>
          <w:marTop w:val="180"/>
          <w:marBottom w:val="0"/>
          <w:divBdr>
            <w:top w:val="none" w:sz="0" w:space="0" w:color="auto"/>
            <w:left w:val="none" w:sz="0" w:space="0" w:color="auto"/>
            <w:bottom w:val="none" w:sz="0" w:space="0" w:color="auto"/>
            <w:right w:val="none" w:sz="0" w:space="0" w:color="auto"/>
          </w:divBdr>
        </w:div>
      </w:divsChild>
    </w:div>
    <w:div w:id="1875195346">
      <w:marLeft w:val="0"/>
      <w:marRight w:val="0"/>
      <w:marTop w:val="120"/>
      <w:marBottom w:val="0"/>
      <w:divBdr>
        <w:top w:val="none" w:sz="0" w:space="0" w:color="auto"/>
        <w:left w:val="none" w:sz="0" w:space="0" w:color="auto"/>
        <w:bottom w:val="none" w:sz="0" w:space="0" w:color="auto"/>
        <w:right w:val="none" w:sz="0" w:space="0" w:color="auto"/>
      </w:divBdr>
    </w:div>
    <w:div w:id="1875997603">
      <w:marLeft w:val="0"/>
      <w:marRight w:val="0"/>
      <w:marTop w:val="240"/>
      <w:marBottom w:val="0"/>
      <w:divBdr>
        <w:top w:val="none" w:sz="0" w:space="0" w:color="auto"/>
        <w:left w:val="none" w:sz="0" w:space="0" w:color="auto"/>
        <w:bottom w:val="none" w:sz="0" w:space="0" w:color="auto"/>
        <w:right w:val="none" w:sz="0" w:space="0" w:color="auto"/>
      </w:divBdr>
    </w:div>
    <w:div w:id="1876427597">
      <w:marLeft w:val="0"/>
      <w:marRight w:val="0"/>
      <w:marTop w:val="180"/>
      <w:marBottom w:val="0"/>
      <w:divBdr>
        <w:top w:val="none" w:sz="0" w:space="0" w:color="auto"/>
        <w:left w:val="none" w:sz="0" w:space="0" w:color="auto"/>
        <w:bottom w:val="none" w:sz="0" w:space="0" w:color="auto"/>
        <w:right w:val="none" w:sz="0" w:space="0" w:color="auto"/>
      </w:divBdr>
    </w:div>
    <w:div w:id="1876430147">
      <w:marLeft w:val="0"/>
      <w:marRight w:val="0"/>
      <w:marTop w:val="120"/>
      <w:marBottom w:val="0"/>
      <w:divBdr>
        <w:top w:val="none" w:sz="0" w:space="0" w:color="auto"/>
        <w:left w:val="none" w:sz="0" w:space="0" w:color="auto"/>
        <w:bottom w:val="none" w:sz="0" w:space="0" w:color="auto"/>
        <w:right w:val="none" w:sz="0" w:space="0" w:color="auto"/>
      </w:divBdr>
    </w:div>
    <w:div w:id="1877305621">
      <w:marLeft w:val="0"/>
      <w:marRight w:val="0"/>
      <w:marTop w:val="180"/>
      <w:marBottom w:val="0"/>
      <w:divBdr>
        <w:top w:val="none" w:sz="0" w:space="0" w:color="auto"/>
        <w:left w:val="none" w:sz="0" w:space="0" w:color="auto"/>
        <w:bottom w:val="none" w:sz="0" w:space="0" w:color="auto"/>
        <w:right w:val="none" w:sz="0" w:space="0" w:color="auto"/>
      </w:divBdr>
    </w:div>
    <w:div w:id="1877354631">
      <w:marLeft w:val="0"/>
      <w:marRight w:val="0"/>
      <w:marTop w:val="180"/>
      <w:marBottom w:val="120"/>
      <w:divBdr>
        <w:top w:val="none" w:sz="0" w:space="0" w:color="auto"/>
        <w:left w:val="none" w:sz="0" w:space="0" w:color="auto"/>
        <w:bottom w:val="none" w:sz="0" w:space="0" w:color="auto"/>
        <w:right w:val="none" w:sz="0" w:space="0" w:color="auto"/>
      </w:divBdr>
      <w:divsChild>
        <w:div w:id="1343705305">
          <w:marLeft w:val="0"/>
          <w:marRight w:val="0"/>
          <w:marTop w:val="0"/>
          <w:marBottom w:val="0"/>
          <w:divBdr>
            <w:top w:val="none" w:sz="0" w:space="0" w:color="auto"/>
            <w:left w:val="none" w:sz="0" w:space="0" w:color="auto"/>
            <w:bottom w:val="none" w:sz="0" w:space="0" w:color="auto"/>
            <w:right w:val="none" w:sz="0" w:space="0" w:color="auto"/>
          </w:divBdr>
        </w:div>
        <w:div w:id="1146822539">
          <w:marLeft w:val="0"/>
          <w:marRight w:val="0"/>
          <w:marTop w:val="0"/>
          <w:marBottom w:val="0"/>
          <w:divBdr>
            <w:top w:val="none" w:sz="0" w:space="0" w:color="auto"/>
            <w:left w:val="none" w:sz="0" w:space="0" w:color="auto"/>
            <w:bottom w:val="none" w:sz="0" w:space="0" w:color="auto"/>
            <w:right w:val="none" w:sz="0" w:space="0" w:color="auto"/>
          </w:divBdr>
        </w:div>
        <w:div w:id="769082628">
          <w:marLeft w:val="0"/>
          <w:marRight w:val="0"/>
          <w:marTop w:val="0"/>
          <w:marBottom w:val="0"/>
          <w:divBdr>
            <w:top w:val="none" w:sz="0" w:space="0" w:color="auto"/>
            <w:left w:val="none" w:sz="0" w:space="0" w:color="auto"/>
            <w:bottom w:val="none" w:sz="0" w:space="0" w:color="auto"/>
            <w:right w:val="none" w:sz="0" w:space="0" w:color="auto"/>
          </w:divBdr>
        </w:div>
        <w:div w:id="1371152226">
          <w:marLeft w:val="0"/>
          <w:marRight w:val="0"/>
          <w:marTop w:val="0"/>
          <w:marBottom w:val="0"/>
          <w:divBdr>
            <w:top w:val="none" w:sz="0" w:space="0" w:color="auto"/>
            <w:left w:val="none" w:sz="0" w:space="0" w:color="auto"/>
            <w:bottom w:val="none" w:sz="0" w:space="0" w:color="auto"/>
            <w:right w:val="none" w:sz="0" w:space="0" w:color="auto"/>
          </w:divBdr>
        </w:div>
        <w:div w:id="367224880">
          <w:marLeft w:val="0"/>
          <w:marRight w:val="0"/>
          <w:marTop w:val="0"/>
          <w:marBottom w:val="0"/>
          <w:divBdr>
            <w:top w:val="none" w:sz="0" w:space="0" w:color="auto"/>
            <w:left w:val="none" w:sz="0" w:space="0" w:color="auto"/>
            <w:bottom w:val="none" w:sz="0" w:space="0" w:color="auto"/>
            <w:right w:val="none" w:sz="0" w:space="0" w:color="auto"/>
          </w:divBdr>
        </w:div>
        <w:div w:id="298611485">
          <w:marLeft w:val="0"/>
          <w:marRight w:val="0"/>
          <w:marTop w:val="0"/>
          <w:marBottom w:val="0"/>
          <w:divBdr>
            <w:top w:val="none" w:sz="0" w:space="0" w:color="auto"/>
            <w:left w:val="none" w:sz="0" w:space="0" w:color="auto"/>
            <w:bottom w:val="none" w:sz="0" w:space="0" w:color="auto"/>
            <w:right w:val="none" w:sz="0" w:space="0" w:color="auto"/>
          </w:divBdr>
        </w:div>
        <w:div w:id="951324549">
          <w:marLeft w:val="0"/>
          <w:marRight w:val="0"/>
          <w:marTop w:val="0"/>
          <w:marBottom w:val="0"/>
          <w:divBdr>
            <w:top w:val="none" w:sz="0" w:space="0" w:color="auto"/>
            <w:left w:val="none" w:sz="0" w:space="0" w:color="auto"/>
            <w:bottom w:val="none" w:sz="0" w:space="0" w:color="auto"/>
            <w:right w:val="none" w:sz="0" w:space="0" w:color="auto"/>
          </w:divBdr>
        </w:div>
        <w:div w:id="2063751518">
          <w:marLeft w:val="0"/>
          <w:marRight w:val="0"/>
          <w:marTop w:val="0"/>
          <w:marBottom w:val="0"/>
          <w:divBdr>
            <w:top w:val="none" w:sz="0" w:space="0" w:color="auto"/>
            <w:left w:val="none" w:sz="0" w:space="0" w:color="auto"/>
            <w:bottom w:val="none" w:sz="0" w:space="0" w:color="auto"/>
            <w:right w:val="none" w:sz="0" w:space="0" w:color="auto"/>
          </w:divBdr>
        </w:div>
      </w:divsChild>
    </w:div>
    <w:div w:id="1878928401">
      <w:marLeft w:val="0"/>
      <w:marRight w:val="0"/>
      <w:marTop w:val="180"/>
      <w:marBottom w:val="0"/>
      <w:divBdr>
        <w:top w:val="none" w:sz="0" w:space="0" w:color="auto"/>
        <w:left w:val="none" w:sz="0" w:space="0" w:color="auto"/>
        <w:bottom w:val="none" w:sz="0" w:space="0" w:color="auto"/>
        <w:right w:val="none" w:sz="0" w:space="0" w:color="auto"/>
      </w:divBdr>
    </w:div>
    <w:div w:id="1879078324">
      <w:marLeft w:val="0"/>
      <w:marRight w:val="0"/>
      <w:marTop w:val="0"/>
      <w:marBottom w:val="200"/>
      <w:divBdr>
        <w:top w:val="none" w:sz="0" w:space="0" w:color="auto"/>
        <w:left w:val="none" w:sz="0" w:space="0" w:color="auto"/>
        <w:bottom w:val="none" w:sz="0" w:space="0" w:color="auto"/>
        <w:right w:val="none" w:sz="0" w:space="0" w:color="auto"/>
      </w:divBdr>
    </w:div>
    <w:div w:id="1883906794">
      <w:marLeft w:val="0"/>
      <w:marRight w:val="0"/>
      <w:marTop w:val="180"/>
      <w:marBottom w:val="0"/>
      <w:divBdr>
        <w:top w:val="none" w:sz="0" w:space="0" w:color="auto"/>
        <w:left w:val="none" w:sz="0" w:space="0" w:color="auto"/>
        <w:bottom w:val="none" w:sz="0" w:space="0" w:color="auto"/>
        <w:right w:val="none" w:sz="0" w:space="0" w:color="auto"/>
      </w:divBdr>
    </w:div>
    <w:div w:id="1884171427">
      <w:marLeft w:val="0"/>
      <w:marRight w:val="0"/>
      <w:marTop w:val="180"/>
      <w:marBottom w:val="0"/>
      <w:divBdr>
        <w:top w:val="none" w:sz="0" w:space="0" w:color="auto"/>
        <w:left w:val="none" w:sz="0" w:space="0" w:color="auto"/>
        <w:bottom w:val="none" w:sz="0" w:space="0" w:color="auto"/>
        <w:right w:val="none" w:sz="0" w:space="0" w:color="auto"/>
      </w:divBdr>
    </w:div>
    <w:div w:id="1884706140">
      <w:marLeft w:val="0"/>
      <w:marRight w:val="0"/>
      <w:marTop w:val="120"/>
      <w:marBottom w:val="0"/>
      <w:divBdr>
        <w:top w:val="none" w:sz="0" w:space="0" w:color="auto"/>
        <w:left w:val="none" w:sz="0" w:space="0" w:color="auto"/>
        <w:bottom w:val="none" w:sz="0" w:space="0" w:color="auto"/>
        <w:right w:val="none" w:sz="0" w:space="0" w:color="auto"/>
      </w:divBdr>
    </w:div>
    <w:div w:id="1886522438">
      <w:marLeft w:val="0"/>
      <w:marRight w:val="0"/>
      <w:marTop w:val="0"/>
      <w:marBottom w:val="0"/>
      <w:divBdr>
        <w:top w:val="none" w:sz="0" w:space="0" w:color="auto"/>
        <w:left w:val="none" w:sz="0" w:space="0" w:color="auto"/>
        <w:bottom w:val="none" w:sz="0" w:space="0" w:color="auto"/>
        <w:right w:val="none" w:sz="0" w:space="0" w:color="auto"/>
      </w:divBdr>
    </w:div>
    <w:div w:id="1887830391">
      <w:marLeft w:val="0"/>
      <w:marRight w:val="0"/>
      <w:marTop w:val="180"/>
      <w:marBottom w:val="120"/>
      <w:divBdr>
        <w:top w:val="none" w:sz="0" w:space="0" w:color="auto"/>
        <w:left w:val="none" w:sz="0" w:space="0" w:color="auto"/>
        <w:bottom w:val="none" w:sz="0" w:space="0" w:color="auto"/>
        <w:right w:val="none" w:sz="0" w:space="0" w:color="auto"/>
      </w:divBdr>
    </w:div>
    <w:div w:id="1889563308">
      <w:marLeft w:val="0"/>
      <w:marRight w:val="0"/>
      <w:marTop w:val="180"/>
      <w:marBottom w:val="0"/>
      <w:divBdr>
        <w:top w:val="none" w:sz="0" w:space="0" w:color="auto"/>
        <w:left w:val="none" w:sz="0" w:space="0" w:color="auto"/>
        <w:bottom w:val="none" w:sz="0" w:space="0" w:color="auto"/>
        <w:right w:val="none" w:sz="0" w:space="0" w:color="auto"/>
      </w:divBdr>
    </w:div>
    <w:div w:id="1889757000">
      <w:marLeft w:val="0"/>
      <w:marRight w:val="0"/>
      <w:marTop w:val="100"/>
      <w:marBottom w:val="100"/>
      <w:divBdr>
        <w:top w:val="none" w:sz="0" w:space="0" w:color="auto"/>
        <w:left w:val="none" w:sz="0" w:space="0" w:color="auto"/>
        <w:bottom w:val="none" w:sz="0" w:space="0" w:color="auto"/>
        <w:right w:val="none" w:sz="0" w:space="0" w:color="auto"/>
      </w:divBdr>
    </w:div>
    <w:div w:id="1890219282">
      <w:marLeft w:val="0"/>
      <w:marRight w:val="0"/>
      <w:marTop w:val="180"/>
      <w:marBottom w:val="0"/>
      <w:divBdr>
        <w:top w:val="none" w:sz="0" w:space="0" w:color="auto"/>
        <w:left w:val="none" w:sz="0" w:space="0" w:color="auto"/>
        <w:bottom w:val="none" w:sz="0" w:space="0" w:color="auto"/>
        <w:right w:val="none" w:sz="0" w:space="0" w:color="auto"/>
      </w:divBdr>
    </w:div>
    <w:div w:id="1890534441">
      <w:marLeft w:val="0"/>
      <w:marRight w:val="0"/>
      <w:marTop w:val="0"/>
      <w:marBottom w:val="0"/>
      <w:divBdr>
        <w:top w:val="none" w:sz="0" w:space="0" w:color="auto"/>
        <w:left w:val="none" w:sz="0" w:space="0" w:color="auto"/>
        <w:bottom w:val="none" w:sz="0" w:space="0" w:color="auto"/>
        <w:right w:val="none" w:sz="0" w:space="0" w:color="auto"/>
      </w:divBdr>
      <w:divsChild>
        <w:div w:id="314071529">
          <w:marLeft w:val="0"/>
          <w:marRight w:val="0"/>
          <w:marTop w:val="0"/>
          <w:marBottom w:val="0"/>
          <w:divBdr>
            <w:top w:val="none" w:sz="0" w:space="0" w:color="auto"/>
            <w:left w:val="none" w:sz="0" w:space="0" w:color="auto"/>
            <w:bottom w:val="none" w:sz="0" w:space="0" w:color="auto"/>
            <w:right w:val="none" w:sz="0" w:space="0" w:color="auto"/>
          </w:divBdr>
          <w:divsChild>
            <w:div w:id="13468606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2686094">
      <w:marLeft w:val="0"/>
      <w:marRight w:val="0"/>
      <w:marTop w:val="0"/>
      <w:marBottom w:val="0"/>
      <w:divBdr>
        <w:top w:val="none" w:sz="0" w:space="0" w:color="auto"/>
        <w:left w:val="none" w:sz="0" w:space="0" w:color="auto"/>
        <w:bottom w:val="none" w:sz="0" w:space="0" w:color="auto"/>
        <w:right w:val="none" w:sz="0" w:space="0" w:color="auto"/>
      </w:divBdr>
      <w:divsChild>
        <w:div w:id="1921986466">
          <w:marLeft w:val="0"/>
          <w:marRight w:val="0"/>
          <w:marTop w:val="0"/>
          <w:marBottom w:val="0"/>
          <w:divBdr>
            <w:top w:val="none" w:sz="0" w:space="0" w:color="auto"/>
            <w:left w:val="none" w:sz="0" w:space="0" w:color="auto"/>
            <w:bottom w:val="none" w:sz="0" w:space="0" w:color="auto"/>
            <w:right w:val="none" w:sz="0" w:space="0" w:color="auto"/>
          </w:divBdr>
        </w:div>
      </w:divsChild>
    </w:div>
    <w:div w:id="1893425865">
      <w:marLeft w:val="0"/>
      <w:marRight w:val="0"/>
      <w:marTop w:val="0"/>
      <w:marBottom w:val="0"/>
      <w:divBdr>
        <w:top w:val="none" w:sz="0" w:space="0" w:color="auto"/>
        <w:left w:val="none" w:sz="0" w:space="0" w:color="auto"/>
        <w:bottom w:val="none" w:sz="0" w:space="0" w:color="auto"/>
        <w:right w:val="none" w:sz="0" w:space="0" w:color="auto"/>
      </w:divBdr>
      <w:divsChild>
        <w:div w:id="161867">
          <w:marLeft w:val="0"/>
          <w:marRight w:val="0"/>
          <w:marTop w:val="0"/>
          <w:marBottom w:val="0"/>
          <w:divBdr>
            <w:top w:val="none" w:sz="0" w:space="0" w:color="auto"/>
            <w:left w:val="none" w:sz="0" w:space="0" w:color="auto"/>
            <w:bottom w:val="none" w:sz="0" w:space="0" w:color="auto"/>
            <w:right w:val="none" w:sz="0" w:space="0" w:color="auto"/>
          </w:divBdr>
          <w:divsChild>
            <w:div w:id="1063991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6306893">
      <w:marLeft w:val="0"/>
      <w:marRight w:val="0"/>
      <w:marTop w:val="180"/>
      <w:marBottom w:val="120"/>
      <w:divBdr>
        <w:top w:val="none" w:sz="0" w:space="0" w:color="auto"/>
        <w:left w:val="none" w:sz="0" w:space="0" w:color="auto"/>
        <w:bottom w:val="none" w:sz="0" w:space="0" w:color="auto"/>
        <w:right w:val="none" w:sz="0" w:space="0" w:color="auto"/>
      </w:divBdr>
    </w:div>
    <w:div w:id="1897084582">
      <w:marLeft w:val="0"/>
      <w:marRight w:val="0"/>
      <w:marTop w:val="0"/>
      <w:marBottom w:val="200"/>
      <w:divBdr>
        <w:top w:val="none" w:sz="0" w:space="0" w:color="auto"/>
        <w:left w:val="none" w:sz="0" w:space="0" w:color="auto"/>
        <w:bottom w:val="none" w:sz="0" w:space="0" w:color="auto"/>
        <w:right w:val="none" w:sz="0" w:space="0" w:color="auto"/>
      </w:divBdr>
    </w:div>
    <w:div w:id="1901549417">
      <w:marLeft w:val="0"/>
      <w:marRight w:val="0"/>
      <w:marTop w:val="180"/>
      <w:marBottom w:val="0"/>
      <w:divBdr>
        <w:top w:val="none" w:sz="0" w:space="0" w:color="auto"/>
        <w:left w:val="none" w:sz="0" w:space="0" w:color="auto"/>
        <w:bottom w:val="none" w:sz="0" w:space="0" w:color="auto"/>
        <w:right w:val="none" w:sz="0" w:space="0" w:color="auto"/>
      </w:divBdr>
    </w:div>
    <w:div w:id="1902592228">
      <w:marLeft w:val="0"/>
      <w:marRight w:val="0"/>
      <w:marTop w:val="180"/>
      <w:marBottom w:val="0"/>
      <w:divBdr>
        <w:top w:val="none" w:sz="0" w:space="0" w:color="auto"/>
        <w:left w:val="none" w:sz="0" w:space="0" w:color="auto"/>
        <w:bottom w:val="none" w:sz="0" w:space="0" w:color="auto"/>
        <w:right w:val="none" w:sz="0" w:space="0" w:color="auto"/>
      </w:divBdr>
    </w:div>
    <w:div w:id="1906139591">
      <w:marLeft w:val="0"/>
      <w:marRight w:val="0"/>
      <w:marTop w:val="0"/>
      <w:marBottom w:val="340"/>
      <w:divBdr>
        <w:top w:val="none" w:sz="0" w:space="0" w:color="auto"/>
        <w:left w:val="none" w:sz="0" w:space="0" w:color="auto"/>
        <w:bottom w:val="none" w:sz="0" w:space="0" w:color="auto"/>
        <w:right w:val="none" w:sz="0" w:space="0" w:color="auto"/>
      </w:divBdr>
    </w:div>
    <w:div w:id="1909340888">
      <w:marLeft w:val="0"/>
      <w:marRight w:val="0"/>
      <w:marTop w:val="0"/>
      <w:marBottom w:val="0"/>
      <w:divBdr>
        <w:top w:val="none" w:sz="0" w:space="0" w:color="auto"/>
        <w:left w:val="none" w:sz="0" w:space="0" w:color="auto"/>
        <w:bottom w:val="none" w:sz="0" w:space="0" w:color="auto"/>
        <w:right w:val="none" w:sz="0" w:space="0" w:color="auto"/>
      </w:divBdr>
      <w:divsChild>
        <w:div w:id="2131239201">
          <w:marLeft w:val="0"/>
          <w:marRight w:val="0"/>
          <w:marTop w:val="0"/>
          <w:marBottom w:val="0"/>
          <w:divBdr>
            <w:top w:val="none" w:sz="0" w:space="0" w:color="auto"/>
            <w:left w:val="none" w:sz="0" w:space="0" w:color="auto"/>
            <w:bottom w:val="none" w:sz="0" w:space="0" w:color="auto"/>
            <w:right w:val="none" w:sz="0" w:space="0" w:color="auto"/>
          </w:divBdr>
          <w:divsChild>
            <w:div w:id="20932310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10768006">
      <w:marLeft w:val="0"/>
      <w:marRight w:val="0"/>
      <w:marTop w:val="0"/>
      <w:marBottom w:val="60"/>
      <w:divBdr>
        <w:top w:val="none" w:sz="0" w:space="0" w:color="auto"/>
        <w:left w:val="none" w:sz="0" w:space="0" w:color="auto"/>
        <w:bottom w:val="none" w:sz="0" w:space="0" w:color="auto"/>
        <w:right w:val="none" w:sz="0" w:space="0" w:color="auto"/>
      </w:divBdr>
    </w:div>
    <w:div w:id="1911771710">
      <w:marLeft w:val="0"/>
      <w:marRight w:val="0"/>
      <w:marTop w:val="180"/>
      <w:marBottom w:val="0"/>
      <w:divBdr>
        <w:top w:val="none" w:sz="0" w:space="0" w:color="auto"/>
        <w:left w:val="none" w:sz="0" w:space="0" w:color="auto"/>
        <w:bottom w:val="none" w:sz="0" w:space="0" w:color="auto"/>
        <w:right w:val="none" w:sz="0" w:space="0" w:color="auto"/>
      </w:divBdr>
    </w:div>
    <w:div w:id="1912079471">
      <w:marLeft w:val="0"/>
      <w:marRight w:val="0"/>
      <w:marTop w:val="180"/>
      <w:marBottom w:val="0"/>
      <w:divBdr>
        <w:top w:val="none" w:sz="0" w:space="0" w:color="auto"/>
        <w:left w:val="none" w:sz="0" w:space="0" w:color="auto"/>
        <w:bottom w:val="none" w:sz="0" w:space="0" w:color="auto"/>
        <w:right w:val="none" w:sz="0" w:space="0" w:color="auto"/>
      </w:divBdr>
    </w:div>
    <w:div w:id="1912544561">
      <w:marLeft w:val="0"/>
      <w:marRight w:val="0"/>
      <w:marTop w:val="180"/>
      <w:marBottom w:val="0"/>
      <w:divBdr>
        <w:top w:val="none" w:sz="0" w:space="0" w:color="auto"/>
        <w:left w:val="none" w:sz="0" w:space="0" w:color="auto"/>
        <w:bottom w:val="none" w:sz="0" w:space="0" w:color="auto"/>
        <w:right w:val="none" w:sz="0" w:space="0" w:color="auto"/>
      </w:divBdr>
    </w:div>
    <w:div w:id="1913814910">
      <w:marLeft w:val="0"/>
      <w:marRight w:val="0"/>
      <w:marTop w:val="60"/>
      <w:marBottom w:val="120"/>
      <w:divBdr>
        <w:top w:val="none" w:sz="0" w:space="0" w:color="auto"/>
        <w:left w:val="none" w:sz="0" w:space="0" w:color="auto"/>
        <w:bottom w:val="none" w:sz="0" w:space="0" w:color="auto"/>
        <w:right w:val="none" w:sz="0" w:space="0" w:color="auto"/>
      </w:divBdr>
      <w:divsChild>
        <w:div w:id="509416266">
          <w:marLeft w:val="0"/>
          <w:marRight w:val="0"/>
          <w:marTop w:val="0"/>
          <w:marBottom w:val="0"/>
          <w:divBdr>
            <w:top w:val="none" w:sz="0" w:space="0" w:color="auto"/>
            <w:left w:val="none" w:sz="0" w:space="0" w:color="auto"/>
            <w:bottom w:val="none" w:sz="0" w:space="0" w:color="auto"/>
            <w:right w:val="none" w:sz="0" w:space="0" w:color="auto"/>
          </w:divBdr>
        </w:div>
        <w:div w:id="130560295">
          <w:marLeft w:val="0"/>
          <w:marRight w:val="0"/>
          <w:marTop w:val="0"/>
          <w:marBottom w:val="0"/>
          <w:divBdr>
            <w:top w:val="none" w:sz="0" w:space="0" w:color="auto"/>
            <w:left w:val="none" w:sz="0" w:space="0" w:color="auto"/>
            <w:bottom w:val="none" w:sz="0" w:space="0" w:color="auto"/>
            <w:right w:val="none" w:sz="0" w:space="0" w:color="auto"/>
          </w:divBdr>
        </w:div>
        <w:div w:id="1160005004">
          <w:marLeft w:val="0"/>
          <w:marRight w:val="0"/>
          <w:marTop w:val="0"/>
          <w:marBottom w:val="0"/>
          <w:divBdr>
            <w:top w:val="none" w:sz="0" w:space="0" w:color="auto"/>
            <w:left w:val="none" w:sz="0" w:space="0" w:color="auto"/>
            <w:bottom w:val="none" w:sz="0" w:space="0" w:color="auto"/>
            <w:right w:val="none" w:sz="0" w:space="0" w:color="auto"/>
          </w:divBdr>
        </w:div>
        <w:div w:id="492184960">
          <w:marLeft w:val="0"/>
          <w:marRight w:val="0"/>
          <w:marTop w:val="0"/>
          <w:marBottom w:val="0"/>
          <w:divBdr>
            <w:top w:val="none" w:sz="0" w:space="0" w:color="auto"/>
            <w:left w:val="none" w:sz="0" w:space="0" w:color="auto"/>
            <w:bottom w:val="none" w:sz="0" w:space="0" w:color="auto"/>
            <w:right w:val="none" w:sz="0" w:space="0" w:color="auto"/>
          </w:divBdr>
        </w:div>
      </w:divsChild>
    </w:div>
    <w:div w:id="1914654978">
      <w:marLeft w:val="0"/>
      <w:marRight w:val="0"/>
      <w:marTop w:val="180"/>
      <w:marBottom w:val="0"/>
      <w:divBdr>
        <w:top w:val="none" w:sz="0" w:space="0" w:color="auto"/>
        <w:left w:val="none" w:sz="0" w:space="0" w:color="auto"/>
        <w:bottom w:val="none" w:sz="0" w:space="0" w:color="auto"/>
        <w:right w:val="none" w:sz="0" w:space="0" w:color="auto"/>
      </w:divBdr>
    </w:div>
    <w:div w:id="1922178288">
      <w:marLeft w:val="0"/>
      <w:marRight w:val="0"/>
      <w:marTop w:val="0"/>
      <w:marBottom w:val="0"/>
      <w:divBdr>
        <w:top w:val="none" w:sz="0" w:space="0" w:color="auto"/>
        <w:left w:val="none" w:sz="0" w:space="0" w:color="auto"/>
        <w:bottom w:val="none" w:sz="0" w:space="0" w:color="auto"/>
        <w:right w:val="none" w:sz="0" w:space="0" w:color="auto"/>
      </w:divBdr>
      <w:divsChild>
        <w:div w:id="871502735">
          <w:marLeft w:val="0"/>
          <w:marRight w:val="0"/>
          <w:marTop w:val="0"/>
          <w:marBottom w:val="0"/>
          <w:divBdr>
            <w:top w:val="none" w:sz="0" w:space="0" w:color="auto"/>
            <w:left w:val="none" w:sz="0" w:space="0" w:color="auto"/>
            <w:bottom w:val="none" w:sz="0" w:space="0" w:color="auto"/>
            <w:right w:val="none" w:sz="0" w:space="0" w:color="auto"/>
          </w:divBdr>
          <w:divsChild>
            <w:div w:id="16236099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22179888">
      <w:marLeft w:val="0"/>
      <w:marRight w:val="0"/>
      <w:marTop w:val="180"/>
      <w:marBottom w:val="0"/>
      <w:divBdr>
        <w:top w:val="none" w:sz="0" w:space="0" w:color="auto"/>
        <w:left w:val="none" w:sz="0" w:space="0" w:color="auto"/>
        <w:bottom w:val="none" w:sz="0" w:space="0" w:color="auto"/>
        <w:right w:val="none" w:sz="0" w:space="0" w:color="auto"/>
      </w:divBdr>
    </w:div>
    <w:div w:id="1923374141">
      <w:marLeft w:val="0"/>
      <w:marRight w:val="0"/>
      <w:marTop w:val="180"/>
      <w:marBottom w:val="0"/>
      <w:divBdr>
        <w:top w:val="none" w:sz="0" w:space="0" w:color="auto"/>
        <w:left w:val="none" w:sz="0" w:space="0" w:color="auto"/>
        <w:bottom w:val="none" w:sz="0" w:space="0" w:color="auto"/>
        <w:right w:val="none" w:sz="0" w:space="0" w:color="auto"/>
      </w:divBdr>
    </w:div>
    <w:div w:id="1924029522">
      <w:marLeft w:val="0"/>
      <w:marRight w:val="0"/>
      <w:marTop w:val="0"/>
      <w:marBottom w:val="0"/>
      <w:divBdr>
        <w:top w:val="none" w:sz="0" w:space="0" w:color="auto"/>
        <w:left w:val="none" w:sz="0" w:space="0" w:color="auto"/>
        <w:bottom w:val="none" w:sz="0" w:space="0" w:color="auto"/>
        <w:right w:val="none" w:sz="0" w:space="0" w:color="auto"/>
      </w:divBdr>
      <w:divsChild>
        <w:div w:id="433405719">
          <w:marLeft w:val="0"/>
          <w:marRight w:val="0"/>
          <w:marTop w:val="0"/>
          <w:marBottom w:val="0"/>
          <w:divBdr>
            <w:top w:val="none" w:sz="0" w:space="0" w:color="auto"/>
            <w:left w:val="none" w:sz="0" w:space="0" w:color="auto"/>
            <w:bottom w:val="none" w:sz="0" w:space="0" w:color="auto"/>
            <w:right w:val="none" w:sz="0" w:space="0" w:color="auto"/>
          </w:divBdr>
          <w:divsChild>
            <w:div w:id="11359453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24218050">
      <w:marLeft w:val="0"/>
      <w:marRight w:val="0"/>
      <w:marTop w:val="240"/>
      <w:marBottom w:val="0"/>
      <w:divBdr>
        <w:top w:val="none" w:sz="0" w:space="0" w:color="auto"/>
        <w:left w:val="none" w:sz="0" w:space="0" w:color="auto"/>
        <w:bottom w:val="none" w:sz="0" w:space="0" w:color="auto"/>
        <w:right w:val="none" w:sz="0" w:space="0" w:color="auto"/>
      </w:divBdr>
    </w:div>
    <w:div w:id="1925451974">
      <w:marLeft w:val="0"/>
      <w:marRight w:val="0"/>
      <w:marTop w:val="180"/>
      <w:marBottom w:val="0"/>
      <w:divBdr>
        <w:top w:val="none" w:sz="0" w:space="0" w:color="auto"/>
        <w:left w:val="none" w:sz="0" w:space="0" w:color="auto"/>
        <w:bottom w:val="none" w:sz="0" w:space="0" w:color="auto"/>
        <w:right w:val="none" w:sz="0" w:space="0" w:color="auto"/>
      </w:divBdr>
    </w:div>
    <w:div w:id="1925453405">
      <w:marLeft w:val="0"/>
      <w:marRight w:val="0"/>
      <w:marTop w:val="240"/>
      <w:marBottom w:val="120"/>
      <w:divBdr>
        <w:top w:val="none" w:sz="0" w:space="0" w:color="auto"/>
        <w:left w:val="none" w:sz="0" w:space="0" w:color="auto"/>
        <w:bottom w:val="none" w:sz="0" w:space="0" w:color="auto"/>
        <w:right w:val="none" w:sz="0" w:space="0" w:color="auto"/>
      </w:divBdr>
    </w:div>
    <w:div w:id="1925727048">
      <w:marLeft w:val="0"/>
      <w:marRight w:val="0"/>
      <w:marTop w:val="180"/>
      <w:marBottom w:val="0"/>
      <w:divBdr>
        <w:top w:val="none" w:sz="0" w:space="0" w:color="auto"/>
        <w:left w:val="none" w:sz="0" w:space="0" w:color="auto"/>
        <w:bottom w:val="none" w:sz="0" w:space="0" w:color="auto"/>
        <w:right w:val="none" w:sz="0" w:space="0" w:color="auto"/>
      </w:divBdr>
    </w:div>
    <w:div w:id="1926187816">
      <w:marLeft w:val="0"/>
      <w:marRight w:val="0"/>
      <w:marTop w:val="180"/>
      <w:marBottom w:val="0"/>
      <w:divBdr>
        <w:top w:val="none" w:sz="0" w:space="0" w:color="auto"/>
        <w:left w:val="none" w:sz="0" w:space="0" w:color="auto"/>
        <w:bottom w:val="none" w:sz="0" w:space="0" w:color="auto"/>
        <w:right w:val="none" w:sz="0" w:space="0" w:color="auto"/>
      </w:divBdr>
    </w:div>
    <w:div w:id="1926724257">
      <w:marLeft w:val="0"/>
      <w:marRight w:val="0"/>
      <w:marTop w:val="180"/>
      <w:marBottom w:val="0"/>
      <w:divBdr>
        <w:top w:val="none" w:sz="0" w:space="0" w:color="auto"/>
        <w:left w:val="none" w:sz="0" w:space="0" w:color="auto"/>
        <w:bottom w:val="none" w:sz="0" w:space="0" w:color="auto"/>
        <w:right w:val="none" w:sz="0" w:space="0" w:color="auto"/>
      </w:divBdr>
    </w:div>
    <w:div w:id="1928952890">
      <w:marLeft w:val="0"/>
      <w:marRight w:val="0"/>
      <w:marTop w:val="180"/>
      <w:marBottom w:val="0"/>
      <w:divBdr>
        <w:top w:val="none" w:sz="0" w:space="0" w:color="auto"/>
        <w:left w:val="none" w:sz="0" w:space="0" w:color="auto"/>
        <w:bottom w:val="none" w:sz="0" w:space="0" w:color="auto"/>
        <w:right w:val="none" w:sz="0" w:space="0" w:color="auto"/>
      </w:divBdr>
    </w:div>
    <w:div w:id="1939169007">
      <w:marLeft w:val="0"/>
      <w:marRight w:val="0"/>
      <w:marTop w:val="180"/>
      <w:marBottom w:val="120"/>
      <w:divBdr>
        <w:top w:val="none" w:sz="0" w:space="0" w:color="auto"/>
        <w:left w:val="none" w:sz="0" w:space="0" w:color="auto"/>
        <w:bottom w:val="none" w:sz="0" w:space="0" w:color="auto"/>
        <w:right w:val="none" w:sz="0" w:space="0" w:color="auto"/>
      </w:divBdr>
    </w:div>
    <w:div w:id="1947536101">
      <w:marLeft w:val="0"/>
      <w:marRight w:val="0"/>
      <w:marTop w:val="0"/>
      <w:marBottom w:val="200"/>
      <w:divBdr>
        <w:top w:val="none" w:sz="0" w:space="0" w:color="auto"/>
        <w:left w:val="none" w:sz="0" w:space="0" w:color="auto"/>
        <w:bottom w:val="none" w:sz="0" w:space="0" w:color="auto"/>
        <w:right w:val="none" w:sz="0" w:space="0" w:color="auto"/>
      </w:divBdr>
    </w:div>
    <w:div w:id="1948809076">
      <w:marLeft w:val="0"/>
      <w:marRight w:val="0"/>
      <w:marTop w:val="0"/>
      <w:marBottom w:val="200"/>
      <w:divBdr>
        <w:top w:val="none" w:sz="0" w:space="0" w:color="auto"/>
        <w:left w:val="none" w:sz="0" w:space="0" w:color="auto"/>
        <w:bottom w:val="none" w:sz="0" w:space="0" w:color="auto"/>
        <w:right w:val="none" w:sz="0" w:space="0" w:color="auto"/>
      </w:divBdr>
    </w:div>
    <w:div w:id="1949434382">
      <w:marLeft w:val="0"/>
      <w:marRight w:val="0"/>
      <w:marTop w:val="180"/>
      <w:marBottom w:val="0"/>
      <w:divBdr>
        <w:top w:val="none" w:sz="0" w:space="0" w:color="auto"/>
        <w:left w:val="none" w:sz="0" w:space="0" w:color="auto"/>
        <w:bottom w:val="none" w:sz="0" w:space="0" w:color="auto"/>
        <w:right w:val="none" w:sz="0" w:space="0" w:color="auto"/>
      </w:divBdr>
    </w:div>
    <w:div w:id="1949849363">
      <w:marLeft w:val="0"/>
      <w:marRight w:val="0"/>
      <w:marTop w:val="180"/>
      <w:marBottom w:val="0"/>
      <w:divBdr>
        <w:top w:val="none" w:sz="0" w:space="0" w:color="auto"/>
        <w:left w:val="none" w:sz="0" w:space="0" w:color="auto"/>
        <w:bottom w:val="none" w:sz="0" w:space="0" w:color="auto"/>
        <w:right w:val="none" w:sz="0" w:space="0" w:color="auto"/>
      </w:divBdr>
    </w:div>
    <w:div w:id="1951008450">
      <w:marLeft w:val="0"/>
      <w:marRight w:val="0"/>
      <w:marTop w:val="180"/>
      <w:marBottom w:val="120"/>
      <w:divBdr>
        <w:top w:val="none" w:sz="0" w:space="0" w:color="auto"/>
        <w:left w:val="none" w:sz="0" w:space="0" w:color="auto"/>
        <w:bottom w:val="none" w:sz="0" w:space="0" w:color="auto"/>
        <w:right w:val="none" w:sz="0" w:space="0" w:color="auto"/>
      </w:divBdr>
    </w:div>
    <w:div w:id="1952467250">
      <w:marLeft w:val="0"/>
      <w:marRight w:val="0"/>
      <w:marTop w:val="180"/>
      <w:marBottom w:val="0"/>
      <w:divBdr>
        <w:top w:val="none" w:sz="0" w:space="0" w:color="auto"/>
        <w:left w:val="none" w:sz="0" w:space="0" w:color="auto"/>
        <w:bottom w:val="none" w:sz="0" w:space="0" w:color="auto"/>
        <w:right w:val="none" w:sz="0" w:space="0" w:color="auto"/>
      </w:divBdr>
    </w:div>
    <w:div w:id="1953392708">
      <w:marLeft w:val="0"/>
      <w:marRight w:val="0"/>
      <w:marTop w:val="180"/>
      <w:marBottom w:val="0"/>
      <w:divBdr>
        <w:top w:val="none" w:sz="0" w:space="0" w:color="auto"/>
        <w:left w:val="none" w:sz="0" w:space="0" w:color="auto"/>
        <w:bottom w:val="none" w:sz="0" w:space="0" w:color="auto"/>
        <w:right w:val="none" w:sz="0" w:space="0" w:color="auto"/>
      </w:divBdr>
    </w:div>
    <w:div w:id="1955015550">
      <w:marLeft w:val="0"/>
      <w:marRight w:val="0"/>
      <w:marTop w:val="180"/>
      <w:marBottom w:val="120"/>
      <w:divBdr>
        <w:top w:val="none" w:sz="0" w:space="0" w:color="auto"/>
        <w:left w:val="none" w:sz="0" w:space="0" w:color="auto"/>
        <w:bottom w:val="none" w:sz="0" w:space="0" w:color="auto"/>
        <w:right w:val="none" w:sz="0" w:space="0" w:color="auto"/>
      </w:divBdr>
      <w:divsChild>
        <w:div w:id="1127622804">
          <w:marLeft w:val="0"/>
          <w:marRight w:val="0"/>
          <w:marTop w:val="120"/>
          <w:marBottom w:val="120"/>
          <w:divBdr>
            <w:top w:val="none" w:sz="0" w:space="0" w:color="auto"/>
            <w:left w:val="none" w:sz="0" w:space="0" w:color="auto"/>
            <w:bottom w:val="none" w:sz="0" w:space="0" w:color="auto"/>
            <w:right w:val="none" w:sz="0" w:space="0" w:color="auto"/>
          </w:divBdr>
        </w:div>
        <w:div w:id="1186097950">
          <w:marLeft w:val="0"/>
          <w:marRight w:val="0"/>
          <w:marTop w:val="120"/>
          <w:marBottom w:val="120"/>
          <w:divBdr>
            <w:top w:val="none" w:sz="0" w:space="0" w:color="auto"/>
            <w:left w:val="none" w:sz="0" w:space="0" w:color="auto"/>
            <w:bottom w:val="none" w:sz="0" w:space="0" w:color="auto"/>
            <w:right w:val="none" w:sz="0" w:space="0" w:color="auto"/>
          </w:divBdr>
        </w:div>
        <w:div w:id="212544274">
          <w:marLeft w:val="0"/>
          <w:marRight w:val="0"/>
          <w:marTop w:val="120"/>
          <w:marBottom w:val="120"/>
          <w:divBdr>
            <w:top w:val="none" w:sz="0" w:space="0" w:color="auto"/>
            <w:left w:val="none" w:sz="0" w:space="0" w:color="auto"/>
            <w:bottom w:val="none" w:sz="0" w:space="0" w:color="auto"/>
            <w:right w:val="none" w:sz="0" w:space="0" w:color="auto"/>
          </w:divBdr>
        </w:div>
        <w:div w:id="1753309493">
          <w:marLeft w:val="0"/>
          <w:marRight w:val="0"/>
          <w:marTop w:val="120"/>
          <w:marBottom w:val="120"/>
          <w:divBdr>
            <w:top w:val="none" w:sz="0" w:space="0" w:color="auto"/>
            <w:left w:val="none" w:sz="0" w:space="0" w:color="auto"/>
            <w:bottom w:val="none" w:sz="0" w:space="0" w:color="auto"/>
            <w:right w:val="none" w:sz="0" w:space="0" w:color="auto"/>
          </w:divBdr>
        </w:div>
      </w:divsChild>
    </w:div>
    <w:div w:id="1955020363">
      <w:marLeft w:val="0"/>
      <w:marRight w:val="0"/>
      <w:marTop w:val="180"/>
      <w:marBottom w:val="0"/>
      <w:divBdr>
        <w:top w:val="none" w:sz="0" w:space="0" w:color="auto"/>
        <w:left w:val="none" w:sz="0" w:space="0" w:color="auto"/>
        <w:bottom w:val="none" w:sz="0" w:space="0" w:color="auto"/>
        <w:right w:val="none" w:sz="0" w:space="0" w:color="auto"/>
      </w:divBdr>
    </w:div>
    <w:div w:id="1955362990">
      <w:marLeft w:val="0"/>
      <w:marRight w:val="0"/>
      <w:marTop w:val="180"/>
      <w:marBottom w:val="0"/>
      <w:divBdr>
        <w:top w:val="none" w:sz="0" w:space="0" w:color="auto"/>
        <w:left w:val="none" w:sz="0" w:space="0" w:color="auto"/>
        <w:bottom w:val="none" w:sz="0" w:space="0" w:color="auto"/>
        <w:right w:val="none" w:sz="0" w:space="0" w:color="auto"/>
      </w:divBdr>
    </w:div>
    <w:div w:id="1956255642">
      <w:marLeft w:val="0"/>
      <w:marRight w:val="0"/>
      <w:marTop w:val="180"/>
      <w:marBottom w:val="0"/>
      <w:divBdr>
        <w:top w:val="none" w:sz="0" w:space="0" w:color="auto"/>
        <w:left w:val="none" w:sz="0" w:space="0" w:color="auto"/>
        <w:bottom w:val="none" w:sz="0" w:space="0" w:color="auto"/>
        <w:right w:val="none" w:sz="0" w:space="0" w:color="auto"/>
      </w:divBdr>
    </w:div>
    <w:div w:id="1962034291">
      <w:marLeft w:val="0"/>
      <w:marRight w:val="0"/>
      <w:marTop w:val="180"/>
      <w:marBottom w:val="0"/>
      <w:divBdr>
        <w:top w:val="none" w:sz="0" w:space="0" w:color="auto"/>
        <w:left w:val="none" w:sz="0" w:space="0" w:color="auto"/>
        <w:bottom w:val="none" w:sz="0" w:space="0" w:color="auto"/>
        <w:right w:val="none" w:sz="0" w:space="0" w:color="auto"/>
      </w:divBdr>
    </w:div>
    <w:div w:id="1962219814">
      <w:marLeft w:val="0"/>
      <w:marRight w:val="0"/>
      <w:marTop w:val="0"/>
      <w:marBottom w:val="0"/>
      <w:divBdr>
        <w:top w:val="none" w:sz="0" w:space="0" w:color="auto"/>
        <w:left w:val="none" w:sz="0" w:space="0" w:color="auto"/>
        <w:bottom w:val="none" w:sz="0" w:space="0" w:color="auto"/>
        <w:right w:val="none" w:sz="0" w:space="0" w:color="auto"/>
      </w:divBdr>
      <w:divsChild>
        <w:div w:id="1821144542">
          <w:marLeft w:val="0"/>
          <w:marRight w:val="0"/>
          <w:marTop w:val="0"/>
          <w:marBottom w:val="0"/>
          <w:divBdr>
            <w:top w:val="none" w:sz="0" w:space="0" w:color="auto"/>
            <w:left w:val="none" w:sz="0" w:space="0" w:color="auto"/>
            <w:bottom w:val="none" w:sz="0" w:space="0" w:color="auto"/>
            <w:right w:val="none" w:sz="0" w:space="0" w:color="auto"/>
          </w:divBdr>
          <w:divsChild>
            <w:div w:id="14670917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62761785">
      <w:marLeft w:val="0"/>
      <w:marRight w:val="0"/>
      <w:marTop w:val="0"/>
      <w:marBottom w:val="0"/>
      <w:divBdr>
        <w:top w:val="none" w:sz="0" w:space="0" w:color="auto"/>
        <w:left w:val="none" w:sz="0" w:space="0" w:color="auto"/>
        <w:bottom w:val="none" w:sz="0" w:space="0" w:color="auto"/>
        <w:right w:val="none" w:sz="0" w:space="0" w:color="auto"/>
      </w:divBdr>
      <w:divsChild>
        <w:div w:id="31852881">
          <w:marLeft w:val="0"/>
          <w:marRight w:val="0"/>
          <w:marTop w:val="0"/>
          <w:marBottom w:val="0"/>
          <w:divBdr>
            <w:top w:val="none" w:sz="0" w:space="0" w:color="auto"/>
            <w:left w:val="none" w:sz="0" w:space="0" w:color="auto"/>
            <w:bottom w:val="none" w:sz="0" w:space="0" w:color="auto"/>
            <w:right w:val="none" w:sz="0" w:space="0" w:color="auto"/>
          </w:divBdr>
          <w:divsChild>
            <w:div w:id="16357214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63263987">
      <w:marLeft w:val="0"/>
      <w:marRight w:val="0"/>
      <w:marTop w:val="180"/>
      <w:marBottom w:val="0"/>
      <w:divBdr>
        <w:top w:val="none" w:sz="0" w:space="0" w:color="auto"/>
        <w:left w:val="none" w:sz="0" w:space="0" w:color="auto"/>
        <w:bottom w:val="none" w:sz="0" w:space="0" w:color="auto"/>
        <w:right w:val="none" w:sz="0" w:space="0" w:color="auto"/>
      </w:divBdr>
    </w:div>
    <w:div w:id="1967080154">
      <w:marLeft w:val="0"/>
      <w:marRight w:val="0"/>
      <w:marTop w:val="180"/>
      <w:marBottom w:val="0"/>
      <w:divBdr>
        <w:top w:val="none" w:sz="0" w:space="0" w:color="auto"/>
        <w:left w:val="none" w:sz="0" w:space="0" w:color="auto"/>
        <w:bottom w:val="none" w:sz="0" w:space="0" w:color="auto"/>
        <w:right w:val="none" w:sz="0" w:space="0" w:color="auto"/>
      </w:divBdr>
    </w:div>
    <w:div w:id="1967278349">
      <w:marLeft w:val="0"/>
      <w:marRight w:val="0"/>
      <w:marTop w:val="180"/>
      <w:marBottom w:val="0"/>
      <w:divBdr>
        <w:top w:val="none" w:sz="0" w:space="0" w:color="auto"/>
        <w:left w:val="none" w:sz="0" w:space="0" w:color="auto"/>
        <w:bottom w:val="none" w:sz="0" w:space="0" w:color="auto"/>
        <w:right w:val="none" w:sz="0" w:space="0" w:color="auto"/>
      </w:divBdr>
    </w:div>
    <w:div w:id="1969703501">
      <w:marLeft w:val="0"/>
      <w:marRight w:val="0"/>
      <w:marTop w:val="180"/>
      <w:marBottom w:val="120"/>
      <w:divBdr>
        <w:top w:val="none" w:sz="0" w:space="0" w:color="auto"/>
        <w:left w:val="none" w:sz="0" w:space="0" w:color="auto"/>
        <w:bottom w:val="none" w:sz="0" w:space="0" w:color="auto"/>
        <w:right w:val="none" w:sz="0" w:space="0" w:color="auto"/>
      </w:divBdr>
      <w:divsChild>
        <w:div w:id="510073018">
          <w:marLeft w:val="0"/>
          <w:marRight w:val="0"/>
          <w:marTop w:val="0"/>
          <w:marBottom w:val="0"/>
          <w:divBdr>
            <w:top w:val="none" w:sz="0" w:space="0" w:color="auto"/>
            <w:left w:val="none" w:sz="0" w:space="0" w:color="auto"/>
            <w:bottom w:val="none" w:sz="0" w:space="0" w:color="auto"/>
            <w:right w:val="none" w:sz="0" w:space="0" w:color="auto"/>
          </w:divBdr>
        </w:div>
      </w:divsChild>
    </w:div>
    <w:div w:id="1971477984">
      <w:marLeft w:val="0"/>
      <w:marRight w:val="0"/>
      <w:marTop w:val="180"/>
      <w:marBottom w:val="0"/>
      <w:divBdr>
        <w:top w:val="none" w:sz="0" w:space="0" w:color="auto"/>
        <w:left w:val="none" w:sz="0" w:space="0" w:color="auto"/>
        <w:bottom w:val="none" w:sz="0" w:space="0" w:color="auto"/>
        <w:right w:val="none" w:sz="0" w:space="0" w:color="auto"/>
      </w:divBdr>
    </w:div>
    <w:div w:id="1972050144">
      <w:marLeft w:val="0"/>
      <w:marRight w:val="0"/>
      <w:marTop w:val="180"/>
      <w:marBottom w:val="0"/>
      <w:divBdr>
        <w:top w:val="none" w:sz="0" w:space="0" w:color="auto"/>
        <w:left w:val="none" w:sz="0" w:space="0" w:color="auto"/>
        <w:bottom w:val="none" w:sz="0" w:space="0" w:color="auto"/>
        <w:right w:val="none" w:sz="0" w:space="0" w:color="auto"/>
      </w:divBdr>
    </w:div>
    <w:div w:id="1973359750">
      <w:marLeft w:val="0"/>
      <w:marRight w:val="0"/>
      <w:marTop w:val="0"/>
      <w:marBottom w:val="0"/>
      <w:divBdr>
        <w:top w:val="none" w:sz="0" w:space="0" w:color="auto"/>
        <w:left w:val="none" w:sz="0" w:space="0" w:color="auto"/>
        <w:bottom w:val="none" w:sz="0" w:space="0" w:color="auto"/>
        <w:right w:val="none" w:sz="0" w:space="0" w:color="auto"/>
      </w:divBdr>
      <w:divsChild>
        <w:div w:id="1964532632">
          <w:marLeft w:val="0"/>
          <w:marRight w:val="0"/>
          <w:marTop w:val="0"/>
          <w:marBottom w:val="0"/>
          <w:divBdr>
            <w:top w:val="none" w:sz="0" w:space="0" w:color="auto"/>
            <w:left w:val="none" w:sz="0" w:space="0" w:color="auto"/>
            <w:bottom w:val="none" w:sz="0" w:space="0" w:color="auto"/>
            <w:right w:val="none" w:sz="0" w:space="0" w:color="auto"/>
          </w:divBdr>
          <w:divsChild>
            <w:div w:id="20683351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5327240">
      <w:marLeft w:val="0"/>
      <w:marRight w:val="0"/>
      <w:marTop w:val="0"/>
      <w:marBottom w:val="0"/>
      <w:divBdr>
        <w:top w:val="none" w:sz="0" w:space="0" w:color="auto"/>
        <w:left w:val="none" w:sz="0" w:space="0" w:color="auto"/>
        <w:bottom w:val="none" w:sz="0" w:space="0" w:color="auto"/>
        <w:right w:val="none" w:sz="0" w:space="0" w:color="auto"/>
      </w:divBdr>
    </w:div>
    <w:div w:id="1977418078">
      <w:marLeft w:val="0"/>
      <w:marRight w:val="0"/>
      <w:marTop w:val="0"/>
      <w:marBottom w:val="0"/>
      <w:divBdr>
        <w:top w:val="none" w:sz="0" w:space="0" w:color="auto"/>
        <w:left w:val="none" w:sz="0" w:space="0" w:color="auto"/>
        <w:bottom w:val="none" w:sz="0" w:space="0" w:color="auto"/>
        <w:right w:val="none" w:sz="0" w:space="0" w:color="auto"/>
      </w:divBdr>
      <w:divsChild>
        <w:div w:id="476801735">
          <w:marLeft w:val="0"/>
          <w:marRight w:val="0"/>
          <w:marTop w:val="0"/>
          <w:marBottom w:val="0"/>
          <w:divBdr>
            <w:top w:val="none" w:sz="0" w:space="0" w:color="auto"/>
            <w:left w:val="none" w:sz="0" w:space="0" w:color="auto"/>
            <w:bottom w:val="none" w:sz="0" w:space="0" w:color="auto"/>
            <w:right w:val="none" w:sz="0" w:space="0" w:color="auto"/>
          </w:divBdr>
          <w:divsChild>
            <w:div w:id="8221617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77445777">
      <w:marLeft w:val="0"/>
      <w:marRight w:val="0"/>
      <w:marTop w:val="240"/>
      <w:marBottom w:val="0"/>
      <w:divBdr>
        <w:top w:val="none" w:sz="0" w:space="0" w:color="auto"/>
        <w:left w:val="none" w:sz="0" w:space="0" w:color="auto"/>
        <w:bottom w:val="none" w:sz="0" w:space="0" w:color="auto"/>
        <w:right w:val="none" w:sz="0" w:space="0" w:color="auto"/>
      </w:divBdr>
    </w:div>
    <w:div w:id="1978677764">
      <w:marLeft w:val="0"/>
      <w:marRight w:val="0"/>
      <w:marTop w:val="180"/>
      <w:marBottom w:val="0"/>
      <w:divBdr>
        <w:top w:val="none" w:sz="0" w:space="0" w:color="auto"/>
        <w:left w:val="none" w:sz="0" w:space="0" w:color="auto"/>
        <w:bottom w:val="none" w:sz="0" w:space="0" w:color="auto"/>
        <w:right w:val="none" w:sz="0" w:space="0" w:color="auto"/>
      </w:divBdr>
    </w:div>
    <w:div w:id="1979260455">
      <w:marLeft w:val="0"/>
      <w:marRight w:val="0"/>
      <w:marTop w:val="0"/>
      <w:marBottom w:val="0"/>
      <w:divBdr>
        <w:top w:val="none" w:sz="0" w:space="0" w:color="auto"/>
        <w:left w:val="none" w:sz="0" w:space="0" w:color="auto"/>
        <w:bottom w:val="none" w:sz="0" w:space="0" w:color="auto"/>
        <w:right w:val="none" w:sz="0" w:space="0" w:color="auto"/>
      </w:divBdr>
      <w:divsChild>
        <w:div w:id="1396203820">
          <w:marLeft w:val="0"/>
          <w:marRight w:val="0"/>
          <w:marTop w:val="0"/>
          <w:marBottom w:val="0"/>
          <w:divBdr>
            <w:top w:val="none" w:sz="0" w:space="0" w:color="auto"/>
            <w:left w:val="none" w:sz="0" w:space="0" w:color="auto"/>
            <w:bottom w:val="none" w:sz="0" w:space="0" w:color="auto"/>
            <w:right w:val="none" w:sz="0" w:space="0" w:color="auto"/>
          </w:divBdr>
        </w:div>
      </w:divsChild>
    </w:div>
    <w:div w:id="1980071618">
      <w:marLeft w:val="0"/>
      <w:marRight w:val="0"/>
      <w:marTop w:val="120"/>
      <w:marBottom w:val="0"/>
      <w:divBdr>
        <w:top w:val="none" w:sz="0" w:space="0" w:color="auto"/>
        <w:left w:val="none" w:sz="0" w:space="0" w:color="auto"/>
        <w:bottom w:val="none" w:sz="0" w:space="0" w:color="auto"/>
        <w:right w:val="none" w:sz="0" w:space="0" w:color="auto"/>
      </w:divBdr>
    </w:div>
    <w:div w:id="1980499649">
      <w:marLeft w:val="0"/>
      <w:marRight w:val="0"/>
      <w:marTop w:val="180"/>
      <w:marBottom w:val="60"/>
      <w:divBdr>
        <w:top w:val="none" w:sz="0" w:space="0" w:color="auto"/>
        <w:left w:val="none" w:sz="0" w:space="0" w:color="auto"/>
        <w:bottom w:val="none" w:sz="0" w:space="0" w:color="auto"/>
        <w:right w:val="none" w:sz="0" w:space="0" w:color="auto"/>
      </w:divBdr>
    </w:div>
    <w:div w:id="1980723037">
      <w:marLeft w:val="0"/>
      <w:marRight w:val="0"/>
      <w:marTop w:val="180"/>
      <w:marBottom w:val="60"/>
      <w:divBdr>
        <w:top w:val="none" w:sz="0" w:space="0" w:color="auto"/>
        <w:left w:val="none" w:sz="0" w:space="0" w:color="auto"/>
        <w:bottom w:val="none" w:sz="0" w:space="0" w:color="auto"/>
        <w:right w:val="none" w:sz="0" w:space="0" w:color="auto"/>
      </w:divBdr>
    </w:div>
    <w:div w:id="1980914394">
      <w:marLeft w:val="0"/>
      <w:marRight w:val="0"/>
      <w:marTop w:val="180"/>
      <w:marBottom w:val="0"/>
      <w:divBdr>
        <w:top w:val="none" w:sz="0" w:space="0" w:color="auto"/>
        <w:left w:val="none" w:sz="0" w:space="0" w:color="auto"/>
        <w:bottom w:val="none" w:sz="0" w:space="0" w:color="auto"/>
        <w:right w:val="none" w:sz="0" w:space="0" w:color="auto"/>
      </w:divBdr>
    </w:div>
    <w:div w:id="1980963333">
      <w:marLeft w:val="0"/>
      <w:marRight w:val="0"/>
      <w:marTop w:val="240"/>
      <w:marBottom w:val="0"/>
      <w:divBdr>
        <w:top w:val="none" w:sz="0" w:space="0" w:color="auto"/>
        <w:left w:val="none" w:sz="0" w:space="0" w:color="auto"/>
        <w:bottom w:val="none" w:sz="0" w:space="0" w:color="auto"/>
        <w:right w:val="none" w:sz="0" w:space="0" w:color="auto"/>
      </w:divBdr>
    </w:div>
    <w:div w:id="1981225244">
      <w:marLeft w:val="0"/>
      <w:marRight w:val="0"/>
      <w:marTop w:val="240"/>
      <w:marBottom w:val="0"/>
      <w:divBdr>
        <w:top w:val="none" w:sz="0" w:space="0" w:color="auto"/>
        <w:left w:val="none" w:sz="0" w:space="0" w:color="auto"/>
        <w:bottom w:val="none" w:sz="0" w:space="0" w:color="auto"/>
        <w:right w:val="none" w:sz="0" w:space="0" w:color="auto"/>
      </w:divBdr>
    </w:div>
    <w:div w:id="1984966115">
      <w:marLeft w:val="0"/>
      <w:marRight w:val="0"/>
      <w:marTop w:val="180"/>
      <w:marBottom w:val="0"/>
      <w:divBdr>
        <w:top w:val="none" w:sz="0" w:space="0" w:color="auto"/>
        <w:left w:val="none" w:sz="0" w:space="0" w:color="auto"/>
        <w:bottom w:val="none" w:sz="0" w:space="0" w:color="auto"/>
        <w:right w:val="none" w:sz="0" w:space="0" w:color="auto"/>
      </w:divBdr>
    </w:div>
    <w:div w:id="1985432230">
      <w:marLeft w:val="0"/>
      <w:marRight w:val="0"/>
      <w:marTop w:val="180"/>
      <w:marBottom w:val="0"/>
      <w:divBdr>
        <w:top w:val="none" w:sz="0" w:space="0" w:color="auto"/>
        <w:left w:val="none" w:sz="0" w:space="0" w:color="auto"/>
        <w:bottom w:val="none" w:sz="0" w:space="0" w:color="auto"/>
        <w:right w:val="none" w:sz="0" w:space="0" w:color="auto"/>
      </w:divBdr>
    </w:div>
    <w:div w:id="1987783055">
      <w:marLeft w:val="0"/>
      <w:marRight w:val="0"/>
      <w:marTop w:val="180"/>
      <w:marBottom w:val="0"/>
      <w:divBdr>
        <w:top w:val="none" w:sz="0" w:space="0" w:color="auto"/>
        <w:left w:val="none" w:sz="0" w:space="0" w:color="auto"/>
        <w:bottom w:val="none" w:sz="0" w:space="0" w:color="auto"/>
        <w:right w:val="none" w:sz="0" w:space="0" w:color="auto"/>
      </w:divBdr>
    </w:div>
    <w:div w:id="1990744680">
      <w:marLeft w:val="0"/>
      <w:marRight w:val="0"/>
      <w:marTop w:val="180"/>
      <w:marBottom w:val="0"/>
      <w:divBdr>
        <w:top w:val="none" w:sz="0" w:space="0" w:color="auto"/>
        <w:left w:val="none" w:sz="0" w:space="0" w:color="auto"/>
        <w:bottom w:val="none" w:sz="0" w:space="0" w:color="auto"/>
        <w:right w:val="none" w:sz="0" w:space="0" w:color="auto"/>
      </w:divBdr>
    </w:div>
    <w:div w:id="1991052172">
      <w:marLeft w:val="0"/>
      <w:marRight w:val="0"/>
      <w:marTop w:val="0"/>
      <w:marBottom w:val="0"/>
      <w:divBdr>
        <w:top w:val="none" w:sz="0" w:space="0" w:color="auto"/>
        <w:left w:val="none" w:sz="0" w:space="0" w:color="auto"/>
        <w:bottom w:val="none" w:sz="0" w:space="0" w:color="auto"/>
        <w:right w:val="none" w:sz="0" w:space="0" w:color="auto"/>
      </w:divBdr>
      <w:divsChild>
        <w:div w:id="240721251">
          <w:marLeft w:val="0"/>
          <w:marRight w:val="0"/>
          <w:marTop w:val="0"/>
          <w:marBottom w:val="0"/>
          <w:divBdr>
            <w:top w:val="none" w:sz="0" w:space="0" w:color="auto"/>
            <w:left w:val="none" w:sz="0" w:space="0" w:color="auto"/>
            <w:bottom w:val="none" w:sz="0" w:space="0" w:color="auto"/>
            <w:right w:val="none" w:sz="0" w:space="0" w:color="auto"/>
          </w:divBdr>
          <w:divsChild>
            <w:div w:id="16808095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91205175">
      <w:marLeft w:val="0"/>
      <w:marRight w:val="0"/>
      <w:marTop w:val="180"/>
      <w:marBottom w:val="0"/>
      <w:divBdr>
        <w:top w:val="none" w:sz="0" w:space="0" w:color="auto"/>
        <w:left w:val="none" w:sz="0" w:space="0" w:color="auto"/>
        <w:bottom w:val="none" w:sz="0" w:space="0" w:color="auto"/>
        <w:right w:val="none" w:sz="0" w:space="0" w:color="auto"/>
      </w:divBdr>
    </w:div>
    <w:div w:id="1994985409">
      <w:marLeft w:val="0"/>
      <w:marRight w:val="0"/>
      <w:marTop w:val="180"/>
      <w:marBottom w:val="0"/>
      <w:divBdr>
        <w:top w:val="none" w:sz="0" w:space="0" w:color="auto"/>
        <w:left w:val="none" w:sz="0" w:space="0" w:color="auto"/>
        <w:bottom w:val="none" w:sz="0" w:space="0" w:color="auto"/>
        <w:right w:val="none" w:sz="0" w:space="0" w:color="auto"/>
      </w:divBdr>
    </w:div>
    <w:div w:id="1995261161">
      <w:marLeft w:val="0"/>
      <w:marRight w:val="0"/>
      <w:marTop w:val="0"/>
      <w:marBottom w:val="200"/>
      <w:divBdr>
        <w:top w:val="none" w:sz="0" w:space="0" w:color="auto"/>
        <w:left w:val="none" w:sz="0" w:space="0" w:color="auto"/>
        <w:bottom w:val="none" w:sz="0" w:space="0" w:color="auto"/>
        <w:right w:val="none" w:sz="0" w:space="0" w:color="auto"/>
      </w:divBdr>
    </w:div>
    <w:div w:id="1996908599">
      <w:marLeft w:val="0"/>
      <w:marRight w:val="0"/>
      <w:marTop w:val="180"/>
      <w:marBottom w:val="0"/>
      <w:divBdr>
        <w:top w:val="none" w:sz="0" w:space="0" w:color="auto"/>
        <w:left w:val="none" w:sz="0" w:space="0" w:color="auto"/>
        <w:bottom w:val="none" w:sz="0" w:space="0" w:color="auto"/>
        <w:right w:val="none" w:sz="0" w:space="0" w:color="auto"/>
      </w:divBdr>
    </w:div>
    <w:div w:id="1997221999">
      <w:marLeft w:val="0"/>
      <w:marRight w:val="0"/>
      <w:marTop w:val="180"/>
      <w:marBottom w:val="180"/>
      <w:divBdr>
        <w:top w:val="none" w:sz="0" w:space="0" w:color="auto"/>
        <w:left w:val="none" w:sz="0" w:space="0" w:color="auto"/>
        <w:bottom w:val="none" w:sz="0" w:space="0" w:color="auto"/>
        <w:right w:val="none" w:sz="0" w:space="0" w:color="auto"/>
      </w:divBdr>
    </w:div>
    <w:div w:id="1998528376">
      <w:marLeft w:val="0"/>
      <w:marRight w:val="0"/>
      <w:marTop w:val="0"/>
      <w:marBottom w:val="0"/>
      <w:divBdr>
        <w:top w:val="none" w:sz="0" w:space="0" w:color="auto"/>
        <w:left w:val="none" w:sz="0" w:space="0" w:color="auto"/>
        <w:bottom w:val="none" w:sz="0" w:space="0" w:color="auto"/>
        <w:right w:val="none" w:sz="0" w:space="0" w:color="auto"/>
      </w:divBdr>
      <w:divsChild>
        <w:div w:id="1334453811">
          <w:marLeft w:val="0"/>
          <w:marRight w:val="0"/>
          <w:marTop w:val="0"/>
          <w:marBottom w:val="0"/>
          <w:divBdr>
            <w:top w:val="none" w:sz="0" w:space="0" w:color="auto"/>
            <w:left w:val="none" w:sz="0" w:space="0" w:color="auto"/>
            <w:bottom w:val="none" w:sz="0" w:space="0" w:color="auto"/>
            <w:right w:val="none" w:sz="0" w:space="0" w:color="auto"/>
          </w:divBdr>
        </w:div>
      </w:divsChild>
    </w:div>
    <w:div w:id="1999191383">
      <w:marLeft w:val="0"/>
      <w:marRight w:val="0"/>
      <w:marTop w:val="0"/>
      <w:marBottom w:val="200"/>
      <w:divBdr>
        <w:top w:val="none" w:sz="0" w:space="0" w:color="auto"/>
        <w:left w:val="none" w:sz="0" w:space="0" w:color="auto"/>
        <w:bottom w:val="none" w:sz="0" w:space="0" w:color="auto"/>
        <w:right w:val="none" w:sz="0" w:space="0" w:color="auto"/>
      </w:divBdr>
    </w:div>
    <w:div w:id="2000382346">
      <w:marLeft w:val="0"/>
      <w:marRight w:val="0"/>
      <w:marTop w:val="180"/>
      <w:marBottom w:val="0"/>
      <w:divBdr>
        <w:top w:val="none" w:sz="0" w:space="0" w:color="auto"/>
        <w:left w:val="none" w:sz="0" w:space="0" w:color="auto"/>
        <w:bottom w:val="none" w:sz="0" w:space="0" w:color="auto"/>
        <w:right w:val="none" w:sz="0" w:space="0" w:color="auto"/>
      </w:divBdr>
    </w:div>
    <w:div w:id="2008513094">
      <w:marLeft w:val="0"/>
      <w:marRight w:val="0"/>
      <w:marTop w:val="0"/>
      <w:marBottom w:val="0"/>
      <w:divBdr>
        <w:top w:val="none" w:sz="0" w:space="0" w:color="auto"/>
        <w:left w:val="none" w:sz="0" w:space="0" w:color="auto"/>
        <w:bottom w:val="none" w:sz="0" w:space="0" w:color="auto"/>
        <w:right w:val="none" w:sz="0" w:space="0" w:color="auto"/>
      </w:divBdr>
      <w:divsChild>
        <w:div w:id="1682196948">
          <w:marLeft w:val="0"/>
          <w:marRight w:val="0"/>
          <w:marTop w:val="0"/>
          <w:marBottom w:val="0"/>
          <w:divBdr>
            <w:top w:val="none" w:sz="0" w:space="0" w:color="auto"/>
            <w:left w:val="none" w:sz="0" w:space="0" w:color="auto"/>
            <w:bottom w:val="none" w:sz="0" w:space="0" w:color="auto"/>
            <w:right w:val="none" w:sz="0" w:space="0" w:color="auto"/>
          </w:divBdr>
          <w:divsChild>
            <w:div w:id="3571955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12828621">
      <w:marLeft w:val="0"/>
      <w:marRight w:val="0"/>
      <w:marTop w:val="180"/>
      <w:marBottom w:val="0"/>
      <w:divBdr>
        <w:top w:val="none" w:sz="0" w:space="0" w:color="auto"/>
        <w:left w:val="none" w:sz="0" w:space="0" w:color="auto"/>
        <w:bottom w:val="none" w:sz="0" w:space="0" w:color="auto"/>
        <w:right w:val="none" w:sz="0" w:space="0" w:color="auto"/>
      </w:divBdr>
    </w:div>
    <w:div w:id="2013608261">
      <w:marLeft w:val="0"/>
      <w:marRight w:val="0"/>
      <w:marTop w:val="180"/>
      <w:marBottom w:val="0"/>
      <w:divBdr>
        <w:top w:val="none" w:sz="0" w:space="0" w:color="auto"/>
        <w:left w:val="none" w:sz="0" w:space="0" w:color="auto"/>
        <w:bottom w:val="none" w:sz="0" w:space="0" w:color="auto"/>
        <w:right w:val="none" w:sz="0" w:space="0" w:color="auto"/>
      </w:divBdr>
    </w:div>
    <w:div w:id="2023120417">
      <w:marLeft w:val="0"/>
      <w:marRight w:val="0"/>
      <w:marTop w:val="180"/>
      <w:marBottom w:val="0"/>
      <w:divBdr>
        <w:top w:val="none" w:sz="0" w:space="0" w:color="auto"/>
        <w:left w:val="none" w:sz="0" w:space="0" w:color="auto"/>
        <w:bottom w:val="none" w:sz="0" w:space="0" w:color="auto"/>
        <w:right w:val="none" w:sz="0" w:space="0" w:color="auto"/>
      </w:divBdr>
    </w:div>
    <w:div w:id="2025475766">
      <w:marLeft w:val="0"/>
      <w:marRight w:val="0"/>
      <w:marTop w:val="0"/>
      <w:marBottom w:val="0"/>
      <w:divBdr>
        <w:top w:val="none" w:sz="0" w:space="0" w:color="auto"/>
        <w:left w:val="none" w:sz="0" w:space="0" w:color="auto"/>
        <w:bottom w:val="none" w:sz="0" w:space="0" w:color="auto"/>
        <w:right w:val="none" w:sz="0" w:space="0" w:color="auto"/>
      </w:divBdr>
      <w:divsChild>
        <w:div w:id="540897768">
          <w:marLeft w:val="0"/>
          <w:marRight w:val="0"/>
          <w:marTop w:val="0"/>
          <w:marBottom w:val="0"/>
          <w:divBdr>
            <w:top w:val="none" w:sz="0" w:space="0" w:color="auto"/>
            <w:left w:val="none" w:sz="0" w:space="0" w:color="auto"/>
            <w:bottom w:val="none" w:sz="0" w:space="0" w:color="auto"/>
            <w:right w:val="none" w:sz="0" w:space="0" w:color="auto"/>
          </w:divBdr>
          <w:divsChild>
            <w:div w:id="8949005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7977412">
      <w:marLeft w:val="0"/>
      <w:marRight w:val="0"/>
      <w:marTop w:val="0"/>
      <w:marBottom w:val="0"/>
      <w:divBdr>
        <w:top w:val="none" w:sz="0" w:space="0" w:color="auto"/>
        <w:left w:val="none" w:sz="0" w:space="0" w:color="auto"/>
        <w:bottom w:val="none" w:sz="0" w:space="0" w:color="auto"/>
        <w:right w:val="none" w:sz="0" w:space="0" w:color="auto"/>
      </w:divBdr>
      <w:divsChild>
        <w:div w:id="430861840">
          <w:marLeft w:val="0"/>
          <w:marRight w:val="0"/>
          <w:marTop w:val="0"/>
          <w:marBottom w:val="0"/>
          <w:divBdr>
            <w:top w:val="none" w:sz="0" w:space="0" w:color="auto"/>
            <w:left w:val="none" w:sz="0" w:space="0" w:color="auto"/>
            <w:bottom w:val="none" w:sz="0" w:space="0" w:color="auto"/>
            <w:right w:val="none" w:sz="0" w:space="0" w:color="auto"/>
          </w:divBdr>
          <w:divsChild>
            <w:div w:id="18219173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8437142">
      <w:marLeft w:val="0"/>
      <w:marRight w:val="0"/>
      <w:marTop w:val="180"/>
      <w:marBottom w:val="0"/>
      <w:divBdr>
        <w:top w:val="none" w:sz="0" w:space="0" w:color="auto"/>
        <w:left w:val="none" w:sz="0" w:space="0" w:color="auto"/>
        <w:bottom w:val="none" w:sz="0" w:space="0" w:color="auto"/>
        <w:right w:val="none" w:sz="0" w:space="0" w:color="auto"/>
      </w:divBdr>
    </w:div>
    <w:div w:id="2029209997">
      <w:marLeft w:val="0"/>
      <w:marRight w:val="0"/>
      <w:marTop w:val="180"/>
      <w:marBottom w:val="0"/>
      <w:divBdr>
        <w:top w:val="none" w:sz="0" w:space="0" w:color="auto"/>
        <w:left w:val="none" w:sz="0" w:space="0" w:color="auto"/>
        <w:bottom w:val="none" w:sz="0" w:space="0" w:color="auto"/>
        <w:right w:val="none" w:sz="0" w:space="0" w:color="auto"/>
      </w:divBdr>
    </w:div>
    <w:div w:id="2030136584">
      <w:marLeft w:val="0"/>
      <w:marRight w:val="0"/>
      <w:marTop w:val="180"/>
      <w:marBottom w:val="0"/>
      <w:divBdr>
        <w:top w:val="none" w:sz="0" w:space="0" w:color="auto"/>
        <w:left w:val="none" w:sz="0" w:space="0" w:color="auto"/>
        <w:bottom w:val="none" w:sz="0" w:space="0" w:color="auto"/>
        <w:right w:val="none" w:sz="0" w:space="0" w:color="auto"/>
      </w:divBdr>
    </w:div>
    <w:div w:id="2038583088">
      <w:marLeft w:val="0"/>
      <w:marRight w:val="0"/>
      <w:marTop w:val="180"/>
      <w:marBottom w:val="0"/>
      <w:divBdr>
        <w:top w:val="none" w:sz="0" w:space="0" w:color="auto"/>
        <w:left w:val="none" w:sz="0" w:space="0" w:color="auto"/>
        <w:bottom w:val="none" w:sz="0" w:space="0" w:color="auto"/>
        <w:right w:val="none" w:sz="0" w:space="0" w:color="auto"/>
      </w:divBdr>
    </w:div>
    <w:div w:id="2040692029">
      <w:marLeft w:val="0"/>
      <w:marRight w:val="0"/>
      <w:marTop w:val="0"/>
      <w:marBottom w:val="0"/>
      <w:divBdr>
        <w:top w:val="none" w:sz="0" w:space="0" w:color="auto"/>
        <w:left w:val="none" w:sz="0" w:space="0" w:color="auto"/>
        <w:bottom w:val="none" w:sz="0" w:space="0" w:color="auto"/>
        <w:right w:val="none" w:sz="0" w:space="0" w:color="auto"/>
      </w:divBdr>
      <w:divsChild>
        <w:div w:id="372538887">
          <w:marLeft w:val="0"/>
          <w:marRight w:val="0"/>
          <w:marTop w:val="180"/>
          <w:marBottom w:val="0"/>
          <w:divBdr>
            <w:top w:val="none" w:sz="0" w:space="0" w:color="auto"/>
            <w:left w:val="none" w:sz="0" w:space="0" w:color="auto"/>
            <w:bottom w:val="none" w:sz="0" w:space="0" w:color="auto"/>
            <w:right w:val="none" w:sz="0" w:space="0" w:color="auto"/>
          </w:divBdr>
        </w:div>
      </w:divsChild>
    </w:div>
    <w:div w:id="2041082305">
      <w:marLeft w:val="0"/>
      <w:marRight w:val="0"/>
      <w:marTop w:val="180"/>
      <w:marBottom w:val="0"/>
      <w:divBdr>
        <w:top w:val="none" w:sz="0" w:space="0" w:color="auto"/>
        <w:left w:val="none" w:sz="0" w:space="0" w:color="auto"/>
        <w:bottom w:val="none" w:sz="0" w:space="0" w:color="auto"/>
        <w:right w:val="none" w:sz="0" w:space="0" w:color="auto"/>
      </w:divBdr>
    </w:div>
    <w:div w:id="2043363954">
      <w:marLeft w:val="0"/>
      <w:marRight w:val="0"/>
      <w:marTop w:val="180"/>
      <w:marBottom w:val="0"/>
      <w:divBdr>
        <w:top w:val="none" w:sz="0" w:space="0" w:color="auto"/>
        <w:left w:val="none" w:sz="0" w:space="0" w:color="auto"/>
        <w:bottom w:val="none" w:sz="0" w:space="0" w:color="auto"/>
        <w:right w:val="none" w:sz="0" w:space="0" w:color="auto"/>
      </w:divBdr>
    </w:div>
    <w:div w:id="2043819872">
      <w:marLeft w:val="0"/>
      <w:marRight w:val="0"/>
      <w:marTop w:val="180"/>
      <w:marBottom w:val="0"/>
      <w:divBdr>
        <w:top w:val="none" w:sz="0" w:space="0" w:color="auto"/>
        <w:left w:val="none" w:sz="0" w:space="0" w:color="auto"/>
        <w:bottom w:val="none" w:sz="0" w:space="0" w:color="auto"/>
        <w:right w:val="none" w:sz="0" w:space="0" w:color="auto"/>
      </w:divBdr>
    </w:div>
    <w:div w:id="2048217294">
      <w:marLeft w:val="0"/>
      <w:marRight w:val="0"/>
      <w:marTop w:val="180"/>
      <w:marBottom w:val="0"/>
      <w:divBdr>
        <w:top w:val="none" w:sz="0" w:space="0" w:color="auto"/>
        <w:left w:val="none" w:sz="0" w:space="0" w:color="auto"/>
        <w:bottom w:val="none" w:sz="0" w:space="0" w:color="auto"/>
        <w:right w:val="none" w:sz="0" w:space="0" w:color="auto"/>
      </w:divBdr>
    </w:div>
    <w:div w:id="2049790808">
      <w:marLeft w:val="0"/>
      <w:marRight w:val="0"/>
      <w:marTop w:val="0"/>
      <w:marBottom w:val="0"/>
      <w:divBdr>
        <w:top w:val="none" w:sz="0" w:space="0" w:color="auto"/>
        <w:left w:val="none" w:sz="0" w:space="0" w:color="auto"/>
        <w:bottom w:val="none" w:sz="0" w:space="0" w:color="auto"/>
        <w:right w:val="none" w:sz="0" w:space="0" w:color="auto"/>
      </w:divBdr>
      <w:divsChild>
        <w:div w:id="1446849922">
          <w:marLeft w:val="0"/>
          <w:marRight w:val="0"/>
          <w:marTop w:val="180"/>
          <w:marBottom w:val="0"/>
          <w:divBdr>
            <w:top w:val="none" w:sz="0" w:space="0" w:color="auto"/>
            <w:left w:val="none" w:sz="0" w:space="0" w:color="auto"/>
            <w:bottom w:val="none" w:sz="0" w:space="0" w:color="auto"/>
            <w:right w:val="none" w:sz="0" w:space="0" w:color="auto"/>
          </w:divBdr>
        </w:div>
      </w:divsChild>
    </w:div>
    <w:div w:id="2050761780">
      <w:marLeft w:val="0"/>
      <w:marRight w:val="0"/>
      <w:marTop w:val="0"/>
      <w:marBottom w:val="0"/>
      <w:divBdr>
        <w:top w:val="none" w:sz="0" w:space="0" w:color="auto"/>
        <w:left w:val="none" w:sz="0" w:space="0" w:color="auto"/>
        <w:bottom w:val="none" w:sz="0" w:space="0" w:color="auto"/>
        <w:right w:val="none" w:sz="0" w:space="0" w:color="auto"/>
      </w:divBdr>
    </w:div>
    <w:div w:id="2051295295">
      <w:marLeft w:val="0"/>
      <w:marRight w:val="0"/>
      <w:marTop w:val="180"/>
      <w:marBottom w:val="120"/>
      <w:divBdr>
        <w:top w:val="none" w:sz="0" w:space="0" w:color="auto"/>
        <w:left w:val="none" w:sz="0" w:space="0" w:color="auto"/>
        <w:bottom w:val="none" w:sz="0" w:space="0" w:color="auto"/>
        <w:right w:val="none" w:sz="0" w:space="0" w:color="auto"/>
      </w:divBdr>
    </w:div>
    <w:div w:id="2052610683">
      <w:marLeft w:val="0"/>
      <w:marRight w:val="0"/>
      <w:marTop w:val="120"/>
      <w:marBottom w:val="0"/>
      <w:divBdr>
        <w:top w:val="none" w:sz="0" w:space="0" w:color="auto"/>
        <w:left w:val="none" w:sz="0" w:space="0" w:color="auto"/>
        <w:bottom w:val="none" w:sz="0" w:space="0" w:color="auto"/>
        <w:right w:val="none" w:sz="0" w:space="0" w:color="auto"/>
      </w:divBdr>
    </w:div>
    <w:div w:id="2052655554">
      <w:marLeft w:val="0"/>
      <w:marRight w:val="0"/>
      <w:marTop w:val="180"/>
      <w:marBottom w:val="240"/>
      <w:divBdr>
        <w:top w:val="none" w:sz="0" w:space="0" w:color="auto"/>
        <w:left w:val="none" w:sz="0" w:space="0" w:color="auto"/>
        <w:bottom w:val="none" w:sz="0" w:space="0" w:color="auto"/>
        <w:right w:val="none" w:sz="0" w:space="0" w:color="auto"/>
      </w:divBdr>
    </w:div>
    <w:div w:id="2053192865">
      <w:marLeft w:val="0"/>
      <w:marRight w:val="0"/>
      <w:marTop w:val="0"/>
      <w:marBottom w:val="0"/>
      <w:divBdr>
        <w:top w:val="none" w:sz="0" w:space="0" w:color="auto"/>
        <w:left w:val="none" w:sz="0" w:space="0" w:color="auto"/>
        <w:bottom w:val="none" w:sz="0" w:space="0" w:color="auto"/>
        <w:right w:val="none" w:sz="0" w:space="0" w:color="auto"/>
      </w:divBdr>
      <w:divsChild>
        <w:div w:id="918103509">
          <w:marLeft w:val="0"/>
          <w:marRight w:val="0"/>
          <w:marTop w:val="0"/>
          <w:marBottom w:val="0"/>
          <w:divBdr>
            <w:top w:val="none" w:sz="0" w:space="0" w:color="auto"/>
            <w:left w:val="none" w:sz="0" w:space="0" w:color="auto"/>
            <w:bottom w:val="none" w:sz="0" w:space="0" w:color="auto"/>
            <w:right w:val="none" w:sz="0" w:space="0" w:color="auto"/>
          </w:divBdr>
          <w:divsChild>
            <w:div w:id="7247627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4848094">
      <w:marLeft w:val="0"/>
      <w:marRight w:val="0"/>
      <w:marTop w:val="180"/>
      <w:marBottom w:val="12"/>
      <w:divBdr>
        <w:top w:val="none" w:sz="0" w:space="0" w:color="auto"/>
        <w:left w:val="none" w:sz="0" w:space="0" w:color="auto"/>
        <w:bottom w:val="none" w:sz="0" w:space="0" w:color="auto"/>
        <w:right w:val="none" w:sz="0" w:space="0" w:color="auto"/>
      </w:divBdr>
    </w:div>
    <w:div w:id="2056812491">
      <w:marLeft w:val="0"/>
      <w:marRight w:val="0"/>
      <w:marTop w:val="0"/>
      <w:marBottom w:val="0"/>
      <w:divBdr>
        <w:top w:val="none" w:sz="0" w:space="0" w:color="auto"/>
        <w:left w:val="none" w:sz="0" w:space="0" w:color="auto"/>
        <w:bottom w:val="none" w:sz="0" w:space="0" w:color="auto"/>
        <w:right w:val="none" w:sz="0" w:space="0" w:color="auto"/>
      </w:divBdr>
      <w:divsChild>
        <w:div w:id="1572542455">
          <w:marLeft w:val="0"/>
          <w:marRight w:val="0"/>
          <w:marTop w:val="0"/>
          <w:marBottom w:val="0"/>
          <w:divBdr>
            <w:top w:val="none" w:sz="0" w:space="0" w:color="auto"/>
            <w:left w:val="none" w:sz="0" w:space="0" w:color="auto"/>
            <w:bottom w:val="none" w:sz="0" w:space="0" w:color="auto"/>
            <w:right w:val="none" w:sz="0" w:space="0" w:color="auto"/>
          </w:divBdr>
          <w:divsChild>
            <w:div w:id="6565415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8313259">
      <w:marLeft w:val="0"/>
      <w:marRight w:val="0"/>
      <w:marTop w:val="0"/>
      <w:marBottom w:val="0"/>
      <w:divBdr>
        <w:top w:val="none" w:sz="0" w:space="0" w:color="auto"/>
        <w:left w:val="none" w:sz="0" w:space="0" w:color="auto"/>
        <w:bottom w:val="none" w:sz="0" w:space="0" w:color="auto"/>
        <w:right w:val="none" w:sz="0" w:space="0" w:color="auto"/>
      </w:divBdr>
    </w:div>
    <w:div w:id="2058964347">
      <w:marLeft w:val="0"/>
      <w:marRight w:val="0"/>
      <w:marTop w:val="180"/>
      <w:marBottom w:val="0"/>
      <w:divBdr>
        <w:top w:val="none" w:sz="0" w:space="0" w:color="auto"/>
        <w:left w:val="none" w:sz="0" w:space="0" w:color="auto"/>
        <w:bottom w:val="none" w:sz="0" w:space="0" w:color="auto"/>
        <w:right w:val="none" w:sz="0" w:space="0" w:color="auto"/>
      </w:divBdr>
    </w:div>
    <w:div w:id="2060744133">
      <w:marLeft w:val="0"/>
      <w:marRight w:val="0"/>
      <w:marTop w:val="180"/>
      <w:marBottom w:val="0"/>
      <w:divBdr>
        <w:top w:val="none" w:sz="0" w:space="0" w:color="auto"/>
        <w:left w:val="none" w:sz="0" w:space="0" w:color="auto"/>
        <w:bottom w:val="none" w:sz="0" w:space="0" w:color="auto"/>
        <w:right w:val="none" w:sz="0" w:space="0" w:color="auto"/>
      </w:divBdr>
    </w:div>
    <w:div w:id="2061782410">
      <w:marLeft w:val="0"/>
      <w:marRight w:val="0"/>
      <w:marTop w:val="120"/>
      <w:marBottom w:val="0"/>
      <w:divBdr>
        <w:top w:val="none" w:sz="0" w:space="0" w:color="auto"/>
        <w:left w:val="none" w:sz="0" w:space="0" w:color="auto"/>
        <w:bottom w:val="none" w:sz="0" w:space="0" w:color="auto"/>
        <w:right w:val="none" w:sz="0" w:space="0" w:color="auto"/>
      </w:divBdr>
    </w:div>
    <w:div w:id="2064481491">
      <w:marLeft w:val="0"/>
      <w:marRight w:val="0"/>
      <w:marTop w:val="180"/>
      <w:marBottom w:val="0"/>
      <w:divBdr>
        <w:top w:val="none" w:sz="0" w:space="0" w:color="auto"/>
        <w:left w:val="none" w:sz="0" w:space="0" w:color="auto"/>
        <w:bottom w:val="none" w:sz="0" w:space="0" w:color="auto"/>
        <w:right w:val="none" w:sz="0" w:space="0" w:color="auto"/>
      </w:divBdr>
    </w:div>
    <w:div w:id="2065132137">
      <w:marLeft w:val="0"/>
      <w:marRight w:val="0"/>
      <w:marTop w:val="180"/>
      <w:marBottom w:val="0"/>
      <w:divBdr>
        <w:top w:val="none" w:sz="0" w:space="0" w:color="auto"/>
        <w:left w:val="none" w:sz="0" w:space="0" w:color="auto"/>
        <w:bottom w:val="none" w:sz="0" w:space="0" w:color="auto"/>
        <w:right w:val="none" w:sz="0" w:space="0" w:color="auto"/>
      </w:divBdr>
    </w:div>
    <w:div w:id="2065446864">
      <w:marLeft w:val="0"/>
      <w:marRight w:val="0"/>
      <w:marTop w:val="0"/>
      <w:marBottom w:val="340"/>
      <w:divBdr>
        <w:top w:val="none" w:sz="0" w:space="0" w:color="auto"/>
        <w:left w:val="none" w:sz="0" w:space="0" w:color="auto"/>
        <w:bottom w:val="none" w:sz="0" w:space="0" w:color="auto"/>
        <w:right w:val="none" w:sz="0" w:space="0" w:color="auto"/>
      </w:divBdr>
    </w:div>
    <w:div w:id="2066098568">
      <w:marLeft w:val="0"/>
      <w:marRight w:val="0"/>
      <w:marTop w:val="0"/>
      <w:marBottom w:val="0"/>
      <w:divBdr>
        <w:top w:val="none" w:sz="0" w:space="0" w:color="auto"/>
        <w:left w:val="none" w:sz="0" w:space="0" w:color="auto"/>
        <w:bottom w:val="none" w:sz="0" w:space="0" w:color="auto"/>
        <w:right w:val="none" w:sz="0" w:space="0" w:color="auto"/>
      </w:divBdr>
      <w:divsChild>
        <w:div w:id="1281842522">
          <w:marLeft w:val="0"/>
          <w:marRight w:val="0"/>
          <w:marTop w:val="0"/>
          <w:marBottom w:val="0"/>
          <w:divBdr>
            <w:top w:val="none" w:sz="0" w:space="0" w:color="auto"/>
            <w:left w:val="none" w:sz="0" w:space="0" w:color="auto"/>
            <w:bottom w:val="none" w:sz="0" w:space="0" w:color="auto"/>
            <w:right w:val="none" w:sz="0" w:space="0" w:color="auto"/>
          </w:divBdr>
          <w:divsChild>
            <w:div w:id="5910896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9647747">
      <w:marLeft w:val="0"/>
      <w:marRight w:val="0"/>
      <w:marTop w:val="60"/>
      <w:marBottom w:val="120"/>
      <w:divBdr>
        <w:top w:val="none" w:sz="0" w:space="0" w:color="auto"/>
        <w:left w:val="none" w:sz="0" w:space="0" w:color="auto"/>
        <w:bottom w:val="none" w:sz="0" w:space="0" w:color="auto"/>
        <w:right w:val="none" w:sz="0" w:space="0" w:color="auto"/>
      </w:divBdr>
      <w:divsChild>
        <w:div w:id="1359162187">
          <w:marLeft w:val="0"/>
          <w:marRight w:val="0"/>
          <w:marTop w:val="0"/>
          <w:marBottom w:val="0"/>
          <w:divBdr>
            <w:top w:val="none" w:sz="0" w:space="0" w:color="auto"/>
            <w:left w:val="none" w:sz="0" w:space="0" w:color="auto"/>
            <w:bottom w:val="none" w:sz="0" w:space="0" w:color="auto"/>
            <w:right w:val="none" w:sz="0" w:space="0" w:color="auto"/>
          </w:divBdr>
        </w:div>
      </w:divsChild>
    </w:div>
    <w:div w:id="2072728102">
      <w:marLeft w:val="0"/>
      <w:marRight w:val="0"/>
      <w:marTop w:val="180"/>
      <w:marBottom w:val="240"/>
      <w:divBdr>
        <w:top w:val="none" w:sz="0" w:space="0" w:color="auto"/>
        <w:left w:val="none" w:sz="0" w:space="0" w:color="auto"/>
        <w:bottom w:val="none" w:sz="0" w:space="0" w:color="auto"/>
        <w:right w:val="none" w:sz="0" w:space="0" w:color="auto"/>
      </w:divBdr>
    </w:div>
    <w:div w:id="2073693924">
      <w:marLeft w:val="0"/>
      <w:marRight w:val="0"/>
      <w:marTop w:val="180"/>
      <w:marBottom w:val="12"/>
      <w:divBdr>
        <w:top w:val="none" w:sz="0" w:space="0" w:color="auto"/>
        <w:left w:val="none" w:sz="0" w:space="0" w:color="auto"/>
        <w:bottom w:val="none" w:sz="0" w:space="0" w:color="auto"/>
        <w:right w:val="none" w:sz="0" w:space="0" w:color="auto"/>
      </w:divBdr>
    </w:div>
    <w:div w:id="2074424255">
      <w:marLeft w:val="0"/>
      <w:marRight w:val="0"/>
      <w:marTop w:val="0"/>
      <w:marBottom w:val="0"/>
      <w:divBdr>
        <w:top w:val="none" w:sz="0" w:space="0" w:color="auto"/>
        <w:left w:val="none" w:sz="0" w:space="0" w:color="auto"/>
        <w:bottom w:val="none" w:sz="0" w:space="0" w:color="auto"/>
        <w:right w:val="none" w:sz="0" w:space="0" w:color="auto"/>
      </w:divBdr>
      <w:divsChild>
        <w:div w:id="1435518210">
          <w:marLeft w:val="0"/>
          <w:marRight w:val="0"/>
          <w:marTop w:val="180"/>
          <w:marBottom w:val="0"/>
          <w:divBdr>
            <w:top w:val="none" w:sz="0" w:space="0" w:color="auto"/>
            <w:left w:val="none" w:sz="0" w:space="0" w:color="auto"/>
            <w:bottom w:val="none" w:sz="0" w:space="0" w:color="auto"/>
            <w:right w:val="none" w:sz="0" w:space="0" w:color="auto"/>
          </w:divBdr>
        </w:div>
      </w:divsChild>
    </w:div>
    <w:div w:id="2075735742">
      <w:marLeft w:val="0"/>
      <w:marRight w:val="0"/>
      <w:marTop w:val="60"/>
      <w:marBottom w:val="120"/>
      <w:divBdr>
        <w:top w:val="none" w:sz="0" w:space="0" w:color="auto"/>
        <w:left w:val="none" w:sz="0" w:space="0" w:color="auto"/>
        <w:bottom w:val="none" w:sz="0" w:space="0" w:color="auto"/>
        <w:right w:val="none" w:sz="0" w:space="0" w:color="auto"/>
      </w:divBdr>
      <w:divsChild>
        <w:div w:id="2121408294">
          <w:marLeft w:val="0"/>
          <w:marRight w:val="0"/>
          <w:marTop w:val="0"/>
          <w:marBottom w:val="0"/>
          <w:divBdr>
            <w:top w:val="none" w:sz="0" w:space="0" w:color="auto"/>
            <w:left w:val="none" w:sz="0" w:space="0" w:color="auto"/>
            <w:bottom w:val="none" w:sz="0" w:space="0" w:color="auto"/>
            <w:right w:val="none" w:sz="0" w:space="0" w:color="auto"/>
          </w:divBdr>
        </w:div>
      </w:divsChild>
    </w:div>
    <w:div w:id="2076315994">
      <w:marLeft w:val="0"/>
      <w:marRight w:val="0"/>
      <w:marTop w:val="0"/>
      <w:marBottom w:val="0"/>
      <w:divBdr>
        <w:top w:val="none" w:sz="0" w:space="0" w:color="auto"/>
        <w:left w:val="none" w:sz="0" w:space="0" w:color="auto"/>
        <w:bottom w:val="none" w:sz="0" w:space="0" w:color="auto"/>
        <w:right w:val="none" w:sz="0" w:space="0" w:color="auto"/>
      </w:divBdr>
      <w:divsChild>
        <w:div w:id="669991664">
          <w:marLeft w:val="0"/>
          <w:marRight w:val="0"/>
          <w:marTop w:val="0"/>
          <w:marBottom w:val="0"/>
          <w:divBdr>
            <w:top w:val="none" w:sz="0" w:space="0" w:color="auto"/>
            <w:left w:val="none" w:sz="0" w:space="0" w:color="auto"/>
            <w:bottom w:val="none" w:sz="0" w:space="0" w:color="auto"/>
            <w:right w:val="none" w:sz="0" w:space="0" w:color="auto"/>
          </w:divBdr>
        </w:div>
      </w:divsChild>
    </w:div>
    <w:div w:id="2081245169">
      <w:marLeft w:val="0"/>
      <w:marRight w:val="0"/>
      <w:marTop w:val="0"/>
      <w:marBottom w:val="120"/>
      <w:divBdr>
        <w:top w:val="none" w:sz="0" w:space="0" w:color="auto"/>
        <w:left w:val="none" w:sz="0" w:space="0" w:color="auto"/>
        <w:bottom w:val="none" w:sz="0" w:space="0" w:color="auto"/>
        <w:right w:val="none" w:sz="0" w:space="0" w:color="auto"/>
      </w:divBdr>
      <w:divsChild>
        <w:div w:id="212625188">
          <w:marLeft w:val="0"/>
          <w:marRight w:val="0"/>
          <w:marTop w:val="0"/>
          <w:marBottom w:val="0"/>
          <w:divBdr>
            <w:top w:val="none" w:sz="0" w:space="0" w:color="auto"/>
            <w:left w:val="none" w:sz="0" w:space="0" w:color="auto"/>
            <w:bottom w:val="none" w:sz="0" w:space="0" w:color="auto"/>
            <w:right w:val="none" w:sz="0" w:space="0" w:color="auto"/>
          </w:divBdr>
        </w:div>
        <w:div w:id="2037341753">
          <w:marLeft w:val="0"/>
          <w:marRight w:val="0"/>
          <w:marTop w:val="0"/>
          <w:marBottom w:val="0"/>
          <w:divBdr>
            <w:top w:val="none" w:sz="0" w:space="0" w:color="auto"/>
            <w:left w:val="none" w:sz="0" w:space="0" w:color="auto"/>
            <w:bottom w:val="none" w:sz="0" w:space="0" w:color="auto"/>
            <w:right w:val="none" w:sz="0" w:space="0" w:color="auto"/>
          </w:divBdr>
        </w:div>
        <w:div w:id="1541432642">
          <w:marLeft w:val="0"/>
          <w:marRight w:val="0"/>
          <w:marTop w:val="0"/>
          <w:marBottom w:val="0"/>
          <w:divBdr>
            <w:top w:val="none" w:sz="0" w:space="0" w:color="auto"/>
            <w:left w:val="none" w:sz="0" w:space="0" w:color="auto"/>
            <w:bottom w:val="none" w:sz="0" w:space="0" w:color="auto"/>
            <w:right w:val="none" w:sz="0" w:space="0" w:color="auto"/>
          </w:divBdr>
        </w:div>
        <w:div w:id="982123687">
          <w:marLeft w:val="0"/>
          <w:marRight w:val="0"/>
          <w:marTop w:val="0"/>
          <w:marBottom w:val="0"/>
          <w:divBdr>
            <w:top w:val="none" w:sz="0" w:space="0" w:color="auto"/>
            <w:left w:val="none" w:sz="0" w:space="0" w:color="auto"/>
            <w:bottom w:val="none" w:sz="0" w:space="0" w:color="auto"/>
            <w:right w:val="none" w:sz="0" w:space="0" w:color="auto"/>
          </w:divBdr>
        </w:div>
        <w:div w:id="263811358">
          <w:marLeft w:val="0"/>
          <w:marRight w:val="0"/>
          <w:marTop w:val="0"/>
          <w:marBottom w:val="0"/>
          <w:divBdr>
            <w:top w:val="none" w:sz="0" w:space="0" w:color="auto"/>
            <w:left w:val="none" w:sz="0" w:space="0" w:color="auto"/>
            <w:bottom w:val="none" w:sz="0" w:space="0" w:color="auto"/>
            <w:right w:val="none" w:sz="0" w:space="0" w:color="auto"/>
          </w:divBdr>
        </w:div>
        <w:div w:id="1060399802">
          <w:marLeft w:val="0"/>
          <w:marRight w:val="0"/>
          <w:marTop w:val="0"/>
          <w:marBottom w:val="0"/>
          <w:divBdr>
            <w:top w:val="none" w:sz="0" w:space="0" w:color="auto"/>
            <w:left w:val="none" w:sz="0" w:space="0" w:color="auto"/>
            <w:bottom w:val="none" w:sz="0" w:space="0" w:color="auto"/>
            <w:right w:val="none" w:sz="0" w:space="0" w:color="auto"/>
          </w:divBdr>
        </w:div>
        <w:div w:id="353969768">
          <w:marLeft w:val="0"/>
          <w:marRight w:val="0"/>
          <w:marTop w:val="0"/>
          <w:marBottom w:val="0"/>
          <w:divBdr>
            <w:top w:val="none" w:sz="0" w:space="0" w:color="auto"/>
            <w:left w:val="none" w:sz="0" w:space="0" w:color="auto"/>
            <w:bottom w:val="none" w:sz="0" w:space="0" w:color="auto"/>
            <w:right w:val="none" w:sz="0" w:space="0" w:color="auto"/>
          </w:divBdr>
        </w:div>
        <w:div w:id="2098404079">
          <w:marLeft w:val="0"/>
          <w:marRight w:val="0"/>
          <w:marTop w:val="0"/>
          <w:marBottom w:val="0"/>
          <w:divBdr>
            <w:top w:val="none" w:sz="0" w:space="0" w:color="auto"/>
            <w:left w:val="none" w:sz="0" w:space="0" w:color="auto"/>
            <w:bottom w:val="none" w:sz="0" w:space="0" w:color="auto"/>
            <w:right w:val="none" w:sz="0" w:space="0" w:color="auto"/>
          </w:divBdr>
        </w:div>
        <w:div w:id="1347903237">
          <w:marLeft w:val="0"/>
          <w:marRight w:val="0"/>
          <w:marTop w:val="0"/>
          <w:marBottom w:val="0"/>
          <w:divBdr>
            <w:top w:val="none" w:sz="0" w:space="0" w:color="auto"/>
            <w:left w:val="none" w:sz="0" w:space="0" w:color="auto"/>
            <w:bottom w:val="none" w:sz="0" w:space="0" w:color="auto"/>
            <w:right w:val="none" w:sz="0" w:space="0" w:color="auto"/>
          </w:divBdr>
        </w:div>
      </w:divsChild>
    </w:div>
    <w:div w:id="2082754204">
      <w:marLeft w:val="0"/>
      <w:marRight w:val="0"/>
      <w:marTop w:val="180"/>
      <w:marBottom w:val="0"/>
      <w:divBdr>
        <w:top w:val="none" w:sz="0" w:space="0" w:color="auto"/>
        <w:left w:val="none" w:sz="0" w:space="0" w:color="auto"/>
        <w:bottom w:val="none" w:sz="0" w:space="0" w:color="auto"/>
        <w:right w:val="none" w:sz="0" w:space="0" w:color="auto"/>
      </w:divBdr>
    </w:div>
    <w:div w:id="2083067358">
      <w:marLeft w:val="0"/>
      <w:marRight w:val="0"/>
      <w:marTop w:val="180"/>
      <w:marBottom w:val="0"/>
      <w:divBdr>
        <w:top w:val="none" w:sz="0" w:space="0" w:color="auto"/>
        <w:left w:val="none" w:sz="0" w:space="0" w:color="auto"/>
        <w:bottom w:val="none" w:sz="0" w:space="0" w:color="auto"/>
        <w:right w:val="none" w:sz="0" w:space="0" w:color="auto"/>
      </w:divBdr>
    </w:div>
    <w:div w:id="2084178931">
      <w:marLeft w:val="0"/>
      <w:marRight w:val="0"/>
      <w:marTop w:val="0"/>
      <w:marBottom w:val="0"/>
      <w:divBdr>
        <w:top w:val="none" w:sz="0" w:space="0" w:color="auto"/>
        <w:left w:val="none" w:sz="0" w:space="0" w:color="auto"/>
        <w:bottom w:val="none" w:sz="0" w:space="0" w:color="auto"/>
        <w:right w:val="none" w:sz="0" w:space="0" w:color="auto"/>
      </w:divBdr>
      <w:divsChild>
        <w:div w:id="101075476">
          <w:marLeft w:val="0"/>
          <w:marRight w:val="0"/>
          <w:marTop w:val="180"/>
          <w:marBottom w:val="0"/>
          <w:divBdr>
            <w:top w:val="none" w:sz="0" w:space="0" w:color="auto"/>
            <w:left w:val="none" w:sz="0" w:space="0" w:color="auto"/>
            <w:bottom w:val="none" w:sz="0" w:space="0" w:color="auto"/>
            <w:right w:val="none" w:sz="0" w:space="0" w:color="auto"/>
          </w:divBdr>
        </w:div>
      </w:divsChild>
    </w:div>
    <w:div w:id="2085031392">
      <w:marLeft w:val="0"/>
      <w:marRight w:val="0"/>
      <w:marTop w:val="180"/>
      <w:marBottom w:val="0"/>
      <w:divBdr>
        <w:top w:val="none" w:sz="0" w:space="0" w:color="auto"/>
        <w:left w:val="none" w:sz="0" w:space="0" w:color="auto"/>
        <w:bottom w:val="none" w:sz="0" w:space="0" w:color="auto"/>
        <w:right w:val="none" w:sz="0" w:space="0" w:color="auto"/>
      </w:divBdr>
    </w:div>
    <w:div w:id="2085495206">
      <w:marLeft w:val="0"/>
      <w:marRight w:val="0"/>
      <w:marTop w:val="180"/>
      <w:marBottom w:val="0"/>
      <w:divBdr>
        <w:top w:val="none" w:sz="0" w:space="0" w:color="auto"/>
        <w:left w:val="none" w:sz="0" w:space="0" w:color="auto"/>
        <w:bottom w:val="none" w:sz="0" w:space="0" w:color="auto"/>
        <w:right w:val="none" w:sz="0" w:space="0" w:color="auto"/>
      </w:divBdr>
    </w:div>
    <w:div w:id="2086412053">
      <w:marLeft w:val="0"/>
      <w:marRight w:val="0"/>
      <w:marTop w:val="60"/>
      <w:marBottom w:val="0"/>
      <w:divBdr>
        <w:top w:val="none" w:sz="0" w:space="0" w:color="auto"/>
        <w:left w:val="none" w:sz="0" w:space="0" w:color="auto"/>
        <w:bottom w:val="none" w:sz="0" w:space="0" w:color="auto"/>
        <w:right w:val="none" w:sz="0" w:space="0" w:color="auto"/>
      </w:divBdr>
    </w:div>
    <w:div w:id="2088459150">
      <w:marLeft w:val="0"/>
      <w:marRight w:val="0"/>
      <w:marTop w:val="180"/>
      <w:marBottom w:val="0"/>
      <w:divBdr>
        <w:top w:val="none" w:sz="0" w:space="0" w:color="auto"/>
        <w:left w:val="none" w:sz="0" w:space="0" w:color="auto"/>
        <w:bottom w:val="none" w:sz="0" w:space="0" w:color="auto"/>
        <w:right w:val="none" w:sz="0" w:space="0" w:color="auto"/>
      </w:divBdr>
    </w:div>
    <w:div w:id="2089224109">
      <w:marLeft w:val="0"/>
      <w:marRight w:val="0"/>
      <w:marTop w:val="180"/>
      <w:marBottom w:val="0"/>
      <w:divBdr>
        <w:top w:val="none" w:sz="0" w:space="0" w:color="auto"/>
        <w:left w:val="none" w:sz="0" w:space="0" w:color="auto"/>
        <w:bottom w:val="none" w:sz="0" w:space="0" w:color="auto"/>
        <w:right w:val="none" w:sz="0" w:space="0" w:color="auto"/>
      </w:divBdr>
    </w:div>
    <w:div w:id="2090761071">
      <w:marLeft w:val="0"/>
      <w:marRight w:val="0"/>
      <w:marTop w:val="180"/>
      <w:marBottom w:val="0"/>
      <w:divBdr>
        <w:top w:val="none" w:sz="0" w:space="0" w:color="auto"/>
        <w:left w:val="none" w:sz="0" w:space="0" w:color="auto"/>
        <w:bottom w:val="none" w:sz="0" w:space="0" w:color="auto"/>
        <w:right w:val="none" w:sz="0" w:space="0" w:color="auto"/>
      </w:divBdr>
    </w:div>
    <w:div w:id="2091003590">
      <w:marLeft w:val="0"/>
      <w:marRight w:val="0"/>
      <w:marTop w:val="120"/>
      <w:marBottom w:val="0"/>
      <w:divBdr>
        <w:top w:val="none" w:sz="0" w:space="0" w:color="auto"/>
        <w:left w:val="none" w:sz="0" w:space="0" w:color="auto"/>
        <w:bottom w:val="none" w:sz="0" w:space="0" w:color="auto"/>
        <w:right w:val="none" w:sz="0" w:space="0" w:color="auto"/>
      </w:divBdr>
    </w:div>
    <w:div w:id="2091350190">
      <w:marLeft w:val="0"/>
      <w:marRight w:val="0"/>
      <w:marTop w:val="180"/>
      <w:marBottom w:val="60"/>
      <w:divBdr>
        <w:top w:val="none" w:sz="0" w:space="0" w:color="auto"/>
        <w:left w:val="none" w:sz="0" w:space="0" w:color="auto"/>
        <w:bottom w:val="none" w:sz="0" w:space="0" w:color="auto"/>
        <w:right w:val="none" w:sz="0" w:space="0" w:color="auto"/>
      </w:divBdr>
    </w:div>
    <w:div w:id="2091656823">
      <w:marLeft w:val="0"/>
      <w:marRight w:val="0"/>
      <w:marTop w:val="180"/>
      <w:marBottom w:val="0"/>
      <w:divBdr>
        <w:top w:val="none" w:sz="0" w:space="0" w:color="auto"/>
        <w:left w:val="none" w:sz="0" w:space="0" w:color="auto"/>
        <w:bottom w:val="none" w:sz="0" w:space="0" w:color="auto"/>
        <w:right w:val="none" w:sz="0" w:space="0" w:color="auto"/>
      </w:divBdr>
    </w:div>
    <w:div w:id="2094619989">
      <w:marLeft w:val="0"/>
      <w:marRight w:val="0"/>
      <w:marTop w:val="180"/>
      <w:marBottom w:val="0"/>
      <w:divBdr>
        <w:top w:val="none" w:sz="0" w:space="0" w:color="auto"/>
        <w:left w:val="none" w:sz="0" w:space="0" w:color="auto"/>
        <w:bottom w:val="none" w:sz="0" w:space="0" w:color="auto"/>
        <w:right w:val="none" w:sz="0" w:space="0" w:color="auto"/>
      </w:divBdr>
    </w:div>
    <w:div w:id="2096171241">
      <w:marLeft w:val="0"/>
      <w:marRight w:val="0"/>
      <w:marTop w:val="0"/>
      <w:marBottom w:val="200"/>
      <w:divBdr>
        <w:top w:val="none" w:sz="0" w:space="0" w:color="auto"/>
        <w:left w:val="none" w:sz="0" w:space="0" w:color="auto"/>
        <w:bottom w:val="none" w:sz="0" w:space="0" w:color="auto"/>
        <w:right w:val="none" w:sz="0" w:space="0" w:color="auto"/>
      </w:divBdr>
    </w:div>
    <w:div w:id="2097434409">
      <w:marLeft w:val="0"/>
      <w:marRight w:val="0"/>
      <w:marTop w:val="180"/>
      <w:marBottom w:val="0"/>
      <w:divBdr>
        <w:top w:val="none" w:sz="0" w:space="0" w:color="auto"/>
        <w:left w:val="none" w:sz="0" w:space="0" w:color="auto"/>
        <w:bottom w:val="none" w:sz="0" w:space="0" w:color="auto"/>
        <w:right w:val="none" w:sz="0" w:space="0" w:color="auto"/>
      </w:divBdr>
    </w:div>
    <w:div w:id="2097436064">
      <w:marLeft w:val="0"/>
      <w:marRight w:val="0"/>
      <w:marTop w:val="180"/>
      <w:marBottom w:val="0"/>
      <w:divBdr>
        <w:top w:val="none" w:sz="0" w:space="0" w:color="auto"/>
        <w:left w:val="none" w:sz="0" w:space="0" w:color="auto"/>
        <w:bottom w:val="none" w:sz="0" w:space="0" w:color="auto"/>
        <w:right w:val="none" w:sz="0" w:space="0" w:color="auto"/>
      </w:divBdr>
    </w:div>
    <w:div w:id="2100829828">
      <w:marLeft w:val="0"/>
      <w:marRight w:val="0"/>
      <w:marTop w:val="180"/>
      <w:marBottom w:val="0"/>
      <w:divBdr>
        <w:top w:val="none" w:sz="0" w:space="0" w:color="auto"/>
        <w:left w:val="none" w:sz="0" w:space="0" w:color="auto"/>
        <w:bottom w:val="none" w:sz="0" w:space="0" w:color="auto"/>
        <w:right w:val="none" w:sz="0" w:space="0" w:color="auto"/>
      </w:divBdr>
    </w:div>
    <w:div w:id="2100907138">
      <w:marLeft w:val="0"/>
      <w:marRight w:val="0"/>
      <w:marTop w:val="180"/>
      <w:marBottom w:val="0"/>
      <w:divBdr>
        <w:top w:val="none" w:sz="0" w:space="0" w:color="auto"/>
        <w:left w:val="none" w:sz="0" w:space="0" w:color="auto"/>
        <w:bottom w:val="none" w:sz="0" w:space="0" w:color="auto"/>
        <w:right w:val="none" w:sz="0" w:space="0" w:color="auto"/>
      </w:divBdr>
    </w:div>
    <w:div w:id="2104256877">
      <w:marLeft w:val="0"/>
      <w:marRight w:val="0"/>
      <w:marTop w:val="0"/>
      <w:marBottom w:val="120"/>
      <w:divBdr>
        <w:top w:val="none" w:sz="0" w:space="0" w:color="auto"/>
        <w:left w:val="none" w:sz="0" w:space="0" w:color="auto"/>
        <w:bottom w:val="none" w:sz="0" w:space="0" w:color="auto"/>
        <w:right w:val="none" w:sz="0" w:space="0" w:color="auto"/>
      </w:divBdr>
    </w:div>
    <w:div w:id="2105179639">
      <w:marLeft w:val="0"/>
      <w:marRight w:val="0"/>
      <w:marTop w:val="0"/>
      <w:marBottom w:val="0"/>
      <w:divBdr>
        <w:top w:val="none" w:sz="0" w:space="0" w:color="auto"/>
        <w:left w:val="none" w:sz="0" w:space="0" w:color="auto"/>
        <w:bottom w:val="none" w:sz="0" w:space="0" w:color="auto"/>
        <w:right w:val="none" w:sz="0" w:space="0" w:color="auto"/>
      </w:divBdr>
    </w:div>
    <w:div w:id="2106613639">
      <w:marLeft w:val="0"/>
      <w:marRight w:val="0"/>
      <w:marTop w:val="180"/>
      <w:marBottom w:val="0"/>
      <w:divBdr>
        <w:top w:val="none" w:sz="0" w:space="0" w:color="auto"/>
        <w:left w:val="none" w:sz="0" w:space="0" w:color="auto"/>
        <w:bottom w:val="none" w:sz="0" w:space="0" w:color="auto"/>
        <w:right w:val="none" w:sz="0" w:space="0" w:color="auto"/>
      </w:divBdr>
    </w:div>
    <w:div w:id="2107655170">
      <w:marLeft w:val="0"/>
      <w:marRight w:val="0"/>
      <w:marTop w:val="300"/>
      <w:marBottom w:val="0"/>
      <w:divBdr>
        <w:top w:val="none" w:sz="0" w:space="0" w:color="auto"/>
        <w:left w:val="none" w:sz="0" w:space="0" w:color="auto"/>
        <w:bottom w:val="none" w:sz="0" w:space="0" w:color="auto"/>
        <w:right w:val="none" w:sz="0" w:space="0" w:color="auto"/>
      </w:divBdr>
    </w:div>
    <w:div w:id="2111578589">
      <w:marLeft w:val="0"/>
      <w:marRight w:val="0"/>
      <w:marTop w:val="180"/>
      <w:marBottom w:val="0"/>
      <w:divBdr>
        <w:top w:val="none" w:sz="0" w:space="0" w:color="auto"/>
        <w:left w:val="none" w:sz="0" w:space="0" w:color="auto"/>
        <w:bottom w:val="none" w:sz="0" w:space="0" w:color="auto"/>
        <w:right w:val="none" w:sz="0" w:space="0" w:color="auto"/>
      </w:divBdr>
    </w:div>
    <w:div w:id="2112508872">
      <w:marLeft w:val="0"/>
      <w:marRight w:val="0"/>
      <w:marTop w:val="0"/>
      <w:marBottom w:val="0"/>
      <w:divBdr>
        <w:top w:val="none" w:sz="0" w:space="0" w:color="auto"/>
        <w:left w:val="none" w:sz="0" w:space="0" w:color="auto"/>
        <w:bottom w:val="none" w:sz="0" w:space="0" w:color="auto"/>
        <w:right w:val="none" w:sz="0" w:space="0" w:color="auto"/>
      </w:divBdr>
      <w:divsChild>
        <w:div w:id="1453982310">
          <w:marLeft w:val="0"/>
          <w:marRight w:val="0"/>
          <w:marTop w:val="0"/>
          <w:marBottom w:val="0"/>
          <w:divBdr>
            <w:top w:val="none" w:sz="0" w:space="0" w:color="auto"/>
            <w:left w:val="none" w:sz="0" w:space="0" w:color="auto"/>
            <w:bottom w:val="none" w:sz="0" w:space="0" w:color="auto"/>
            <w:right w:val="none" w:sz="0" w:space="0" w:color="auto"/>
          </w:divBdr>
        </w:div>
      </w:divsChild>
    </w:div>
    <w:div w:id="2113470883">
      <w:marLeft w:val="0"/>
      <w:marRight w:val="0"/>
      <w:marTop w:val="180"/>
      <w:marBottom w:val="0"/>
      <w:divBdr>
        <w:top w:val="none" w:sz="0" w:space="0" w:color="auto"/>
        <w:left w:val="none" w:sz="0" w:space="0" w:color="auto"/>
        <w:bottom w:val="none" w:sz="0" w:space="0" w:color="auto"/>
        <w:right w:val="none" w:sz="0" w:space="0" w:color="auto"/>
      </w:divBdr>
    </w:div>
    <w:div w:id="2115784499">
      <w:marLeft w:val="0"/>
      <w:marRight w:val="0"/>
      <w:marTop w:val="180"/>
      <w:marBottom w:val="240"/>
      <w:divBdr>
        <w:top w:val="none" w:sz="0" w:space="0" w:color="auto"/>
        <w:left w:val="none" w:sz="0" w:space="0" w:color="auto"/>
        <w:bottom w:val="none" w:sz="0" w:space="0" w:color="auto"/>
        <w:right w:val="none" w:sz="0" w:space="0" w:color="auto"/>
      </w:divBdr>
    </w:div>
    <w:div w:id="2119518785">
      <w:marLeft w:val="0"/>
      <w:marRight w:val="0"/>
      <w:marTop w:val="0"/>
      <w:marBottom w:val="0"/>
      <w:divBdr>
        <w:top w:val="none" w:sz="0" w:space="0" w:color="auto"/>
        <w:left w:val="none" w:sz="0" w:space="0" w:color="auto"/>
        <w:bottom w:val="none" w:sz="0" w:space="0" w:color="auto"/>
        <w:right w:val="none" w:sz="0" w:space="0" w:color="auto"/>
      </w:divBdr>
      <w:divsChild>
        <w:div w:id="1317144446">
          <w:marLeft w:val="0"/>
          <w:marRight w:val="0"/>
          <w:marTop w:val="0"/>
          <w:marBottom w:val="0"/>
          <w:divBdr>
            <w:top w:val="none" w:sz="0" w:space="0" w:color="auto"/>
            <w:left w:val="none" w:sz="0" w:space="0" w:color="auto"/>
            <w:bottom w:val="none" w:sz="0" w:space="0" w:color="auto"/>
            <w:right w:val="none" w:sz="0" w:space="0" w:color="auto"/>
          </w:divBdr>
        </w:div>
      </w:divsChild>
    </w:div>
    <w:div w:id="2123841440">
      <w:marLeft w:val="0"/>
      <w:marRight w:val="0"/>
      <w:marTop w:val="180"/>
      <w:marBottom w:val="0"/>
      <w:divBdr>
        <w:top w:val="none" w:sz="0" w:space="0" w:color="auto"/>
        <w:left w:val="none" w:sz="0" w:space="0" w:color="auto"/>
        <w:bottom w:val="none" w:sz="0" w:space="0" w:color="auto"/>
        <w:right w:val="none" w:sz="0" w:space="0" w:color="auto"/>
      </w:divBdr>
    </w:div>
    <w:div w:id="2124419341">
      <w:marLeft w:val="0"/>
      <w:marRight w:val="0"/>
      <w:marTop w:val="0"/>
      <w:marBottom w:val="0"/>
      <w:divBdr>
        <w:top w:val="none" w:sz="0" w:space="0" w:color="auto"/>
        <w:left w:val="none" w:sz="0" w:space="0" w:color="auto"/>
        <w:bottom w:val="none" w:sz="0" w:space="0" w:color="auto"/>
        <w:right w:val="none" w:sz="0" w:space="0" w:color="auto"/>
      </w:divBdr>
      <w:divsChild>
        <w:div w:id="408384910">
          <w:marLeft w:val="0"/>
          <w:marRight w:val="0"/>
          <w:marTop w:val="0"/>
          <w:marBottom w:val="0"/>
          <w:divBdr>
            <w:top w:val="none" w:sz="0" w:space="0" w:color="auto"/>
            <w:left w:val="none" w:sz="0" w:space="0" w:color="auto"/>
            <w:bottom w:val="none" w:sz="0" w:space="0" w:color="auto"/>
            <w:right w:val="none" w:sz="0" w:space="0" w:color="auto"/>
          </w:divBdr>
        </w:div>
      </w:divsChild>
    </w:div>
    <w:div w:id="2125541929">
      <w:marLeft w:val="0"/>
      <w:marRight w:val="0"/>
      <w:marTop w:val="0"/>
      <w:marBottom w:val="120"/>
      <w:divBdr>
        <w:top w:val="none" w:sz="0" w:space="0" w:color="auto"/>
        <w:left w:val="none" w:sz="0" w:space="0" w:color="auto"/>
        <w:bottom w:val="none" w:sz="0" w:space="0" w:color="auto"/>
        <w:right w:val="none" w:sz="0" w:space="0" w:color="auto"/>
      </w:divBdr>
    </w:div>
    <w:div w:id="2132551658">
      <w:marLeft w:val="0"/>
      <w:marRight w:val="0"/>
      <w:marTop w:val="0"/>
      <w:marBottom w:val="0"/>
      <w:divBdr>
        <w:top w:val="none" w:sz="0" w:space="0" w:color="auto"/>
        <w:left w:val="none" w:sz="0" w:space="0" w:color="auto"/>
        <w:bottom w:val="none" w:sz="0" w:space="0" w:color="auto"/>
        <w:right w:val="none" w:sz="0" w:space="0" w:color="auto"/>
      </w:divBdr>
      <w:divsChild>
        <w:div w:id="748120421">
          <w:marLeft w:val="0"/>
          <w:marRight w:val="0"/>
          <w:marTop w:val="0"/>
          <w:marBottom w:val="0"/>
          <w:divBdr>
            <w:top w:val="none" w:sz="0" w:space="0" w:color="auto"/>
            <w:left w:val="none" w:sz="0" w:space="0" w:color="auto"/>
            <w:bottom w:val="none" w:sz="0" w:space="0" w:color="auto"/>
            <w:right w:val="none" w:sz="0" w:space="0" w:color="auto"/>
          </w:divBdr>
          <w:divsChild>
            <w:div w:id="7473891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4597104">
      <w:marLeft w:val="0"/>
      <w:marRight w:val="0"/>
      <w:marTop w:val="60"/>
      <w:marBottom w:val="120"/>
      <w:divBdr>
        <w:top w:val="none" w:sz="0" w:space="0" w:color="auto"/>
        <w:left w:val="none" w:sz="0" w:space="0" w:color="auto"/>
        <w:bottom w:val="none" w:sz="0" w:space="0" w:color="auto"/>
        <w:right w:val="none" w:sz="0" w:space="0" w:color="auto"/>
      </w:divBdr>
    </w:div>
    <w:div w:id="2136827781">
      <w:marLeft w:val="0"/>
      <w:marRight w:val="0"/>
      <w:marTop w:val="180"/>
      <w:marBottom w:val="0"/>
      <w:divBdr>
        <w:top w:val="none" w:sz="0" w:space="0" w:color="auto"/>
        <w:left w:val="none" w:sz="0" w:space="0" w:color="auto"/>
        <w:bottom w:val="none" w:sz="0" w:space="0" w:color="auto"/>
        <w:right w:val="none" w:sz="0" w:space="0" w:color="auto"/>
      </w:divBdr>
    </w:div>
    <w:div w:id="2137142685">
      <w:marLeft w:val="0"/>
      <w:marRight w:val="0"/>
      <w:marTop w:val="0"/>
      <w:marBottom w:val="0"/>
      <w:divBdr>
        <w:top w:val="none" w:sz="0" w:space="0" w:color="auto"/>
        <w:left w:val="none" w:sz="0" w:space="0" w:color="auto"/>
        <w:bottom w:val="none" w:sz="0" w:space="0" w:color="auto"/>
        <w:right w:val="none" w:sz="0" w:space="0" w:color="auto"/>
      </w:divBdr>
      <w:divsChild>
        <w:div w:id="1847357885">
          <w:marLeft w:val="0"/>
          <w:marRight w:val="0"/>
          <w:marTop w:val="0"/>
          <w:marBottom w:val="0"/>
          <w:divBdr>
            <w:top w:val="none" w:sz="0" w:space="0" w:color="auto"/>
            <w:left w:val="none" w:sz="0" w:space="0" w:color="auto"/>
            <w:bottom w:val="none" w:sz="0" w:space="0" w:color="auto"/>
            <w:right w:val="none" w:sz="0" w:space="0" w:color="auto"/>
          </w:divBdr>
          <w:divsChild>
            <w:div w:id="2366006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40802984">
      <w:marLeft w:val="0"/>
      <w:marRight w:val="0"/>
      <w:marTop w:val="180"/>
      <w:marBottom w:val="0"/>
      <w:divBdr>
        <w:top w:val="none" w:sz="0" w:space="0" w:color="auto"/>
        <w:left w:val="none" w:sz="0" w:space="0" w:color="auto"/>
        <w:bottom w:val="none" w:sz="0" w:space="0" w:color="auto"/>
        <w:right w:val="none" w:sz="0" w:space="0" w:color="auto"/>
      </w:divBdr>
    </w:div>
    <w:div w:id="2142922926">
      <w:marLeft w:val="0"/>
      <w:marRight w:val="0"/>
      <w:marTop w:val="160"/>
      <w:marBottom w:val="0"/>
      <w:divBdr>
        <w:top w:val="none" w:sz="0" w:space="0" w:color="auto"/>
        <w:left w:val="none" w:sz="0" w:space="0" w:color="auto"/>
        <w:bottom w:val="none" w:sz="0" w:space="0" w:color="auto"/>
        <w:right w:val="none" w:sz="0" w:space="0" w:color="auto"/>
      </w:divBdr>
    </w:div>
    <w:div w:id="2143575053">
      <w:marLeft w:val="0"/>
      <w:marRight w:val="0"/>
      <w:marTop w:val="180"/>
      <w:marBottom w:val="0"/>
      <w:divBdr>
        <w:top w:val="none" w:sz="0" w:space="0" w:color="auto"/>
        <w:left w:val="none" w:sz="0" w:space="0" w:color="auto"/>
        <w:bottom w:val="none" w:sz="0" w:space="0" w:color="auto"/>
        <w:right w:val="none" w:sz="0" w:space="0" w:color="auto"/>
      </w:divBdr>
    </w:div>
    <w:div w:id="2144539705">
      <w:marLeft w:val="0"/>
      <w:marRight w:val="0"/>
      <w:marTop w:val="180"/>
      <w:marBottom w:val="0"/>
      <w:divBdr>
        <w:top w:val="none" w:sz="0" w:space="0" w:color="auto"/>
        <w:left w:val="none" w:sz="0" w:space="0" w:color="auto"/>
        <w:bottom w:val="none" w:sz="0" w:space="0" w:color="auto"/>
        <w:right w:val="none" w:sz="0" w:space="0" w:color="auto"/>
      </w:divBdr>
    </w:div>
    <w:div w:id="2146926160">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771497/000095013406017513/f23539exv10w1.htm" TargetMode="External"/><Relationship Id="rId21" Type="http://schemas.openxmlformats.org/officeDocument/2006/relationships/hyperlink" Target="http://www.sec.gov/Archives/edgar/data/771497/000162828017012508/exhibit103103117.htm" TargetMode="External"/><Relationship Id="rId34" Type="http://schemas.openxmlformats.org/officeDocument/2006/relationships/hyperlink" Target="abm10312020ex1016.htm" TargetMode="External"/><Relationship Id="rId42" Type="http://schemas.openxmlformats.org/officeDocument/2006/relationships/hyperlink" Target="https://www.sec.gov/Archives/edgar/data/771497/000162828019015259/abm10312019ex1019.htm" TargetMode="External"/><Relationship Id="rId47" Type="http://schemas.openxmlformats.org/officeDocument/2006/relationships/hyperlink" Target="http://www.sec.gov/Archives/edgar/data/771497/000095012311023988/c12908exv10w1.htm" TargetMode="External"/><Relationship Id="rId50" Type="http://schemas.openxmlformats.org/officeDocument/2006/relationships/hyperlink" Target="http://www.sec.gov/Archives/edgar/data/771497/000162828018002860/abm1312018ex101.htm" TargetMode="External"/><Relationship Id="rId55" Type="http://schemas.openxmlformats.org/officeDocument/2006/relationships/hyperlink" Target="http://www.sec.gov/Archives/edgar/data/771497/000162828018002860/abm1312018ex104.htm" TargetMode="External"/><Relationship Id="rId63" Type="http://schemas.openxmlformats.org/officeDocument/2006/relationships/hyperlink" Target="abm10312020ex321.htm" TargetMode="External"/><Relationship Id="rId7" Type="http://schemas.openxmlformats.org/officeDocument/2006/relationships/image" Target="file:///E:\projects\LLMs\new_data_collection\data_new\htm\ABM%20INDUSTRIES%20INC%20DE\abm-20201031_g4.jpg" TargetMode="External"/><Relationship Id="rId2" Type="http://schemas.openxmlformats.org/officeDocument/2006/relationships/settings" Target="settings.xml"/><Relationship Id="rId16" Type="http://schemas.openxmlformats.org/officeDocument/2006/relationships/hyperlink" Target="https://www.sec.gov/Archives/edgar/data/771497/000110465920039488/tm2014024d1_ex3-1.htm" TargetMode="External"/><Relationship Id="rId29" Type="http://schemas.openxmlformats.org/officeDocument/2006/relationships/hyperlink" Target="http://www.sec.gov/Archives/edgar/data/771497/000095012308010739/y71046exv10w6.htm" TargetMode="External"/><Relationship Id="rId11" Type="http://schemas.openxmlformats.org/officeDocument/2006/relationships/image" Target="file:///E:\projects\LLMs\new_data_collection\data_new\htm\ABM%20INDUSTRIES%20INC%20DE\abm-20201031_g8.jpg" TargetMode="External"/><Relationship Id="rId24" Type="http://schemas.openxmlformats.org/officeDocument/2006/relationships/hyperlink" Target="https://www.sec.gov/Archives/edgar/data/771497/000162828020009677/abm4302020ex101.htm" TargetMode="External"/><Relationship Id="rId32" Type="http://schemas.openxmlformats.org/officeDocument/2006/relationships/hyperlink" Target="http://www.sec.gov/Archives/edgar/data/771497/000162828015004719/abm4302015ex102.htm" TargetMode="External"/><Relationship Id="rId37" Type="http://schemas.openxmlformats.org/officeDocument/2006/relationships/hyperlink" Target="http://www.sec.gov/Archives/edgar/data/771497/000162828015004719/abm4302015ex103.htm" TargetMode="External"/><Relationship Id="rId40" Type="http://schemas.openxmlformats.org/officeDocument/2006/relationships/hyperlink" Target="http://www.sec.gov/Archives/edgar/data/771497/000095012310055999/c00586exv10w4.htm" TargetMode="External"/><Relationship Id="rId45" Type="http://schemas.openxmlformats.org/officeDocument/2006/relationships/hyperlink" Target="http://www.sec.gov/Archives/edgar/data/771497/000095012308010739/y71046exv10w4.htm" TargetMode="External"/><Relationship Id="rId53" Type="http://schemas.openxmlformats.org/officeDocument/2006/relationships/hyperlink" Target="http://www.sec.gov/Archives/edgar/data/771497/000162828017012508/exhibit103410312017.htm" TargetMode="External"/><Relationship Id="rId58" Type="http://schemas.openxmlformats.org/officeDocument/2006/relationships/hyperlink" Target="https://www.sec.gov/Archives/edgar/data/771497/000162828019015259/abm10312019ex1035.htm" TargetMode="External"/><Relationship Id="rId5" Type="http://schemas.openxmlformats.org/officeDocument/2006/relationships/image" Target="file:///E:\projects\LLMs\new_data_collection\data_new\htm\ABM%20INDUSTRIES%20INC%20DE\abm-20201031_g2.jpg" TargetMode="External"/><Relationship Id="rId61" Type="http://schemas.openxmlformats.org/officeDocument/2006/relationships/hyperlink" Target="abm10312020ex311.htm" TargetMode="External"/><Relationship Id="rId19" Type="http://schemas.openxmlformats.org/officeDocument/2006/relationships/hyperlink" Target="http://www.sec.gov/Archives/edgar/data/771497/000157104917007803/t1702518_ex10-1.htm" TargetMode="External"/><Relationship Id="rId14" Type="http://schemas.openxmlformats.org/officeDocument/2006/relationships/hyperlink" Target="http://www.sec.gov/Archives/edgar/data/771497/000114420418015512/tv488684_ex1-1.htm" TargetMode="External"/><Relationship Id="rId22" Type="http://schemas.openxmlformats.org/officeDocument/2006/relationships/hyperlink" Target="http://www.sec.gov/Archives/edgar/data/771497/000162828018011684/abm7312018ex101.htm" TargetMode="External"/><Relationship Id="rId27" Type="http://schemas.openxmlformats.org/officeDocument/2006/relationships/hyperlink" Target="http://www.sec.gov/Archives/edgar/data/771497/000095012310116105/y87222exv10w7.htm" TargetMode="External"/><Relationship Id="rId30" Type="http://schemas.openxmlformats.org/officeDocument/2006/relationships/hyperlink" Target="http://www.sec.gov/Archives/edgar/data/771497/000114420418013607/tv488007_ex10-1.htm" TargetMode="External"/><Relationship Id="rId35" Type="http://schemas.openxmlformats.org/officeDocument/2006/relationships/hyperlink" Target="abm10312020ex1017.htm" TargetMode="External"/><Relationship Id="rId43" Type="http://schemas.openxmlformats.org/officeDocument/2006/relationships/hyperlink" Target="http://www.sec.gov/Archives/edgar/data/771497/000119312512382523/d383898dex101.htm" TargetMode="External"/><Relationship Id="rId48" Type="http://schemas.openxmlformats.org/officeDocument/2006/relationships/hyperlink" Target="http://www.sec.gov/Archives/edgar/data/771497/000162828017012508/exhibit102810312017.htm" TargetMode="External"/><Relationship Id="rId56" Type="http://schemas.openxmlformats.org/officeDocument/2006/relationships/hyperlink" Target="http://www.sec.gov/Archives/edgar/data/771497/000162828019002600/abm1312019ex101.htm" TargetMode="External"/><Relationship Id="rId64" Type="http://schemas.openxmlformats.org/officeDocument/2006/relationships/fontTable" Target="fontTable.xml"/><Relationship Id="rId8" Type="http://schemas.openxmlformats.org/officeDocument/2006/relationships/image" Target="file:///E:\projects\LLMs\new_data_collection\data_new\htm\ABM%20INDUSTRIES%20INC%20DE\abm-20201031_g5.jpg" TargetMode="External"/><Relationship Id="rId51" Type="http://schemas.openxmlformats.org/officeDocument/2006/relationships/hyperlink" Target="http://www.sec.gov/Archives/edgar/data/771497/000162828018002860/abm1312018ex102.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ABM%20INDUSTRIES%20INC%20DE\abm-20201031_g9.jpg" TargetMode="External"/><Relationship Id="rId17" Type="http://schemas.openxmlformats.org/officeDocument/2006/relationships/hyperlink" Target="https://www.sec.gov/Archives/edgar/data/771497/000110465920039488/tm2014024d1_ex3-2.htm" TargetMode="External"/><Relationship Id="rId25" Type="http://schemas.openxmlformats.org/officeDocument/2006/relationships/hyperlink" Target="http://www.sec.gov/Archives/edgar/data/771497/000095013405000777/f04468exv10w17.htm" TargetMode="External"/><Relationship Id="rId33" Type="http://schemas.openxmlformats.org/officeDocument/2006/relationships/hyperlink" Target="https://www.sec.gov/Archives/edgar/data/771497/000162828020003032/abm1312020ex101.htm" TargetMode="External"/><Relationship Id="rId38" Type="http://schemas.openxmlformats.org/officeDocument/2006/relationships/hyperlink" Target="https://www.sec.gov/Archives/edgar/data/771497/000162828020003032/abm1312020ex102.htm" TargetMode="External"/><Relationship Id="rId46" Type="http://schemas.openxmlformats.org/officeDocument/2006/relationships/hyperlink" Target="http://www.sec.gov/Archives/edgar/data/771497/000095012308010739/y71046exv10w5.htm" TargetMode="External"/><Relationship Id="rId59" Type="http://schemas.openxmlformats.org/officeDocument/2006/relationships/hyperlink" Target="abm10312020ex211.htm" TargetMode="External"/><Relationship Id="rId20" Type="http://schemas.openxmlformats.org/officeDocument/2006/relationships/hyperlink" Target="http://www.sec.gov/Archives/edgar/data/771497/000157104917007803/t1702518_ex10-2.htm" TargetMode="External"/><Relationship Id="rId41" Type="http://schemas.openxmlformats.org/officeDocument/2006/relationships/hyperlink" Target="https://www.sec.gov/Archives/edgar/data/771497/000162828019015259/abm10312019ex1018.htm" TargetMode="External"/><Relationship Id="rId54" Type="http://schemas.openxmlformats.org/officeDocument/2006/relationships/hyperlink" Target="http://www.sec.gov/Archives/edgar/data/771497/000162828018002860/abm1312018ex103.htm" TargetMode="External"/><Relationship Id="rId62" Type="http://schemas.openxmlformats.org/officeDocument/2006/relationships/hyperlink" Target="abm10312020ex312.htm" TargetMode="External"/><Relationship Id="rId1" Type="http://schemas.openxmlformats.org/officeDocument/2006/relationships/styles" Target="styles.xml"/><Relationship Id="rId6" Type="http://schemas.openxmlformats.org/officeDocument/2006/relationships/image" Target="file:///E:\projects\LLMs\new_data_collection\data_new\htm\ABM%20INDUSTRIES%20INC%20DE\abm-20201031_g3.gif" TargetMode="External"/><Relationship Id="rId15" Type="http://schemas.openxmlformats.org/officeDocument/2006/relationships/hyperlink" Target="http://www.sec.gov/Archives/edgar/data/771497/000157104917006648/t1702122_ex2-1.htm" TargetMode="External"/><Relationship Id="rId23" Type="http://schemas.openxmlformats.org/officeDocument/2006/relationships/hyperlink" Target="http://www.sec.gov/Archives/edgar/data/771497/000162828018011684/abm7312018ex102.htm" TargetMode="External"/><Relationship Id="rId28" Type="http://schemas.openxmlformats.org/officeDocument/2006/relationships/hyperlink" Target="http://www.sec.gov/Archives/edgar/data/771497/000162828018015372/abm10312018ex109.htm" TargetMode="External"/><Relationship Id="rId36" Type="http://schemas.openxmlformats.org/officeDocument/2006/relationships/hyperlink" Target="http://www.sec.gov/Archives/edgar/data/771497/000119312513477634/d599535dex1016.htm" TargetMode="External"/><Relationship Id="rId49" Type="http://schemas.openxmlformats.org/officeDocument/2006/relationships/hyperlink" Target="http://www.sec.gov/Archives/edgar/data/771497/000162828017012508/exhibit102910312017.htm" TargetMode="External"/><Relationship Id="rId57" Type="http://schemas.openxmlformats.org/officeDocument/2006/relationships/hyperlink" Target="http://www.sec.gov/Archives/edgar/data/771497/000162828019002600/abm1312019ex102.htm" TargetMode="External"/><Relationship Id="rId10" Type="http://schemas.openxmlformats.org/officeDocument/2006/relationships/image" Target="file:///E:\projects\LLMs\new_data_collection\data_new\htm\ABM%20INDUSTRIES%20INC%20DE\abm-20201031_g7.jpg" TargetMode="External"/><Relationship Id="rId31" Type="http://schemas.openxmlformats.org/officeDocument/2006/relationships/hyperlink" Target="http://www.sec.gov/Archives/edgar/data/771497/000119312513471774/d643440dex101.htm" TargetMode="External"/><Relationship Id="rId44" Type="http://schemas.openxmlformats.org/officeDocument/2006/relationships/hyperlink" Target="http://www.sec.gov/Archives/edgar/data/771497/000095012310116105/y87222exv10w22.htm" TargetMode="External"/><Relationship Id="rId52" Type="http://schemas.openxmlformats.org/officeDocument/2006/relationships/hyperlink" Target="http://www.sec.gov/Archives/edgar/data/771497/000162828017012508/exhibit103310312017.htm" TargetMode="External"/><Relationship Id="rId60" Type="http://schemas.openxmlformats.org/officeDocument/2006/relationships/hyperlink" Target="abm10312020ex231.htm" TargetMode="External"/><Relationship Id="rId65" Type="http://schemas.openxmlformats.org/officeDocument/2006/relationships/theme" Target="theme/theme1.xml"/><Relationship Id="rId4" Type="http://schemas.openxmlformats.org/officeDocument/2006/relationships/image" Target="file:///E:\projects\LLMs\new_data_collection\data_new\htm\ABM%20INDUSTRIES%20INC%20DE\abm-20201031_g1.jpg" TargetMode="External"/><Relationship Id="rId9" Type="http://schemas.openxmlformats.org/officeDocument/2006/relationships/image" Target="file:///E:\projects\LLMs\new_data_collection\data_new\htm\ABM%20INDUSTRIES%20INC%20DE\abm-20201031_g6.jpg" TargetMode="External"/><Relationship Id="rId13" Type="http://schemas.openxmlformats.org/officeDocument/2006/relationships/image" Target="file:///E:\projects\LLMs\new_data_collection\data_new\htm\ABM%20INDUSTRIES%20INC%20DE\abm-20201031_g10.jpg" TargetMode="External"/><Relationship Id="rId18" Type="http://schemas.openxmlformats.org/officeDocument/2006/relationships/hyperlink" Target="abm10312020ex41.htm" TargetMode="External"/><Relationship Id="rId39" Type="http://schemas.openxmlformats.org/officeDocument/2006/relationships/hyperlink" Target="http://www.sec.gov/Archives/edgar/data/771497/000095012310116105/y87222exv10w1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58935</Words>
  <Characters>335936</Characters>
  <Application>Microsoft Office Word</Application>
  <DocSecurity>0</DocSecurity>
  <Lines>2799</Lines>
  <Paragraphs>788</Paragraphs>
  <ScaleCrop>false</ScaleCrop>
  <Company/>
  <LinksUpToDate>false</LinksUpToDate>
  <CharactersWithSpaces>394083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abm-20201031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