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07857">
      <w:pPr>
        <w:divId w:val="405880241"/>
        <w:rPr>
          <w:rFonts w:eastAsia="Times New Roman"/>
          <w:vanish/>
        </w:rPr>
      </w:pPr>
      <w:r>
        <w:rPr>
          <w:rFonts w:eastAsia="Times New Roman"/>
          <w:vanish/>
        </w:rPr>
        <w:t>000077149710/312021Q1FALSE00007714972020-11-012021-01-31xbrli:shares00007714972021-03-09iso4217:USD00007714972021-01-3100007714972020-10-31iso4217:USDxbrli:shares00007714972019-11-012020-01-310000771497us-gaap:CommonStockMember2020-10-31</w:t>
      </w:r>
      <w:r>
        <w:rPr>
          <w:rFonts w:eastAsia="Times New Roman"/>
          <w:vanish/>
        </w:rPr>
        <w:t>0000771497us-gaap:CommonStockMember2019-10-310000771497us-gaap:CommonStockMember2020-11-012021-01-310000771497us-gaap:CommonStockMember2019-11-012020-01-310000771497us-gaap:CommonStockMember2021-01-310000771497us-gaap:CommonStockMember2020-01-310000771497u</w:t>
      </w:r>
      <w:r>
        <w:rPr>
          <w:rFonts w:eastAsia="Times New Roman"/>
          <w:vanish/>
        </w:rPr>
        <w:t>s-gaap:AdditionalPaidInCapitalMember2020-10-310000771497us-gaap:AdditionalPaidInCapitalMember2019-10-310000771497us-gaap:AdditionalPaidInCapitalMember2020-11-012021-01-310000771497us-gaap:AdditionalPaidInCapitalMember2019-11-012020-01-310000771497us-gaap:A</w:t>
      </w:r>
      <w:r>
        <w:rPr>
          <w:rFonts w:eastAsia="Times New Roman"/>
          <w:vanish/>
        </w:rPr>
        <w:t>dditionalPaidInCapitalMember2021-01-310000771497us-gaap:AdditionalPaidInCapitalMember2020-01-310000771497us-gaap:AccumulatedOtherComprehensiveIncomeMember2020-10-310000771497us-gaap:AccumulatedOtherComprehensiveIncomeMember2019-10-310000771497us-gaap:Accum</w:t>
      </w:r>
      <w:r>
        <w:rPr>
          <w:rFonts w:eastAsia="Times New Roman"/>
          <w:vanish/>
        </w:rPr>
        <w:t>ulatedOtherComprehensiveIncomeMember2020-11-012021-01-310000771497us-gaap:AccumulatedOtherComprehensiveIncomeMember2019-11-012020-01-310000771497us-gaap:AccumulatedOtherComprehensiveIncomeMember2021-01-310000771497us-gaap:AccumulatedOtherComprehensiveIncom</w:t>
      </w:r>
      <w:r>
        <w:rPr>
          <w:rFonts w:eastAsia="Times New Roman"/>
          <w:vanish/>
        </w:rPr>
        <w:t>eMember2020-01-310000771497us-gaap:RetainedEarningsMember2020-10-310000771497us-gaap:RetainedEarningsMember2019-10-310000771497us-gaap:RetainedEarningsMember2020-11-012021-01-310000771497us-gaap:RetainedEarningsMember2019-11-012020-01-310000771497us-gaap:R</w:t>
      </w:r>
      <w:r>
        <w:rPr>
          <w:rFonts w:eastAsia="Times New Roman"/>
          <w:vanish/>
        </w:rPr>
        <w:t>etainedEarningsMember2021-01-310000771497us-gaap:RetainedEarningsMember2020-01-3100007714972020-01-3100007714972019-10-31abm:industry_groupabm:segment0000771497abm:ManagementReimbursementRevenueMemberabm:BusinessandIndustryMember2020-11-012021-01-310000771</w:t>
      </w:r>
      <w:r>
        <w:rPr>
          <w:rFonts w:eastAsia="Times New Roman"/>
          <w:vanish/>
        </w:rPr>
        <w:t>497abm:ManagementReimbursementRevenueMemberabm:BusinessandIndustryMember2019-11-012020-01-310000771497abm:ManagementReimbursementRevenueMemberabm:AviationMember2020-11-012021-01-310000771497abm:ManagementReimbursementRevenueMemberabm:AviationMember2019-11-</w:t>
      </w:r>
      <w:r>
        <w:rPr>
          <w:rFonts w:eastAsia="Times New Roman"/>
          <w:vanish/>
        </w:rPr>
        <w:t>012020-01-310000771497abm:ManagementReimbursementRevenueMember2020-11-012021-01-310000771497abm:ManagementReimbursementRevenueMember2019-11-012020-01-310000771497us-gaap:OperatingSegmentsMemberabm:BusinessandIndustryMemberabm:JanitorialMember2020-11-012021</w:t>
      </w:r>
      <w:r>
        <w:rPr>
          <w:rFonts w:eastAsia="Times New Roman"/>
          <w:vanish/>
        </w:rPr>
        <w:t>-01-310000771497us-gaap:OperatingSegmentsMemberabm:TechnologyAndManufacturingMemberabm:JanitorialMember2020-11-012021-01-310000771497us-gaap:OperatingSegmentsMemberabm:EducationMemberabm:JanitorialMember2020-11-012021-01-310000771497us-gaap:OperatingSegmen</w:t>
      </w:r>
      <w:r>
        <w:rPr>
          <w:rFonts w:eastAsia="Times New Roman"/>
          <w:vanish/>
        </w:rPr>
        <w:t>tsMemberabm:JanitorialMemberabm:AviationMember2020-11-012021-01-310000771497us-gaap:OperatingSegmentsMemberabm:TechnicalSolutionsMemberabm:JanitorialMember2020-11-012021-01-310000771497us-gaap:OperatingSegmentsMemberabm:JanitorialMember2020-11-012021-01-31</w:t>
      </w:r>
      <w:r>
        <w:rPr>
          <w:rFonts w:eastAsia="Times New Roman"/>
          <w:vanish/>
        </w:rPr>
        <w:t>0000771497us-gaap:OperatingSegmentsMemberus-gaap:ParkingMemberabm:BusinessandIndustryMember2020-11-012021-01-310000771497us-gaap:OperatingSegmentsMemberabm:TechnologyAndManufacturingMemberus-gaap:ParkingMember2020-11-012021-01-310000771497us-gaap:Operating</w:t>
      </w:r>
      <w:r>
        <w:rPr>
          <w:rFonts w:eastAsia="Times New Roman"/>
          <w:vanish/>
        </w:rPr>
        <w:t>SegmentsMemberus-gaap:ParkingMemberabm:EducationMember2020-11-012021-01-310000771497us-gaap:OperatingSegmentsMemberus-gaap:ParkingMemberabm:AviationMember2020-11-012021-01-310000771497us-gaap:OperatingSegmentsMemberus-gaap:ParkingMemberabm:TechnicalSolutio</w:t>
      </w:r>
      <w:r>
        <w:rPr>
          <w:rFonts w:eastAsia="Times New Roman"/>
          <w:vanish/>
        </w:rPr>
        <w:t>nsMember2020-11-012021-01-310000771497us-gaap:OperatingSegmentsMemberus-gaap:ParkingMember2020-11-012021-01-310000771497us-gaap:OperatingSegmentsMemberabm:FacilityServicesMemberabm:BusinessandIndustryMember2020-11-012021-01-310000771497us-gaap:OperatingSeg</w:t>
      </w:r>
      <w:r>
        <w:rPr>
          <w:rFonts w:eastAsia="Times New Roman"/>
          <w:vanish/>
        </w:rPr>
        <w:t>mentsMemberabm:FacilityServicesMemberabm:TechnologyAndManufacturingMember2020-11-012021-01-310000771497us-gaap:OperatingSegmentsMemberabm:FacilityServicesMemberabm:EducationMember2020-11-012021-01-310000771497us-gaap:OperatingSegmentsMemberabm:FacilityServ</w:t>
      </w:r>
      <w:r>
        <w:rPr>
          <w:rFonts w:eastAsia="Times New Roman"/>
          <w:vanish/>
        </w:rPr>
        <w:t>icesMemberabm:AviationMember2020-11-012021-01-310000771497us-gaap:OperatingSegmentsMemberabm:FacilityServicesMemberabm:TechnicalSolutionsMember2020-11-012021-01-310000771497us-gaap:OperatingSegmentsMemberabm:FacilityServicesMember2020-11-012021-01-31000077</w:t>
      </w:r>
      <w:r>
        <w:rPr>
          <w:rFonts w:eastAsia="Times New Roman"/>
          <w:vanish/>
        </w:rPr>
        <w:t>1497us-gaap:OperatingSegmentsMemberabm:BuildingEnergySolutionsMemberabm:BusinessandIndustryMember2020-11-012021-01-310000771497us-gaap:OperatingSegmentsMemberabm:TechnologyAndManufacturingMemberabm:BuildingEnergySolutionsMember2020-11-012021-01-31000077149</w:t>
      </w:r>
      <w:r>
        <w:rPr>
          <w:rFonts w:eastAsia="Times New Roman"/>
          <w:vanish/>
        </w:rPr>
        <w:t>7us-gaap:OperatingSegmentsMemberabm:BuildingEnergySolutionsMemberabm:EducationMember2020-11-012021-01-310000771497us-gaap:OperatingSegmentsMemberabm:BuildingEnergySolutionsMemberabm:AviationMember2020-11-012021-01-310000771497us-gaap:OperatingSegmentsMembe</w:t>
      </w:r>
      <w:r>
        <w:rPr>
          <w:rFonts w:eastAsia="Times New Roman"/>
          <w:vanish/>
        </w:rPr>
        <w:t>rabm:BuildingEnergySolutionsMemberabm:TechnicalSolutionsMember2020-11-012021-01-310000771497us-gaap:OperatingSegmentsMemberabm:BuildingEnergySolutionsMember2020-11-012021-01-310000771497abm:AirlineServicesMemberus-gaap:OperatingSegmentsMemberabm:Businessan</w:t>
      </w:r>
      <w:r>
        <w:rPr>
          <w:rFonts w:eastAsia="Times New Roman"/>
          <w:vanish/>
        </w:rPr>
        <w:t>dIndustryMember2020-11-012021-01-310000771497abm:AirlineServicesMemberus-gaap:OperatingSegmentsMemberabm:TechnologyAndManufacturingMember2020-11-012021-01-310000771497abm:AirlineServicesMemberus-gaap:OperatingSegmentsMemberabm:EducationMember2020-11-012021</w:t>
      </w:r>
      <w:r>
        <w:rPr>
          <w:rFonts w:eastAsia="Times New Roman"/>
          <w:vanish/>
        </w:rPr>
        <w:t>-01-310000771497abm:AirlineServicesMemberus-gaap:OperatingSegmentsMemberabm:AviationMember2020-11-012021-01-310000771497abm:AirlineServicesMemberus-gaap:OperatingSegmentsMemberabm:TechnicalSolutionsMember2020-11-012021-01-310000771497abm:AirlineServicesMem</w:t>
      </w:r>
      <w:r>
        <w:rPr>
          <w:rFonts w:eastAsia="Times New Roman"/>
          <w:vanish/>
        </w:rPr>
        <w:t>berus-gaap:OperatingSegmentsMember2020-11-012021-01-310000771497us-gaap:OperatingSegmentsMemberabm:BusinessandIndustryMember2020-11-012021-01-310000771497us-gaap:OperatingSegmentsMemberabm:TechnologyAndManufacturingMember2020-11-012021-01-310000771497us-ga</w:t>
      </w:r>
      <w:r>
        <w:rPr>
          <w:rFonts w:eastAsia="Times New Roman"/>
          <w:vanish/>
        </w:rPr>
        <w:t>ap:OperatingSegmentsMemberabm:EducationMember2020-11-012021-01-310000771497us-gaap:OperatingSegmentsMemberabm:AviationMember2020-11-012021-01-310000771497us-gaap:OperatingSegmentsMemberabm:TechnicalSolutionsMember2020-11-012021-01-310000771497us-gaap:Opera</w:t>
      </w:r>
      <w:r>
        <w:rPr>
          <w:rFonts w:eastAsia="Times New Roman"/>
          <w:vanish/>
        </w:rPr>
        <w:t>tingSegmentsMember2020-11-012021-01-310000771497us-gaap:IntersegmentEliminationMember2020-11-012021-01-310000771497us-gaap:OperatingSegmentsMemberabm:BusinessandIndustryMemberabm:JanitorialMember2019-11-012020-01-310000771497us-gaap:OperatingSegmentsMember</w:t>
      </w:r>
      <w:r>
        <w:rPr>
          <w:rFonts w:eastAsia="Times New Roman"/>
          <w:vanish/>
        </w:rPr>
        <w:t>abm:TechnologyAndManufacturingMemberabm:JanitorialMember2019-11-012020-01-310000771497us-gaap:OperatingSegmentsMemberabm:EducationMemberabm:JanitorialMember2019-11-012020-01-310000771497us-gaap:OperatingSegmentsMemberabm:JanitorialMemberabm:AviationMember2</w:t>
      </w:r>
      <w:r>
        <w:rPr>
          <w:rFonts w:eastAsia="Times New Roman"/>
          <w:vanish/>
        </w:rPr>
        <w:t>019-11-012020-01-310000771497us-gaap:OperatingSegmentsMemberabm:TechnicalSolutionsMemberabm:JanitorialMember2019-11-012020-01-310000771497us-gaap:OperatingSegmentsMemberabm:JanitorialMember2019-11-012020-01-310000771497us-gaap:OperatingSegmentsMemberus-gaa</w:t>
      </w:r>
      <w:r>
        <w:rPr>
          <w:rFonts w:eastAsia="Times New Roman"/>
          <w:vanish/>
        </w:rPr>
        <w:t>p:ParkingMemberabm:BusinessandIndustryMember2019-11-012020-01-310000771497us-gaap:OperatingSegmentsMemberabm:TechnologyAndManufacturingMemberus-gaap:ParkingMember2019-11-012020-01-310000771497us-gaap:OperatingSegmentsMemberus-gaap:ParkingMemberabm:Educatio</w:t>
      </w:r>
      <w:r>
        <w:rPr>
          <w:rFonts w:eastAsia="Times New Roman"/>
          <w:vanish/>
        </w:rPr>
        <w:t>nMember2019-11-012020-01-310000771497us-gaap:OperatingSegmentsMemberus-gaap:ParkingMemberabm:AviationMember2019-11-012020-01-310000771497us-gaap:OperatingSegmentsMemberus-gaap:ParkingMemberabm:TechnicalSolutionsMember2019-11-012020-01-310000771497us-gaap:O</w:t>
      </w:r>
      <w:r>
        <w:rPr>
          <w:rFonts w:eastAsia="Times New Roman"/>
          <w:vanish/>
        </w:rPr>
        <w:t>peratingSegmentsMemberus-gaap:ParkingMember2019-11-012020-01-310000771497us-gaap:OperatingSegmentsMemberabm:FacilityServicesMemberabm:BusinessandIndustryMember2019-11-012020-01-310000771497us-gaap:OperatingSegmentsMemberabm:FacilityServicesMemberabm:Techno</w:t>
      </w:r>
      <w:r>
        <w:rPr>
          <w:rFonts w:eastAsia="Times New Roman"/>
          <w:vanish/>
        </w:rPr>
        <w:t>logyAndManufacturingMember2019-11-012020-01-310000771497us-gaap:OperatingSegmentsMemberabm:FacilityServicesMemberabm:EducationMember2019-11-012020-01-310000771497us-gaap:OperatingSegmentsMemberabm:FacilityServicesMemberabm:AviationMember2019-11-012020-01-3</w:t>
      </w:r>
      <w:r>
        <w:rPr>
          <w:rFonts w:eastAsia="Times New Roman"/>
          <w:vanish/>
        </w:rPr>
        <w:t>10000771497us-gaap:OperatingSegmentsMemberabm:FacilityServicesMemberabm:TechnicalSolutionsMember2019-11-012020-01-310000771497us-gaap:OperatingSegmentsMemberabm:FacilityServicesMember2019-11-012020-01-310000771497us-gaap:OperatingSegmentsMemberabm:Building</w:t>
      </w:r>
      <w:r>
        <w:rPr>
          <w:rFonts w:eastAsia="Times New Roman"/>
          <w:vanish/>
        </w:rPr>
        <w:t>EnergySolutionsMemberabm:BusinessandIndustryMember2019-11-012020-01-310000771497us-gaap:OperatingSegmentsMemberabm:TechnologyAndManufacturingMemberabm:BuildingEnergySolutionsMember2019-11-012020-01-310000771497us-gaap:OperatingSegmentsMemberabm:BuildingEne</w:t>
      </w:r>
      <w:r>
        <w:rPr>
          <w:rFonts w:eastAsia="Times New Roman"/>
          <w:vanish/>
        </w:rPr>
        <w:t>rgySolutionsMemberabm:EducationMember2019-11-012020-01-310000771497us-gaap:OperatingSegmentsMemberabm:BuildingEnergySolutionsMemberabm:AviationMember2019-11-012020-01-310000771497us-gaap:OperatingSegmentsMemberabm:BuildingEnergySolutionsMemberabm:Technical</w:t>
      </w:r>
      <w:r>
        <w:rPr>
          <w:rFonts w:eastAsia="Times New Roman"/>
          <w:vanish/>
        </w:rPr>
        <w:t>SolutionsMember2019-11-012020-01-310000771497us-gaap:OperatingSegmentsMemberabm:BuildingEnergySolutionsMember2019-11-012020-01-310000771497abm:AirlineServicesMemberus-gaap:OperatingSegmentsMemberabm:BusinessandIndustryMember2019-11-012020-01-310000771497ab</w:t>
      </w:r>
      <w:r>
        <w:rPr>
          <w:rFonts w:eastAsia="Times New Roman"/>
          <w:vanish/>
        </w:rPr>
        <w:t>m:AirlineServicesMemberus-gaap:OperatingSegmentsMemberabm:TechnologyAndManufacturingMember2019-11-012020-01-310000771497abm:AirlineServicesMemberus-gaap:OperatingSegmentsMemberabm:EducationMember2019-11-012020-01-310000771497abm:AirlineServicesMemberus-gaa</w:t>
      </w:r>
      <w:r>
        <w:rPr>
          <w:rFonts w:eastAsia="Times New Roman"/>
          <w:vanish/>
        </w:rPr>
        <w:t>p:OperatingSegmentsMemberabm:AviationMember2019-11-012020-01-310000771497abm:AirlineServicesMemberus-gaap:OperatingSegmentsMemberabm:TechnicalSolutionsMember2019-11-012020-01-310000771497abm:AirlineServicesMemberus-gaap:OperatingSegmentsMember2019-11-01202</w:t>
      </w:r>
      <w:r>
        <w:rPr>
          <w:rFonts w:eastAsia="Times New Roman"/>
          <w:vanish/>
        </w:rPr>
        <w:t>0-01-310000771497us-gaap:OperatingSegmentsMemberabm:BusinessandIndustryMember2019-11-012020-01-310000771497us-gaap:OperatingSegmentsMemberabm:TechnologyAndManufacturingMember2019-11-012020-01-310000771497us-gaap:OperatingSegmentsMemberabm:EducationMember20</w:t>
      </w:r>
      <w:r>
        <w:rPr>
          <w:rFonts w:eastAsia="Times New Roman"/>
          <w:vanish/>
        </w:rPr>
        <w:t>19-11-012020-01-310000771497us-gaap:OperatingSegmentsMemberabm:AviationMember2019-11-012020-01-310000771497us-gaap:OperatingSegmentsMemberabm:TechnicalSolutionsMember2019-11-012020-01-310000771497us-gaap:OperatingSegmentsMember2019-11-012020-01-31000077149</w:t>
      </w:r>
      <w:r>
        <w:rPr>
          <w:rFonts w:eastAsia="Times New Roman"/>
          <w:vanish/>
        </w:rPr>
        <w:t>7us-gaap:IntersegmentEliminationMember2019-11-012020-01-3100007714972021-02-012021-01-31xbrli:pure00007714972022-02-012021-01-310000771497us-gaap:RestrictedStockUnitsRSUMember2020-11-012021-01-310000771497us-gaap:RestrictedStockUnitsRSUMember2019-11-012020</w:t>
      </w:r>
      <w:r>
        <w:rPr>
          <w:rFonts w:eastAsia="Times New Roman"/>
          <w:vanish/>
        </w:rPr>
        <w:t>-01-310000771497us-gaap:EmployeeStockOptionMember2020-11-012021-01-310000771497us-gaap:EmployeeStockOptionMember2019-11-012020-01-310000771497us-gaap:PerformanceSharesMember2020-11-012021-01-310000771497us-gaap:PerformanceSharesMember2019-11-012020-01-3100</w:t>
      </w:r>
      <w:r>
        <w:rPr>
          <w:rFonts w:eastAsia="Times New Roman"/>
          <w:vanish/>
        </w:rPr>
        <w:t>00771497us-gaap:FairValueMeasurementsRecurringMemberus-gaap:FairValueInputsLevel1Member2021-01-310000771497us-gaap:FairValueMeasurementsRecurringMemberus-gaap:FairValueInputsLevel1Member2020-10-310000771497us-gaap:FairValueMeasurementsRecurringMemberus-gaa</w:t>
      </w:r>
      <w:r>
        <w:rPr>
          <w:rFonts w:eastAsia="Times New Roman"/>
          <w:vanish/>
        </w:rPr>
        <w:t>p:FairValueInputsLevel2Member2021-01-310000771497us-gaap:FairValueMeasurementsRecurringMemberus-gaap:FairValueInputsLevel2Member2020-10-310000771497srt:MinimumMember2021-01-310000771497srt:MaximumMember2021-01-3100007714972019-11-012020-10-310000771497abm:</w:t>
      </w:r>
      <w:r>
        <w:rPr>
          <w:rFonts w:eastAsia="Times New Roman"/>
          <w:vanish/>
        </w:rPr>
        <w:t>AllOtherClaimTypesExcludingMedicalAndDentalSelfInsuranceProgramMember2021-01-310000771497abm:AllOtherClaimTypesExcludingMedicalAndDentalSelfInsuranceProgramMember2020-10-310000771497abm:MedicalAndDentalSelfInsuranceProgramMember2021-01-310000771497abm:Medi</w:t>
      </w:r>
      <w:r>
        <w:rPr>
          <w:rFonts w:eastAsia="Times New Roman"/>
          <w:vanish/>
        </w:rPr>
        <w:t>calAndDentalSelfInsuranceProgramMember2020-10-310000771497us-gaap:StandbyLettersOfCreditMember2021-01-310000771497us-gaap:StandbyLettersOfCreditMember2020-10-310000771497us-gaap:SuretyBondMember2021-01-310000771497us-gaap:SuretyBondMember2020-10-3100007714</w:t>
      </w:r>
      <w:r>
        <w:rPr>
          <w:rFonts w:eastAsia="Times New Roman"/>
          <w:vanish/>
        </w:rPr>
        <w:t>97us-gaap:DepositsMember2021-01-310000771497us-gaap:DepositsMember2020-10-310000771497us-gaap:LineOfCreditMemberabm:PriorCreditFacilityMemberus-gaap:RevolvingCreditFacilityMember2017-08-310000771497abm:CreditFacilityMember2017-09-012017-09-010000771497abm:</w:t>
      </w:r>
      <w:r>
        <w:rPr>
          <w:rFonts w:eastAsia="Times New Roman"/>
          <w:vanish/>
        </w:rPr>
        <w:t>CreditFacilityMemberus-gaap:LineOfCreditMemberus-gaap:RevolvingCreditFacilityMember2017-09-010000771497us-gaap:LoansPayableMemberabm:CreditFacilityMember2017-09-010000771497abm:CreditFacilityMemberus-gaap:LineOfCreditMemberus-gaap:RevolvingCreditFacilityMe</w:t>
      </w:r>
      <w:r>
        <w:rPr>
          <w:rFonts w:eastAsia="Times New Roman"/>
          <w:vanish/>
        </w:rPr>
        <w:t>mber2018-09-010000771497us-gaap:StandbyLettersOfCreditMemberabm:CreditFacilityMember2017-09-010000771497abm:SwingLineLoanMemberabm:CreditFacilityMember2017-09-010000771497abm:CovenantPeriodQuarterEndingOctober2022Memberabm:CreditFacilityMember2020-05-28000</w:t>
      </w:r>
      <w:r>
        <w:rPr>
          <w:rFonts w:eastAsia="Times New Roman"/>
          <w:vanish/>
        </w:rPr>
        <w:t>0771497abm:CreditFacilityMember2020-05-280000771497us-gaap:EurodollarMemberabm:CreditFacilityMembersrt:MinimumMember2017-09-012017-09-010000771497us-gaap:EurodollarMembersrt:MaximumMemberabm:CreditFacilityMember2017-09-012017-09-010000771497abm:CreditFacil</w:t>
      </w:r>
      <w:r>
        <w:rPr>
          <w:rFonts w:eastAsia="Times New Roman"/>
          <w:vanish/>
        </w:rPr>
        <w:t>ityMemberus-gaap:BaseRateMembersrt:MinimumMember2017-09-012017-09-010000771497srt:MaximumMemberabm:CreditFacilityMemberus-gaap:BaseRateMember2017-09-012017-09-010000771497abm:CreditFacilityMemberus-gaap:RevolvingCreditFacilityMembersrt:MinimumMember2017-09</w:t>
      </w:r>
      <w:r>
        <w:rPr>
          <w:rFonts w:eastAsia="Times New Roman"/>
          <w:vanish/>
        </w:rPr>
        <w:t>-012017-09-010000771497srt:MaximumMemberabm:CreditFacilityMemberus-gaap:RevolvingCreditFacilityMember2017-09-012017-09-010000771497us-gaap:EurodollarMemberabm:CreditFacilityMembersrt:MinimumMember2020-05-282020-05-280000771497us-gaap:EurodollarMembersrt:Ma</w:t>
      </w:r>
      <w:r>
        <w:rPr>
          <w:rFonts w:eastAsia="Times New Roman"/>
          <w:vanish/>
        </w:rPr>
        <w:t>ximumMemberabm:CreditFacilityMember2020-05-282020-05-280000771497abm:CreditFacilityMemberus-gaap:BaseRateMembersrt:MinimumMember2020-05-282020-05-280000771497srt:MaximumMemberabm:CreditFacilityMemberus-gaap:BaseRateMember2020-05-282020-05-280000771497abm:C</w:t>
      </w:r>
      <w:r>
        <w:rPr>
          <w:rFonts w:eastAsia="Times New Roman"/>
          <w:vanish/>
        </w:rPr>
        <w:t>reditFacilityMember2021-01-310000771497us-gaap:RevolvingCreditFacilityMembersrt:MinimumMember2020-05-282020-05-280000771497srt:MaximumMemberus-gaap:RevolvingCreditFacilityMember2020-05-282020-05-280000771497abm:CreditFacilityMember2017-09-010000771497abm:C</w:t>
      </w:r>
      <w:r>
        <w:rPr>
          <w:rFonts w:eastAsia="Times New Roman"/>
          <w:vanish/>
        </w:rPr>
        <w:t>reditFacilityMemberus-gaap:LineOfCreditMember2017-09-010000771497us-gaap:LoansPayableMember2021-01-310000771497abm:InterestRateSwapMaturity4302021Member2018-11-010000771497abm:InterestRateSwapMaturity10312021Member2018-11-010000771497abm:InterestRateSwapMa</w:t>
      </w:r>
      <w:r>
        <w:rPr>
          <w:rFonts w:eastAsia="Times New Roman"/>
          <w:vanish/>
        </w:rPr>
        <w:t>turity4302022Member2018-11-010000771497abm:InterestRateSwapMaturity912022Member2018-11-010000771497us-gaap:AccumulatedGainLossCashFlowHedgeIncludingNoncontrollingInterestMember2020-11-012021-01-310000771497us-gaap:AccumulatedGainLossCashFlowHedgeIncludingN</w:t>
      </w:r>
      <w:r>
        <w:rPr>
          <w:rFonts w:eastAsia="Times New Roman"/>
          <w:vanish/>
        </w:rPr>
        <w:t>oncontrollingInterestMember2019-11-012020-01-310000771497abm:EnergySavingsContractsMember2021-01-310000771497us-gaap:PendingLitigationMember2021-01-31abm:subclass0000771497abm:BucioMember2018-09-202018-09-200000771497abm:GovernmentServicesMemberus-gaap:Ope</w:t>
      </w:r>
      <w:r>
        <w:rPr>
          <w:rFonts w:eastAsia="Times New Roman"/>
          <w:vanish/>
        </w:rPr>
        <w:t>ratingSegmentsMember2020-11-012021-01-310000771497abm:GovernmentServicesMemberus-gaap:OperatingSegmentsMember2019-11-012020-01-310000771497us-gaap:CorporateNonSegmentMember2020-11-012021-01-310000771497us-gaap:CorporateNonSegmentMember2019-11-012020-01-310</w:t>
      </w:r>
      <w:r>
        <w:rPr>
          <w:rFonts w:eastAsia="Times New Roman"/>
          <w:vanish/>
        </w:rPr>
        <w:t>000771497us-gaap:MaterialReconcilingItemsMember2020-11-012021-01-310000771497us-gaap:MaterialReconcilingItemsMember2019-11-012020-01-31</w:t>
      </w:r>
    </w:p>
    <w:p w:rsidR="00000000" w:rsidRDefault="00A07857">
      <w:pPr>
        <w:ind w:firstLine="720"/>
        <w:jc w:val="center"/>
        <w:divId w:val="94203329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781484144"/>
          <w:jc w:val="center"/>
        </w:trPr>
        <w:tc>
          <w:tcPr>
            <w:tcW w:w="50" w:type="pct"/>
            <w:vAlign w:val="center"/>
            <w:hideMark/>
          </w:tcPr>
          <w:p w:rsidR="00000000" w:rsidRDefault="00A07857">
            <w:pPr>
              <w:ind w:firstLine="720"/>
              <w:jc w:val="center"/>
              <w:rPr>
                <w:rFonts w:eastAsia="Times New Roman"/>
              </w:rPr>
            </w:pPr>
          </w:p>
        </w:tc>
        <w:tc>
          <w:tcPr>
            <w:tcW w:w="494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781484144"/>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jc w:val="center"/>
        <w:rPr>
          <w:rFonts w:eastAsia="Times New Roman"/>
        </w:rPr>
      </w:pPr>
      <w:r>
        <w:rPr>
          <w:rFonts w:ascii="Arial" w:eastAsia="Times New Roman" w:hAnsi="Arial" w:cs="Arial"/>
          <w:b/>
          <w:bCs/>
          <w:color w:val="000000"/>
          <w:sz w:val="36"/>
          <w:szCs w:val="36"/>
        </w:rPr>
        <w:t>UNITED STATES</w:t>
      </w:r>
    </w:p>
    <w:p w:rsidR="00000000" w:rsidRDefault="00A07857">
      <w:pPr>
        <w:jc w:val="center"/>
        <w:rPr>
          <w:rFonts w:eastAsia="Times New Roman"/>
        </w:rPr>
      </w:pPr>
      <w:r>
        <w:rPr>
          <w:rFonts w:ascii="Arial" w:eastAsia="Times New Roman" w:hAnsi="Arial" w:cs="Arial"/>
          <w:b/>
          <w:bCs/>
          <w:color w:val="000000"/>
          <w:sz w:val="36"/>
          <w:szCs w:val="36"/>
        </w:rPr>
        <w:t>SECURITIES AND EXCHANGE COMMISSION</w:t>
      </w:r>
    </w:p>
    <w:p w:rsidR="00000000" w:rsidRDefault="00A07857">
      <w:pPr>
        <w:jc w:val="center"/>
        <w:rPr>
          <w:rFonts w:eastAsia="Times New Roman"/>
        </w:rPr>
      </w:pPr>
      <w:r>
        <w:rPr>
          <w:rFonts w:ascii="Arial" w:eastAsia="Times New Roman" w:hAnsi="Arial" w:cs="Arial"/>
          <w:b/>
          <w:bCs/>
          <w:color w:val="000000"/>
        </w:rPr>
        <w:t>Washington, D.C. 20549</w:t>
      </w:r>
    </w:p>
    <w:p w:rsidR="00000000" w:rsidRDefault="00A07857">
      <w:pPr>
        <w:jc w:val="center"/>
        <w:rPr>
          <w:rFonts w:eastAsia="Times New Roman"/>
        </w:rPr>
      </w:pPr>
      <w:r>
        <w:rPr>
          <w:rFonts w:ascii="Arial" w:eastAsia="Times New Roman" w:hAnsi="Arial" w:cs="Arial"/>
          <w:color w:val="000000"/>
        </w:rPr>
        <w:t>__________________________</w:t>
      </w:r>
    </w:p>
    <w:p w:rsidR="00000000" w:rsidRDefault="00A07857">
      <w:pPr>
        <w:jc w:val="center"/>
        <w:divId w:val="1243101249"/>
        <w:rPr>
          <w:rFonts w:eastAsia="Times New Roman"/>
        </w:rPr>
      </w:pPr>
      <w:r>
        <w:rPr>
          <w:rFonts w:ascii="Arial" w:eastAsia="Times New Roman" w:hAnsi="Arial" w:cs="Arial"/>
          <w:b/>
          <w:bCs/>
          <w:color w:val="000000"/>
          <w:sz w:val="36"/>
          <w:szCs w:val="36"/>
        </w:rPr>
        <w:t xml:space="preserve">FORM 10-Q </w:t>
      </w:r>
    </w:p>
    <w:p w:rsidR="00000000" w:rsidRDefault="00A07857">
      <w:pPr>
        <w:divId w:val="1026566349"/>
        <w:rPr>
          <w:rFonts w:eastAsia="Times New Roman"/>
        </w:rPr>
      </w:pPr>
      <w:r>
        <w:rPr>
          <w:rFonts w:ascii="Arial" w:eastAsia="Times New Roman" w:hAnsi="Arial" w:cs="Arial"/>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1989749232"/>
        </w:trPr>
        <w:tc>
          <w:tcPr>
            <w:tcW w:w="50" w:type="pct"/>
            <w:vAlign w:val="center"/>
            <w:hideMark/>
          </w:tcPr>
          <w:p w:rsidR="00000000" w:rsidRDefault="00A07857">
            <w:pPr>
              <w:rPr>
                <w:rFonts w:eastAsia="Times New Roman"/>
              </w:rPr>
            </w:pPr>
          </w:p>
        </w:tc>
        <w:tc>
          <w:tcPr>
            <w:tcW w:w="23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65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989749232"/>
        </w:trPr>
        <w:tc>
          <w:tcPr>
            <w:tcW w:w="0" w:type="auto"/>
            <w:gridSpan w:val="3"/>
            <w:tcMar>
              <w:top w:w="30" w:type="dxa"/>
              <w:left w:w="20" w:type="dxa"/>
              <w:bottom w:w="30" w:type="dxa"/>
              <w:right w:w="20" w:type="dxa"/>
            </w:tcMar>
            <w:hideMark/>
          </w:tcPr>
          <w:p w:rsidR="00000000" w:rsidRDefault="00A07857">
            <w:pP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b/>
                <w:bCs/>
                <w:color w:val="000000"/>
              </w:rPr>
              <w:t>QUARTERLY REPORT PURSUANT TO SECTION 13 OR 15(d) OF THE SECURITIES EXCHANGE ACT OF 1934</w:t>
            </w:r>
          </w:p>
        </w:tc>
      </w:tr>
    </w:tbl>
    <w:p w:rsidR="00000000" w:rsidRDefault="00A07857">
      <w:pPr>
        <w:ind w:firstLine="630"/>
        <w:jc w:val="center"/>
        <w:divId w:val="1937982009"/>
        <w:rPr>
          <w:rFonts w:eastAsia="Times New Roman"/>
        </w:rPr>
      </w:pPr>
      <w:r>
        <w:rPr>
          <w:rFonts w:ascii="Arial" w:eastAsia="Times New Roman" w:hAnsi="Arial" w:cs="Arial"/>
          <w:b/>
          <w:bCs/>
          <w:color w:val="000000"/>
        </w:rPr>
        <w:t xml:space="preserve">For the quarterly period ended </w:t>
      </w:r>
      <w:r>
        <w:rPr>
          <w:rFonts w:ascii="Arial" w:eastAsia="Times New Roman" w:hAnsi="Arial" w:cs="Arial"/>
          <w:b/>
          <w:bCs/>
          <w:color w:val="000000"/>
          <w:u w:val="single"/>
        </w:rPr>
        <w:t>January 31, 2021</w:t>
      </w:r>
    </w:p>
    <w:p w:rsidR="00000000" w:rsidRDefault="00A07857">
      <w:pPr>
        <w:jc w:val="center"/>
        <w:rPr>
          <w:rFonts w:eastAsia="Times New Roman"/>
        </w:rPr>
      </w:pPr>
      <w:r>
        <w:rPr>
          <w:rFonts w:ascii="Arial" w:eastAsia="Times New Roman" w:hAnsi="Arial" w:cs="Arial"/>
          <w:color w:val="000000"/>
        </w:rPr>
        <w:t>or</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1278097716"/>
        </w:trPr>
        <w:tc>
          <w:tcPr>
            <w:tcW w:w="50" w:type="pct"/>
            <w:vAlign w:val="center"/>
            <w:hideMark/>
          </w:tcPr>
          <w:p w:rsidR="00000000" w:rsidRDefault="00A07857">
            <w:pPr>
              <w:jc w:val="center"/>
              <w:rPr>
                <w:rFonts w:eastAsia="Times New Roman"/>
              </w:rPr>
            </w:pPr>
          </w:p>
        </w:tc>
        <w:tc>
          <w:tcPr>
            <w:tcW w:w="23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65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278097716"/>
        </w:trPr>
        <w:tc>
          <w:tcPr>
            <w:tcW w:w="0" w:type="auto"/>
            <w:gridSpan w:val="3"/>
            <w:tcMar>
              <w:top w:w="30" w:type="dxa"/>
              <w:left w:w="20" w:type="dxa"/>
              <w:bottom w:w="30" w:type="dxa"/>
              <w:right w:w="20" w:type="dxa"/>
            </w:tcMar>
            <w:hideMark/>
          </w:tcPr>
          <w:p w:rsidR="00000000" w:rsidRDefault="00A07857">
            <w:pP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b/>
                <w:bCs/>
                <w:color w:val="000000"/>
              </w:rPr>
              <w:t>TRANSITION REPORT PURSUANT TO SECTION 13 OR 15(d) OF THE SECURITIES EXCHANGE ACT OF 1934</w:t>
            </w:r>
          </w:p>
        </w:tc>
      </w:tr>
    </w:tbl>
    <w:p w:rsidR="00000000" w:rsidRDefault="00A07857">
      <w:pPr>
        <w:jc w:val="center"/>
        <w:divId w:val="187068950"/>
        <w:rPr>
          <w:rFonts w:eastAsia="Times New Roman"/>
        </w:rPr>
      </w:pPr>
      <w:r>
        <w:rPr>
          <w:rFonts w:ascii="Arial" w:eastAsia="Times New Roman" w:hAnsi="Arial" w:cs="Arial"/>
          <w:b/>
          <w:bCs/>
          <w:color w:val="000000"/>
          <w:sz w:val="20"/>
          <w:szCs w:val="20"/>
        </w:rPr>
        <w:t xml:space="preserve">For the transition period from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rPr>
        <w:t xml:space="preserve"> to  </w:t>
      </w:r>
      <w:r>
        <w:rPr>
          <w:rFonts w:ascii="Arial" w:eastAsia="Times New Roman" w:hAnsi="Arial" w:cs="Arial"/>
          <w:b/>
          <w:bCs/>
          <w:color w:val="000000"/>
          <w:sz w:val="20"/>
          <w:szCs w:val="20"/>
          <w:u w:val="single"/>
        </w:rPr>
        <w:t>           </w:t>
      </w:r>
    </w:p>
    <w:p w:rsidR="00000000" w:rsidRDefault="00A07857">
      <w:pPr>
        <w:jc w:val="center"/>
        <w:divId w:val="1499227763"/>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b/>
          <w:bCs/>
          <w:color w:val="000000"/>
          <w:sz w:val="20"/>
          <w:szCs w:val="20"/>
          <w:u w:val="single"/>
        </w:rPr>
        <w:t>1-8929</w:t>
      </w:r>
      <w:r>
        <w:rPr>
          <w:rFonts w:ascii="Arial" w:eastAsia="Times New Roman" w:hAnsi="Arial" w:cs="Arial"/>
          <w:color w:val="000000"/>
          <w:sz w:val="20"/>
          <w:szCs w:val="20"/>
        </w:rPr>
        <w:t> </w:t>
      </w:r>
    </w:p>
    <w:p w:rsidR="00000000" w:rsidRDefault="00A07857">
      <w:pPr>
        <w:jc w:val="center"/>
        <w:divId w:val="1575965711"/>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07857">
      <w:pPr>
        <w:jc w:val="center"/>
        <w:rPr>
          <w:rFonts w:eastAsia="Times New Roman"/>
        </w:rPr>
      </w:pPr>
      <w:r>
        <w:rPr>
          <w:rFonts w:ascii="Arial" w:eastAsia="Times New Roman" w:hAnsi="Arial" w:cs="Arial"/>
          <w:b/>
          <w:bCs/>
          <w:color w:val="000000"/>
          <w:sz w:val="48"/>
          <w:szCs w:val="48"/>
        </w:rPr>
        <w:t>ABM INDUSTRIES INCORPORATED</w:t>
      </w:r>
    </w:p>
    <w:p w:rsidR="00000000" w:rsidRDefault="00A07857">
      <w:pPr>
        <w:jc w:val="center"/>
        <w:rPr>
          <w:rFonts w:eastAsia="Times New Roman"/>
        </w:rPr>
      </w:pPr>
      <w:r>
        <w:rPr>
          <w:rFonts w:ascii="Arial" w:eastAsia="Times New Roman" w:hAnsi="Arial" w:cs="Arial"/>
          <w:color w:val="000000"/>
          <w:sz w:val="20"/>
          <w:szCs w:val="20"/>
        </w:rPr>
        <w:t>(Exact name of registrant as specified in its charter)</w:t>
      </w:r>
    </w:p>
    <w:tbl>
      <w:tblPr>
        <w:tblW w:w="4978" w:type="pct"/>
        <w:tblCellMar>
          <w:top w:w="15" w:type="dxa"/>
          <w:left w:w="15" w:type="dxa"/>
          <w:bottom w:w="15" w:type="dxa"/>
          <w:right w:w="15" w:type="dxa"/>
        </w:tblCellMar>
        <w:tblLook w:val="04A0" w:firstRow="1" w:lastRow="0" w:firstColumn="1" w:lastColumn="0" w:noHBand="0" w:noVBand="1"/>
      </w:tblPr>
      <w:tblGrid>
        <w:gridCol w:w="69"/>
        <w:gridCol w:w="2164"/>
        <w:gridCol w:w="36"/>
        <w:gridCol w:w="69"/>
        <w:gridCol w:w="3623"/>
        <w:gridCol w:w="36"/>
        <w:gridCol w:w="69"/>
        <w:gridCol w:w="2167"/>
        <w:gridCol w:w="36"/>
      </w:tblGrid>
      <w:tr w:rsidR="00000000">
        <w:trPr>
          <w:divId w:val="1256329393"/>
        </w:trPr>
        <w:tc>
          <w:tcPr>
            <w:tcW w:w="50" w:type="pct"/>
            <w:vAlign w:val="center"/>
            <w:hideMark/>
          </w:tcPr>
          <w:p w:rsidR="00000000" w:rsidRDefault="00A07857">
            <w:pPr>
              <w:jc w:val="center"/>
              <w:rPr>
                <w:rFonts w:eastAsia="Times New Roman"/>
              </w:rPr>
            </w:pPr>
          </w:p>
        </w:tc>
        <w:tc>
          <w:tcPr>
            <w:tcW w:w="131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219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131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256329393"/>
          <w:trHeight w:val="700"/>
        </w:trPr>
        <w:tc>
          <w:tcPr>
            <w:tcW w:w="0" w:type="auto"/>
            <w:gridSpan w:val="3"/>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b/>
                <w:bCs/>
                <w:color w:val="000000"/>
                <w:sz w:val="18"/>
                <w:szCs w:val="18"/>
              </w:rPr>
              <w:t>Delaware</w:t>
            </w:r>
          </w:p>
        </w:tc>
        <w:tc>
          <w:tcPr>
            <w:tcW w:w="0" w:type="auto"/>
            <w:gridSpan w:val="3"/>
            <w:vMerge w:val="restart"/>
            <w:tcMar>
              <w:top w:w="0" w:type="dxa"/>
              <w:left w:w="20" w:type="dxa"/>
              <w:bottom w:w="0" w:type="dxa"/>
              <w:right w:w="20" w:type="dxa"/>
            </w:tcMar>
            <w:vAlign w:val="center"/>
            <w:hideMark/>
          </w:tcPr>
          <w:p w:rsidR="00000000" w:rsidRDefault="00A07857">
            <w:pPr>
              <w:jc w:val="center"/>
              <w:rPr>
                <w:rFonts w:eastAsia="Times New Roman"/>
              </w:rPr>
            </w:pPr>
            <w:r>
              <w:rPr>
                <w:rFonts w:eastAsia="Times New Roman"/>
                <w:noProof/>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b/>
                <w:bCs/>
                <w:color w:val="000000"/>
                <w:sz w:val="18"/>
                <w:szCs w:val="18"/>
              </w:rPr>
              <w:t>94-13693</w:t>
            </w:r>
            <w:r>
              <w:rPr>
                <w:rFonts w:ascii="Arial" w:eastAsia="Times New Roman" w:hAnsi="Arial" w:cs="Arial"/>
                <w:b/>
                <w:bCs/>
                <w:color w:val="000000"/>
                <w:sz w:val="18"/>
                <w:szCs w:val="18"/>
              </w:rPr>
              <w:t>54</w:t>
            </w:r>
          </w:p>
        </w:tc>
      </w:tr>
      <w:tr w:rsidR="00000000">
        <w:trPr>
          <w:divId w:val="1256329393"/>
          <w:trHeight w:val="700"/>
        </w:trPr>
        <w:tc>
          <w:tcPr>
            <w:tcW w:w="0" w:type="auto"/>
            <w:gridSpan w:val="3"/>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(State or other jurisdiction of</w:t>
            </w:r>
            <w:r>
              <w:rPr>
                <w:rFonts w:ascii="Arial" w:eastAsia="Times New Roman" w:hAnsi="Arial" w:cs="Arial"/>
                <w:color w:val="000000"/>
                <w:sz w:val="18"/>
                <w:szCs w:val="18"/>
              </w:rPr>
              <w:br/>
              <w:t>incorporation or organization)</w:t>
            </w:r>
          </w:p>
        </w:tc>
        <w:tc>
          <w:tcPr>
            <w:tcW w:w="0" w:type="auto"/>
            <w:gridSpan w:val="3"/>
            <w:vMerge/>
            <w:vAlign w:val="center"/>
            <w:hideMark/>
          </w:tcPr>
          <w:p w:rsidR="00000000" w:rsidRDefault="00A07857">
            <w:pPr>
              <w:rPr>
                <w:rFonts w:eastAsia="Times New Roman"/>
              </w:rPr>
            </w:pPr>
          </w:p>
        </w:tc>
        <w:tc>
          <w:tcPr>
            <w:tcW w:w="0" w:type="auto"/>
            <w:gridSpan w:val="3"/>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(I.R.S. Employer</w:t>
            </w:r>
            <w:r>
              <w:rPr>
                <w:rFonts w:ascii="Arial" w:eastAsia="Times New Roman" w:hAnsi="Arial" w:cs="Arial"/>
                <w:color w:val="000000"/>
                <w:sz w:val="18"/>
                <w:szCs w:val="18"/>
              </w:rPr>
              <w:br/>
              <w:t>Identification No.)</w:t>
            </w:r>
          </w:p>
        </w:tc>
      </w:tr>
    </w:tbl>
    <w:p w:rsidR="00000000" w:rsidRDefault="00A07857">
      <w:pPr>
        <w:jc w:val="center"/>
        <w:rPr>
          <w:rFonts w:eastAsia="Times New Roman"/>
        </w:rPr>
      </w:pPr>
      <w:r>
        <w:rPr>
          <w:rFonts w:ascii="Arial" w:eastAsia="Times New Roman" w:hAnsi="Arial" w:cs="Arial"/>
          <w:color w:val="000000"/>
          <w:sz w:val="20"/>
          <w:szCs w:val="20"/>
        </w:rPr>
        <w:t>__________________________</w:t>
      </w:r>
    </w:p>
    <w:p w:rsidR="00000000" w:rsidRDefault="00A07857">
      <w:pPr>
        <w:jc w:val="center"/>
        <w:divId w:val="1519277005"/>
        <w:rPr>
          <w:rFonts w:eastAsia="Times New Roman"/>
        </w:rPr>
      </w:pPr>
      <w:r>
        <w:rPr>
          <w:rFonts w:ascii="Arial" w:eastAsia="Times New Roman" w:hAnsi="Arial" w:cs="Arial"/>
          <w:b/>
          <w:bCs/>
          <w:color w:val="000000"/>
          <w:sz w:val="20"/>
          <w:szCs w:val="20"/>
        </w:rPr>
        <w:t xml:space="preserve">One Liberty Plaza, </w:t>
      </w:r>
      <w:r>
        <w:rPr>
          <w:rFonts w:ascii="Arial" w:eastAsia="Times New Roman" w:hAnsi="Arial" w:cs="Arial"/>
          <w:b/>
          <w:bCs/>
          <w:color w:val="000000"/>
          <w:sz w:val="20"/>
          <w:szCs w:val="20"/>
        </w:rPr>
        <w:t>7</w:t>
      </w:r>
      <w:r>
        <w:rPr>
          <w:rFonts w:ascii="Arial" w:eastAsia="Times New Roman" w:hAnsi="Arial" w:cs="Arial"/>
          <w:b/>
          <w:bCs/>
          <w:color w:val="000000"/>
          <w:sz w:val="13"/>
          <w:szCs w:val="13"/>
        </w:rPr>
        <w:t>t</w:t>
      </w:r>
      <w:r>
        <w:rPr>
          <w:rFonts w:ascii="Arial" w:eastAsia="Times New Roman" w:hAnsi="Arial" w:cs="Arial"/>
          <w:b/>
          <w:bCs/>
          <w:color w:val="000000"/>
          <w:sz w:val="13"/>
          <w:szCs w:val="13"/>
        </w:rPr>
        <w:t>h</w:t>
      </w:r>
      <w:r>
        <w:rPr>
          <w:rFonts w:ascii="Arial" w:eastAsia="Times New Roman" w:hAnsi="Arial" w:cs="Arial"/>
          <w:b/>
          <w:bCs/>
          <w:color w:val="000000"/>
          <w:sz w:val="20"/>
          <w:szCs w:val="20"/>
        </w:rPr>
        <w:t xml:space="preserve"> Floor </w:t>
      </w:r>
    </w:p>
    <w:p w:rsidR="00000000" w:rsidRDefault="00A07857">
      <w:pPr>
        <w:jc w:val="center"/>
        <w:divId w:val="1929852360"/>
        <w:rPr>
          <w:rFonts w:eastAsia="Times New Roman"/>
        </w:rPr>
      </w:pPr>
      <w:r>
        <w:rPr>
          <w:rFonts w:ascii="Arial" w:eastAsia="Times New Roman" w:hAnsi="Arial" w:cs="Arial"/>
          <w:b/>
          <w:bCs/>
          <w:color w:val="000000"/>
          <w:sz w:val="20"/>
          <w:szCs w:val="20"/>
        </w:rPr>
        <w:t xml:space="preserve">New York, New York 10006 </w:t>
      </w:r>
    </w:p>
    <w:p w:rsidR="00000000" w:rsidRDefault="00A07857">
      <w:pPr>
        <w:jc w:val="center"/>
        <w:divId w:val="1080101435"/>
        <w:rPr>
          <w:rFonts w:eastAsia="Times New Roman"/>
        </w:rPr>
      </w:pPr>
      <w:r>
        <w:rPr>
          <w:rFonts w:ascii="Arial" w:eastAsia="Times New Roman" w:hAnsi="Arial" w:cs="Arial"/>
          <w:color w:val="000000"/>
          <w:sz w:val="20"/>
          <w:szCs w:val="20"/>
        </w:rPr>
        <w:t>(Address of principal executive offices)</w:t>
      </w:r>
    </w:p>
    <w:p w:rsidR="00000000" w:rsidRDefault="00A07857">
      <w:pPr>
        <w:jc w:val="center"/>
        <w:rPr>
          <w:rFonts w:eastAsia="Times New Roman"/>
        </w:rPr>
      </w:pPr>
    </w:p>
    <w:p w:rsidR="00000000" w:rsidRDefault="00A07857">
      <w:pPr>
        <w:jc w:val="center"/>
        <w:divId w:val="12608019"/>
        <w:rPr>
          <w:rFonts w:eastAsia="Times New Roman"/>
        </w:rPr>
      </w:pPr>
      <w:r>
        <w:rPr>
          <w:rFonts w:ascii="Arial" w:eastAsia="Times New Roman" w:hAnsi="Arial" w:cs="Arial"/>
          <w:b/>
          <w:bCs/>
          <w:color w:val="000000"/>
          <w:sz w:val="20"/>
          <w:szCs w:val="20"/>
          <w:u w:val="single"/>
        </w:rPr>
        <w:t>(212) 297-0200</w:t>
      </w:r>
    </w:p>
    <w:p w:rsidR="00000000" w:rsidRDefault="00A07857">
      <w:pPr>
        <w:jc w:val="center"/>
        <w:divId w:val="577639228"/>
        <w:rPr>
          <w:rFonts w:eastAsia="Times New Roman"/>
        </w:rPr>
      </w:pPr>
      <w:r>
        <w:rPr>
          <w:rFonts w:ascii="Arial" w:eastAsia="Times New Roman" w:hAnsi="Arial" w:cs="Arial"/>
          <w:color w:val="000000"/>
          <w:sz w:val="20"/>
          <w:szCs w:val="20"/>
        </w:rPr>
        <w:t>(Registrant’s telephone number, including area code)</w:t>
      </w:r>
    </w:p>
    <w:p w:rsidR="00000000" w:rsidRDefault="00A07857">
      <w:pPr>
        <w:jc w:val="center"/>
        <w:divId w:val="1791244865"/>
        <w:rPr>
          <w:rFonts w:eastAsia="Times New Roman"/>
        </w:rPr>
      </w:pPr>
      <w:r>
        <w:rPr>
          <w:rFonts w:ascii="Arial" w:eastAsia="Times New Roman" w:hAnsi="Arial" w:cs="Arial"/>
          <w:b/>
          <w:bCs/>
          <w:color w:val="000000"/>
          <w:sz w:val="20"/>
          <w:szCs w:val="20"/>
        </w:rPr>
        <w:t>None</w:t>
      </w:r>
    </w:p>
    <w:p w:rsidR="00000000" w:rsidRDefault="00A07857">
      <w:pPr>
        <w:jc w:val="center"/>
        <w:rPr>
          <w:rFonts w:eastAsia="Times New Roman"/>
        </w:rPr>
      </w:pPr>
      <w:r>
        <w:rPr>
          <w:rFonts w:ascii="Arial" w:eastAsia="Times New Roman" w:hAnsi="Arial" w:cs="Arial"/>
          <w:color w:val="000000"/>
          <w:sz w:val="20"/>
          <w:szCs w:val="20"/>
        </w:rPr>
        <w:t>(Former name, former address and former fiscal year, if changed since last report)</w:t>
      </w:r>
    </w:p>
    <w:p w:rsidR="00000000" w:rsidRDefault="00A07857">
      <w:pPr>
        <w:jc w:val="center"/>
        <w:rPr>
          <w:rFonts w:eastAsia="Times New Roman"/>
        </w:rPr>
      </w:pPr>
      <w:r>
        <w:rPr>
          <w:rFonts w:ascii="Arial" w:eastAsia="Times New Roman" w:hAnsi="Arial" w:cs="Arial"/>
          <w:color w:val="000000"/>
          <w:sz w:val="20"/>
          <w:szCs w:val="20"/>
        </w:rPr>
        <w:t>__________________________</w:t>
      </w:r>
    </w:p>
    <w:p w:rsidR="00000000" w:rsidRDefault="00A07857">
      <w:pPr>
        <w:jc w:val="center"/>
        <w:divId w:val="1882864148"/>
        <w:rPr>
          <w:rFonts w:eastAsia="Times New Roman"/>
        </w:rPr>
      </w:pPr>
      <w:r>
        <w:rPr>
          <w:rFonts w:ascii="Arial" w:eastAsia="Times New Roman" w:hAnsi="Arial" w:cs="Arial"/>
          <w:color w:val="000000"/>
          <w:sz w:val="20"/>
          <w:szCs w:val="20"/>
        </w:rPr>
        <w:t>Securities registered pursuant to Section 12(b) of the Act:</w:t>
      </w:r>
    </w:p>
    <w:tbl>
      <w:tblPr>
        <w:tblW w:w="4941" w:type="pct"/>
        <w:tblCellMar>
          <w:top w:w="15" w:type="dxa"/>
          <w:left w:w="15" w:type="dxa"/>
          <w:bottom w:w="15" w:type="dxa"/>
          <w:right w:w="15" w:type="dxa"/>
        </w:tblCellMar>
        <w:tblLook w:val="04A0" w:firstRow="1" w:lastRow="0" w:firstColumn="1" w:lastColumn="0" w:noHBand="0" w:noVBand="1"/>
      </w:tblPr>
      <w:tblGrid>
        <w:gridCol w:w="47"/>
        <w:gridCol w:w="2584"/>
        <w:gridCol w:w="37"/>
        <w:gridCol w:w="36"/>
        <w:gridCol w:w="36"/>
        <w:gridCol w:w="36"/>
        <w:gridCol w:w="48"/>
        <w:gridCol w:w="1928"/>
        <w:gridCol w:w="36"/>
        <w:gridCol w:w="36"/>
        <w:gridCol w:w="36"/>
        <w:gridCol w:w="36"/>
        <w:gridCol w:w="48"/>
        <w:gridCol w:w="3228"/>
        <w:gridCol w:w="36"/>
      </w:tblGrid>
      <w:tr w:rsidR="00000000">
        <w:trPr>
          <w:divId w:val="1000625002"/>
        </w:trPr>
        <w:tc>
          <w:tcPr>
            <w:tcW w:w="50" w:type="pct"/>
            <w:vAlign w:val="center"/>
            <w:hideMark/>
          </w:tcPr>
          <w:p w:rsidR="00000000" w:rsidRDefault="00A07857">
            <w:pPr>
              <w:jc w:val="center"/>
              <w:rPr>
                <w:rFonts w:eastAsia="Times New Roman"/>
              </w:rPr>
            </w:pPr>
          </w:p>
        </w:tc>
        <w:tc>
          <w:tcPr>
            <w:tcW w:w="159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119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198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000625002"/>
        </w:trPr>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Title of each class</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Trading Symbol</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Name of each exchange on which registered</w:t>
            </w:r>
          </w:p>
        </w:tc>
      </w:tr>
      <w:tr w:rsidR="00000000">
        <w:trPr>
          <w:divId w:val="1000625002"/>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lastRenderedPageBreak/>
              <w:t>Common Stock, $0.01 par value</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ABM</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New York Stock Exchange</w:t>
            </w:r>
          </w:p>
        </w:tc>
      </w:tr>
    </w:tbl>
    <w:p w:rsidR="00000000" w:rsidRDefault="00A07857">
      <w:pPr>
        <w:divId w:val="759985165"/>
        <w:rPr>
          <w:rFonts w:eastAsia="Times New Roman"/>
        </w:rPr>
      </w:pPr>
    </w:p>
    <w:p w:rsidR="00000000" w:rsidRDefault="00A07857">
      <w:pPr>
        <w:rPr>
          <w:rFonts w:eastAsia="Times New Roman"/>
        </w:rPr>
      </w:pPr>
      <w:r>
        <w:rPr>
          <w:rFonts w:eastAsia="Times New Roman"/>
        </w:rPr>
        <w:pict>
          <v:rect id="_x0000_i1027" style="width:0;height:1.5pt" o:hralign="center" o:hrstd="t" o:hr="t" fillcolor="#a0a0a0" stroked="f"/>
        </w:pict>
      </w:r>
    </w:p>
    <w:p w:rsidR="00000000" w:rsidRDefault="00A07857">
      <w:pPr>
        <w:divId w:val="1560826498"/>
        <w:rPr>
          <w:rFonts w:eastAsia="Times New Roman"/>
        </w:rPr>
      </w:pPr>
    </w:p>
    <w:p w:rsidR="00000000" w:rsidRDefault="00A07857">
      <w:pPr>
        <w:jc w:val="both"/>
        <w:divId w:val="1797799412"/>
        <w:rPr>
          <w:rFonts w:eastAsia="Times New Roman"/>
        </w:rPr>
      </w:pPr>
      <w:r>
        <w:rPr>
          <w:rFonts w:ascii="Arial" w:eastAsia="Times New Roman" w:hAnsi="Arial" w:cs="Arial"/>
          <w:color w:val="000000"/>
          <w:sz w:val="20"/>
          <w:szCs w:val="20"/>
        </w:rPr>
        <w:t>Indicate by check mark whether the registrant (1) has filed all reports required to be filed by Section 13 or 15(d) of the Securities Exchange Act of 1934 during the preceding 12 months (or for such shorter period that</w:t>
      </w:r>
      <w:r>
        <w:rPr>
          <w:rFonts w:ascii="Arial" w:eastAsia="Times New Roman" w:hAnsi="Arial" w:cs="Arial"/>
          <w:color w:val="000000"/>
          <w:sz w:val="20"/>
          <w:szCs w:val="20"/>
        </w:rPr>
        <w:t xml:space="preserve"> the registrant was required to file such reports), and (2) has been subject to such filing requirements for the past 90 days.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rsidR="00000000" w:rsidRDefault="00A07857">
      <w:pPr>
        <w:jc w:val="both"/>
        <w:divId w:val="1597521501"/>
        <w:rPr>
          <w:rFonts w:eastAsia="Times New Roman"/>
        </w:rPr>
      </w:pPr>
      <w:r>
        <w:rPr>
          <w:rFonts w:ascii="Arial" w:eastAsia="Times New Roman" w:hAnsi="Arial" w:cs="Arial"/>
          <w:color w:val="000000"/>
          <w:sz w:val="20"/>
          <w:szCs w:val="20"/>
        </w:rPr>
        <w:t>Indicate by check mark whether the registrant has submitted electronically every Interactive Data File requir</w:t>
      </w:r>
      <w:r>
        <w:rPr>
          <w:rFonts w:ascii="Arial" w:eastAsia="Times New Roman" w:hAnsi="Arial" w:cs="Arial"/>
          <w:color w:val="000000"/>
          <w:sz w:val="20"/>
          <w:szCs w:val="20"/>
        </w:rPr>
        <w:t>ed to be submitted pursuant to Rule 405 of Regulation S-T (§ 232.405 of this chapter) during the preceding 12 months (or for such shorter period that the registrant was required to submit such files).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rsidR="00000000" w:rsidRDefault="00A07857">
      <w:pPr>
        <w:jc w:val="both"/>
        <w:divId w:val="190727046"/>
        <w:rPr>
          <w:rFonts w:eastAsia="Times New Roman"/>
        </w:rPr>
      </w:pPr>
      <w:r>
        <w:rPr>
          <w:rFonts w:ascii="Arial" w:eastAsia="Times New Roman" w:hAnsi="Arial" w:cs="Arial"/>
          <w:color w:val="000000"/>
          <w:sz w:val="20"/>
          <w:szCs w:val="20"/>
        </w:rPr>
        <w:t xml:space="preserve">Indicate by check mark whether the </w:t>
      </w:r>
      <w:r>
        <w:rPr>
          <w:rFonts w:ascii="Arial" w:eastAsia="Times New Roman" w:hAnsi="Arial" w:cs="Arial"/>
          <w:color w:val="000000"/>
          <w:sz w:val="20"/>
          <w:szCs w:val="20"/>
        </w:rPr>
        <w:t>registrant is a large accelerated filer, an accelerated filer, a non-accelerated filer, a smaller reporting company, or an emerging growth company. See the definitions of “large accelerated filer,” “accelerated filer,” “smaller reporting company,” and “eme</w:t>
      </w:r>
      <w:r>
        <w:rPr>
          <w:rFonts w:ascii="Arial" w:eastAsia="Times New Roman" w:hAnsi="Arial" w:cs="Arial"/>
          <w:color w:val="000000"/>
          <w:sz w:val="20"/>
          <w:szCs w:val="20"/>
        </w:rPr>
        <w:t>rging growth company” in Rule 12b-2 of the Exchange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61"/>
        <w:gridCol w:w="1279"/>
        <w:gridCol w:w="36"/>
        <w:gridCol w:w="37"/>
        <w:gridCol w:w="292"/>
        <w:gridCol w:w="36"/>
        <w:gridCol w:w="86"/>
        <w:gridCol w:w="1003"/>
        <w:gridCol w:w="36"/>
        <w:gridCol w:w="37"/>
        <w:gridCol w:w="198"/>
        <w:gridCol w:w="36"/>
        <w:gridCol w:w="69"/>
        <w:gridCol w:w="1079"/>
        <w:gridCol w:w="36"/>
        <w:gridCol w:w="37"/>
        <w:gridCol w:w="198"/>
        <w:gridCol w:w="36"/>
        <w:gridCol w:w="43"/>
        <w:gridCol w:w="1472"/>
        <w:gridCol w:w="36"/>
        <w:gridCol w:w="37"/>
        <w:gridCol w:w="196"/>
        <w:gridCol w:w="36"/>
        <w:gridCol w:w="46"/>
        <w:gridCol w:w="1480"/>
        <w:gridCol w:w="36"/>
        <w:gridCol w:w="37"/>
        <w:gridCol w:w="198"/>
        <w:gridCol w:w="36"/>
      </w:tblGrid>
      <w:tr w:rsidR="00000000">
        <w:trPr>
          <w:divId w:val="1607032285"/>
          <w:jc w:val="center"/>
        </w:trPr>
        <w:tc>
          <w:tcPr>
            <w:tcW w:w="50" w:type="pct"/>
            <w:vAlign w:val="center"/>
            <w:hideMark/>
          </w:tcPr>
          <w:p w:rsidR="00000000" w:rsidRDefault="00A07857">
            <w:pPr>
              <w:jc w:val="both"/>
              <w:rPr>
                <w:rFonts w:eastAsia="Times New Roman"/>
              </w:rPr>
            </w:pPr>
          </w:p>
        </w:tc>
        <w:tc>
          <w:tcPr>
            <w:tcW w:w="8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2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58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2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3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2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953"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1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93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30"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607032285"/>
          <w:jc w:val="center"/>
        </w:trPr>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A07857">
            <w:pPr>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A07857">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A07857">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A07857">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A07857">
            <w:pPr>
              <w:jc w:val="center"/>
              <w:rPr>
                <w:rFonts w:eastAsia="Times New Roman"/>
              </w:rPr>
            </w:pPr>
            <w:r>
              <w:rPr>
                <w:rFonts w:ascii="Segoe UI Symbol" w:eastAsia="Times New Roman" w:hAnsi="Segoe UI Symbol" w:cs="Segoe UI Symbol"/>
                <w:color w:val="000000"/>
                <w:sz w:val="20"/>
                <w:szCs w:val="20"/>
              </w:rPr>
              <w:t>☐</w:t>
            </w:r>
          </w:p>
        </w:tc>
      </w:tr>
    </w:tbl>
    <w:p w:rsidR="00000000" w:rsidRDefault="00A07857">
      <w:pPr>
        <w:jc w:val="both"/>
        <w:divId w:val="2109500750"/>
        <w:rPr>
          <w:rFonts w:eastAsia="Times New Roman"/>
        </w:rPr>
      </w:pPr>
      <w:r>
        <w:rPr>
          <w:rFonts w:ascii="Arial" w:eastAsia="Times New Roman" w:hAnsi="Arial" w:cs="Arial"/>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A07857">
      <w:pPr>
        <w:divId w:val="1824349375"/>
        <w:rPr>
          <w:rFonts w:eastAsia="Times New Roman"/>
        </w:rPr>
      </w:pPr>
      <w:r>
        <w:rPr>
          <w:rFonts w:ascii="Arial" w:eastAsia="Times New Roman" w:hAnsi="Arial" w:cs="Arial"/>
          <w:color w:val="000000"/>
          <w:sz w:val="20"/>
          <w:szCs w:val="20"/>
        </w:rPr>
        <w:t>Ind</w:t>
      </w:r>
      <w:r>
        <w:rPr>
          <w:rFonts w:ascii="Arial" w:eastAsia="Times New Roman" w:hAnsi="Arial" w:cs="Arial"/>
          <w:color w:val="000000"/>
          <w:sz w:val="20"/>
          <w:szCs w:val="20"/>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w:t>
      </w:r>
      <w:r>
        <w:rPr>
          <w:rFonts w:ascii="Wingdings" w:eastAsia="Times New Roman" w:hAnsi="Wingdings"/>
          <w:color w:val="000000"/>
          <w:sz w:val="20"/>
          <w:szCs w:val="20"/>
        </w:rPr>
        <w:t xml:space="preserve"> </w:t>
      </w:r>
      <w:r>
        <w:rPr>
          <w:rFonts w:ascii="Segoe UI Emoji" w:eastAsia="Times New Roman" w:hAnsi="Segoe UI Emoji" w:cs="Segoe UI Emoji"/>
          <w:color w:val="000000"/>
          <w:sz w:val="20"/>
          <w:szCs w:val="20"/>
        </w:rPr>
        <w:t>☑</w:t>
      </w:r>
    </w:p>
    <w:p w:rsidR="00000000" w:rsidRDefault="00A07857">
      <w:pPr>
        <w:jc w:val="center"/>
        <w:divId w:val="573472071"/>
        <w:rPr>
          <w:rFonts w:eastAsia="Times New Roman"/>
        </w:rPr>
      </w:pPr>
      <w:r>
        <w:rPr>
          <w:rFonts w:ascii="Arial" w:eastAsia="Times New Roman" w:hAnsi="Arial" w:cs="Arial"/>
          <w:color w:val="000000"/>
          <w:sz w:val="20"/>
          <w:szCs w:val="20"/>
        </w:rPr>
        <w:t>Number of shares of the registrant’s common stock outstanding as of March 9, 2021: 67,089,696</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846090580"/>
          <w:jc w:val="center"/>
        </w:trPr>
        <w:tc>
          <w:tcPr>
            <w:tcW w:w="50" w:type="pct"/>
            <w:vAlign w:val="center"/>
            <w:hideMark/>
          </w:tcPr>
          <w:p w:rsidR="00000000" w:rsidRDefault="00A07857">
            <w:pPr>
              <w:jc w:val="center"/>
              <w:rPr>
                <w:rFonts w:eastAsia="Times New Roman"/>
              </w:rPr>
            </w:pPr>
          </w:p>
        </w:tc>
        <w:tc>
          <w:tcPr>
            <w:tcW w:w="494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846090580"/>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jc w:val="center"/>
        <w:divId w:val="575356737"/>
        <w:rPr>
          <w:rFonts w:eastAsia="Times New Roman"/>
        </w:rPr>
      </w:pPr>
    </w:p>
    <w:p w:rsidR="00000000" w:rsidRDefault="00A07857">
      <w:pPr>
        <w:rPr>
          <w:rFonts w:eastAsia="Times New Roman"/>
        </w:rPr>
      </w:pPr>
      <w:r>
        <w:rPr>
          <w:rFonts w:eastAsia="Times New Roman"/>
        </w:rPr>
        <w:pict>
          <v:rect id="_x0000_i1028" style="width:0;height:1.5pt" o:hralign="center" o:hrstd="t" o:hr="t" fillcolor="#a0a0a0" stroked="f"/>
        </w:pict>
      </w:r>
    </w:p>
    <w:p w:rsidR="00000000" w:rsidRDefault="00A07857">
      <w:pPr>
        <w:divId w:val="214585946"/>
        <w:rPr>
          <w:rFonts w:eastAsia="Times New Roman"/>
        </w:rPr>
      </w:pPr>
    </w:p>
    <w:p w:rsidR="00000000" w:rsidRDefault="00A07857">
      <w:pPr>
        <w:jc w:val="center"/>
        <w:divId w:val="918248447"/>
        <w:rPr>
          <w:rFonts w:eastAsia="Times New Roman"/>
        </w:rPr>
      </w:pPr>
      <w:r>
        <w:rPr>
          <w:rFonts w:ascii="Arial" w:eastAsia="Times New Roman" w:hAnsi="Arial" w:cs="Arial"/>
          <w:b/>
          <w:bCs/>
          <w:color w:val="000000"/>
          <w:sz w:val="20"/>
          <w:szCs w:val="20"/>
        </w:rPr>
        <w:t>ABM INDUSTRIES INCORPORATED AND SUBSIDIARIES</w:t>
      </w:r>
    </w:p>
    <w:p w:rsidR="00000000" w:rsidRDefault="00A07857">
      <w:pPr>
        <w:jc w:val="center"/>
        <w:divId w:val="1512254219"/>
        <w:rPr>
          <w:rFonts w:eastAsia="Times New Roman"/>
        </w:rPr>
      </w:pPr>
      <w:r>
        <w:rPr>
          <w:rFonts w:ascii="Arial" w:eastAsia="Times New Roman" w:hAnsi="Arial" w:cs="Arial"/>
          <w:b/>
          <w:bCs/>
          <w:color w:val="000000"/>
          <w:sz w:val="20"/>
          <w:szCs w:val="20"/>
        </w:rPr>
        <w:t>TABLE OF CONTENTS</w:t>
      </w:r>
    </w:p>
    <w:tbl>
      <w:tblPr>
        <w:tblW w:w="4956" w:type="pct"/>
        <w:tblCellMar>
          <w:top w:w="15" w:type="dxa"/>
          <w:left w:w="15" w:type="dxa"/>
          <w:bottom w:w="15" w:type="dxa"/>
          <w:right w:w="15" w:type="dxa"/>
        </w:tblCellMar>
        <w:tblLook w:val="04A0" w:firstRow="1" w:lastRow="0" w:firstColumn="1" w:lastColumn="0" w:noHBand="0" w:noVBand="1"/>
      </w:tblPr>
      <w:tblGrid>
        <w:gridCol w:w="68"/>
        <w:gridCol w:w="7681"/>
        <w:gridCol w:w="36"/>
        <w:gridCol w:w="68"/>
        <w:gridCol w:w="344"/>
        <w:gridCol w:w="36"/>
      </w:tblGrid>
      <w:tr w:rsidR="00000000">
        <w:trPr>
          <w:divId w:val="1441729118"/>
        </w:trPr>
        <w:tc>
          <w:tcPr>
            <w:tcW w:w="50" w:type="pct"/>
            <w:vAlign w:val="center"/>
            <w:hideMark/>
          </w:tcPr>
          <w:p w:rsidR="00000000" w:rsidRDefault="00A07857">
            <w:pPr>
              <w:jc w:val="center"/>
              <w:rPr>
                <w:rFonts w:eastAsia="Times New Roman"/>
              </w:rPr>
            </w:pPr>
          </w:p>
        </w:tc>
        <w:tc>
          <w:tcPr>
            <w:tcW w:w="467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21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FORWARD-LOOKING STATEMENTS</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0" w:history="1">
              <w:r>
                <w:rPr>
                  <w:rStyle w:val="a3"/>
                  <w:rFonts w:ascii="Arial" w:eastAsia="Times New Roman" w:hAnsi="Arial" w:cs="Arial"/>
                  <w:sz w:val="17"/>
                  <w:szCs w:val="17"/>
                </w:rPr>
                <w:t>1</w:t>
              </w:r>
            </w:hyperlink>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PART I. FINANCIAL INFORMATION</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3" w:history="1">
              <w:r>
                <w:rPr>
                  <w:rStyle w:val="a3"/>
                  <w:rFonts w:ascii="Arial" w:eastAsia="Times New Roman" w:hAnsi="Arial" w:cs="Arial"/>
                  <w:sz w:val="17"/>
                  <w:szCs w:val="17"/>
                </w:rPr>
                <w:t>3</w:t>
              </w:r>
            </w:hyperlink>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 xml:space="preserve">Item 1. Consolidated Financial Statements </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3" w:history="1">
              <w:r>
                <w:rPr>
                  <w:rStyle w:val="a3"/>
                  <w:rFonts w:ascii="Arial" w:eastAsia="Times New Roman" w:hAnsi="Arial" w:cs="Arial"/>
                  <w:sz w:val="17"/>
                  <w:szCs w:val="17"/>
                </w:rPr>
                <w:t>3</w:t>
              </w:r>
            </w:hyperlink>
          </w:p>
        </w:tc>
      </w:tr>
      <w:tr w:rsidR="00000000">
        <w:trPr>
          <w:divId w:val="1441729118"/>
        </w:trPr>
        <w:tc>
          <w:tcPr>
            <w:tcW w:w="0" w:type="auto"/>
            <w:gridSpan w:val="3"/>
            <w:vAlign w:val="center"/>
            <w:hideMark/>
          </w:tcPr>
          <w:p w:rsidR="00000000" w:rsidRDefault="00A07857">
            <w:pPr>
              <w:jc w:val="right"/>
              <w:rPr>
                <w:rFonts w:eastAsia="Times New Roman"/>
              </w:rPr>
            </w:pPr>
          </w:p>
        </w:tc>
        <w:tc>
          <w:tcPr>
            <w:tcW w:w="0" w:type="auto"/>
            <w:gridSpan w:val="3"/>
            <w:vAlign w:val="center"/>
            <w:hideMark/>
          </w:tcPr>
          <w:p w:rsidR="00000000" w:rsidRDefault="00A07857">
            <w:pPr>
              <w:rPr>
                <w:rFonts w:eastAsia="Times New Roman"/>
                <w:sz w:val="20"/>
                <w:szCs w:val="20"/>
              </w:rPr>
            </w:pPr>
          </w:p>
        </w:tc>
      </w:tr>
      <w:tr w:rsidR="00000000">
        <w:trPr>
          <w:divId w:val="1441729118"/>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441729118"/>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441729118"/>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Item 2. Management’</w:t>
            </w:r>
            <w:r>
              <w:rPr>
                <w:rFonts w:ascii="Arial" w:eastAsia="Times New Roman" w:hAnsi="Arial" w:cs="Arial"/>
                <w:color w:val="000000"/>
                <w:sz w:val="16"/>
                <w:szCs w:val="16"/>
              </w:rPr>
              <w:t>s Discussion and Analysis of Financial Condition and Results of Operations</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85" w:history="1">
              <w:r>
                <w:rPr>
                  <w:rStyle w:val="a3"/>
                  <w:rFonts w:ascii="Arial" w:eastAsia="Times New Roman" w:hAnsi="Arial" w:cs="Arial"/>
                  <w:sz w:val="17"/>
                  <w:szCs w:val="17"/>
                </w:rPr>
                <w:t>21</w:t>
              </w:r>
            </w:hyperlink>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Item 3. Quantitative and Qualitative Disclosures About Market Risk</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15" w:history="1">
              <w:r>
                <w:rPr>
                  <w:rStyle w:val="a3"/>
                  <w:rFonts w:ascii="Arial" w:eastAsia="Times New Roman" w:hAnsi="Arial" w:cs="Arial"/>
                  <w:sz w:val="17"/>
                  <w:szCs w:val="17"/>
                </w:rPr>
                <w:t>34</w:t>
              </w:r>
            </w:hyperlink>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Item 4. Controls and Procedures</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18" w:history="1">
              <w:r>
                <w:rPr>
                  <w:rStyle w:val="a3"/>
                  <w:rFonts w:ascii="Arial" w:eastAsia="Times New Roman" w:hAnsi="Arial" w:cs="Arial"/>
                  <w:sz w:val="17"/>
                  <w:szCs w:val="17"/>
                </w:rPr>
                <w:t>34</w:t>
              </w:r>
            </w:hyperlink>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PART II. OTHER INFORMATION</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21" w:history="1">
              <w:r>
                <w:rPr>
                  <w:rStyle w:val="a3"/>
                  <w:rFonts w:ascii="Arial" w:eastAsia="Times New Roman" w:hAnsi="Arial" w:cs="Arial"/>
                  <w:sz w:val="17"/>
                  <w:szCs w:val="17"/>
                </w:rPr>
                <w:t>34</w:t>
              </w:r>
            </w:hyperlink>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Item 1. Legal Proceedings</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24" w:history="1">
              <w:r>
                <w:rPr>
                  <w:rStyle w:val="a3"/>
                  <w:rFonts w:ascii="Arial" w:eastAsia="Times New Roman" w:hAnsi="Arial" w:cs="Arial"/>
                  <w:sz w:val="17"/>
                  <w:szCs w:val="17"/>
                </w:rPr>
                <w:t>34</w:t>
              </w:r>
            </w:hyperlink>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Item 1A. Risk Factors</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27" w:history="1">
              <w:r>
                <w:rPr>
                  <w:rStyle w:val="a3"/>
                  <w:rFonts w:ascii="Arial" w:eastAsia="Times New Roman" w:hAnsi="Arial" w:cs="Arial"/>
                  <w:sz w:val="17"/>
                  <w:szCs w:val="17"/>
                </w:rPr>
                <w:t>34</w:t>
              </w:r>
            </w:hyperlink>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Item 2. Unregistered Sales of Equity Securities and Use of Proceeds</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30" w:history="1">
              <w:r>
                <w:rPr>
                  <w:rStyle w:val="a3"/>
                  <w:rFonts w:ascii="Arial" w:eastAsia="Times New Roman" w:hAnsi="Arial" w:cs="Arial"/>
                  <w:sz w:val="17"/>
                  <w:szCs w:val="17"/>
                </w:rPr>
                <w:t>34</w:t>
              </w:r>
            </w:hyperlink>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lastRenderedPageBreak/>
              <w:t>Item 3. Defaults Upon Senior Securities</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33" w:history="1">
              <w:r>
                <w:rPr>
                  <w:rStyle w:val="a3"/>
                  <w:rFonts w:ascii="Arial" w:eastAsia="Times New Roman" w:hAnsi="Arial" w:cs="Arial"/>
                  <w:sz w:val="17"/>
                  <w:szCs w:val="17"/>
                </w:rPr>
                <w:t>34</w:t>
              </w:r>
            </w:hyperlink>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Item 4. Mine Safety Disclosures</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36" w:history="1">
              <w:r>
                <w:rPr>
                  <w:rStyle w:val="a3"/>
                  <w:rFonts w:ascii="Arial" w:eastAsia="Times New Roman" w:hAnsi="Arial" w:cs="Arial"/>
                  <w:sz w:val="17"/>
                  <w:szCs w:val="17"/>
                </w:rPr>
                <w:t>35</w:t>
              </w:r>
            </w:hyperlink>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Item 5. Other Information</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39" w:history="1">
              <w:r>
                <w:rPr>
                  <w:rStyle w:val="a3"/>
                  <w:rFonts w:ascii="Arial" w:eastAsia="Times New Roman" w:hAnsi="Arial" w:cs="Arial"/>
                  <w:sz w:val="17"/>
                  <w:szCs w:val="17"/>
                </w:rPr>
                <w:t>35</w:t>
              </w:r>
            </w:hyperlink>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Item 6. Exhibits</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42" w:history="1">
              <w:r>
                <w:rPr>
                  <w:rStyle w:val="a3"/>
                  <w:rFonts w:ascii="Arial" w:eastAsia="Times New Roman" w:hAnsi="Arial" w:cs="Arial"/>
                  <w:sz w:val="17"/>
                  <w:szCs w:val="17"/>
                </w:rPr>
                <w:t>36</w:t>
              </w:r>
            </w:hyperlink>
          </w:p>
        </w:tc>
      </w:tr>
      <w:tr w:rsidR="00000000">
        <w:trPr>
          <w:divId w:val="144172911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SIGNATURES</w:t>
            </w:r>
          </w:p>
        </w:tc>
        <w:tc>
          <w:tcPr>
            <w:tcW w:w="0" w:type="auto"/>
            <w:gridSpan w:val="3"/>
            <w:tcMar>
              <w:top w:w="30" w:type="dxa"/>
              <w:left w:w="20" w:type="dxa"/>
              <w:bottom w:w="30" w:type="dxa"/>
              <w:right w:w="20" w:type="dxa"/>
            </w:tcMar>
            <w:vAlign w:val="bottom"/>
            <w:hideMark/>
          </w:tcPr>
          <w:p w:rsidR="00000000" w:rsidRDefault="00A07857">
            <w:pPr>
              <w:jc w:val="right"/>
              <w:rPr>
                <w:rFonts w:eastAsia="Times New Roman"/>
              </w:rPr>
            </w:pPr>
            <w:hyperlink w:anchor="i8b1ae7453b03474481c73a06964e6268_145" w:history="1">
              <w:r>
                <w:rPr>
                  <w:rStyle w:val="a3"/>
                  <w:rFonts w:ascii="Arial" w:eastAsia="Times New Roman" w:hAnsi="Arial" w:cs="Arial"/>
                  <w:sz w:val="17"/>
                  <w:szCs w:val="17"/>
                </w:rPr>
                <w:t>37</w:t>
              </w:r>
            </w:hyperlink>
          </w:p>
        </w:tc>
      </w:tr>
    </w:tbl>
    <w:p w:rsidR="00000000" w:rsidRDefault="00A07857">
      <w:pPr>
        <w:jc w:val="center"/>
        <w:divId w:val="1375812919"/>
        <w:rPr>
          <w:rFonts w:eastAsia="Times New Roman"/>
        </w:rPr>
      </w:pPr>
    </w:p>
    <w:p w:rsidR="00000000" w:rsidRDefault="00A07857">
      <w:pPr>
        <w:rPr>
          <w:rFonts w:eastAsia="Times New Roman"/>
        </w:rPr>
      </w:pPr>
      <w:r>
        <w:rPr>
          <w:rFonts w:eastAsia="Times New Roman"/>
        </w:rPr>
        <w:pict>
          <v:rect id="_x0000_i1029" style="width:0;height:1.5pt" o:hralign="center" o:hrstd="t" o:hr="t" fillcolor="#a0a0a0" stroked="f"/>
        </w:pict>
      </w:r>
    </w:p>
    <w:p w:rsidR="00000000" w:rsidRDefault="00A07857">
      <w:pPr>
        <w:divId w:val="432675183"/>
        <w:rPr>
          <w:rFonts w:eastAsia="Times New Roman"/>
        </w:rPr>
      </w:pPr>
    </w:p>
    <w:p w:rsidR="00000000" w:rsidRDefault="00A07857">
      <w:pPr>
        <w:divId w:val="95098438"/>
        <w:rPr>
          <w:rFonts w:eastAsia="Times New Roman"/>
        </w:rPr>
      </w:pPr>
      <w:r>
        <w:rPr>
          <w:rFonts w:ascii="Arial" w:eastAsia="Times New Roman" w:hAnsi="Arial" w:cs="Arial"/>
          <w:b/>
          <w:bCs/>
          <w:color w:val="0046AD"/>
          <w:sz w:val="20"/>
          <w:szCs w:val="20"/>
        </w:rPr>
        <w:t>FORWARD-LOOKING STATEMENTS</w:t>
      </w:r>
    </w:p>
    <w:p w:rsidR="00000000" w:rsidRDefault="00A07857">
      <w:pPr>
        <w:ind w:firstLine="720"/>
        <w:jc w:val="both"/>
        <w:divId w:val="207644934"/>
        <w:rPr>
          <w:rFonts w:eastAsia="Times New Roman"/>
        </w:rPr>
      </w:pPr>
      <w:r>
        <w:rPr>
          <w:rFonts w:ascii="Arial" w:eastAsia="Times New Roman" w:hAnsi="Arial" w:cs="Arial"/>
          <w:color w:val="000000"/>
          <w:sz w:val="20"/>
          <w:szCs w:val="20"/>
        </w:rPr>
        <w:t>This Form 10-Q contains both historical and forward-looking statements regarding ABM and its subsidiaries (collectively referred to as “ABM,” “we,” “us,” “our,” or the “Company”). We make for</w:t>
      </w:r>
      <w:r>
        <w:rPr>
          <w:rFonts w:ascii="Arial" w:eastAsia="Times New Roman" w:hAnsi="Arial" w:cs="Arial"/>
          <w:color w:val="000000"/>
          <w:sz w:val="20"/>
          <w:szCs w:val="20"/>
        </w:rPr>
        <w:t>ward-looking statements related to future expectations, estimates, and projections that are uncertain and often contain words such as “anticipate,” “believe,” “could,” “estimate,” “expect,” “forecast,” “intend,” “likely,” “may,” “outlook,” “plan,” “predict</w:t>
      </w:r>
      <w:r>
        <w:rPr>
          <w:rFonts w:ascii="Arial" w:eastAsia="Times New Roman" w:hAnsi="Arial" w:cs="Arial"/>
          <w:color w:val="000000"/>
          <w:sz w:val="20"/>
          <w:szCs w:val="20"/>
        </w:rPr>
        <w:t>,” “should,” “target,” or other similar words or phrases. These statements are not guarantees of future performance and are subject to known and unknown risks, uncertainties, and assumptions that are difficult to predict. Particular risks and uncertainties</w:t>
      </w:r>
      <w:r>
        <w:rPr>
          <w:rFonts w:ascii="Arial" w:eastAsia="Times New Roman" w:hAnsi="Arial" w:cs="Arial"/>
          <w:color w:val="000000"/>
          <w:sz w:val="20"/>
          <w:szCs w:val="20"/>
        </w:rPr>
        <w:t xml:space="preserve"> that could cause our actual results to be materially different from those expressed in our forward-looking statements include those listed below. </w:t>
      </w:r>
    </w:p>
    <w:p w:rsidR="00000000" w:rsidRDefault="00A07857">
      <w:pPr>
        <w:ind w:hanging="360"/>
        <w:jc w:val="both"/>
        <w:divId w:val="936408420"/>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The novel coronavirus (“COVID-19”) pandemic (the “Pandemic”) has had and is expected to continue having a n</w:t>
      </w:r>
      <w:r>
        <w:rPr>
          <w:rFonts w:ascii="Arial" w:eastAsia="Times New Roman" w:hAnsi="Arial" w:cs="Arial"/>
          <w:color w:val="000000"/>
          <w:sz w:val="20"/>
          <w:szCs w:val="20"/>
        </w:rPr>
        <w:t>egative effect on the global economy and the United States economy; it has disrupted and is expected to continue disrupting our operations and our clients’ operations; and it has adversely affected and may continue to adversely affect our business, results</w:t>
      </w:r>
      <w:r>
        <w:rPr>
          <w:rFonts w:ascii="Arial" w:eastAsia="Times New Roman" w:hAnsi="Arial" w:cs="Arial"/>
          <w:color w:val="000000"/>
          <w:sz w:val="20"/>
          <w:szCs w:val="20"/>
        </w:rPr>
        <w:t xml:space="preserve"> of operations, cash flows, and financial condition.</w:t>
      </w:r>
    </w:p>
    <w:p w:rsidR="00000000" w:rsidRDefault="00A07857">
      <w:pPr>
        <w:ind w:hanging="360"/>
        <w:jc w:val="both"/>
        <w:divId w:val="861667780"/>
        <w:rPr>
          <w:rFonts w:eastAsia="Times New Roman"/>
        </w:rPr>
      </w:pPr>
      <w:r>
        <w:rPr>
          <w:rFonts w:ascii="Arial" w:eastAsia="Times New Roman" w:hAnsi="Arial" w:cs="Arial"/>
          <w:color w:val="000000"/>
          <w:sz w:val="20"/>
          <w:szCs w:val="20"/>
        </w:rPr>
        <w:t>•Our success depends on our ability to gain profitable business despite competitive market pressures.</w:t>
      </w:r>
    </w:p>
    <w:p w:rsidR="00000000" w:rsidRDefault="00A07857">
      <w:pPr>
        <w:ind w:hanging="360"/>
        <w:jc w:val="both"/>
        <w:divId w:val="843013417"/>
        <w:rPr>
          <w:rFonts w:eastAsia="Times New Roman"/>
        </w:rPr>
      </w:pPr>
      <w:r>
        <w:rPr>
          <w:rFonts w:ascii="Arial" w:eastAsia="Times New Roman" w:hAnsi="Arial" w:cs="Arial"/>
          <w:color w:val="000000"/>
          <w:sz w:val="20"/>
          <w:szCs w:val="20"/>
        </w:rPr>
        <w:t>•Our business success depends on our ability to attract and retain qualified personnel and senior man</w:t>
      </w:r>
      <w:r>
        <w:rPr>
          <w:rFonts w:ascii="Arial" w:eastAsia="Times New Roman" w:hAnsi="Arial" w:cs="Arial"/>
          <w:color w:val="000000"/>
          <w:sz w:val="20"/>
          <w:szCs w:val="20"/>
        </w:rPr>
        <w:t>agement and to manage labor costs.</w:t>
      </w:r>
    </w:p>
    <w:p w:rsidR="00000000" w:rsidRDefault="00A07857">
      <w:pPr>
        <w:ind w:hanging="360"/>
        <w:jc w:val="both"/>
        <w:divId w:val="505827524"/>
        <w:rPr>
          <w:rFonts w:eastAsia="Times New Roman"/>
        </w:rPr>
      </w:pPr>
      <w:r>
        <w:rPr>
          <w:rFonts w:ascii="Arial" w:eastAsia="Times New Roman" w:hAnsi="Arial" w:cs="Arial"/>
          <w:color w:val="000000"/>
          <w:sz w:val="20"/>
          <w:szCs w:val="20"/>
        </w:rPr>
        <w:t>•Our ability to preserve long-term client relationships is essential to our continued success.</w:t>
      </w:r>
    </w:p>
    <w:p w:rsidR="00000000" w:rsidRDefault="00A07857">
      <w:pPr>
        <w:ind w:hanging="360"/>
        <w:jc w:val="both"/>
        <w:divId w:val="535385311"/>
        <w:rPr>
          <w:rFonts w:eastAsia="Times New Roman"/>
        </w:rPr>
      </w:pPr>
      <w:r>
        <w:rPr>
          <w:rFonts w:ascii="Arial" w:eastAsia="Times New Roman" w:hAnsi="Arial" w:cs="Arial"/>
          <w:color w:val="000000"/>
          <w:sz w:val="20"/>
          <w:szCs w:val="20"/>
        </w:rPr>
        <w:t>•Changes to our businesses, operating structure, financial reporting structure, or personnel relating to the implementation of</w:t>
      </w:r>
      <w:r>
        <w:rPr>
          <w:rFonts w:ascii="Arial" w:eastAsia="Times New Roman" w:hAnsi="Arial" w:cs="Arial"/>
          <w:color w:val="000000"/>
          <w:sz w:val="20"/>
          <w:szCs w:val="20"/>
        </w:rPr>
        <w:t xml:space="preserve"> strategic transformations, enhanced business processes, and technology initiatives may not have the desired effects on our financial condition and results of operations.</w:t>
      </w:r>
    </w:p>
    <w:p w:rsidR="00000000" w:rsidRDefault="00A07857">
      <w:pPr>
        <w:ind w:hanging="360"/>
        <w:jc w:val="both"/>
        <w:divId w:val="102574777"/>
        <w:rPr>
          <w:rFonts w:eastAsia="Times New Roman"/>
        </w:rPr>
      </w:pPr>
      <w:r>
        <w:rPr>
          <w:rFonts w:ascii="Arial" w:eastAsia="Times New Roman" w:hAnsi="Arial" w:cs="Arial"/>
          <w:color w:val="000000"/>
          <w:sz w:val="20"/>
          <w:szCs w:val="20"/>
        </w:rPr>
        <w:t>•Acquisitions, divestitures, and other strategic transactions could fail to achieve f</w:t>
      </w:r>
      <w:r>
        <w:rPr>
          <w:rFonts w:ascii="Arial" w:eastAsia="Times New Roman" w:hAnsi="Arial" w:cs="Arial"/>
          <w:color w:val="000000"/>
          <w:sz w:val="20"/>
          <w:szCs w:val="20"/>
        </w:rPr>
        <w:t>inancial or strategic objectives, disrupt our ongoing business, and adversely impact our results of operations.</w:t>
      </w:r>
    </w:p>
    <w:p w:rsidR="00000000" w:rsidRDefault="00A07857">
      <w:pPr>
        <w:ind w:hanging="360"/>
        <w:jc w:val="both"/>
        <w:divId w:val="169486712"/>
        <w:rPr>
          <w:rFonts w:eastAsia="Times New Roman"/>
        </w:rPr>
      </w:pPr>
      <w:r>
        <w:rPr>
          <w:rFonts w:ascii="Arial" w:eastAsia="Times New Roman" w:hAnsi="Arial" w:cs="Arial"/>
          <w:color w:val="000000"/>
          <w:sz w:val="20"/>
          <w:szCs w:val="20"/>
        </w:rPr>
        <w:t>•Our international business involves risks different from those we face in the United States that could have an effect on our results of operati</w:t>
      </w:r>
      <w:r>
        <w:rPr>
          <w:rFonts w:ascii="Arial" w:eastAsia="Times New Roman" w:hAnsi="Arial" w:cs="Arial"/>
          <w:color w:val="000000"/>
          <w:sz w:val="20"/>
          <w:szCs w:val="20"/>
        </w:rPr>
        <w:t>ons and financial condition.</w:t>
      </w:r>
    </w:p>
    <w:p w:rsidR="00000000" w:rsidRDefault="00A07857">
      <w:pPr>
        <w:ind w:hanging="360"/>
        <w:jc w:val="both"/>
        <w:divId w:val="1975602988"/>
        <w:rPr>
          <w:rFonts w:eastAsia="Times New Roman"/>
        </w:rPr>
      </w:pPr>
      <w:r>
        <w:rPr>
          <w:rFonts w:ascii="Arial" w:eastAsia="Times New Roman" w:hAnsi="Arial" w:cs="Arial"/>
          <w:color w:val="000000"/>
          <w:sz w:val="20"/>
          <w:szCs w:val="20"/>
        </w:rPr>
        <w:t>•Our use of subcontractors or joint venture partners to perform work under customer contracts exposes us to liability and financial risk.</w:t>
      </w:r>
    </w:p>
    <w:p w:rsidR="00000000" w:rsidRDefault="00A07857">
      <w:pPr>
        <w:ind w:hanging="360"/>
        <w:jc w:val="both"/>
        <w:divId w:val="1852798275"/>
        <w:rPr>
          <w:rFonts w:eastAsia="Times New Roman"/>
        </w:rPr>
      </w:pPr>
      <w:r>
        <w:rPr>
          <w:rFonts w:ascii="Arial" w:eastAsia="Times New Roman" w:hAnsi="Arial" w:cs="Arial"/>
          <w:color w:val="000000"/>
          <w:sz w:val="20"/>
          <w:szCs w:val="20"/>
        </w:rPr>
        <w:t>•We manage our insurable risks through a combination of third-party purchased policies an</w:t>
      </w:r>
      <w:r>
        <w:rPr>
          <w:rFonts w:ascii="Arial" w:eastAsia="Times New Roman" w:hAnsi="Arial" w:cs="Arial"/>
          <w:color w:val="000000"/>
          <w:sz w:val="20"/>
          <w:szCs w:val="20"/>
        </w:rPr>
        <w:t>d self-insurance, and we retain a substantial portion of the risk associated with expected losses under these programs, which exposes us to volatility associated with those risks, including the possibility that changes in estimates to our ultimate insuranc</w:t>
      </w:r>
      <w:r>
        <w:rPr>
          <w:rFonts w:ascii="Arial" w:eastAsia="Times New Roman" w:hAnsi="Arial" w:cs="Arial"/>
          <w:color w:val="000000"/>
          <w:sz w:val="20"/>
          <w:szCs w:val="20"/>
        </w:rPr>
        <w:t>e loss reserves could result in material charges against our earnings.</w:t>
      </w:r>
    </w:p>
    <w:p w:rsidR="00000000" w:rsidRDefault="00A07857">
      <w:pPr>
        <w:ind w:hanging="360"/>
        <w:jc w:val="both"/>
        <w:divId w:val="810485093"/>
        <w:rPr>
          <w:rFonts w:eastAsia="Times New Roman"/>
        </w:rPr>
      </w:pPr>
      <w:r>
        <w:rPr>
          <w:rFonts w:ascii="Arial" w:eastAsia="Times New Roman" w:hAnsi="Arial" w:cs="Arial"/>
          <w:color w:val="000000"/>
          <w:sz w:val="20"/>
          <w:szCs w:val="20"/>
        </w:rPr>
        <w:t>•Our risk management and safety programs may not have the intended effect of reducing our liability for personal injury or property loss.</w:t>
      </w:r>
    </w:p>
    <w:p w:rsidR="00000000" w:rsidRDefault="00A07857">
      <w:pPr>
        <w:ind w:hanging="360"/>
        <w:jc w:val="both"/>
        <w:divId w:val="58989808"/>
        <w:rPr>
          <w:rFonts w:eastAsia="Times New Roman"/>
        </w:rPr>
      </w:pPr>
      <w:r>
        <w:rPr>
          <w:rFonts w:ascii="Arial" w:eastAsia="Times New Roman" w:hAnsi="Arial" w:cs="Arial"/>
          <w:color w:val="000000"/>
          <w:sz w:val="20"/>
          <w:szCs w:val="20"/>
        </w:rPr>
        <w:t xml:space="preserve">•We may experience breaches of, or disruptions </w:t>
      </w:r>
      <w:r>
        <w:rPr>
          <w:rFonts w:ascii="Arial" w:eastAsia="Times New Roman" w:hAnsi="Arial" w:cs="Arial"/>
          <w:color w:val="000000"/>
          <w:sz w:val="20"/>
          <w:szCs w:val="20"/>
        </w:rPr>
        <w:t>to, our information technology systems or those of our third-party providers or clients, or other compromises of our data that could adversely affect our business.</w:t>
      </w:r>
    </w:p>
    <w:p w:rsidR="00000000" w:rsidRDefault="00A07857">
      <w:pPr>
        <w:ind w:hanging="360"/>
        <w:jc w:val="both"/>
        <w:divId w:val="836114994"/>
        <w:rPr>
          <w:rFonts w:eastAsia="Times New Roman"/>
        </w:rPr>
      </w:pPr>
      <w:r>
        <w:rPr>
          <w:rFonts w:ascii="Arial" w:eastAsia="Times New Roman" w:hAnsi="Arial" w:cs="Arial"/>
          <w:color w:val="000000"/>
          <w:sz w:val="20"/>
          <w:szCs w:val="20"/>
        </w:rPr>
        <w:t>•Unfavorable developments in our class and representative actions and other lawsuits allegin</w:t>
      </w:r>
      <w:r>
        <w:rPr>
          <w:rFonts w:ascii="Arial" w:eastAsia="Times New Roman" w:hAnsi="Arial" w:cs="Arial"/>
          <w:color w:val="000000"/>
          <w:sz w:val="20"/>
          <w:szCs w:val="20"/>
        </w:rPr>
        <w:t>g various claims could cause us to incur substantial liabilities.</w:t>
      </w:r>
    </w:p>
    <w:p w:rsidR="00000000" w:rsidRDefault="00A07857">
      <w:pPr>
        <w:ind w:hanging="360"/>
        <w:jc w:val="both"/>
        <w:divId w:val="230117042"/>
        <w:rPr>
          <w:rFonts w:eastAsia="Times New Roman"/>
        </w:rPr>
      </w:pPr>
      <w:r>
        <w:rPr>
          <w:rFonts w:ascii="Arial" w:eastAsia="Times New Roman" w:hAnsi="Arial" w:cs="Arial"/>
          <w:color w:val="000000"/>
          <w:sz w:val="20"/>
          <w:szCs w:val="20"/>
        </w:rPr>
        <w:lastRenderedPageBreak/>
        <w:t>•A significant number of our employees are covered by collective bargaining agreements that could expose us to potential liabilities in relation to our participation in multiemployer pension</w:t>
      </w:r>
      <w:r>
        <w:rPr>
          <w:rFonts w:ascii="Arial" w:eastAsia="Times New Roman" w:hAnsi="Arial" w:cs="Arial"/>
          <w:color w:val="000000"/>
          <w:sz w:val="20"/>
          <w:szCs w:val="20"/>
        </w:rPr>
        <w:t xml:space="preserve"> plans, requirements to make contributions to other benefit plans, and the potential for strikes, work slowdowns or similar activities, and union organizing drives.</w:t>
      </w:r>
    </w:p>
    <w:p w:rsidR="00000000" w:rsidRDefault="00A07857">
      <w:pPr>
        <w:ind w:hanging="360"/>
        <w:jc w:val="both"/>
        <w:divId w:val="47507444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business may be materially affected by changes to fiscal and tax policies. Negative or unexpected tax consequences could adversely affect our results of operations.</w:t>
      </w:r>
    </w:p>
    <w:p w:rsidR="00000000" w:rsidRDefault="00A07857">
      <w:pPr>
        <w:ind w:hanging="360"/>
        <w:jc w:val="both"/>
        <w:divId w:val="7818522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Changes in general economic conditions, such as changes in energy prices, government regulations, or consumer preferences, could reduce the demand for facility services and, as a result, reduce our earnings and adversely affect our financial condition.</w:t>
      </w:r>
    </w:p>
    <w:p w:rsidR="00000000" w:rsidRDefault="00A07857">
      <w:pPr>
        <w:ind w:hanging="360"/>
        <w:jc w:val="both"/>
        <w:divId w:val="666130105"/>
        <w:rPr>
          <w:rFonts w:eastAsia="Times New Roman"/>
        </w:rPr>
      </w:pPr>
      <w:r>
        <w:rPr>
          <w:rFonts w:ascii="Arial" w:eastAsia="Times New Roman" w:hAnsi="Arial" w:cs="Arial"/>
          <w:color w:val="000000"/>
          <w:sz w:val="20"/>
          <w:szCs w:val="20"/>
        </w:rPr>
        <w:t>•Fu</w:t>
      </w:r>
      <w:r>
        <w:rPr>
          <w:rFonts w:ascii="Arial" w:eastAsia="Times New Roman" w:hAnsi="Arial" w:cs="Arial"/>
          <w:color w:val="000000"/>
          <w:sz w:val="20"/>
          <w:szCs w:val="20"/>
        </w:rPr>
        <w:t>ture increases in the level of our borrowings or in interest rates could affect our results of operations.</w:t>
      </w:r>
    </w:p>
    <w:p w:rsidR="00000000" w:rsidRDefault="00A07857">
      <w:pPr>
        <w:ind w:hanging="360"/>
        <w:jc w:val="both"/>
        <w:divId w:val="536939932"/>
        <w:rPr>
          <w:rFonts w:eastAsia="Times New Roman"/>
        </w:rPr>
      </w:pPr>
      <w:r>
        <w:rPr>
          <w:rFonts w:ascii="Arial" w:eastAsia="Times New Roman" w:hAnsi="Arial" w:cs="Arial"/>
          <w:color w:val="000000"/>
          <w:sz w:val="20"/>
          <w:szCs w:val="20"/>
        </w:rPr>
        <w:t>•Impairment of goodwill and long-lived assets could have a material adverse effect on our financial condition and results of operations.</w:t>
      </w:r>
    </w:p>
    <w:p w:rsidR="00000000" w:rsidRDefault="00A07857">
      <w:pPr>
        <w:ind w:hanging="360"/>
        <w:jc w:val="both"/>
        <w:divId w:val="946893263"/>
        <w:rPr>
          <w:rFonts w:eastAsia="Times New Roman"/>
        </w:rPr>
      </w:pPr>
      <w:r>
        <w:rPr>
          <w:rFonts w:ascii="Arial" w:eastAsia="Times New Roman" w:hAnsi="Arial" w:cs="Arial"/>
          <w:color w:val="000000"/>
          <w:sz w:val="20"/>
          <w:szCs w:val="20"/>
        </w:rPr>
        <w:t xml:space="preserve">•If we fail </w:t>
      </w:r>
      <w:r>
        <w:rPr>
          <w:rFonts w:ascii="Arial" w:eastAsia="Times New Roman" w:hAnsi="Arial" w:cs="Arial"/>
          <w:color w:val="000000"/>
          <w:sz w:val="20"/>
          <w:szCs w:val="20"/>
        </w:rPr>
        <w:t>to maintain proper and effective internal control over financial reporting in the future, our ability to produce accurate and timely financial statements could be negatively impacted, which could harm our operating results and investor perceptions of our C</w:t>
      </w:r>
      <w:r>
        <w:rPr>
          <w:rFonts w:ascii="Arial" w:eastAsia="Times New Roman" w:hAnsi="Arial" w:cs="Arial"/>
          <w:color w:val="000000"/>
          <w:sz w:val="20"/>
          <w:szCs w:val="20"/>
        </w:rPr>
        <w:t>ompany and as a result may have a material adverse effect on the value of our common stock.</w:t>
      </w:r>
    </w:p>
    <w:p w:rsidR="00000000" w:rsidRDefault="00A07857">
      <w:pPr>
        <w:jc w:val="center"/>
        <w:divId w:val="1247374923"/>
        <w:rPr>
          <w:rFonts w:eastAsia="Times New Roman"/>
        </w:rPr>
      </w:pPr>
      <w:r>
        <w:rPr>
          <w:rFonts w:ascii="Arial" w:eastAsia="Times New Roman" w:hAnsi="Arial" w:cs="Arial"/>
          <w:color w:val="000000"/>
          <w:sz w:val="20"/>
          <w:szCs w:val="20"/>
        </w:rPr>
        <w:t>1</w:t>
      </w:r>
    </w:p>
    <w:p w:rsidR="00000000" w:rsidRDefault="00A07857">
      <w:pPr>
        <w:rPr>
          <w:rFonts w:eastAsia="Times New Roman"/>
        </w:rPr>
      </w:pPr>
      <w:r>
        <w:rPr>
          <w:rFonts w:eastAsia="Times New Roman"/>
        </w:rPr>
        <w:pict>
          <v:rect id="_x0000_i1030" style="width:0;height:1.5pt" o:hralign="center" o:hrstd="t" o:hr="t" fillcolor="#a0a0a0" stroked="f"/>
        </w:pict>
      </w:r>
    </w:p>
    <w:p w:rsidR="00000000" w:rsidRDefault="00A07857">
      <w:pPr>
        <w:divId w:val="1698383061"/>
        <w:rPr>
          <w:rFonts w:eastAsia="Times New Roman"/>
        </w:rPr>
      </w:pPr>
    </w:p>
    <w:p w:rsidR="00000000" w:rsidRDefault="00A07857">
      <w:pPr>
        <w:ind w:hanging="360"/>
        <w:jc w:val="both"/>
        <w:divId w:val="2111116909"/>
        <w:rPr>
          <w:rFonts w:eastAsia="Times New Roman"/>
        </w:rPr>
      </w:pPr>
      <w:r>
        <w:rPr>
          <w:rFonts w:ascii="Arial" w:eastAsia="Times New Roman" w:hAnsi="Arial" w:cs="Arial"/>
          <w:color w:val="000000"/>
          <w:sz w:val="20"/>
          <w:szCs w:val="20"/>
        </w:rPr>
        <w:t>•Our business may be negatively impacted by adverse weather conditions.</w:t>
      </w:r>
    </w:p>
    <w:p w:rsidR="00000000" w:rsidRDefault="00A07857">
      <w:pPr>
        <w:ind w:hanging="360"/>
        <w:jc w:val="both"/>
        <w:divId w:val="1903255314"/>
        <w:rPr>
          <w:rFonts w:eastAsia="Times New Roman"/>
        </w:rPr>
      </w:pPr>
      <w:r>
        <w:rPr>
          <w:rFonts w:ascii="Arial" w:eastAsia="Times New Roman" w:hAnsi="Arial" w:cs="Arial"/>
          <w:color w:val="000000"/>
          <w:sz w:val="20"/>
          <w:szCs w:val="20"/>
        </w:rPr>
        <w:t>•Catastrophic events, disasters, and terrorist attac</w:t>
      </w:r>
      <w:r>
        <w:rPr>
          <w:rFonts w:ascii="Arial" w:eastAsia="Times New Roman" w:hAnsi="Arial" w:cs="Arial"/>
          <w:color w:val="000000"/>
          <w:sz w:val="20"/>
          <w:szCs w:val="20"/>
        </w:rPr>
        <w:t>ks could disrupt our services.</w:t>
      </w:r>
    </w:p>
    <w:p w:rsidR="00000000" w:rsidRDefault="00A07857">
      <w:pPr>
        <w:ind w:hanging="360"/>
        <w:jc w:val="both"/>
        <w:divId w:val="1215777968"/>
        <w:rPr>
          <w:rFonts w:eastAsia="Times New Roman"/>
        </w:rPr>
      </w:pPr>
      <w:r>
        <w:rPr>
          <w:rFonts w:ascii="Arial" w:eastAsia="Times New Roman" w:hAnsi="Arial" w:cs="Arial"/>
          <w:color w:val="000000"/>
          <w:sz w:val="20"/>
          <w:szCs w:val="20"/>
        </w:rPr>
        <w:t>•Actions of activist investors could disrupt our business.</w:t>
      </w:r>
    </w:p>
    <w:p w:rsidR="00000000" w:rsidRDefault="00A07857">
      <w:pPr>
        <w:ind w:firstLine="720"/>
        <w:jc w:val="both"/>
        <w:divId w:val="595018503"/>
        <w:rPr>
          <w:rFonts w:eastAsia="Times New Roman"/>
        </w:rPr>
      </w:pPr>
      <w:r>
        <w:rPr>
          <w:rFonts w:ascii="Arial" w:eastAsia="Times New Roman" w:hAnsi="Arial" w:cs="Arial"/>
          <w:color w:val="000000"/>
          <w:sz w:val="20"/>
          <w:szCs w:val="20"/>
        </w:rPr>
        <w:t>The list of factors above is illustrative and by no means exhaustive. Additional information regarding these and other risks and uncertainties we face is contained in</w:t>
      </w:r>
      <w:r>
        <w:rPr>
          <w:rFonts w:ascii="Arial" w:eastAsia="Times New Roman" w:hAnsi="Arial" w:cs="Arial"/>
          <w:color w:val="000000"/>
          <w:sz w:val="20"/>
          <w:szCs w:val="20"/>
        </w:rPr>
        <w:t xml:space="preserve"> our Annual Report on Form 10-K for the year ended October 31, 2020, and in other reports (including all amendments to those reports) we file from time to time with the Securities and Exchange Commission (“SEC”). </w:t>
      </w:r>
    </w:p>
    <w:p w:rsidR="00000000" w:rsidRDefault="00A07857">
      <w:pPr>
        <w:ind w:firstLine="720"/>
        <w:jc w:val="both"/>
        <w:divId w:val="160125270"/>
        <w:rPr>
          <w:rFonts w:eastAsia="Times New Roman"/>
        </w:rPr>
      </w:pPr>
      <w:r>
        <w:rPr>
          <w:rFonts w:ascii="Arial" w:eastAsia="Times New Roman" w:hAnsi="Arial" w:cs="Arial"/>
          <w:color w:val="000000"/>
          <w:sz w:val="20"/>
          <w:szCs w:val="20"/>
        </w:rPr>
        <w:t>We urge readers to consider these risks an</w:t>
      </w:r>
      <w:r>
        <w:rPr>
          <w:rFonts w:ascii="Arial" w:eastAsia="Times New Roman" w:hAnsi="Arial" w:cs="Arial"/>
          <w:color w:val="000000"/>
          <w:sz w:val="20"/>
          <w:szCs w:val="20"/>
        </w:rPr>
        <w:t>d uncertainties in evaluating our forward-looking statements. We caution readers not to place undue reliance upon any such forward-looking statements, which speak only as of the date made. We undertake no obligation to publicly update any forward-looking s</w:t>
      </w:r>
      <w:r>
        <w:rPr>
          <w:rFonts w:ascii="Arial" w:eastAsia="Times New Roman" w:hAnsi="Arial" w:cs="Arial"/>
          <w:color w:val="000000"/>
          <w:sz w:val="20"/>
          <w:szCs w:val="20"/>
        </w:rPr>
        <w:t xml:space="preserve">tatements, whether as a result of new information, future events, or otherwise, except as required by law. </w:t>
      </w:r>
    </w:p>
    <w:p w:rsidR="00000000" w:rsidRDefault="00A07857">
      <w:pPr>
        <w:jc w:val="center"/>
        <w:divId w:val="1705252246"/>
        <w:rPr>
          <w:rFonts w:eastAsia="Times New Roman"/>
        </w:rPr>
      </w:pPr>
      <w:r>
        <w:rPr>
          <w:rFonts w:ascii="Arial" w:eastAsia="Times New Roman" w:hAnsi="Arial" w:cs="Arial"/>
          <w:color w:val="000000"/>
          <w:sz w:val="20"/>
          <w:szCs w:val="20"/>
        </w:rPr>
        <w:t>2</w:t>
      </w:r>
    </w:p>
    <w:p w:rsidR="00000000" w:rsidRDefault="00A07857">
      <w:pPr>
        <w:rPr>
          <w:rFonts w:eastAsia="Times New Roman"/>
        </w:rPr>
      </w:pPr>
      <w:r>
        <w:rPr>
          <w:rFonts w:eastAsia="Times New Roman"/>
        </w:rPr>
        <w:pict>
          <v:rect id="_x0000_i1031" style="width:0;height:1.5pt" o:hralign="center" o:hrstd="t" o:hr="t" fillcolor="#a0a0a0" stroked="f"/>
        </w:pict>
      </w:r>
    </w:p>
    <w:p w:rsidR="00000000" w:rsidRDefault="00A07857">
      <w:pPr>
        <w:jc w:val="both"/>
        <w:divId w:val="2099212413"/>
        <w:rPr>
          <w:rFonts w:eastAsia="Times New Roman"/>
        </w:rPr>
      </w:pPr>
    </w:p>
    <w:p w:rsidR="00000000" w:rsidRDefault="00A07857">
      <w:pPr>
        <w:jc w:val="both"/>
        <w:divId w:val="1949893148"/>
        <w:rPr>
          <w:rFonts w:eastAsia="Times New Roman"/>
        </w:rPr>
      </w:pPr>
      <w:r>
        <w:rPr>
          <w:rFonts w:ascii="Arial" w:eastAsia="Times New Roman" w:hAnsi="Arial" w:cs="Arial"/>
          <w:b/>
          <w:bCs/>
          <w:color w:val="0046AD"/>
          <w:sz w:val="20"/>
          <w:szCs w:val="20"/>
        </w:rPr>
        <w:t>PART I. FINANCIAL INFORMATION</w:t>
      </w:r>
    </w:p>
    <w:p w:rsidR="00000000" w:rsidRDefault="00A07857">
      <w:pPr>
        <w:jc w:val="both"/>
        <w:divId w:val="2120173044"/>
        <w:rPr>
          <w:rFonts w:eastAsia="Times New Roman"/>
        </w:rPr>
      </w:pPr>
      <w:r>
        <w:rPr>
          <w:rFonts w:ascii="Arial" w:eastAsia="Times New Roman" w:hAnsi="Arial" w:cs="Arial"/>
          <w:b/>
          <w:bCs/>
          <w:color w:val="0046AD"/>
          <w:sz w:val="20"/>
          <w:szCs w:val="20"/>
        </w:rPr>
        <w:t xml:space="preserve">ITEM 1. CONSOLIDATED FINANCIAL STATEMENTS. </w:t>
      </w:r>
    </w:p>
    <w:p w:rsidR="00000000" w:rsidRDefault="00A07857">
      <w:pPr>
        <w:jc w:val="center"/>
        <w:divId w:val="793641083"/>
        <w:rPr>
          <w:rFonts w:eastAsia="Times New Roman"/>
        </w:rPr>
      </w:pPr>
      <w:r>
        <w:rPr>
          <w:rFonts w:ascii="Arial" w:eastAsia="Times New Roman" w:hAnsi="Arial" w:cs="Arial"/>
          <w:b/>
          <w:bCs/>
          <w:color w:val="0046AD"/>
          <w:sz w:val="20"/>
          <w:szCs w:val="20"/>
        </w:rPr>
        <w:t>ABM INDUSTRIES INCORPORATED AND SU</w:t>
      </w:r>
      <w:r>
        <w:rPr>
          <w:rFonts w:ascii="Arial" w:eastAsia="Times New Roman" w:hAnsi="Arial" w:cs="Arial"/>
          <w:b/>
          <w:bCs/>
          <w:color w:val="0046AD"/>
          <w:sz w:val="20"/>
          <w:szCs w:val="20"/>
        </w:rPr>
        <w:t>BSIDIARIES</w:t>
      </w:r>
    </w:p>
    <w:p w:rsidR="00000000" w:rsidRDefault="00A07857">
      <w:pPr>
        <w:jc w:val="center"/>
        <w:divId w:val="1708990126"/>
        <w:rPr>
          <w:rFonts w:eastAsia="Times New Roman"/>
        </w:rPr>
      </w:pPr>
      <w:r>
        <w:rPr>
          <w:rFonts w:ascii="Arial" w:eastAsia="Times New Roman" w:hAnsi="Arial" w:cs="Arial"/>
          <w:b/>
          <w:bCs/>
          <w:color w:val="0046AD"/>
          <w:sz w:val="20"/>
          <w:szCs w:val="20"/>
        </w:rPr>
        <w:t>CONSOLIDATED BALANCE SHEETS</w:t>
      </w:r>
    </w:p>
    <w:p w:rsidR="00000000" w:rsidRDefault="00A07857">
      <w:pPr>
        <w:jc w:val="center"/>
        <w:divId w:val="225922991"/>
        <w:rPr>
          <w:rFonts w:eastAsia="Times New Roman"/>
        </w:rPr>
      </w:pPr>
      <w:r>
        <w:rPr>
          <w:rFonts w:ascii="Arial" w:eastAsia="Times New Roman" w:hAnsi="Arial" w:cs="Arial"/>
          <w:b/>
          <w:bCs/>
          <w:color w:val="0046AD"/>
          <w:sz w:val="20"/>
          <w:szCs w:val="20"/>
        </w:rPr>
        <w:t>(UNAUDITED)</w:t>
      </w:r>
    </w:p>
    <w:tbl>
      <w:tblPr>
        <w:tblW w:w="4948" w:type="pct"/>
        <w:jc w:val="center"/>
        <w:tblCellMar>
          <w:top w:w="15" w:type="dxa"/>
          <w:left w:w="15" w:type="dxa"/>
          <w:bottom w:w="15" w:type="dxa"/>
          <w:right w:w="15" w:type="dxa"/>
        </w:tblCellMar>
        <w:tblLook w:val="04A0" w:firstRow="1" w:lastRow="0" w:firstColumn="1" w:lastColumn="0" w:noHBand="0" w:noVBand="1"/>
      </w:tblPr>
      <w:tblGrid>
        <w:gridCol w:w="40"/>
        <w:gridCol w:w="5309"/>
        <w:gridCol w:w="39"/>
        <w:gridCol w:w="115"/>
        <w:gridCol w:w="1228"/>
        <w:gridCol w:w="36"/>
        <w:gridCol w:w="36"/>
        <w:gridCol w:w="36"/>
        <w:gridCol w:w="36"/>
        <w:gridCol w:w="115"/>
        <w:gridCol w:w="1194"/>
        <w:gridCol w:w="36"/>
      </w:tblGrid>
      <w:tr w:rsidR="00000000">
        <w:trPr>
          <w:divId w:val="497157508"/>
          <w:jc w:val="center"/>
        </w:trPr>
        <w:tc>
          <w:tcPr>
            <w:tcW w:w="50" w:type="pct"/>
            <w:vAlign w:val="center"/>
            <w:hideMark/>
          </w:tcPr>
          <w:p w:rsidR="00000000" w:rsidRDefault="00A07857">
            <w:pPr>
              <w:jc w:val="center"/>
              <w:rPr>
                <w:rFonts w:eastAsia="Times New Roman"/>
              </w:rPr>
            </w:pPr>
          </w:p>
        </w:tc>
        <w:tc>
          <w:tcPr>
            <w:tcW w:w="3253"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7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7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497157508"/>
          <w:jc w:val="center"/>
        </w:trPr>
        <w:tc>
          <w:tcPr>
            <w:tcW w:w="0" w:type="auto"/>
            <w:gridSpan w:val="3"/>
            <w:tcMar>
              <w:top w:w="30" w:type="dxa"/>
              <w:left w:w="20" w:type="dxa"/>
              <w:bottom w:w="30" w:type="dxa"/>
              <w:right w:w="20" w:type="dxa"/>
            </w:tcMar>
            <w:hideMark/>
          </w:tcPr>
          <w:p w:rsidR="00000000" w:rsidRDefault="00A07857">
            <w:pPr>
              <w:rPr>
                <w:rFonts w:eastAsia="Times New Roman"/>
              </w:rPr>
            </w:pPr>
            <w:r>
              <w:rPr>
                <w:rFonts w:eastAsia="Times New Roman"/>
                <w:i/>
                <w:iCs/>
                <w:color w:val="000000"/>
                <w:sz w:val="16"/>
                <w:szCs w:val="16"/>
                <w:u w:val="single"/>
              </w:rPr>
              <w:t>(in millions, except share and per share amounts)</w:t>
            </w: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7"/>
                <w:szCs w:val="17"/>
              </w:rPr>
              <w:t>January 31, 2021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7"/>
                <w:szCs w:val="17"/>
              </w:rPr>
              <w:t>October 31, 2020</w:t>
            </w:r>
          </w:p>
        </w:tc>
      </w:tr>
      <w:tr w:rsidR="00000000">
        <w:trPr>
          <w:divId w:val="497157508"/>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7"/>
                <w:szCs w:val="17"/>
              </w:rPr>
              <w:t>ASSETS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497157508"/>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497157508"/>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Cash and cash equivalents</w:t>
            </w:r>
          </w:p>
        </w:tc>
        <w:tc>
          <w:tcPr>
            <w:tcW w:w="0" w:type="auto"/>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378.3 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394.2 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divId w:val="444470615"/>
              <w:rPr>
                <w:rFonts w:eastAsia="Times New Roman"/>
              </w:rPr>
            </w:pPr>
            <w:r>
              <w:rPr>
                <w:rFonts w:ascii="Arial" w:eastAsia="Times New Roman" w:hAnsi="Arial" w:cs="Arial"/>
                <w:color w:val="000000"/>
                <w:sz w:val="17"/>
                <w:szCs w:val="17"/>
              </w:rPr>
              <w:t>Trade accounts receivable, net of allowances of $37.9 and $35.5</w:t>
            </w:r>
          </w:p>
          <w:p w:rsidR="00000000" w:rsidRDefault="00A07857">
            <w:pPr>
              <w:divId w:val="813177322"/>
              <w:rPr>
                <w:rFonts w:eastAsia="Times New Roman"/>
              </w:rPr>
            </w:pPr>
            <w:r>
              <w:rPr>
                <w:rFonts w:ascii="Arial" w:eastAsia="Times New Roman" w:hAnsi="Arial" w:cs="Arial"/>
                <w:color w:val="000000"/>
                <w:sz w:val="17"/>
                <w:szCs w:val="17"/>
              </w:rPr>
              <w:t>   at January 31, 2021 and October 31, 2020, respectively</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917.2 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854.2 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lastRenderedPageBreak/>
              <w:t>Costs incurred in excess of amounts billed</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38.6 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52.2 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Prepaid expenses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85.1 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85.4 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497157508"/>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Other current assets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55.5 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55.9 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497157508"/>
          <w:jc w:val="center"/>
        </w:trPr>
        <w:tc>
          <w:tcPr>
            <w:tcW w:w="0" w:type="auto"/>
            <w:gridSpan w:val="3"/>
            <w:shd w:val="clear" w:color="auto" w:fill="FFFFFF"/>
            <w:tcMar>
              <w:top w:w="30" w:type="dxa"/>
              <w:left w:w="74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1,474.6 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1,441.9 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Other investments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11.8 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ind w:hanging="180"/>
              <w:divId w:val="717902727"/>
              <w:rPr>
                <w:rFonts w:eastAsia="Times New Roman"/>
              </w:rPr>
            </w:pPr>
            <w:r>
              <w:rPr>
                <w:rFonts w:ascii="Arial" w:eastAsia="Times New Roman" w:hAnsi="Arial" w:cs="Arial"/>
                <w:color w:val="000000"/>
                <w:sz w:val="17"/>
                <w:szCs w:val="17"/>
              </w:rPr>
              <w:t>Property, plant and equipment, net of accumulated depreciation of $251.6 and $241.3</w:t>
            </w:r>
          </w:p>
          <w:p w:rsidR="00000000" w:rsidRDefault="00A07857">
            <w:pPr>
              <w:ind w:hanging="180"/>
              <w:divId w:val="2052606511"/>
              <w:rPr>
                <w:rFonts w:eastAsia="Times New Roman"/>
              </w:rPr>
            </w:pPr>
            <w:r>
              <w:rPr>
                <w:rFonts w:ascii="Arial" w:eastAsia="Times New Roman" w:hAnsi="Arial" w:cs="Arial"/>
                <w:color w:val="000000"/>
                <w:sz w:val="17"/>
                <w:szCs w:val="17"/>
              </w:rPr>
              <w:t xml:space="preserve">    at January 31, 2021 and October 31, 2020, respectively </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127.3 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133.7 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Right-of-use assets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136.2 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143.1 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ind w:hanging="180"/>
              <w:divId w:val="172696287"/>
              <w:rPr>
                <w:rFonts w:eastAsia="Times New Roman"/>
              </w:rPr>
            </w:pPr>
            <w:r>
              <w:rPr>
                <w:rFonts w:ascii="Arial" w:eastAsia="Times New Roman" w:hAnsi="Arial" w:cs="Arial"/>
                <w:color w:val="000000"/>
                <w:sz w:val="17"/>
                <w:szCs w:val="17"/>
              </w:rPr>
              <w:t>Other intangible assets, net of accumulated amortization of $355.0 and $343.8</w:t>
            </w:r>
          </w:p>
          <w:p w:rsidR="00000000" w:rsidRDefault="00A07857">
            <w:pPr>
              <w:ind w:hanging="180"/>
              <w:divId w:val="1521510673"/>
              <w:rPr>
                <w:rFonts w:eastAsia="Times New Roman"/>
              </w:rPr>
            </w:pPr>
            <w:r>
              <w:rPr>
                <w:rFonts w:ascii="Arial" w:eastAsia="Times New Roman" w:hAnsi="Arial" w:cs="Arial"/>
                <w:color w:val="000000"/>
                <w:sz w:val="17"/>
                <w:szCs w:val="17"/>
              </w:rPr>
              <w:t>    at January 31, 2021 and October 31, 2020, respectively</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229.0 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239.7 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Goodwill</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1,674.6 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1,671.4 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497157508"/>
          <w:jc w:val="center"/>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497157508"/>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128.7 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136.1 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497157508"/>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Total assets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3,782.2 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3,776.9 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7"/>
                <w:szCs w:val="17"/>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497157508"/>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Current liabilities</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497157508"/>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Current portion of long-term debt, net</w:t>
            </w: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116.9 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116.7 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Trade accounts payable</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217.5 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273.3 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Accrued compensation</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145.9 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187.6 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Accrued taxes—other than income</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107.4 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45.5 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Insurance claims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156.7 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155.2 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Income taxes payable</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38.6 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6.2 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Current portion of lease liabilities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33.9 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35.0 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497157508"/>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Other accrued liabilities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200.8 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167.3 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497157508"/>
          <w:jc w:val="center"/>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497157508"/>
          <w:jc w:val="center"/>
        </w:trPr>
        <w:tc>
          <w:tcPr>
            <w:tcW w:w="0" w:type="auto"/>
            <w:gridSpan w:val="3"/>
            <w:shd w:val="clear" w:color="auto" w:fill="FFFFFF"/>
            <w:tcMar>
              <w:top w:w="30" w:type="dxa"/>
              <w:left w:w="74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1,017.8 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986.9 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Long-term debt, net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573.8 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603.0 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Long-term lease liabilities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125.3 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131.4 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Deferred income tax liability, net</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3.7 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10.8 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Noncurrent insurance claims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360.2 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366.3 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Other noncurrent liabilities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122.2 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168.1 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Noncurrent income taxes payable</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10.2 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10.1 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Total liabilities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2,213.1 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2,276.6 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497157508"/>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7"/>
                <w:szCs w:val="17"/>
              </w:rPr>
              <w:t>Stockholders’ Equity</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497157508"/>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ind w:hanging="180"/>
              <w:divId w:val="1683894056"/>
              <w:rPr>
                <w:rFonts w:eastAsia="Times New Roman"/>
              </w:rPr>
            </w:pPr>
            <w:r>
              <w:rPr>
                <w:rFonts w:ascii="Arial" w:eastAsia="Times New Roman" w:hAnsi="Arial" w:cs="Arial"/>
                <w:color w:val="000000"/>
                <w:sz w:val="17"/>
                <w:szCs w:val="17"/>
              </w:rPr>
              <w:t xml:space="preserve">Preferred stock, $0.01 par value; 500,000 shares authorized; none issued </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ind w:hanging="180"/>
              <w:divId w:val="473910607"/>
              <w:rPr>
                <w:rFonts w:eastAsia="Times New Roman"/>
              </w:rPr>
            </w:pPr>
            <w:r>
              <w:rPr>
                <w:rFonts w:ascii="Arial" w:eastAsia="Times New Roman" w:hAnsi="Arial" w:cs="Arial"/>
                <w:color w:val="000000"/>
                <w:sz w:val="17"/>
                <w:szCs w:val="17"/>
              </w:rPr>
              <w:t xml:space="preserve">Common stock, $0.01 par value; 100,000,000 shares authorized; </w:t>
            </w:r>
          </w:p>
          <w:p w:rsidR="00000000" w:rsidRDefault="00A07857">
            <w:pPr>
              <w:divId w:val="1799762612"/>
              <w:rPr>
                <w:rFonts w:eastAsia="Times New Roman"/>
              </w:rPr>
            </w:pPr>
            <w:r>
              <w:rPr>
                <w:rFonts w:ascii="Arial" w:eastAsia="Times New Roman" w:hAnsi="Arial" w:cs="Arial"/>
                <w:color w:val="000000"/>
                <w:sz w:val="17"/>
                <w:szCs w:val="17"/>
              </w:rPr>
              <w:t xml:space="preserve">67,078,471 and 66,748,157 shares issued and outstanding at </w:t>
            </w:r>
          </w:p>
          <w:p w:rsidR="00000000" w:rsidRDefault="00A07857">
            <w:pPr>
              <w:divId w:val="831991636"/>
              <w:rPr>
                <w:rFonts w:eastAsia="Times New Roman"/>
              </w:rPr>
            </w:pPr>
            <w:r>
              <w:rPr>
                <w:rFonts w:ascii="Arial" w:eastAsia="Times New Roman" w:hAnsi="Arial" w:cs="Arial"/>
                <w:color w:val="000000"/>
                <w:sz w:val="17"/>
                <w:szCs w:val="17"/>
              </w:rPr>
              <w:t>January </w:t>
            </w:r>
            <w:r>
              <w:rPr>
                <w:rFonts w:ascii="Arial" w:eastAsia="Times New Roman" w:hAnsi="Arial" w:cs="Arial"/>
                <w:color w:val="000000"/>
                <w:sz w:val="17"/>
                <w:szCs w:val="17"/>
              </w:rPr>
              <w:t>31, 2021 and October 31, 2020, respectively</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0.7 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0.7 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726.9 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724.1 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Accumulated other comprehensive loss, net of taxes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(25.9)</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(30.8)</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867.5 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806.4 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Total stockholders’ equity</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1,569.1 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1,500.3 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497157508"/>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3,782.2 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7"/>
                <w:szCs w:val="17"/>
              </w:rPr>
              <w:t>3,776.9 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jc w:val="center"/>
        <w:divId w:val="527990349"/>
        <w:rPr>
          <w:rFonts w:eastAsia="Times New Roman"/>
        </w:rPr>
      </w:pPr>
      <w:r>
        <w:rPr>
          <w:rFonts w:ascii="Arial" w:eastAsia="Times New Roman" w:hAnsi="Arial" w:cs="Arial"/>
          <w:color w:val="000000"/>
          <w:sz w:val="20"/>
          <w:szCs w:val="20"/>
        </w:rPr>
        <w:t>See accompanying notes to unaudited consolidated financial statements.</w:t>
      </w:r>
    </w:p>
    <w:p w:rsidR="00000000" w:rsidRDefault="00A07857">
      <w:pPr>
        <w:jc w:val="center"/>
        <w:divId w:val="1969898201"/>
        <w:rPr>
          <w:rFonts w:eastAsia="Times New Roman"/>
        </w:rPr>
      </w:pPr>
      <w:r>
        <w:rPr>
          <w:rFonts w:ascii="Arial" w:eastAsia="Times New Roman" w:hAnsi="Arial" w:cs="Arial"/>
          <w:color w:val="000000"/>
          <w:sz w:val="20"/>
          <w:szCs w:val="20"/>
        </w:rPr>
        <w:t>3</w:t>
      </w:r>
    </w:p>
    <w:p w:rsidR="00000000" w:rsidRDefault="00A07857">
      <w:pPr>
        <w:rPr>
          <w:rFonts w:eastAsia="Times New Roman"/>
        </w:rPr>
      </w:pPr>
      <w:r>
        <w:rPr>
          <w:rFonts w:eastAsia="Times New Roman"/>
        </w:rPr>
        <w:pict>
          <v:rect id="_x0000_i1032" style="width:0;height:1.5pt" o:hralign="center" o:hrstd="t" o:hr="t" fillcolor="#a0a0a0" stroked="f"/>
        </w:pict>
      </w:r>
    </w:p>
    <w:p w:rsidR="00000000" w:rsidRDefault="00A07857">
      <w:pPr>
        <w:jc w:val="both"/>
        <w:divId w:val="226839725"/>
        <w:rPr>
          <w:rFonts w:eastAsia="Times New Roman"/>
        </w:rPr>
      </w:pPr>
    </w:p>
    <w:p w:rsidR="00000000" w:rsidRDefault="00A07857">
      <w:pPr>
        <w:jc w:val="center"/>
        <w:divId w:val="735857846"/>
        <w:rPr>
          <w:rFonts w:eastAsia="Times New Roman"/>
        </w:rPr>
      </w:pPr>
      <w:r>
        <w:rPr>
          <w:rFonts w:ascii="Arial" w:eastAsia="Times New Roman" w:hAnsi="Arial" w:cs="Arial"/>
          <w:b/>
          <w:bCs/>
          <w:color w:val="0046AD"/>
          <w:sz w:val="20"/>
          <w:szCs w:val="20"/>
        </w:rPr>
        <w:t>ABM INDUSTRIES INCORPORATED AND SUBSIDIARIES</w:t>
      </w:r>
    </w:p>
    <w:p w:rsidR="00000000" w:rsidRDefault="00A07857">
      <w:pPr>
        <w:jc w:val="center"/>
        <w:divId w:val="266353304"/>
        <w:rPr>
          <w:rFonts w:eastAsia="Times New Roman"/>
        </w:rPr>
      </w:pPr>
      <w:r>
        <w:rPr>
          <w:rFonts w:ascii="Arial" w:eastAsia="Times New Roman" w:hAnsi="Arial" w:cs="Arial"/>
          <w:b/>
          <w:bCs/>
          <w:color w:val="0046AD"/>
          <w:sz w:val="20"/>
          <w:szCs w:val="20"/>
        </w:rPr>
        <w:lastRenderedPageBreak/>
        <w:t>CONSOLIDATED STATEMENTS OF COMPREHENSIVE INCOME</w:t>
      </w:r>
    </w:p>
    <w:p w:rsidR="00000000" w:rsidRDefault="00A07857">
      <w:pPr>
        <w:jc w:val="center"/>
        <w:divId w:val="2014333330"/>
        <w:rPr>
          <w:rFonts w:eastAsia="Times New Roman"/>
        </w:rPr>
      </w:pPr>
      <w:r>
        <w:rPr>
          <w:rFonts w:ascii="Arial" w:eastAsia="Times New Roman" w:hAnsi="Arial" w:cs="Arial"/>
          <w:b/>
          <w:bCs/>
          <w:color w:val="0046AD"/>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391"/>
        <w:gridCol w:w="40"/>
        <w:gridCol w:w="121"/>
        <w:gridCol w:w="1224"/>
        <w:gridCol w:w="36"/>
        <w:gridCol w:w="36"/>
        <w:gridCol w:w="36"/>
        <w:gridCol w:w="36"/>
        <w:gridCol w:w="121"/>
        <w:gridCol w:w="1188"/>
        <w:gridCol w:w="36"/>
      </w:tblGrid>
      <w:tr w:rsidR="00000000">
        <w:trPr>
          <w:divId w:val="988636242"/>
          <w:jc w:val="center"/>
        </w:trPr>
        <w:tc>
          <w:tcPr>
            <w:tcW w:w="50" w:type="pct"/>
            <w:vAlign w:val="center"/>
            <w:hideMark/>
          </w:tcPr>
          <w:p w:rsidR="00000000" w:rsidRDefault="00A07857">
            <w:pPr>
              <w:jc w:val="center"/>
              <w:rPr>
                <w:rFonts w:eastAsia="Times New Roman"/>
              </w:rPr>
            </w:pPr>
          </w:p>
        </w:tc>
        <w:tc>
          <w:tcPr>
            <w:tcW w:w="3271"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63"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63"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988636242"/>
          <w:jc w:val="center"/>
        </w:trPr>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w:t>
            </w:r>
          </w:p>
        </w:tc>
      </w:tr>
      <w:tr w:rsidR="00000000">
        <w:trPr>
          <w:divId w:val="988636242"/>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2020</w:t>
            </w:r>
          </w:p>
        </w:tc>
      </w:tr>
      <w:tr w:rsidR="00000000">
        <w:trPr>
          <w:divId w:val="988636242"/>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1,492.4 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1,612.9 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Operating expenses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1,249.4 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1,433.7 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122.6 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117.6 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Restructuring and related expenses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10.8 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12.6 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988636242"/>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Operating profit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0.9 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(8.5)</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10.2)</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from continuing operations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101.9 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36.5 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(27.2)</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(8.6)</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from continuing operations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74.6 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from discontinued operations, net of taxes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 xml:space="preserve">Net income </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74.6 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988636242"/>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tax (provision) benefit</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(0.4)</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Comprehensive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79.5 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Net income per common share — Basic</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988636242"/>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from continuing operations</w:t>
            </w: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0.42 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from discontinued operations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 xml:space="preserve">Net income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Net income per common share — Diluted</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988636242"/>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 xml:space="preserve">Income from continuing operations </w:t>
            </w: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0.41 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from discontinued operations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 xml:space="preserve">Net income </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ind w:hanging="180"/>
              <w:divId w:val="1991981369"/>
              <w:rPr>
                <w:rFonts w:eastAsia="Times New Roman"/>
              </w:rPr>
            </w:pPr>
            <w:r>
              <w:rPr>
                <w:rFonts w:ascii="Arial" w:eastAsia="Times New Roman" w:hAnsi="Arial" w:cs="Arial"/>
                <w:b/>
                <w:bCs/>
                <w:color w:val="000000"/>
                <w:sz w:val="18"/>
                <w:szCs w:val="18"/>
              </w:rPr>
              <w:t>Weighted-average common and common equivalent shares outstanding</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A07857">
            <w:pPr>
              <w:ind w:hanging="18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988636242"/>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Basic</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67.2 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66.9 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Diluted</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67.6 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67.2 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988636242"/>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bl>
    <w:p w:rsidR="00000000" w:rsidRDefault="00A07857">
      <w:pPr>
        <w:jc w:val="center"/>
        <w:divId w:val="1166825204"/>
        <w:rPr>
          <w:rFonts w:eastAsia="Times New Roman"/>
        </w:rPr>
      </w:pPr>
      <w:r>
        <w:rPr>
          <w:rFonts w:ascii="Arial" w:eastAsia="Times New Roman" w:hAnsi="Arial" w:cs="Arial"/>
          <w:color w:val="000000"/>
          <w:sz w:val="20"/>
          <w:szCs w:val="20"/>
        </w:rPr>
        <w:t xml:space="preserve">See accompanying notes to unaudited consolidated financial statements. </w:t>
      </w:r>
    </w:p>
    <w:p w:rsidR="00000000" w:rsidRDefault="00A07857">
      <w:pPr>
        <w:jc w:val="center"/>
        <w:divId w:val="1878397188"/>
        <w:rPr>
          <w:rFonts w:eastAsia="Times New Roman"/>
        </w:rPr>
      </w:pPr>
    </w:p>
    <w:p w:rsidR="00000000" w:rsidRDefault="00A07857">
      <w:pPr>
        <w:jc w:val="center"/>
        <w:divId w:val="1239513360"/>
        <w:rPr>
          <w:rFonts w:eastAsia="Times New Roman"/>
        </w:rPr>
      </w:pPr>
      <w:r>
        <w:rPr>
          <w:rFonts w:ascii="Arial" w:eastAsia="Times New Roman" w:hAnsi="Arial" w:cs="Arial"/>
          <w:color w:val="000000"/>
          <w:sz w:val="20"/>
          <w:szCs w:val="20"/>
        </w:rPr>
        <w:t>4</w:t>
      </w:r>
    </w:p>
    <w:p w:rsidR="00000000" w:rsidRDefault="00A07857">
      <w:pPr>
        <w:rPr>
          <w:rFonts w:eastAsia="Times New Roman"/>
        </w:rPr>
      </w:pPr>
      <w:r>
        <w:rPr>
          <w:rFonts w:eastAsia="Times New Roman"/>
        </w:rPr>
        <w:pict>
          <v:rect id="_x0000_i1033" style="width:0;height:1.5pt" o:hralign="center" o:hrstd="t" o:hr="t" fillcolor="#a0a0a0" stroked="f"/>
        </w:pict>
      </w:r>
    </w:p>
    <w:p w:rsidR="00000000" w:rsidRDefault="00A07857">
      <w:pPr>
        <w:jc w:val="both"/>
        <w:divId w:val="1671759835"/>
        <w:rPr>
          <w:rFonts w:eastAsia="Times New Roman"/>
        </w:rPr>
      </w:pPr>
    </w:p>
    <w:p w:rsidR="00000000" w:rsidRDefault="00A07857">
      <w:pPr>
        <w:jc w:val="center"/>
        <w:divId w:val="594750736"/>
        <w:rPr>
          <w:rFonts w:eastAsia="Times New Roman"/>
        </w:rPr>
      </w:pPr>
      <w:r>
        <w:rPr>
          <w:rFonts w:ascii="Arial" w:eastAsia="Times New Roman" w:hAnsi="Arial" w:cs="Arial"/>
          <w:b/>
          <w:bCs/>
          <w:color w:val="0046AD"/>
          <w:sz w:val="20"/>
          <w:szCs w:val="20"/>
        </w:rPr>
        <w:t>ABM INDUSTRIES INCORPORATED AND SUBSIDIARIES</w:t>
      </w:r>
    </w:p>
    <w:p w:rsidR="00000000" w:rsidRDefault="00A07857">
      <w:pPr>
        <w:jc w:val="center"/>
        <w:divId w:val="1205100404"/>
        <w:rPr>
          <w:rFonts w:eastAsia="Times New Roman"/>
        </w:rPr>
      </w:pPr>
      <w:r>
        <w:rPr>
          <w:rFonts w:ascii="Arial" w:eastAsia="Times New Roman" w:hAnsi="Arial" w:cs="Arial"/>
          <w:b/>
          <w:bCs/>
          <w:color w:val="0046AD"/>
          <w:sz w:val="20"/>
          <w:szCs w:val="20"/>
        </w:rPr>
        <w:t xml:space="preserve">CONSOLIDATED STATEMENTS OF STOCKHOLDERS’ EQUITY </w:t>
      </w:r>
    </w:p>
    <w:p w:rsidR="00000000" w:rsidRDefault="00A07857">
      <w:pPr>
        <w:jc w:val="center"/>
        <w:divId w:val="2022777540"/>
        <w:rPr>
          <w:rFonts w:eastAsia="Times New Roman"/>
        </w:rPr>
      </w:pPr>
      <w:r>
        <w:rPr>
          <w:rFonts w:ascii="Arial" w:eastAsia="Times New Roman" w:hAnsi="Arial" w:cs="Arial"/>
          <w:b/>
          <w:bCs/>
          <w:color w:val="0046AD"/>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5"/>
        <w:gridCol w:w="3786"/>
        <w:gridCol w:w="40"/>
        <w:gridCol w:w="36"/>
        <w:gridCol w:w="36"/>
        <w:gridCol w:w="36"/>
        <w:gridCol w:w="48"/>
        <w:gridCol w:w="820"/>
        <w:gridCol w:w="36"/>
        <w:gridCol w:w="36"/>
        <w:gridCol w:w="36"/>
        <w:gridCol w:w="36"/>
        <w:gridCol w:w="109"/>
        <w:gridCol w:w="824"/>
        <w:gridCol w:w="36"/>
        <w:gridCol w:w="36"/>
        <w:gridCol w:w="36"/>
        <w:gridCol w:w="36"/>
        <w:gridCol w:w="48"/>
        <w:gridCol w:w="823"/>
        <w:gridCol w:w="36"/>
        <w:gridCol w:w="36"/>
        <w:gridCol w:w="36"/>
        <w:gridCol w:w="36"/>
        <w:gridCol w:w="109"/>
        <w:gridCol w:w="826"/>
        <w:gridCol w:w="36"/>
        <w:gridCol w:w="36"/>
        <w:gridCol w:w="36"/>
        <w:gridCol w:w="36"/>
        <w:gridCol w:w="36"/>
        <w:gridCol w:w="36"/>
        <w:gridCol w:w="36"/>
        <w:gridCol w:w="36"/>
      </w:tblGrid>
      <w:tr w:rsidR="00000000">
        <w:trPr>
          <w:divId w:val="1953438955"/>
        </w:trPr>
        <w:tc>
          <w:tcPr>
            <w:tcW w:w="50" w:type="pct"/>
            <w:vAlign w:val="center"/>
            <w:hideMark/>
          </w:tcPr>
          <w:p w:rsidR="00000000" w:rsidRDefault="00A07857">
            <w:pPr>
              <w:jc w:val="center"/>
              <w:rPr>
                <w:rFonts w:eastAsia="Times New Roman"/>
              </w:rPr>
            </w:pPr>
          </w:p>
        </w:tc>
        <w:tc>
          <w:tcPr>
            <w:tcW w:w="2371"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551"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551"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551"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55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6"/>
                <w:szCs w:val="16"/>
              </w:rPr>
              <w:t>Three Months Ended January 31,</w:t>
            </w:r>
          </w:p>
        </w:tc>
        <w:tc>
          <w:tcPr>
            <w:tcW w:w="0" w:type="auto"/>
            <w:vAlign w:val="center"/>
            <w:hideMark/>
          </w:tcPr>
          <w:p w:rsidR="00000000" w:rsidRDefault="00A07857">
            <w:pPr>
              <w:jc w:val="center"/>
              <w:rPr>
                <w:rFonts w:eastAsia="Times New Roman"/>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6"/>
                <w:szCs w:val="16"/>
              </w:rPr>
              <w:t>2020</w:t>
            </w:r>
          </w:p>
        </w:tc>
        <w:tc>
          <w:tcPr>
            <w:tcW w:w="0" w:type="auto"/>
            <w:vAlign w:val="center"/>
            <w:hideMark/>
          </w:tcPr>
          <w:p w:rsidR="00000000" w:rsidRDefault="00A07857">
            <w:pPr>
              <w:jc w:val="center"/>
              <w:rPr>
                <w:rFonts w:eastAsia="Times New Roman"/>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4"/>
                <w:szCs w:val="14"/>
                <w:u w:val="single"/>
              </w:rPr>
              <w:t>(in millions, except per share amounts)</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6"/>
                <w:szCs w:val="16"/>
              </w:rPr>
              <w:t>Amount</w:t>
            </w:r>
          </w:p>
        </w:tc>
        <w:tc>
          <w:tcPr>
            <w:tcW w:w="0" w:type="auto"/>
            <w:vAlign w:val="center"/>
            <w:hideMark/>
          </w:tcPr>
          <w:p w:rsidR="00000000" w:rsidRDefault="00A07857">
            <w:pPr>
              <w:jc w:val="center"/>
              <w:rPr>
                <w:rFonts w:eastAsia="Times New Roman"/>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Common Stock</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FFFFF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66.7 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66.6 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DCE2EF"/>
            <w:tcMar>
              <w:top w:w="30" w:type="dxa"/>
              <w:left w:w="20" w:type="dxa"/>
              <w:bottom w:w="30" w:type="dxa"/>
              <w:right w:w="20" w:type="dxa"/>
            </w:tcMar>
            <w:vAlign w:val="bottom"/>
            <w:hideMark/>
          </w:tcPr>
          <w:p w:rsidR="00000000" w:rsidRDefault="00A07857">
            <w:pPr>
              <w:ind w:hanging="180"/>
              <w:divId w:val="1249074892"/>
              <w:rPr>
                <w:rFonts w:eastAsia="Times New Roman"/>
              </w:rPr>
            </w:pPr>
            <w:r>
              <w:rPr>
                <w:rFonts w:ascii="Arial" w:eastAsia="Times New Roman" w:hAnsi="Arial" w:cs="Arial"/>
                <w:color w:val="000000"/>
                <w:sz w:val="16"/>
                <w:szCs w:val="16"/>
              </w:rPr>
              <w:t>Stock issued under employee stock purchase and share-based compensation plans</w:t>
            </w:r>
          </w:p>
        </w:tc>
        <w:tc>
          <w:tcPr>
            <w:tcW w:w="0" w:type="auto"/>
            <w:gridSpan w:val="3"/>
            <w:shd w:val="clear" w:color="auto" w:fill="DCE2EF"/>
            <w:tcMar>
              <w:top w:w="0" w:type="dxa"/>
              <w:left w:w="20" w:type="dxa"/>
              <w:bottom w:w="0" w:type="dxa"/>
              <w:right w:w="20" w:type="dxa"/>
            </w:tcMar>
            <w:vAlign w:val="center"/>
            <w:hideMark/>
          </w:tcPr>
          <w:p w:rsidR="00000000" w:rsidRDefault="00A07857">
            <w:pPr>
              <w:ind w:hanging="18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0.3 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FFFFF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67.1 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66.8 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Additional Paid-in Capital</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FFFFF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724.1 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708.9 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DCE2EF"/>
            <w:tcMar>
              <w:top w:w="30" w:type="dxa"/>
              <w:left w:w="335" w:type="dxa"/>
              <w:bottom w:w="30" w:type="dxa"/>
              <w:right w:w="20" w:type="dxa"/>
            </w:tcMar>
            <w:vAlign w:val="bottom"/>
            <w:hideMark/>
          </w:tcPr>
          <w:p w:rsidR="00000000" w:rsidRDefault="00A07857">
            <w:pPr>
              <w:ind w:hanging="180"/>
              <w:rPr>
                <w:rFonts w:eastAsia="Times New Roman"/>
              </w:rPr>
            </w:pPr>
            <w:r>
              <w:rPr>
                <w:rFonts w:ascii="Arial" w:eastAsia="Times New Roman" w:hAnsi="Arial" w:cs="Arial"/>
                <w:color w:val="000000"/>
                <w:sz w:val="16"/>
                <w:szCs w:val="16"/>
              </w:rPr>
              <w:t>Taxes withheld under employee stock purchase and share-based compensation plans, net</w:t>
            </w:r>
          </w:p>
        </w:tc>
        <w:tc>
          <w:tcPr>
            <w:tcW w:w="0" w:type="auto"/>
            <w:gridSpan w:val="3"/>
            <w:shd w:val="clear" w:color="auto" w:fill="DCE2EF"/>
            <w:tcMar>
              <w:top w:w="0" w:type="dxa"/>
              <w:left w:w="20" w:type="dxa"/>
              <w:bottom w:w="0" w:type="dxa"/>
              <w:right w:w="20" w:type="dxa"/>
            </w:tcMar>
            <w:vAlign w:val="center"/>
            <w:hideMark/>
          </w:tcPr>
          <w:p w:rsidR="00000000" w:rsidRDefault="00A07857">
            <w:pPr>
              <w:ind w:hanging="18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(5.6)</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(2.0)</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FFFFF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Share-based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8.5 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4.9 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726.9 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711.8 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FFFFFF"/>
            <w:tcMar>
              <w:top w:w="30" w:type="dxa"/>
              <w:left w:w="20" w:type="dxa"/>
              <w:bottom w:w="30" w:type="dxa"/>
              <w:right w:w="20" w:type="dxa"/>
            </w:tcMar>
            <w:vAlign w:val="bottom"/>
            <w:hideMark/>
          </w:tcPr>
          <w:p w:rsidR="00000000" w:rsidRDefault="00A07857">
            <w:pPr>
              <w:ind w:hanging="180"/>
              <w:divId w:val="1493524921"/>
              <w:rPr>
                <w:rFonts w:eastAsia="Times New Roman"/>
              </w:rPr>
            </w:pPr>
            <w:r>
              <w:rPr>
                <w:rFonts w:ascii="Arial" w:eastAsia="Times New Roman" w:hAnsi="Arial" w:cs="Arial"/>
                <w:b/>
                <w:bCs/>
                <w:color w:val="000000"/>
                <w:sz w:val="16"/>
                <w:szCs w:val="16"/>
              </w:rPr>
              <w:t>Accumulated Other Comprehensive Loss, Net of Taxes</w:t>
            </w:r>
          </w:p>
        </w:tc>
        <w:tc>
          <w:tcPr>
            <w:tcW w:w="0" w:type="auto"/>
            <w:gridSpan w:val="3"/>
            <w:shd w:val="clear" w:color="auto" w:fill="FFFFFF"/>
            <w:tcMar>
              <w:top w:w="0" w:type="dxa"/>
              <w:left w:w="20" w:type="dxa"/>
              <w:bottom w:w="0" w:type="dxa"/>
              <w:right w:w="20" w:type="dxa"/>
            </w:tcMar>
            <w:vAlign w:val="center"/>
            <w:hideMark/>
          </w:tcPr>
          <w:p w:rsidR="00000000" w:rsidRDefault="00A07857">
            <w:pPr>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(30.8)</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(23.9)</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FFFFF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4.9 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(0.4)</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(25.9)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(24.3)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806.4 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856.3 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FFFFF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74.6 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28.0 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 xml:space="preserve">Dividends </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FFFFFF"/>
            <w:tcMar>
              <w:top w:w="30" w:type="dxa"/>
              <w:left w:w="20" w:type="dxa"/>
              <w:bottom w:w="30" w:type="dxa"/>
              <w:right w:w="20" w:type="dxa"/>
            </w:tcMar>
            <w:vAlign w:val="bottom"/>
            <w:hideMark/>
          </w:tcPr>
          <w:p w:rsidR="00000000" w:rsidRDefault="00A07857">
            <w:pPr>
              <w:divId w:val="371155067"/>
              <w:rPr>
                <w:rFonts w:eastAsia="Times New Roman"/>
              </w:rPr>
            </w:pPr>
            <w:r>
              <w:rPr>
                <w:rFonts w:ascii="Arial" w:eastAsia="Times New Roman" w:hAnsi="Arial" w:cs="Arial"/>
                <w:color w:val="000000"/>
                <w:sz w:val="16"/>
                <w:szCs w:val="16"/>
              </w:rPr>
              <w:t>Common stock ($0.190 and $0.185 per share)</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(12.7)</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(12.3)</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DCE2EF"/>
            <w:tcMar>
              <w:top w:w="30" w:type="dxa"/>
              <w:left w:w="26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Stock issued under share-based compensation plans</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(0.9)</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(0.4)</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FFFFF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867.5 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871.6 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r w:rsidR="00000000">
        <w:trPr>
          <w:divId w:val="1953438955"/>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Total Stockholders’ Equity</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1,569.1 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1,559.7 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vAlign w:val="center"/>
            <w:hideMark/>
          </w:tcPr>
          <w:p w:rsidR="00000000" w:rsidRDefault="00A07857">
            <w:pPr>
              <w:jc w:val="right"/>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c>
          <w:tcPr>
            <w:tcW w:w="0" w:type="auto"/>
            <w:vAlign w:val="center"/>
            <w:hideMark/>
          </w:tcPr>
          <w:p w:rsidR="00000000" w:rsidRDefault="00A07857">
            <w:pPr>
              <w:rPr>
                <w:rFonts w:eastAsia="Times New Roman"/>
                <w:sz w:val="20"/>
                <w:szCs w:val="20"/>
              </w:rPr>
            </w:pPr>
          </w:p>
        </w:tc>
      </w:tr>
    </w:tbl>
    <w:p w:rsidR="00000000" w:rsidRDefault="00A07857">
      <w:pPr>
        <w:jc w:val="center"/>
        <w:divId w:val="2114084627"/>
        <w:rPr>
          <w:rFonts w:eastAsia="Times New Roman"/>
        </w:rPr>
      </w:pPr>
      <w:r>
        <w:rPr>
          <w:rFonts w:ascii="Arial" w:eastAsia="Times New Roman" w:hAnsi="Arial" w:cs="Arial"/>
          <w:color w:val="000000"/>
          <w:sz w:val="20"/>
          <w:szCs w:val="20"/>
        </w:rPr>
        <w:t xml:space="preserve">See accompanying notes to unaudited consolidated financial statements. </w:t>
      </w:r>
    </w:p>
    <w:p w:rsidR="00000000" w:rsidRDefault="00A07857">
      <w:pPr>
        <w:jc w:val="center"/>
        <w:divId w:val="1899432429"/>
        <w:rPr>
          <w:rFonts w:eastAsia="Times New Roman"/>
        </w:rPr>
      </w:pPr>
      <w:r>
        <w:rPr>
          <w:rFonts w:ascii="Arial" w:eastAsia="Times New Roman" w:hAnsi="Arial" w:cs="Arial"/>
          <w:color w:val="000000"/>
          <w:sz w:val="20"/>
          <w:szCs w:val="20"/>
        </w:rPr>
        <w:t>5</w:t>
      </w:r>
    </w:p>
    <w:p w:rsidR="00000000" w:rsidRDefault="00A07857">
      <w:pPr>
        <w:rPr>
          <w:rFonts w:eastAsia="Times New Roman"/>
        </w:rPr>
      </w:pPr>
      <w:r>
        <w:rPr>
          <w:rFonts w:eastAsia="Times New Roman"/>
        </w:rPr>
        <w:pict>
          <v:rect id="_x0000_i1034" style="width:0;height:1.5pt" o:hralign="center" o:hrstd="t" o:hr="t" fillcolor="#a0a0a0" stroked="f"/>
        </w:pict>
      </w:r>
    </w:p>
    <w:p w:rsidR="00000000" w:rsidRDefault="00A07857">
      <w:pPr>
        <w:jc w:val="both"/>
        <w:divId w:val="752045152"/>
        <w:rPr>
          <w:rFonts w:eastAsia="Times New Roman"/>
        </w:rPr>
      </w:pPr>
    </w:p>
    <w:p w:rsidR="00000000" w:rsidRDefault="00A07857">
      <w:pPr>
        <w:jc w:val="center"/>
        <w:divId w:val="319046316"/>
        <w:rPr>
          <w:rFonts w:eastAsia="Times New Roman"/>
        </w:rPr>
      </w:pPr>
      <w:r>
        <w:rPr>
          <w:rFonts w:ascii="Arial" w:eastAsia="Times New Roman" w:hAnsi="Arial" w:cs="Arial"/>
          <w:b/>
          <w:bCs/>
          <w:color w:val="0046AD"/>
          <w:sz w:val="20"/>
          <w:szCs w:val="20"/>
        </w:rPr>
        <w:t>ABM INDUSTRIES INCORPORATED AND SUBSIDIARIES</w:t>
      </w:r>
    </w:p>
    <w:p w:rsidR="00000000" w:rsidRDefault="00A07857">
      <w:pPr>
        <w:jc w:val="center"/>
        <w:divId w:val="1313942914"/>
        <w:rPr>
          <w:rFonts w:eastAsia="Times New Roman"/>
        </w:rPr>
      </w:pPr>
      <w:r>
        <w:rPr>
          <w:rFonts w:ascii="Arial" w:eastAsia="Times New Roman" w:hAnsi="Arial" w:cs="Arial"/>
          <w:b/>
          <w:bCs/>
          <w:color w:val="0046AD"/>
          <w:sz w:val="20"/>
          <w:szCs w:val="20"/>
        </w:rPr>
        <w:t>CONSOLIDATED STATEMENTS OF CASH FLOWS</w:t>
      </w:r>
    </w:p>
    <w:p w:rsidR="00000000" w:rsidRDefault="00A07857">
      <w:pPr>
        <w:jc w:val="center"/>
        <w:divId w:val="1789545528"/>
        <w:rPr>
          <w:rFonts w:eastAsia="Times New Roman"/>
        </w:rPr>
      </w:pPr>
      <w:r>
        <w:rPr>
          <w:rFonts w:ascii="Arial" w:eastAsia="Times New Roman" w:hAnsi="Arial" w:cs="Arial"/>
          <w:b/>
          <w:bCs/>
          <w:color w:val="0046AD"/>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5951"/>
        <w:gridCol w:w="39"/>
        <w:gridCol w:w="109"/>
        <w:gridCol w:w="977"/>
        <w:gridCol w:w="36"/>
        <w:gridCol w:w="36"/>
        <w:gridCol w:w="36"/>
        <w:gridCol w:w="36"/>
        <w:gridCol w:w="110"/>
        <w:gridCol w:w="896"/>
        <w:gridCol w:w="36"/>
      </w:tblGrid>
      <w:tr w:rsidR="00000000">
        <w:trPr>
          <w:divId w:val="1793137246"/>
          <w:jc w:val="center"/>
        </w:trPr>
        <w:tc>
          <w:tcPr>
            <w:tcW w:w="50" w:type="pct"/>
            <w:vAlign w:val="center"/>
            <w:hideMark/>
          </w:tcPr>
          <w:p w:rsidR="00000000" w:rsidRDefault="00A07857">
            <w:pPr>
              <w:jc w:val="center"/>
              <w:rPr>
                <w:rFonts w:eastAsia="Times New Roman"/>
              </w:rPr>
            </w:pPr>
          </w:p>
        </w:tc>
        <w:tc>
          <w:tcPr>
            <w:tcW w:w="360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611"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583"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793137246"/>
          <w:jc w:val="center"/>
        </w:trPr>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6"/>
                <w:szCs w:val="16"/>
              </w:rPr>
              <w:t>Three Months Ended January 31,</w:t>
            </w:r>
          </w:p>
        </w:tc>
      </w:tr>
      <w:tr w:rsidR="00000000">
        <w:trPr>
          <w:divId w:val="1793137246"/>
          <w:jc w:val="center"/>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6"/>
                <w:szCs w:val="16"/>
              </w:rPr>
              <w:t>2020</w:t>
            </w: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Cash flows from operating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Net income</w:t>
            </w: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74.6 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28.0 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Income from discontinued operations, net of taxes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(0.1)</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74.6 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200" w:type="dxa"/>
              <w:bottom w:w="30" w:type="dxa"/>
              <w:right w:w="20" w:type="dxa"/>
            </w:tcMar>
            <w:vAlign w:val="bottom"/>
            <w:hideMark/>
          </w:tcPr>
          <w:p w:rsidR="00000000" w:rsidRDefault="00A07857">
            <w:pPr>
              <w:ind w:hanging="180"/>
              <w:rPr>
                <w:rFonts w:eastAsia="Times New Roman"/>
              </w:rPr>
            </w:pPr>
            <w:r>
              <w:rPr>
                <w:rFonts w:ascii="Arial" w:eastAsia="Times New Roman" w:hAnsi="Arial" w:cs="Arial"/>
                <w:b/>
                <w:bCs/>
                <w:color w:val="000000"/>
                <w:sz w:val="16"/>
                <w:szCs w:val="16"/>
              </w:rPr>
              <w:t>Adjustments to reconcile income from continuing operations to net cash provided by (used in) operating activities of continuing operations</w:t>
            </w:r>
          </w:p>
        </w:tc>
        <w:tc>
          <w:tcPr>
            <w:tcW w:w="0" w:type="auto"/>
            <w:gridSpan w:val="3"/>
            <w:shd w:val="clear" w:color="auto" w:fill="DCE2EF"/>
            <w:tcMar>
              <w:top w:w="0" w:type="dxa"/>
              <w:left w:w="20" w:type="dxa"/>
              <w:bottom w:w="0" w:type="dxa"/>
              <w:right w:w="20" w:type="dxa"/>
            </w:tcMar>
            <w:vAlign w:val="center"/>
            <w:hideMark/>
          </w:tcPr>
          <w:p w:rsidR="00000000" w:rsidRDefault="00A07857">
            <w:pPr>
              <w:ind w:hanging="18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22.3 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24.4 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Deferred income taxes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(7.4)</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(1.0)</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8.5 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4.9 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Provision for bad debt</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3.0 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2.4 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 xml:space="preserve">Amortization of accumulated other comprehensive gain on interest rate swaps </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(1.6)</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(1.7)</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Loss on sale of assets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1.0 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0.3 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Income from unconsolidated affiliates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(0.6)</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(0.9)</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Changes in operating assets and liabilities</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793137246"/>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Trade accounts receivable and costs incurred in excess of amounts billed</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(52.3)</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Prepaid expenses and other current assets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0.8 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(8.5)</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Right-of-use assets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6.9 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4.1 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Other noncurrent assets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5.9 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(1.6)</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Trade accounts payable and other accrued liabilities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(3.0)</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(88.9)</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Long-term lease liabilities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(6.1)</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(4.2)</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Insurance claims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(4.6)</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Income taxes payable</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32.5 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7.6 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Other noncurrent liabilities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(34.5)</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(1.1)</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Total adjustments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(29.3)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(62.3)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Net cash provided by (used in) operating activities of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45.3 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(34.5)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Net cash provided by operating activities of discontinued operations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Net cash provided by (used in)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45.3 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(34.3)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Cash flows from investing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Additions to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(6.6)</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(11.5)</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Proceeds from sale of assets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1.4 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4.2 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Proceeds from redemption of auction rate security</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Net cash used in investing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(5.2)</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793137246"/>
          <w:jc w:val="center"/>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Taxes withheld from issuance of share-based compensation awards, net</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(6.5)</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(2.4)</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Dividends paid</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(12.7)</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(12.3)</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Borrowings from credit facility</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2.6 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425.0 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Repayment of borrowings from credit facility</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(32.6)</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(368.6)</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Changes in book cash overdrafts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(12.0)</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6.4 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Financing of energy savings performance contracts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4.0 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6"/>
                <w:szCs w:val="16"/>
              </w:rPr>
              <w:t>Repayment of finance lease obligations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(0.7)</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(0.8)</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Net cash (used in)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(57.8)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48.4 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Effect of exchange rate changes on cash and cash equivalents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(0.4)</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Net (decrease) increase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11.4 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Cash and cash equivalents at beginning of year</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394.2 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58.5 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93137246"/>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6"/>
                <w:szCs w:val="16"/>
              </w:rPr>
              <w:t>Cash and cash equivalents at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378.3 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6"/>
                <w:szCs w:val="16"/>
              </w:rPr>
              <w:t>69.8 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jc w:val="center"/>
        <w:divId w:val="441412557"/>
        <w:rPr>
          <w:rFonts w:eastAsia="Times New Roman"/>
        </w:rPr>
      </w:pPr>
      <w:r>
        <w:rPr>
          <w:rFonts w:ascii="Arial" w:eastAsia="Times New Roman" w:hAnsi="Arial" w:cs="Arial"/>
          <w:color w:val="000000"/>
          <w:sz w:val="20"/>
          <w:szCs w:val="20"/>
        </w:rPr>
        <w:t>See accompanying notes to unaudited consolidated financial statements.</w:t>
      </w:r>
    </w:p>
    <w:p w:rsidR="00000000" w:rsidRDefault="00A07857">
      <w:pPr>
        <w:jc w:val="center"/>
        <w:divId w:val="922227593"/>
        <w:rPr>
          <w:rFonts w:eastAsia="Times New Roman"/>
        </w:rPr>
      </w:pPr>
      <w:r>
        <w:rPr>
          <w:rFonts w:ascii="Arial" w:eastAsia="Times New Roman" w:hAnsi="Arial" w:cs="Arial"/>
          <w:color w:val="000000"/>
          <w:sz w:val="20"/>
          <w:szCs w:val="20"/>
        </w:rPr>
        <w:t>6</w:t>
      </w:r>
    </w:p>
    <w:p w:rsidR="00000000" w:rsidRDefault="00A07857">
      <w:pPr>
        <w:rPr>
          <w:rFonts w:eastAsia="Times New Roman"/>
        </w:rPr>
      </w:pPr>
      <w:r>
        <w:rPr>
          <w:rFonts w:eastAsia="Times New Roman"/>
        </w:rPr>
        <w:pict>
          <v:rect id="_x0000_i1035" style="width:0;height:1.5pt" o:hralign="center" o:hrstd="t" o:hr="t" fillcolor="#a0a0a0" stroked="f"/>
        </w:pict>
      </w:r>
    </w:p>
    <w:p w:rsidR="00000000" w:rsidRDefault="00A07857">
      <w:pPr>
        <w:jc w:val="both"/>
        <w:divId w:val="1225409546"/>
        <w:rPr>
          <w:rFonts w:eastAsia="Times New Roman"/>
        </w:rPr>
      </w:pPr>
    </w:p>
    <w:p w:rsidR="00000000" w:rsidRDefault="00A07857">
      <w:pPr>
        <w:jc w:val="center"/>
        <w:divId w:val="1810783482"/>
        <w:rPr>
          <w:rFonts w:eastAsia="Times New Roman"/>
        </w:rPr>
      </w:pPr>
      <w:r>
        <w:rPr>
          <w:rFonts w:ascii="Arial" w:eastAsia="Times New Roman" w:hAnsi="Arial" w:cs="Arial"/>
          <w:b/>
          <w:bCs/>
          <w:color w:val="0046AD"/>
          <w:sz w:val="20"/>
          <w:szCs w:val="20"/>
        </w:rPr>
        <w:t>ABM INDUSTRIES INCORPORATED AND SUBSIDIARIES</w:t>
      </w:r>
    </w:p>
    <w:p w:rsidR="00000000" w:rsidRDefault="00A07857">
      <w:pPr>
        <w:jc w:val="center"/>
        <w:divId w:val="2013485690"/>
        <w:rPr>
          <w:rFonts w:eastAsia="Times New Roman"/>
        </w:rPr>
      </w:pPr>
      <w:r>
        <w:rPr>
          <w:rFonts w:ascii="Arial" w:eastAsia="Times New Roman" w:hAnsi="Arial" w:cs="Arial"/>
          <w:b/>
          <w:bCs/>
          <w:color w:val="0046AD"/>
          <w:sz w:val="20"/>
          <w:szCs w:val="20"/>
        </w:rPr>
        <w:t>NOTES TO CONSOLIDATED FINANCIAL STATEMENTS</w:t>
      </w:r>
    </w:p>
    <w:p w:rsidR="00000000" w:rsidRDefault="00A07857">
      <w:pPr>
        <w:jc w:val="center"/>
        <w:divId w:val="681051794"/>
        <w:rPr>
          <w:rFonts w:eastAsia="Times New Roman"/>
        </w:rPr>
      </w:pPr>
      <w:r>
        <w:rPr>
          <w:rFonts w:ascii="Arial" w:eastAsia="Times New Roman" w:hAnsi="Arial" w:cs="Arial"/>
          <w:b/>
          <w:bCs/>
          <w:color w:val="0046AD"/>
          <w:sz w:val="20"/>
          <w:szCs w:val="20"/>
        </w:rPr>
        <w:t>(UNAUDITED)</w:t>
      </w:r>
    </w:p>
    <w:p w:rsidR="00000000" w:rsidRDefault="00A07857">
      <w:pPr>
        <w:divId w:val="523789457"/>
        <w:rPr>
          <w:rFonts w:eastAsia="Times New Roman"/>
        </w:rPr>
      </w:pPr>
      <w:r>
        <w:rPr>
          <w:rFonts w:ascii="Arial" w:eastAsia="Times New Roman" w:hAnsi="Arial" w:cs="Arial"/>
          <w:b/>
          <w:bCs/>
          <w:color w:val="0046AD"/>
          <w:sz w:val="20"/>
          <w:szCs w:val="20"/>
        </w:rPr>
        <w:t xml:space="preserve">1. THE COMPANY AND NATURE OF OPERATIONS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485514503"/>
        </w:trPr>
        <w:tc>
          <w:tcPr>
            <w:tcW w:w="5" w:type="pct"/>
            <w:vAlign w:val="center"/>
            <w:hideMark/>
          </w:tcPr>
          <w:p w:rsidR="00000000" w:rsidRDefault="00A07857">
            <w:pPr>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485514503"/>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ind w:firstLine="720"/>
        <w:jc w:val="both"/>
        <w:divId w:val="1736472266"/>
        <w:rPr>
          <w:rFonts w:eastAsia="Times New Roman"/>
        </w:rPr>
      </w:pPr>
      <w:r>
        <w:rPr>
          <w:rFonts w:ascii="Arial" w:eastAsia="Times New Roman" w:hAnsi="Arial" w:cs="Arial"/>
          <w:color w:val="000000"/>
          <w:sz w:val="20"/>
          <w:szCs w:val="20"/>
        </w:rPr>
        <w:t xml:space="preserve">ABM is a leading provider of integrated facility services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We are organized into four industry groups and one Technical Solutions segment: </w:t>
      </w:r>
    </w:p>
    <w:p w:rsidR="00000000" w:rsidRDefault="00A07857">
      <w:pPr>
        <w:spacing w:before="60" w:after="180"/>
        <w:jc w:val="center"/>
        <w:divId w:val="1288659744"/>
        <w:rPr>
          <w:rFonts w:eastAsia="Times New Roman"/>
        </w:rPr>
      </w:pPr>
      <w:r>
        <w:rPr>
          <w:rFonts w:eastAsia="Times New Roman"/>
          <w:noProof/>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07857">
      <w:pPr>
        <w:ind w:firstLine="720"/>
        <w:jc w:val="both"/>
        <w:divId w:val="1942294142"/>
        <w:rPr>
          <w:rFonts w:eastAsia="Times New Roman"/>
        </w:rPr>
      </w:pPr>
      <w:r>
        <w:rPr>
          <w:rFonts w:ascii="Arial" w:eastAsia="Times New Roman" w:hAnsi="Arial" w:cs="Arial"/>
          <w:color w:val="000000"/>
          <w:sz w:val="20"/>
          <w:szCs w:val="20"/>
        </w:rPr>
        <w:t>Through these groups, we offer janitorial, facilities engineering, parking, and specialized mechanical and electrical technical solutions, on a standalone basis or in combina</w:t>
      </w:r>
      <w:r>
        <w:rPr>
          <w:rFonts w:ascii="Arial" w:eastAsia="Times New Roman" w:hAnsi="Arial" w:cs="Arial"/>
          <w:color w:val="000000"/>
          <w:sz w:val="20"/>
          <w:szCs w:val="20"/>
        </w:rPr>
        <w:t xml:space="preserve">tion with other services. </w:t>
      </w:r>
    </w:p>
    <w:p w:rsidR="00000000" w:rsidRDefault="00A07857">
      <w:pPr>
        <w:divId w:val="160968169"/>
        <w:rPr>
          <w:rFonts w:eastAsia="Times New Roman"/>
        </w:rPr>
      </w:pPr>
    </w:p>
    <w:p w:rsidR="00000000" w:rsidRDefault="00A07857">
      <w:pPr>
        <w:jc w:val="both"/>
        <w:divId w:val="1325477381"/>
        <w:rPr>
          <w:rFonts w:eastAsia="Times New Roman"/>
        </w:rPr>
      </w:pPr>
      <w:r>
        <w:rPr>
          <w:rFonts w:ascii="Arial" w:eastAsia="Times New Roman" w:hAnsi="Arial" w:cs="Arial"/>
          <w:b/>
          <w:bCs/>
          <w:color w:val="0046AD"/>
          <w:sz w:val="20"/>
          <w:szCs w:val="20"/>
        </w:rPr>
        <w:t>2. BASIS OF PRESENTATION AND SIGNIFICANT ACCOUNTING POLICIES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065177073"/>
        </w:trPr>
        <w:tc>
          <w:tcPr>
            <w:tcW w:w="5" w:type="pct"/>
            <w:vAlign w:val="center"/>
            <w:hideMark/>
          </w:tcPr>
          <w:p w:rsidR="00000000" w:rsidRDefault="00A07857">
            <w:pPr>
              <w:jc w:val="both"/>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065177073"/>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jc w:val="both"/>
        <w:divId w:val="1648044562"/>
        <w:rPr>
          <w:rFonts w:eastAsia="Times New Roman"/>
        </w:rPr>
      </w:pPr>
      <w:r>
        <w:rPr>
          <w:rFonts w:ascii="Arial" w:eastAsia="Times New Roman" w:hAnsi="Arial" w:cs="Arial"/>
          <w:b/>
          <w:bCs/>
          <w:color w:val="0046AD"/>
          <w:sz w:val="20"/>
          <w:szCs w:val="20"/>
        </w:rPr>
        <w:t>Basis of Presentation</w:t>
      </w:r>
      <w:r>
        <w:rPr>
          <w:rFonts w:ascii="Arial" w:eastAsia="Times New Roman" w:hAnsi="Arial" w:cs="Arial"/>
          <w:color w:val="000000"/>
          <w:sz w:val="20"/>
          <w:szCs w:val="20"/>
        </w:rPr>
        <w:t xml:space="preserve"> </w:t>
      </w:r>
    </w:p>
    <w:p w:rsidR="00000000" w:rsidRDefault="00A07857">
      <w:pPr>
        <w:ind w:firstLine="720"/>
        <w:jc w:val="both"/>
        <w:divId w:val="225844138"/>
        <w:rPr>
          <w:rFonts w:eastAsia="Times New Roman"/>
        </w:rPr>
      </w:pPr>
      <w:r>
        <w:rPr>
          <w:rFonts w:ascii="Arial" w:eastAsia="Times New Roman" w:hAnsi="Arial" w:cs="Arial"/>
          <w:color w:val="000000"/>
          <w:sz w:val="20"/>
          <w:szCs w:val="20"/>
        </w:rPr>
        <w:t>The accompanying unaudited consolidated financial statements have been prepared in accordance with (i) United States generally accepted accounting principles (“U.S. GAAP”) for interim financial information and (ii) the instructions to Form 10-Q and Article</w:t>
      </w:r>
      <w:r>
        <w:rPr>
          <w:rFonts w:ascii="Arial" w:eastAsia="Times New Roman" w:hAnsi="Arial" w:cs="Arial"/>
          <w:color w:val="000000"/>
          <w:sz w:val="20"/>
          <w:szCs w:val="20"/>
        </w:rPr>
        <w:t xml:space="preserve"> 10 of Regulation S-X. In the opinion of our management, our unaudited consolidated financial statements and accompanying notes (the “Financial Statements”) include all normal recurring adjustments that are necessary for the fair statement of the interim p</w:t>
      </w:r>
      <w:r>
        <w:rPr>
          <w:rFonts w:ascii="Arial" w:eastAsia="Times New Roman" w:hAnsi="Arial" w:cs="Arial"/>
          <w:color w:val="000000"/>
          <w:sz w:val="20"/>
          <w:szCs w:val="20"/>
        </w:rPr>
        <w:t xml:space="preserve">eriods presented. Interim results of operations are not necessarily indicative of results for the full year. The Financial Statements should be read in conjunction with our audited consolidated financial statements (and notes thereto) in our Annual Report </w:t>
      </w:r>
      <w:r>
        <w:rPr>
          <w:rFonts w:ascii="Arial" w:eastAsia="Times New Roman" w:hAnsi="Arial" w:cs="Arial"/>
          <w:color w:val="000000"/>
          <w:sz w:val="20"/>
          <w:szCs w:val="20"/>
        </w:rPr>
        <w:t>on Form 10-K for the year ended October 31, 2020. Unless otherwise indicated, all references to years are to our fiscal years, which end on October 31.</w:t>
      </w:r>
    </w:p>
    <w:p w:rsidR="00000000" w:rsidRDefault="00A07857">
      <w:pPr>
        <w:jc w:val="both"/>
        <w:divId w:val="1621062473"/>
        <w:rPr>
          <w:rFonts w:eastAsia="Times New Roman"/>
        </w:rPr>
      </w:pPr>
      <w:r>
        <w:rPr>
          <w:rFonts w:ascii="Arial" w:eastAsia="Times New Roman" w:hAnsi="Arial" w:cs="Arial"/>
          <w:b/>
          <w:bCs/>
          <w:color w:val="0046AD"/>
          <w:sz w:val="20"/>
          <w:szCs w:val="20"/>
        </w:rPr>
        <w:t>Impact of the Pandemic</w:t>
      </w:r>
    </w:p>
    <w:p w:rsidR="00000000" w:rsidRDefault="00A07857">
      <w:pPr>
        <w:ind w:firstLine="720"/>
        <w:jc w:val="both"/>
        <w:divId w:val="1954169988"/>
        <w:rPr>
          <w:rFonts w:eastAsia="Times New Roman"/>
        </w:rPr>
      </w:pPr>
      <w:r>
        <w:rPr>
          <w:rFonts w:ascii="Arial" w:eastAsia="Times New Roman" w:hAnsi="Arial" w:cs="Arial"/>
          <w:color w:val="000000"/>
          <w:sz w:val="20"/>
          <w:szCs w:val="20"/>
        </w:rPr>
        <w:t>COVID-19 has resulted in a worldwide health Pandemic. To date, the Pandemic has surfaced in regions all around the world and resulted in business slowdowns and shutdowns, as well as global travel restrictions. In these Financial Statements we have assessed</w:t>
      </w:r>
      <w:r>
        <w:rPr>
          <w:rFonts w:ascii="Arial" w:eastAsia="Times New Roman" w:hAnsi="Arial" w:cs="Arial"/>
          <w:color w:val="000000"/>
          <w:sz w:val="20"/>
          <w:szCs w:val="20"/>
        </w:rPr>
        <w:t xml:space="preserve"> the current impact of the Pandemic on our financial condition, results of operations, and cash flows as well as on our estimates, forecasts, and accounting policies. We have made additional disclosures of these assessments, as necessary. Given the unprece</w:t>
      </w:r>
      <w:r>
        <w:rPr>
          <w:rFonts w:ascii="Arial" w:eastAsia="Times New Roman" w:hAnsi="Arial" w:cs="Arial"/>
          <w:color w:val="000000"/>
          <w:sz w:val="20"/>
          <w:szCs w:val="20"/>
        </w:rPr>
        <w:t>dented nature of this situation, we cannot reasonably estimate the full impact the Pandemic will have on our financial condition, results of operations, or cash flows in the foreseeable future. The ultimate impact of the Pandemic on our company is highly u</w:t>
      </w:r>
      <w:r>
        <w:rPr>
          <w:rFonts w:ascii="Arial" w:eastAsia="Times New Roman" w:hAnsi="Arial" w:cs="Arial"/>
          <w:color w:val="000000"/>
          <w:sz w:val="20"/>
          <w:szCs w:val="20"/>
        </w:rPr>
        <w:t>ncertain and will depend on future developments, and such impacts could exist for an extended period of time, even after the Pandemic subsides.</w:t>
      </w:r>
    </w:p>
    <w:p w:rsidR="00000000" w:rsidRDefault="00A07857">
      <w:pPr>
        <w:ind w:firstLine="720"/>
        <w:jc w:val="both"/>
        <w:divId w:val="690256368"/>
        <w:rPr>
          <w:rFonts w:eastAsia="Times New Roman"/>
        </w:rPr>
      </w:pPr>
      <w:r>
        <w:rPr>
          <w:rFonts w:ascii="Arial" w:eastAsia="Times New Roman" w:hAnsi="Arial" w:cs="Arial"/>
          <w:color w:val="000000"/>
          <w:sz w:val="20"/>
          <w:szCs w:val="20"/>
        </w:rPr>
        <w:t>The Pandemic continues to create a dynamic client environment, and we are working diligently to ensure our clien</w:t>
      </w:r>
      <w:r>
        <w:rPr>
          <w:rFonts w:ascii="Arial" w:eastAsia="Times New Roman" w:hAnsi="Arial" w:cs="Arial"/>
          <w:color w:val="000000"/>
          <w:sz w:val="20"/>
          <w:szCs w:val="20"/>
        </w:rPr>
        <w:t xml:space="preserve">ts’ changing staffing and service needs are met while actively managing direct labor and related personnel costs, including furloughs or reduced hours for certain frontline employees in markets significantly impacted by business slowdowns and shutdowns. </w:t>
      </w:r>
    </w:p>
    <w:p w:rsidR="00000000" w:rsidRDefault="00A07857">
      <w:pPr>
        <w:jc w:val="both"/>
        <w:divId w:val="205339953"/>
        <w:rPr>
          <w:rFonts w:eastAsia="Times New Roman"/>
        </w:rPr>
      </w:pPr>
      <w:r>
        <w:rPr>
          <w:rFonts w:ascii="Arial" w:eastAsia="Times New Roman" w:hAnsi="Arial" w:cs="Arial"/>
          <w:b/>
          <w:bCs/>
          <w:color w:val="0046AD"/>
          <w:sz w:val="20"/>
          <w:szCs w:val="20"/>
        </w:rPr>
        <w:t>R</w:t>
      </w:r>
      <w:r>
        <w:rPr>
          <w:rFonts w:ascii="Arial" w:eastAsia="Times New Roman" w:hAnsi="Arial" w:cs="Arial"/>
          <w:b/>
          <w:bCs/>
          <w:color w:val="0046AD"/>
          <w:sz w:val="20"/>
          <w:szCs w:val="20"/>
        </w:rPr>
        <w:t>ounding</w:t>
      </w:r>
    </w:p>
    <w:p w:rsidR="00000000" w:rsidRDefault="00A07857">
      <w:pPr>
        <w:ind w:firstLine="720"/>
        <w:jc w:val="both"/>
        <w:divId w:val="345181461"/>
        <w:rPr>
          <w:rFonts w:eastAsia="Times New Roman"/>
        </w:rPr>
      </w:pPr>
      <w:r>
        <w:rPr>
          <w:rFonts w:ascii="Arial" w:eastAsia="Times New Roman" w:hAnsi="Arial" w:cs="Arial"/>
          <w:color w:val="000000"/>
          <w:sz w:val="20"/>
          <w:szCs w:val="20"/>
        </w:rPr>
        <w:t>We round amounts in the Financial Statements to millions and calculate all percentages and per-share data from the underlying whole-dollar amounts. Thus, certain amounts may not foot, crossfoot, or recalculate based on reported numbers due to round</w:t>
      </w:r>
      <w:r>
        <w:rPr>
          <w:rFonts w:ascii="Arial" w:eastAsia="Times New Roman" w:hAnsi="Arial" w:cs="Arial"/>
          <w:color w:val="000000"/>
          <w:sz w:val="20"/>
          <w:szCs w:val="20"/>
        </w:rPr>
        <w:t>ing.</w:t>
      </w:r>
    </w:p>
    <w:p w:rsidR="00000000" w:rsidRDefault="00A07857">
      <w:pPr>
        <w:divId w:val="1738433949"/>
        <w:rPr>
          <w:rFonts w:eastAsia="Times New Roman"/>
        </w:rPr>
      </w:pPr>
    </w:p>
    <w:p w:rsidR="00000000" w:rsidRDefault="00A07857">
      <w:pPr>
        <w:jc w:val="center"/>
        <w:divId w:val="1544052606"/>
        <w:rPr>
          <w:rFonts w:eastAsia="Times New Roman"/>
        </w:rPr>
      </w:pPr>
      <w:r>
        <w:rPr>
          <w:rFonts w:ascii="Arial" w:eastAsia="Times New Roman" w:hAnsi="Arial" w:cs="Arial"/>
          <w:color w:val="000000"/>
          <w:sz w:val="20"/>
          <w:szCs w:val="20"/>
        </w:rPr>
        <w:t>7</w:t>
      </w:r>
    </w:p>
    <w:p w:rsidR="00000000" w:rsidRDefault="00A07857">
      <w:pPr>
        <w:rPr>
          <w:rFonts w:eastAsia="Times New Roman"/>
        </w:rPr>
      </w:pPr>
      <w:r>
        <w:rPr>
          <w:rFonts w:eastAsia="Times New Roman"/>
        </w:rPr>
        <w:pict>
          <v:rect id="_x0000_i1037" style="width:0;height:1.5pt" o:hralign="center" o:hrstd="t" o:hr="t" fillcolor="#a0a0a0" stroked="f"/>
        </w:pict>
      </w:r>
    </w:p>
    <w:p w:rsidR="00000000" w:rsidRDefault="00A07857">
      <w:pPr>
        <w:jc w:val="both"/>
        <w:divId w:val="220406361"/>
        <w:rPr>
          <w:rFonts w:eastAsia="Times New Roman"/>
        </w:rPr>
      </w:pPr>
    </w:p>
    <w:p w:rsidR="00000000" w:rsidRDefault="00A07857">
      <w:pPr>
        <w:jc w:val="both"/>
        <w:divId w:val="1718896045"/>
        <w:rPr>
          <w:rFonts w:eastAsia="Times New Roman"/>
        </w:rPr>
      </w:pPr>
      <w:r>
        <w:rPr>
          <w:rFonts w:ascii="Arial" w:eastAsia="Times New Roman" w:hAnsi="Arial" w:cs="Arial"/>
          <w:b/>
          <w:bCs/>
          <w:color w:val="0046AD"/>
          <w:sz w:val="20"/>
          <w:szCs w:val="20"/>
        </w:rPr>
        <w:t>Discontinued Operations</w:t>
      </w:r>
    </w:p>
    <w:p w:rsidR="00000000" w:rsidRDefault="00A07857">
      <w:pPr>
        <w:ind w:firstLine="720"/>
        <w:jc w:val="both"/>
        <w:divId w:val="512576330"/>
        <w:rPr>
          <w:rFonts w:eastAsia="Times New Roman"/>
        </w:rPr>
      </w:pPr>
      <w:r>
        <w:rPr>
          <w:rFonts w:ascii="Arial" w:eastAsia="Times New Roman" w:hAnsi="Arial" w:cs="Arial"/>
          <w:color w:val="000000"/>
          <w:sz w:val="20"/>
          <w:szCs w:val="20"/>
        </w:rPr>
        <w:t>Following the sale of our Security business in 2015, we record all costs associated with this former business in discontinued operations. Such costs generally relate to litigation we r</w:t>
      </w:r>
      <w:r>
        <w:rPr>
          <w:rFonts w:ascii="Arial" w:eastAsia="Times New Roman" w:hAnsi="Arial" w:cs="Arial"/>
          <w:color w:val="000000"/>
          <w:sz w:val="20"/>
          <w:szCs w:val="20"/>
        </w:rPr>
        <w:t>etained and insurance reserves.</w:t>
      </w:r>
    </w:p>
    <w:p w:rsidR="00000000" w:rsidRDefault="00A07857">
      <w:pPr>
        <w:divId w:val="2137480663"/>
        <w:rPr>
          <w:rFonts w:eastAsia="Times New Roman"/>
        </w:rPr>
      </w:pPr>
      <w:r>
        <w:rPr>
          <w:rFonts w:ascii="Arial" w:eastAsia="Times New Roman" w:hAnsi="Arial" w:cs="Arial"/>
          <w:b/>
          <w:bCs/>
          <w:color w:val="0046AD"/>
          <w:sz w:val="20"/>
          <w:szCs w:val="20"/>
        </w:rPr>
        <w:t>Management Reimbursement Revenue by Segment</w:t>
      </w:r>
    </w:p>
    <w:p w:rsidR="00000000" w:rsidRDefault="00A07857">
      <w:pPr>
        <w:ind w:firstLine="720"/>
        <w:jc w:val="both"/>
        <w:divId w:val="617109171"/>
        <w:rPr>
          <w:rFonts w:eastAsia="Times New Roman"/>
        </w:rPr>
      </w:pPr>
      <w:r>
        <w:rPr>
          <w:rFonts w:ascii="Arial" w:eastAsia="Times New Roman" w:hAnsi="Arial" w:cs="Arial"/>
          <w:color w:val="000000"/>
          <w:sz w:val="20"/>
          <w:szCs w:val="20"/>
        </w:rPr>
        <w:t>We operate certain parking facilities under management reimbursement arrangements. Under these arrangements, we manage the parking facilities for management fees and pass through t</w:t>
      </w:r>
      <w:r>
        <w:rPr>
          <w:rFonts w:ascii="Arial" w:eastAsia="Times New Roman" w:hAnsi="Arial" w:cs="Arial"/>
          <w:color w:val="000000"/>
          <w:sz w:val="20"/>
          <w:szCs w:val="20"/>
        </w:rPr>
        <w:t>he revenues and expenses associated with the facilities to the owners. These revenues and expenses are reported in equal amounts as costs reimbursed from our managed locations:</w:t>
      </w:r>
    </w:p>
    <w:tbl>
      <w:tblPr>
        <w:tblW w:w="4992" w:type="pct"/>
        <w:tblCellMar>
          <w:top w:w="15" w:type="dxa"/>
          <w:left w:w="15" w:type="dxa"/>
          <w:bottom w:w="15" w:type="dxa"/>
          <w:right w:w="15" w:type="dxa"/>
        </w:tblCellMar>
        <w:tblLook w:val="04A0" w:firstRow="1" w:lastRow="0" w:firstColumn="1" w:lastColumn="0" w:noHBand="0" w:noVBand="1"/>
      </w:tblPr>
      <w:tblGrid>
        <w:gridCol w:w="40"/>
        <w:gridCol w:w="5500"/>
        <w:gridCol w:w="37"/>
        <w:gridCol w:w="121"/>
        <w:gridCol w:w="1164"/>
        <w:gridCol w:w="36"/>
        <w:gridCol w:w="36"/>
        <w:gridCol w:w="36"/>
        <w:gridCol w:w="36"/>
        <w:gridCol w:w="121"/>
        <w:gridCol w:w="1130"/>
        <w:gridCol w:w="36"/>
      </w:tblGrid>
      <w:tr w:rsidR="00000000">
        <w:trPr>
          <w:divId w:val="132213557"/>
        </w:trPr>
        <w:tc>
          <w:tcPr>
            <w:tcW w:w="50" w:type="pct"/>
            <w:vAlign w:val="center"/>
            <w:hideMark/>
          </w:tcPr>
          <w:p w:rsidR="00000000" w:rsidRDefault="00A07857">
            <w:pPr>
              <w:ind w:firstLine="720"/>
              <w:jc w:val="both"/>
              <w:rPr>
                <w:rFonts w:eastAsia="Times New Roman"/>
              </w:rPr>
            </w:pPr>
          </w:p>
        </w:tc>
        <w:tc>
          <w:tcPr>
            <w:tcW w:w="3341"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32213557"/>
        </w:trPr>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w:t>
            </w:r>
          </w:p>
        </w:tc>
      </w:tr>
      <w:tr w:rsidR="00000000">
        <w:trPr>
          <w:divId w:val="132213557"/>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2020</w:t>
            </w:r>
          </w:p>
        </w:tc>
      </w:tr>
      <w:tr w:rsidR="00000000">
        <w:trPr>
          <w:divId w:val="132213557"/>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Business &amp; Industry</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43.4 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73.7 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32213557"/>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13.7 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25.9 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32213557"/>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 xml:space="preserve">Total </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57.0 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99.6 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divId w:val="2130317024"/>
        <w:rPr>
          <w:rFonts w:eastAsia="Times New Roman"/>
        </w:rPr>
      </w:pPr>
      <w:r>
        <w:rPr>
          <w:rFonts w:ascii="Arial" w:eastAsia="Times New Roman" w:hAnsi="Arial" w:cs="Arial"/>
          <w:b/>
          <w:bCs/>
          <w:color w:val="0046AD"/>
          <w:sz w:val="20"/>
          <w:szCs w:val="20"/>
        </w:rPr>
        <w:t xml:space="preserve">Recently Adopted Accounting Standards </w:t>
      </w:r>
    </w:p>
    <w:p w:rsidR="00000000" w:rsidRDefault="00A07857">
      <w:pPr>
        <w:ind w:firstLine="720"/>
        <w:jc w:val="both"/>
        <w:divId w:val="568342112"/>
        <w:rPr>
          <w:rFonts w:eastAsia="Times New Roman"/>
        </w:rPr>
      </w:pPr>
      <w:r>
        <w:rPr>
          <w:rFonts w:ascii="Arial" w:eastAsia="Times New Roman" w:hAnsi="Arial" w:cs="Arial"/>
          <w:color w:val="000000"/>
          <w:sz w:val="20"/>
          <w:szCs w:val="20"/>
        </w:rPr>
        <w:t xml:space="preserve">The Financial Accounting Standards Board (“FASB”) issued ASU No. 2016-13, </w:t>
      </w:r>
      <w:r>
        <w:rPr>
          <w:rFonts w:ascii="Arial" w:eastAsia="Times New Roman" w:hAnsi="Arial" w:cs="Arial"/>
          <w:i/>
          <w:iCs/>
          <w:color w:val="000000"/>
          <w:sz w:val="20"/>
          <w:szCs w:val="20"/>
        </w:rPr>
        <w:t xml:space="preserve">Financial Instruments—Credit Losses (Topic 326) </w:t>
      </w:r>
      <w:r>
        <w:rPr>
          <w:rFonts w:ascii="Arial" w:eastAsia="Times New Roman" w:hAnsi="Arial" w:cs="Arial"/>
          <w:color w:val="000000"/>
          <w:sz w:val="20"/>
          <w:szCs w:val="20"/>
        </w:rPr>
        <w:t>in June 2016 and subsequently issued these amendments to the initial guidance: ASU 2018-19, ASU 2019-04, ASU 2019-05, ASU 2019-11, and</w:t>
      </w:r>
      <w:r>
        <w:rPr>
          <w:rFonts w:ascii="Arial" w:eastAsia="Times New Roman" w:hAnsi="Arial" w:cs="Arial"/>
          <w:color w:val="000000"/>
          <w:sz w:val="20"/>
          <w:szCs w:val="20"/>
        </w:rPr>
        <w:t xml:space="preserve"> ASU 2020-03 (collectively, “Topic 326”). Topic 326 replaces the existing incurred loss impairment model with a methodology that incorporates all expected credit loss estimates, resulting in more timely recognition of losses. Under Topic 326, an organizati</w:t>
      </w:r>
      <w:r>
        <w:rPr>
          <w:rFonts w:ascii="Arial" w:eastAsia="Times New Roman" w:hAnsi="Arial" w:cs="Arial"/>
          <w:color w:val="000000"/>
          <w:sz w:val="20"/>
          <w:szCs w:val="20"/>
        </w:rPr>
        <w:t>on is required to measure all expected credit losses for financial assets held at the reporting date based on historical experience, current conditions, and reasonable and supportable forecasts that affect the collectability of the reported financial asset</w:t>
      </w:r>
      <w:r>
        <w:rPr>
          <w:rFonts w:ascii="Arial" w:eastAsia="Times New Roman" w:hAnsi="Arial" w:cs="Arial"/>
          <w:color w:val="000000"/>
          <w:sz w:val="20"/>
          <w:szCs w:val="20"/>
        </w:rPr>
        <w:t>s. It also requires credit losses related to available-for-sale debt securities to be recorded through an allowance for credit losses. We adopted this standard effective November 1, 2020, on a modified retrospective basis. The asset and liability classes t</w:t>
      </w:r>
      <w:r>
        <w:rPr>
          <w:rFonts w:ascii="Arial" w:eastAsia="Times New Roman" w:hAnsi="Arial" w:cs="Arial"/>
          <w:color w:val="000000"/>
          <w:sz w:val="20"/>
          <w:szCs w:val="20"/>
        </w:rPr>
        <w:t xml:space="preserve">hat we have identified to be in the scope of Topic 326 at the time of the adoption are trade accounts receivable, costs incurred in excess of amounts billed, guarantees, reinsurance recoverables, and notes receivable. The adoption of this standard did not </w:t>
      </w:r>
      <w:r>
        <w:rPr>
          <w:rFonts w:ascii="Arial" w:eastAsia="Times New Roman" w:hAnsi="Arial" w:cs="Arial"/>
          <w:color w:val="000000"/>
          <w:sz w:val="20"/>
          <w:szCs w:val="20"/>
        </w:rPr>
        <w:t xml:space="preserve">have a material impact on our consolidated financial statements. </w:t>
      </w:r>
    </w:p>
    <w:p w:rsidR="00000000" w:rsidRDefault="00A07857">
      <w:pPr>
        <w:ind w:firstLine="720"/>
        <w:jc w:val="both"/>
        <w:divId w:val="628898148"/>
        <w:rPr>
          <w:rFonts w:eastAsia="Times New Roman"/>
        </w:rPr>
      </w:pPr>
      <w:r>
        <w:rPr>
          <w:rFonts w:ascii="Arial" w:eastAsia="Times New Roman" w:hAnsi="Arial" w:cs="Arial"/>
          <w:color w:val="000000"/>
          <w:sz w:val="20"/>
          <w:szCs w:val="20"/>
        </w:rPr>
        <w:t>In August 2018, the FASB issued ASU No. 2018-15,</w:t>
      </w:r>
      <w:r>
        <w:rPr>
          <w:rFonts w:ascii="Arial" w:eastAsia="Times New Roman" w:hAnsi="Arial" w:cs="Arial"/>
          <w:i/>
          <w:iCs/>
          <w:color w:val="000000"/>
          <w:sz w:val="20"/>
          <w:szCs w:val="20"/>
        </w:rPr>
        <w:t xml:space="preserve"> Intangibles—Goodwill and Other—Internal-Use Software (Subtopic 350-40): Customer’</w:t>
      </w:r>
      <w:r>
        <w:rPr>
          <w:rFonts w:ascii="Arial" w:eastAsia="Times New Roman" w:hAnsi="Arial" w:cs="Arial"/>
          <w:i/>
          <w:iCs/>
          <w:color w:val="000000"/>
          <w:sz w:val="20"/>
          <w:szCs w:val="20"/>
        </w:rPr>
        <w:t>s Accounting for Implementation Costs Incurred in a Cloud Computing Arrangement That Is a Service Contract.</w:t>
      </w:r>
      <w:r>
        <w:rPr>
          <w:rFonts w:ascii="Arial" w:eastAsia="Times New Roman" w:hAnsi="Arial" w:cs="Arial"/>
          <w:color w:val="000000"/>
          <w:sz w:val="20"/>
          <w:szCs w:val="20"/>
        </w:rPr>
        <w:t xml:space="preserve"> This accounting update aligns the requirements for capitalizing implementation costs incurred in a hosting arrangement that is a service contract wi</w:t>
      </w:r>
      <w:r>
        <w:rPr>
          <w:rFonts w:ascii="Arial" w:eastAsia="Times New Roman" w:hAnsi="Arial" w:cs="Arial"/>
          <w:color w:val="000000"/>
          <w:sz w:val="20"/>
          <w:szCs w:val="20"/>
        </w:rPr>
        <w:t>th the requirements for capitalizing implementation costs incurred to develop or obtain internal-use software. The guidance also specifies that the presentation of capitalized implementation costs and the related amortization on the balance sheet, income s</w:t>
      </w:r>
      <w:r>
        <w:rPr>
          <w:rFonts w:ascii="Arial" w:eastAsia="Times New Roman" w:hAnsi="Arial" w:cs="Arial"/>
          <w:color w:val="000000"/>
          <w:sz w:val="20"/>
          <w:szCs w:val="20"/>
        </w:rPr>
        <w:t xml:space="preserve">tatement, and statement of cash flows should align with the presentation of the hosting (service) element of the arrangement. We adopted this standard effective November 1, 2020, on a prospective basis. The adoption of the standard did not have a material </w:t>
      </w:r>
      <w:r>
        <w:rPr>
          <w:rFonts w:ascii="Arial" w:eastAsia="Times New Roman" w:hAnsi="Arial" w:cs="Arial"/>
          <w:color w:val="000000"/>
          <w:sz w:val="20"/>
          <w:szCs w:val="20"/>
        </w:rPr>
        <w:t xml:space="preserve">impact on our consolidated financial statements. </w:t>
      </w:r>
    </w:p>
    <w:p w:rsidR="00000000" w:rsidRDefault="00A07857">
      <w:pPr>
        <w:ind w:firstLine="720"/>
        <w:jc w:val="both"/>
        <w:divId w:val="1448309365"/>
        <w:rPr>
          <w:rFonts w:eastAsia="Times New Roman"/>
        </w:rPr>
      </w:pPr>
      <w:r>
        <w:rPr>
          <w:rFonts w:ascii="Arial" w:eastAsia="Times New Roman" w:hAnsi="Arial" w:cs="Arial"/>
          <w:color w:val="000000"/>
          <w:sz w:val="20"/>
          <w:szCs w:val="20"/>
        </w:rPr>
        <w:t xml:space="preserve">No other recently adopted accounting standards have had a significant impact on our fiscal 2021 consolidated financial statements. </w:t>
      </w:r>
    </w:p>
    <w:p w:rsidR="00000000" w:rsidRDefault="00A07857">
      <w:pPr>
        <w:jc w:val="center"/>
        <w:divId w:val="467280636"/>
        <w:rPr>
          <w:rFonts w:eastAsia="Times New Roman"/>
        </w:rPr>
      </w:pPr>
      <w:r>
        <w:rPr>
          <w:rFonts w:ascii="Arial" w:eastAsia="Times New Roman" w:hAnsi="Arial" w:cs="Arial"/>
          <w:color w:val="000000"/>
          <w:sz w:val="20"/>
          <w:szCs w:val="20"/>
        </w:rPr>
        <w:t>8</w:t>
      </w:r>
    </w:p>
    <w:p w:rsidR="00000000" w:rsidRDefault="00A07857">
      <w:pPr>
        <w:rPr>
          <w:rFonts w:eastAsia="Times New Roman"/>
        </w:rPr>
      </w:pPr>
      <w:r>
        <w:rPr>
          <w:rFonts w:eastAsia="Times New Roman"/>
        </w:rPr>
        <w:pict>
          <v:rect id="_x0000_i1038" style="width:0;height:1.5pt" o:hralign="center" o:hrstd="t" o:hr="t" fillcolor="#a0a0a0" stroked="f"/>
        </w:pict>
      </w:r>
    </w:p>
    <w:p w:rsidR="00000000" w:rsidRDefault="00A07857">
      <w:pPr>
        <w:jc w:val="both"/>
        <w:divId w:val="300038686"/>
        <w:rPr>
          <w:rFonts w:eastAsia="Times New Roman"/>
        </w:rPr>
      </w:pPr>
    </w:p>
    <w:p w:rsidR="00000000" w:rsidRDefault="00A07857">
      <w:pPr>
        <w:divId w:val="1933463942"/>
        <w:rPr>
          <w:rFonts w:eastAsia="Times New Roman"/>
        </w:rPr>
      </w:pPr>
      <w:r>
        <w:rPr>
          <w:rFonts w:ascii="Arial" w:eastAsia="Times New Roman" w:hAnsi="Arial" w:cs="Arial"/>
          <w:b/>
          <w:bCs/>
          <w:color w:val="0046AD"/>
          <w:sz w:val="20"/>
          <w:szCs w:val="20"/>
        </w:rPr>
        <w:t>3. REVENUES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302466172"/>
        </w:trPr>
        <w:tc>
          <w:tcPr>
            <w:tcW w:w="5" w:type="pct"/>
            <w:vAlign w:val="center"/>
            <w:hideMark/>
          </w:tcPr>
          <w:p w:rsidR="00000000" w:rsidRDefault="00A07857">
            <w:pPr>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302466172"/>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divId w:val="1720593814"/>
        <w:rPr>
          <w:rFonts w:eastAsia="Times New Roman"/>
        </w:rPr>
      </w:pPr>
      <w:r>
        <w:rPr>
          <w:rFonts w:ascii="Arial" w:eastAsia="Times New Roman" w:hAnsi="Arial" w:cs="Arial"/>
          <w:b/>
          <w:bCs/>
          <w:color w:val="0046AD"/>
          <w:sz w:val="20"/>
          <w:szCs w:val="20"/>
        </w:rPr>
        <w:t>Disaggregation of Revenues</w:t>
      </w:r>
    </w:p>
    <w:p w:rsidR="00000000" w:rsidRDefault="00A07857">
      <w:pPr>
        <w:ind w:firstLine="720"/>
        <w:jc w:val="both"/>
        <w:divId w:val="1754618548"/>
        <w:rPr>
          <w:rFonts w:eastAsia="Times New Roman"/>
        </w:rPr>
      </w:pPr>
      <w:r>
        <w:rPr>
          <w:rFonts w:ascii="Arial" w:eastAsia="Times New Roman" w:hAnsi="Arial" w:cs="Arial"/>
          <w:color w:val="000000"/>
          <w:sz w:val="20"/>
          <w:szCs w:val="20"/>
        </w:rPr>
        <w:t>We generate revenues under several types of contracts, which are further explained below. Generally, the type of contract is determined by the nature of the services provided by each of our major service lines throughout our repo</w:t>
      </w:r>
      <w:r>
        <w:rPr>
          <w:rFonts w:ascii="Arial" w:eastAsia="Times New Roman" w:hAnsi="Arial" w:cs="Arial"/>
          <w:color w:val="000000"/>
          <w:sz w:val="20"/>
          <w:szCs w:val="20"/>
        </w:rPr>
        <w:t xml:space="preserve">rtable segments; therefore, we disaggregate revenues from contracts with customers into major service lines. We have determined that disaggregating revenues into these categories best depicts how the nature, amount, timing, and uncertainty of revenues and </w:t>
      </w:r>
      <w:r>
        <w:rPr>
          <w:rFonts w:ascii="Arial" w:eastAsia="Times New Roman" w:hAnsi="Arial" w:cs="Arial"/>
          <w:color w:val="000000"/>
          <w:sz w:val="20"/>
          <w:szCs w:val="20"/>
        </w:rPr>
        <w:t>cash flows are affected by economic factors. Our reportable segments are Business &amp; Industry (“B&amp;I”), Technology and Manufacturing (“T&amp;M”), Education, Aviation, and Technical Solutions, as described in Note 10, “Segment Information.”</w:t>
      </w:r>
    </w:p>
    <w:tbl>
      <w:tblPr>
        <w:tblW w:w="5000" w:type="pct"/>
        <w:tblCellMar>
          <w:top w:w="15" w:type="dxa"/>
          <w:left w:w="15" w:type="dxa"/>
          <w:bottom w:w="15" w:type="dxa"/>
          <w:right w:w="15" w:type="dxa"/>
        </w:tblCellMar>
        <w:tblLook w:val="04A0" w:firstRow="1" w:lastRow="0" w:firstColumn="1" w:lastColumn="0" w:noHBand="0" w:noVBand="1"/>
      </w:tblPr>
      <w:tblGrid>
        <w:gridCol w:w="39"/>
        <w:gridCol w:w="2735"/>
        <w:gridCol w:w="38"/>
        <w:gridCol w:w="36"/>
        <w:gridCol w:w="36"/>
        <w:gridCol w:w="36"/>
        <w:gridCol w:w="121"/>
        <w:gridCol w:w="501"/>
        <w:gridCol w:w="36"/>
        <w:gridCol w:w="36"/>
        <w:gridCol w:w="36"/>
        <w:gridCol w:w="36"/>
        <w:gridCol w:w="121"/>
        <w:gridCol w:w="501"/>
        <w:gridCol w:w="36"/>
        <w:gridCol w:w="36"/>
        <w:gridCol w:w="36"/>
        <w:gridCol w:w="36"/>
        <w:gridCol w:w="122"/>
        <w:gridCol w:w="808"/>
        <w:gridCol w:w="36"/>
        <w:gridCol w:w="36"/>
        <w:gridCol w:w="36"/>
        <w:gridCol w:w="36"/>
        <w:gridCol w:w="122"/>
        <w:gridCol w:w="667"/>
        <w:gridCol w:w="36"/>
        <w:gridCol w:w="36"/>
        <w:gridCol w:w="36"/>
        <w:gridCol w:w="36"/>
        <w:gridCol w:w="122"/>
        <w:gridCol w:w="773"/>
        <w:gridCol w:w="36"/>
        <w:gridCol w:w="36"/>
        <w:gridCol w:w="36"/>
        <w:gridCol w:w="36"/>
        <w:gridCol w:w="121"/>
        <w:gridCol w:w="651"/>
        <w:gridCol w:w="36"/>
      </w:tblGrid>
      <w:tr w:rsidR="00000000">
        <w:trPr>
          <w:divId w:val="1643804552"/>
        </w:trPr>
        <w:tc>
          <w:tcPr>
            <w:tcW w:w="50" w:type="pct"/>
            <w:vAlign w:val="center"/>
            <w:hideMark/>
          </w:tcPr>
          <w:p w:rsidR="00000000" w:rsidRDefault="00A07857">
            <w:pPr>
              <w:ind w:firstLine="720"/>
              <w:jc w:val="both"/>
              <w:rPr>
                <w:rFonts w:eastAsia="Times New Roman"/>
              </w:rPr>
            </w:pPr>
          </w:p>
        </w:tc>
        <w:tc>
          <w:tcPr>
            <w:tcW w:w="181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3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3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3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3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3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3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643804552"/>
        </w:trPr>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 2021</w:t>
            </w:r>
          </w:p>
        </w:tc>
      </w:tr>
      <w:tr w:rsidR="00000000">
        <w:trPr>
          <w:divId w:val="1643804552"/>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4"/>
                <w:szCs w:val="14"/>
                <w:u w:val="single"/>
              </w:rPr>
              <w:t>(in millions)</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T&amp;M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Aviation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Technical</w:t>
            </w:r>
            <w:r>
              <w:rPr>
                <w:rFonts w:ascii="Arial" w:eastAsia="Times New Roman" w:hAnsi="Arial" w:cs="Arial"/>
                <w:b/>
                <w:bCs/>
                <w:color w:val="000000"/>
                <w:sz w:val="18"/>
                <w:szCs w:val="18"/>
              </w:rPr>
              <w:br/>
              <w:t>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Total</w:t>
            </w:r>
          </w:p>
        </w:tc>
      </w:tr>
      <w:tr w:rsidR="00000000">
        <w:trPr>
          <w:divId w:val="1643804552"/>
        </w:trPr>
        <w:tc>
          <w:tcPr>
            <w:tcW w:w="0" w:type="auto"/>
            <w:gridSpan w:val="3"/>
            <w:vAlign w:val="center"/>
            <w:hideMark/>
          </w:tcPr>
          <w:p w:rsidR="00000000" w:rsidRDefault="00A07857">
            <w:pPr>
              <w:jc w:val="center"/>
              <w:rPr>
                <w:rFonts w:eastAsia="Times New Roman"/>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643804552"/>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643804552"/>
        </w:trPr>
        <w:tc>
          <w:tcPr>
            <w:tcW w:w="0" w:type="auto"/>
            <w:gridSpan w:val="3"/>
            <w:shd w:val="clear" w:color="auto" w:fill="FFFFFF"/>
            <w:tcMar>
              <w:top w:w="30" w:type="dxa"/>
              <w:left w:w="20" w:type="dxa"/>
              <w:bottom w:w="30" w:type="dxa"/>
              <w:right w:w="20" w:type="dxa"/>
            </w:tcMar>
            <w:vAlign w:val="bottom"/>
            <w:hideMark/>
          </w:tcPr>
          <w:p w:rsidR="00000000" w:rsidRDefault="00A07857">
            <w:pPr>
              <w:divId w:val="1348100086"/>
              <w:rPr>
                <w:rFonts w:eastAsia="Times New Roman"/>
              </w:rPr>
            </w:pPr>
            <w:r>
              <w:rPr>
                <w:rFonts w:ascii="Arial" w:eastAsia="Times New Roman" w:hAnsi="Arial" w:cs="Arial"/>
                <w:color w:val="000000"/>
                <w:sz w:val="18"/>
                <w:szCs w:val="18"/>
              </w:rPr>
              <w:t>Janitoria</w:t>
            </w:r>
            <w:r>
              <w:rPr>
                <w:rFonts w:ascii="Arial" w:eastAsia="Times New Roman" w:hAnsi="Arial" w:cs="Arial"/>
                <w:color w:val="000000"/>
                <w:sz w:val="18"/>
                <w:szCs w:val="18"/>
              </w:rPr>
              <w:t>l</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650.4 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196.9 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184.8 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29.1 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1,061.2 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643804552"/>
        </w:trPr>
        <w:tc>
          <w:tcPr>
            <w:tcW w:w="0" w:type="auto"/>
            <w:gridSpan w:val="3"/>
            <w:shd w:val="clear" w:color="auto" w:fill="DCE2EF"/>
            <w:tcMar>
              <w:top w:w="30" w:type="dxa"/>
              <w:left w:w="20" w:type="dxa"/>
              <w:bottom w:w="30" w:type="dxa"/>
              <w:right w:w="20" w:type="dxa"/>
            </w:tcMar>
            <w:vAlign w:val="bottom"/>
            <w:hideMark/>
          </w:tcPr>
          <w:p w:rsidR="00000000" w:rsidRDefault="00A07857">
            <w:pPr>
              <w:divId w:val="153880864"/>
              <w:rPr>
                <w:rFonts w:eastAsia="Times New Roman"/>
              </w:rPr>
            </w:pPr>
            <w:r>
              <w:rPr>
                <w:rFonts w:ascii="Arial" w:eastAsia="Times New Roman" w:hAnsi="Arial" w:cs="Arial"/>
                <w:color w:val="000000"/>
                <w:sz w:val="18"/>
                <w:szCs w:val="18"/>
              </w:rPr>
              <w:t>Parkin</w:t>
            </w:r>
            <w:r>
              <w:rPr>
                <w:rFonts w:ascii="Arial" w:eastAsia="Times New Roman" w:hAnsi="Arial" w:cs="Arial"/>
                <w:color w:val="000000"/>
                <w:sz w:val="18"/>
                <w:szCs w:val="18"/>
              </w:rPr>
              <w:t>g</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69.0 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11.7 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55.4 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136.2 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643804552"/>
        </w:trPr>
        <w:tc>
          <w:tcPr>
            <w:tcW w:w="0" w:type="auto"/>
            <w:gridSpan w:val="3"/>
            <w:shd w:val="clear" w:color="auto" w:fill="FFFFFF"/>
            <w:tcMar>
              <w:top w:w="30" w:type="dxa"/>
              <w:left w:w="20" w:type="dxa"/>
              <w:bottom w:w="30" w:type="dxa"/>
              <w:right w:w="20" w:type="dxa"/>
            </w:tcMar>
            <w:vAlign w:val="bottom"/>
            <w:hideMark/>
          </w:tcPr>
          <w:p w:rsidR="00000000" w:rsidRDefault="00A07857">
            <w:pPr>
              <w:divId w:val="404256233"/>
              <w:rPr>
                <w:rFonts w:eastAsia="Times New Roman"/>
              </w:rPr>
            </w:pPr>
            <w:r>
              <w:rPr>
                <w:rFonts w:ascii="Arial" w:eastAsia="Times New Roman" w:hAnsi="Arial" w:cs="Arial"/>
                <w:color w:val="000000"/>
                <w:sz w:val="18"/>
                <w:szCs w:val="18"/>
              </w:rPr>
              <w:t>Facility Service</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89.9 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40.6 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24.5 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161.9 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643804552"/>
        </w:trPr>
        <w:tc>
          <w:tcPr>
            <w:tcW w:w="0" w:type="auto"/>
            <w:gridSpan w:val="3"/>
            <w:shd w:val="clear" w:color="auto" w:fill="DCE2EF"/>
            <w:tcMar>
              <w:top w:w="30" w:type="dxa"/>
              <w:left w:w="20" w:type="dxa"/>
              <w:bottom w:w="30" w:type="dxa"/>
              <w:right w:w="20" w:type="dxa"/>
            </w:tcMar>
            <w:vAlign w:val="bottom"/>
            <w:hideMark/>
          </w:tcPr>
          <w:p w:rsidR="00000000" w:rsidRDefault="00A07857">
            <w:pPr>
              <w:divId w:val="238559861"/>
              <w:rPr>
                <w:rFonts w:eastAsia="Times New Roman"/>
              </w:rPr>
            </w:pPr>
            <w:r>
              <w:rPr>
                <w:rFonts w:ascii="Arial" w:eastAsia="Times New Roman" w:hAnsi="Arial" w:cs="Arial"/>
                <w:color w:val="000000"/>
                <w:sz w:val="18"/>
                <w:szCs w:val="18"/>
              </w:rPr>
              <w:t>Building &amp; Energy Solution</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113.4 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113.4 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643804552"/>
        </w:trPr>
        <w:tc>
          <w:tcPr>
            <w:tcW w:w="0" w:type="auto"/>
            <w:gridSpan w:val="3"/>
            <w:shd w:val="clear" w:color="auto" w:fill="FFFFFF"/>
            <w:tcMar>
              <w:top w:w="30" w:type="dxa"/>
              <w:left w:w="20" w:type="dxa"/>
              <w:bottom w:w="30" w:type="dxa"/>
              <w:right w:w="20" w:type="dxa"/>
            </w:tcMar>
            <w:vAlign w:val="bottom"/>
            <w:hideMark/>
          </w:tcPr>
          <w:p w:rsidR="00000000" w:rsidRDefault="00A07857">
            <w:pPr>
              <w:divId w:val="44717246"/>
              <w:rPr>
                <w:rFonts w:eastAsia="Times New Roman"/>
              </w:rPr>
            </w:pPr>
            <w:r>
              <w:rPr>
                <w:rFonts w:ascii="Arial" w:eastAsia="Times New Roman" w:hAnsi="Arial" w:cs="Arial"/>
                <w:color w:val="000000"/>
                <w:sz w:val="18"/>
                <w:szCs w:val="18"/>
              </w:rPr>
              <w:t>Airline Service</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51.7 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51.8 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643804552"/>
        </w:trPr>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809.4 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249.2 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209.4 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113.4 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1,524.5 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643804552"/>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Elimination of inter-segment revenues</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(32.1)</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643804552"/>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1,492.4 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ind w:firstLine="720"/>
        <w:jc w:val="both"/>
        <w:divId w:val="117330077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2707"/>
        <w:gridCol w:w="38"/>
        <w:gridCol w:w="36"/>
        <w:gridCol w:w="36"/>
        <w:gridCol w:w="36"/>
        <w:gridCol w:w="121"/>
        <w:gridCol w:w="507"/>
        <w:gridCol w:w="36"/>
        <w:gridCol w:w="36"/>
        <w:gridCol w:w="36"/>
        <w:gridCol w:w="36"/>
        <w:gridCol w:w="121"/>
        <w:gridCol w:w="508"/>
        <w:gridCol w:w="36"/>
        <w:gridCol w:w="36"/>
        <w:gridCol w:w="36"/>
        <w:gridCol w:w="36"/>
        <w:gridCol w:w="122"/>
        <w:gridCol w:w="809"/>
        <w:gridCol w:w="36"/>
        <w:gridCol w:w="36"/>
        <w:gridCol w:w="36"/>
        <w:gridCol w:w="36"/>
        <w:gridCol w:w="122"/>
        <w:gridCol w:w="667"/>
        <w:gridCol w:w="36"/>
        <w:gridCol w:w="36"/>
        <w:gridCol w:w="36"/>
        <w:gridCol w:w="36"/>
        <w:gridCol w:w="122"/>
        <w:gridCol w:w="774"/>
        <w:gridCol w:w="36"/>
        <w:gridCol w:w="36"/>
        <w:gridCol w:w="36"/>
        <w:gridCol w:w="36"/>
        <w:gridCol w:w="121"/>
        <w:gridCol w:w="651"/>
        <w:gridCol w:w="36"/>
      </w:tblGrid>
      <w:tr w:rsidR="00000000">
        <w:trPr>
          <w:divId w:val="1419256835"/>
          <w:jc w:val="center"/>
        </w:trPr>
        <w:tc>
          <w:tcPr>
            <w:tcW w:w="50" w:type="pct"/>
            <w:vAlign w:val="center"/>
            <w:hideMark/>
          </w:tcPr>
          <w:p w:rsidR="00000000" w:rsidRDefault="00A07857">
            <w:pPr>
              <w:ind w:firstLine="720"/>
              <w:jc w:val="both"/>
              <w:rPr>
                <w:rFonts w:eastAsia="Times New Roman"/>
              </w:rPr>
            </w:pPr>
          </w:p>
        </w:tc>
        <w:tc>
          <w:tcPr>
            <w:tcW w:w="18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3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3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3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3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3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3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419256835"/>
          <w:jc w:val="center"/>
        </w:trPr>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 2020</w:t>
            </w:r>
          </w:p>
        </w:tc>
      </w:tr>
      <w:tr w:rsidR="00000000">
        <w:trPr>
          <w:divId w:val="1419256835"/>
          <w:jc w:val="center"/>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4"/>
                <w:szCs w:val="14"/>
                <w:u w:val="single"/>
              </w:rPr>
              <w:t>(in millions)</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T&amp;M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Aviation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Technical</w:t>
            </w:r>
            <w:r>
              <w:rPr>
                <w:rFonts w:ascii="Arial" w:eastAsia="Times New Roman" w:hAnsi="Arial" w:cs="Arial"/>
                <w:b/>
                <w:bCs/>
                <w:color w:val="000000"/>
                <w:sz w:val="18"/>
                <w:szCs w:val="18"/>
              </w:rPr>
              <w:br/>
              <w:t>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Total</w:t>
            </w:r>
          </w:p>
        </w:tc>
      </w:tr>
      <w:tr w:rsidR="00000000">
        <w:trPr>
          <w:divId w:val="1419256835"/>
          <w:jc w:val="center"/>
        </w:trPr>
        <w:tc>
          <w:tcPr>
            <w:tcW w:w="0" w:type="auto"/>
            <w:gridSpan w:val="3"/>
            <w:vAlign w:val="center"/>
            <w:hideMark/>
          </w:tcPr>
          <w:p w:rsidR="00000000" w:rsidRDefault="00A07857">
            <w:pPr>
              <w:jc w:val="center"/>
              <w:rPr>
                <w:rFonts w:eastAsia="Times New Roman"/>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419256835"/>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419256835"/>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divId w:val="132524714"/>
              <w:rPr>
                <w:rFonts w:eastAsia="Times New Roman"/>
              </w:rPr>
            </w:pPr>
            <w:r>
              <w:rPr>
                <w:rFonts w:ascii="Arial" w:eastAsia="Times New Roman" w:hAnsi="Arial" w:cs="Arial"/>
                <w:color w:val="000000"/>
                <w:sz w:val="18"/>
                <w:szCs w:val="18"/>
              </w:rPr>
              <w:t>Janitoria</w:t>
            </w:r>
            <w:r>
              <w:rPr>
                <w:rFonts w:ascii="Arial" w:eastAsia="Times New Roman" w:hAnsi="Arial" w:cs="Arial"/>
                <w:color w:val="000000"/>
                <w:sz w:val="18"/>
                <w:szCs w:val="18"/>
              </w:rPr>
              <w:t>l</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593.5 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185.6 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186.2 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34.6 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1,000.0 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419256835"/>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divId w:val="1450659810"/>
              <w:rPr>
                <w:rFonts w:eastAsia="Times New Roman"/>
              </w:rPr>
            </w:pPr>
            <w:r>
              <w:rPr>
                <w:rFonts w:ascii="Arial" w:eastAsia="Times New Roman" w:hAnsi="Arial" w:cs="Arial"/>
                <w:color w:val="000000"/>
                <w:sz w:val="18"/>
                <w:szCs w:val="18"/>
              </w:rPr>
              <w:t>Parkin</w:t>
            </w:r>
            <w:r>
              <w:rPr>
                <w:rFonts w:ascii="Arial" w:eastAsia="Times New Roman" w:hAnsi="Arial" w:cs="Arial"/>
                <w:color w:val="000000"/>
                <w:sz w:val="18"/>
                <w:szCs w:val="18"/>
              </w:rPr>
              <w:t>g</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125.9 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8.1 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84.9 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219.6 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419256835"/>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divId w:val="653027039"/>
              <w:rPr>
                <w:rFonts w:eastAsia="Times New Roman"/>
              </w:rPr>
            </w:pPr>
            <w:r>
              <w:rPr>
                <w:rFonts w:ascii="Arial" w:eastAsia="Times New Roman" w:hAnsi="Arial" w:cs="Arial"/>
                <w:color w:val="000000"/>
                <w:sz w:val="18"/>
                <w:szCs w:val="18"/>
              </w:rPr>
              <w:t>Facility Service</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101.4 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40.2 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21.0 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174.3 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419256835"/>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divId w:val="273556302"/>
              <w:rPr>
                <w:rFonts w:eastAsia="Times New Roman"/>
              </w:rPr>
            </w:pPr>
            <w:r>
              <w:rPr>
                <w:rFonts w:ascii="Arial" w:eastAsia="Times New Roman" w:hAnsi="Arial" w:cs="Arial"/>
                <w:color w:val="000000"/>
                <w:sz w:val="18"/>
                <w:szCs w:val="18"/>
              </w:rPr>
              <w:t>Building &amp; Energy Solution</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142.0 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142.0 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419256835"/>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divId w:val="65226723"/>
              <w:rPr>
                <w:rFonts w:eastAsia="Times New Roman"/>
              </w:rPr>
            </w:pPr>
            <w:r>
              <w:rPr>
                <w:rFonts w:ascii="Arial" w:eastAsia="Times New Roman" w:hAnsi="Arial" w:cs="Arial"/>
                <w:color w:val="000000"/>
                <w:sz w:val="18"/>
                <w:szCs w:val="18"/>
              </w:rPr>
              <w:t>Airline Service</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107.5 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107.6 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419256835"/>
          <w:jc w:val="center"/>
        </w:trPr>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820.9 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233.9 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208.0 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238.7 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1,643.6 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419256835"/>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Elimination of inter-segment revenues</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(30.6)</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419256835"/>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1,612.9 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ind w:hanging="180"/>
        <w:jc w:val="both"/>
        <w:divId w:val="329068986"/>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Janitorial arrangements provide a wide range of essential cleaning services for commercial office buildings, airports and other transportation centers, educational institutions, government buildings, health facilities, industrial buildings, retail stores, </w:t>
      </w:r>
      <w:r>
        <w:rPr>
          <w:rFonts w:ascii="Arial" w:eastAsia="Times New Roman" w:hAnsi="Arial" w:cs="Arial"/>
          <w:color w:val="000000"/>
          <w:sz w:val="18"/>
          <w:szCs w:val="18"/>
        </w:rPr>
        <w:t xml:space="preserve">and stadiums and arenas. These arrangements are often structured as monthly fixed-price, square-foot, cost-plus, and work order contracts. </w:t>
      </w:r>
    </w:p>
    <w:p w:rsidR="00000000" w:rsidRDefault="00A07857">
      <w:pPr>
        <w:ind w:hanging="180"/>
        <w:jc w:val="both"/>
        <w:divId w:val="1047728729"/>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Parking arrangements provide parking and transportation services for clients at various locations, including airports and other transportation centers, commercial office buildings, educational institutions, health facilities, hotels, and stadiums and arena</w:t>
      </w:r>
      <w:r>
        <w:rPr>
          <w:rFonts w:ascii="Arial" w:eastAsia="Times New Roman" w:hAnsi="Arial" w:cs="Arial"/>
          <w:color w:val="000000"/>
          <w:sz w:val="18"/>
          <w:szCs w:val="18"/>
        </w:rPr>
        <w:t xml:space="preserve">s. These arrangements are structured as management reimbursement, leased location, and allowance contracts. Certain of these arrangements are considered service concession agreements and are accounted for under the guidance of ASU 2017-10, </w:t>
      </w:r>
      <w:r>
        <w:rPr>
          <w:rFonts w:ascii="Arial" w:eastAsia="Times New Roman" w:hAnsi="Arial" w:cs="Arial"/>
          <w:i/>
          <w:iCs/>
          <w:color w:val="000000"/>
          <w:sz w:val="18"/>
          <w:szCs w:val="18"/>
        </w:rPr>
        <w:t>Service Concessi</w:t>
      </w:r>
      <w:r>
        <w:rPr>
          <w:rFonts w:ascii="Arial" w:eastAsia="Times New Roman" w:hAnsi="Arial" w:cs="Arial"/>
          <w:i/>
          <w:iCs/>
          <w:color w:val="000000"/>
          <w:sz w:val="18"/>
          <w:szCs w:val="18"/>
        </w:rPr>
        <w:t>on Arrangements (Topic 853): Determining the Customer of the Operation Services</w:t>
      </w:r>
      <w:r>
        <w:rPr>
          <w:rFonts w:ascii="Arial" w:eastAsia="Times New Roman" w:hAnsi="Arial" w:cs="Arial"/>
          <w:color w:val="000000"/>
          <w:sz w:val="18"/>
          <w:szCs w:val="18"/>
        </w:rPr>
        <w:t xml:space="preserve">; accordingly, rent expense related to these arrangements is recorded as a reduction of the related parking service revenues. </w:t>
      </w:r>
    </w:p>
    <w:p w:rsidR="00000000" w:rsidRDefault="00A07857">
      <w:pPr>
        <w:ind w:hanging="180"/>
        <w:jc w:val="both"/>
        <w:divId w:val="1807359957"/>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Facility Services arrangements provide onsite </w:t>
      </w:r>
      <w:r>
        <w:rPr>
          <w:rFonts w:ascii="Arial" w:eastAsia="Times New Roman" w:hAnsi="Arial" w:cs="Arial"/>
          <w:color w:val="000000"/>
          <w:sz w:val="18"/>
          <w:szCs w:val="18"/>
        </w:rPr>
        <w:t>mechanical engineering and technical services and solutions relating to a broad range of facilities and infrastructure systems that are designed to extend the useful life of facility fixed assets, improve equipment operating efficiencies, reduce energy con</w:t>
      </w:r>
      <w:r>
        <w:rPr>
          <w:rFonts w:ascii="Arial" w:eastAsia="Times New Roman" w:hAnsi="Arial" w:cs="Arial"/>
          <w:color w:val="000000"/>
          <w:sz w:val="18"/>
          <w:szCs w:val="18"/>
        </w:rPr>
        <w:t>sumption, lower overall operational costs for clients, and enhance the sustainability of client locations. These arrangements are generally structured as monthly fixed-price, cost-plus, and work order contracts.</w:t>
      </w:r>
    </w:p>
    <w:p w:rsidR="00000000" w:rsidRDefault="00A07857">
      <w:pPr>
        <w:ind w:hanging="180"/>
        <w:jc w:val="both"/>
        <w:divId w:val="1066686365"/>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Building &amp; Energy Solutions arrangements</w:t>
      </w:r>
      <w:r>
        <w:rPr>
          <w:rFonts w:ascii="Arial" w:eastAsia="Times New Roman" w:hAnsi="Arial" w:cs="Arial"/>
          <w:color w:val="000000"/>
          <w:sz w:val="18"/>
          <w:szCs w:val="18"/>
        </w:rPr>
        <w:t xml:space="preserve"> provide custom energy solutions, electrical, HVAC, lighting, and other general maintenance and repair services for clients in the public and private sectors and are generally structured as Energy Savings, Fixed-Price Repair, and Refurbishment contracts. W</w:t>
      </w:r>
      <w:r>
        <w:rPr>
          <w:rFonts w:ascii="Arial" w:eastAsia="Times New Roman" w:hAnsi="Arial" w:cs="Arial"/>
          <w:color w:val="000000"/>
          <w:sz w:val="18"/>
          <w:szCs w:val="18"/>
        </w:rPr>
        <w:t xml:space="preserve">e also franchise certain operations under franchise agreements relating to our Linc Network and TEGG brands, pursuant to franchise contracts. </w:t>
      </w:r>
    </w:p>
    <w:p w:rsidR="00000000" w:rsidRDefault="00A07857">
      <w:pPr>
        <w:jc w:val="center"/>
        <w:divId w:val="1412583568"/>
        <w:rPr>
          <w:rFonts w:eastAsia="Times New Roman"/>
        </w:rPr>
      </w:pPr>
      <w:r>
        <w:rPr>
          <w:rFonts w:ascii="Arial" w:eastAsia="Times New Roman" w:hAnsi="Arial" w:cs="Arial"/>
          <w:color w:val="000000"/>
          <w:sz w:val="20"/>
          <w:szCs w:val="20"/>
        </w:rPr>
        <w:t>9</w:t>
      </w:r>
    </w:p>
    <w:p w:rsidR="00000000" w:rsidRDefault="00A07857">
      <w:pPr>
        <w:rPr>
          <w:rFonts w:eastAsia="Times New Roman"/>
        </w:rPr>
      </w:pPr>
      <w:r>
        <w:rPr>
          <w:rFonts w:eastAsia="Times New Roman"/>
        </w:rPr>
        <w:pict>
          <v:rect id="_x0000_i1039" style="width:0;height:1.5pt" o:hralign="center" o:hrstd="t" o:hr="t" fillcolor="#a0a0a0" stroked="f"/>
        </w:pict>
      </w:r>
    </w:p>
    <w:p w:rsidR="00000000" w:rsidRDefault="00A07857">
      <w:pPr>
        <w:jc w:val="both"/>
        <w:divId w:val="618146833"/>
        <w:rPr>
          <w:rFonts w:eastAsia="Times New Roman"/>
        </w:rPr>
      </w:pPr>
    </w:p>
    <w:p w:rsidR="00000000" w:rsidRDefault="00A07857">
      <w:pPr>
        <w:ind w:hanging="180"/>
        <w:jc w:val="both"/>
        <w:divId w:val="136387939"/>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Airline Services arrangements support airlines and airports with ser</w:t>
      </w:r>
      <w:r>
        <w:rPr>
          <w:rFonts w:ascii="Arial" w:eastAsia="Times New Roman" w:hAnsi="Arial" w:cs="Arial"/>
          <w:color w:val="000000"/>
          <w:sz w:val="18"/>
          <w:szCs w:val="18"/>
        </w:rPr>
        <w:t>vices such as passenger assistance, catering logistics, and airplane cabin maintenance. These arrangements are often structured as monthly fixed-price, cost-plus, transaction price, and hourly contracts.</w:t>
      </w:r>
    </w:p>
    <w:p w:rsidR="00000000" w:rsidRDefault="00A07857">
      <w:pPr>
        <w:jc w:val="both"/>
        <w:divId w:val="20250792"/>
        <w:rPr>
          <w:rFonts w:eastAsia="Times New Roman"/>
        </w:rPr>
      </w:pPr>
      <w:r>
        <w:rPr>
          <w:rFonts w:ascii="Arial" w:eastAsia="Times New Roman" w:hAnsi="Arial" w:cs="Arial"/>
          <w:b/>
          <w:bCs/>
          <w:color w:val="0046AD"/>
          <w:sz w:val="20"/>
          <w:szCs w:val="20"/>
        </w:rPr>
        <w:t>Contract Types</w:t>
      </w:r>
    </w:p>
    <w:p w:rsidR="00000000" w:rsidRDefault="00A07857">
      <w:pPr>
        <w:ind w:firstLine="720"/>
        <w:jc w:val="both"/>
        <w:divId w:val="729810492"/>
        <w:rPr>
          <w:rFonts w:eastAsia="Times New Roman"/>
        </w:rPr>
      </w:pPr>
      <w:r>
        <w:rPr>
          <w:rFonts w:ascii="Arial" w:eastAsia="Times New Roman" w:hAnsi="Arial" w:cs="Arial"/>
          <w:color w:val="000000"/>
          <w:sz w:val="20"/>
          <w:szCs w:val="20"/>
        </w:rPr>
        <w:t>We have arrangements under various co</w:t>
      </w:r>
      <w:r>
        <w:rPr>
          <w:rFonts w:ascii="Arial" w:eastAsia="Times New Roman" w:hAnsi="Arial" w:cs="Arial"/>
          <w:color w:val="000000"/>
          <w:sz w:val="20"/>
          <w:szCs w:val="20"/>
        </w:rPr>
        <w:t>ntract types, as described in Note 2, “Basis of Presentation and Significant Accounting Policies,” in our Annual Report on Form 10-K for the year ended October 31, 2020.</w:t>
      </w:r>
    </w:p>
    <w:p w:rsidR="00000000" w:rsidRDefault="00A07857">
      <w:pPr>
        <w:ind w:firstLine="720"/>
        <w:jc w:val="both"/>
        <w:divId w:val="821847509"/>
        <w:rPr>
          <w:rFonts w:eastAsia="Times New Roman"/>
        </w:rPr>
      </w:pPr>
      <w:r>
        <w:rPr>
          <w:rFonts w:ascii="Arial" w:eastAsia="Times New Roman" w:hAnsi="Arial" w:cs="Arial"/>
          <w:color w:val="000000"/>
          <w:sz w:val="20"/>
          <w:szCs w:val="20"/>
        </w:rPr>
        <w:t>Certain arrangements involve variable consideration (primarily per transaction fees, r</w:t>
      </w:r>
      <w:r>
        <w:rPr>
          <w:rFonts w:ascii="Arial" w:eastAsia="Times New Roman" w:hAnsi="Arial" w:cs="Arial"/>
          <w:color w:val="000000"/>
          <w:sz w:val="20"/>
          <w:szCs w:val="20"/>
        </w:rPr>
        <w:t>eimbursable expenses, and sales-based royalties). We do not estimate the variable consideration for these arrangements; rather, we recognize these variable fees as they are earned.</w:t>
      </w:r>
    </w:p>
    <w:p w:rsidR="00000000" w:rsidRDefault="00A07857">
      <w:pPr>
        <w:ind w:firstLine="720"/>
        <w:jc w:val="both"/>
        <w:divId w:val="1026951555"/>
        <w:rPr>
          <w:rFonts w:eastAsia="Times New Roman"/>
        </w:rPr>
      </w:pPr>
      <w:r>
        <w:rPr>
          <w:rFonts w:ascii="Arial" w:eastAsia="Times New Roman" w:hAnsi="Arial" w:cs="Arial"/>
          <w:color w:val="000000"/>
          <w:sz w:val="20"/>
          <w:szCs w:val="20"/>
        </w:rPr>
        <w:t>The majority of our contracts include performance obligations that are prim</w:t>
      </w:r>
      <w:r>
        <w:rPr>
          <w:rFonts w:ascii="Arial" w:eastAsia="Times New Roman" w:hAnsi="Arial" w:cs="Arial"/>
          <w:color w:val="000000"/>
          <w:sz w:val="20"/>
          <w:szCs w:val="20"/>
        </w:rPr>
        <w:t>arily satisfied over time as we provide the related services. These contract types include: monthly fixed-price; square-foot; cost-plus; work orders; transaction-price; hourly; management reimbursement; leased location; allowance; energy savings contracts;</w:t>
      </w:r>
      <w:r>
        <w:rPr>
          <w:rFonts w:ascii="Arial" w:eastAsia="Times New Roman" w:hAnsi="Arial" w:cs="Arial"/>
          <w:color w:val="000000"/>
          <w:sz w:val="20"/>
          <w:szCs w:val="20"/>
        </w:rPr>
        <w:t xml:space="preserve"> and fixed-price repair and refurbishment contracts, as well as our franchise and royalty fee arrangements. We recognize revenue as the services are performed using a measure of progress that is determined by the contract type. Generally, most of our contr</w:t>
      </w:r>
      <w:r>
        <w:rPr>
          <w:rFonts w:ascii="Arial" w:eastAsia="Times New Roman" w:hAnsi="Arial" w:cs="Arial"/>
          <w:color w:val="000000"/>
          <w:sz w:val="20"/>
          <w:szCs w:val="20"/>
        </w:rPr>
        <w:t xml:space="preserve">acts are cancelable by either party without a substantive penalty, and the majority have a notification period of 30 to 60 days. </w:t>
      </w:r>
    </w:p>
    <w:p w:rsidR="00000000" w:rsidRDefault="00A07857">
      <w:pPr>
        <w:ind w:firstLine="720"/>
        <w:jc w:val="both"/>
        <w:divId w:val="1862620655"/>
        <w:rPr>
          <w:rFonts w:eastAsia="Times New Roman"/>
        </w:rPr>
      </w:pPr>
      <w:r>
        <w:rPr>
          <w:rFonts w:ascii="Arial" w:eastAsia="Times New Roman" w:hAnsi="Arial" w:cs="Arial"/>
          <w:color w:val="000000"/>
          <w:sz w:val="20"/>
          <w:szCs w:val="20"/>
        </w:rPr>
        <w:t>We primarily account for our performance obligations under the series guidance, using the as-invoiced practical expedient when</w:t>
      </w:r>
      <w:r>
        <w:rPr>
          <w:rFonts w:ascii="Arial" w:eastAsia="Times New Roman" w:hAnsi="Arial" w:cs="Arial"/>
          <w:color w:val="000000"/>
          <w:sz w:val="20"/>
          <w:szCs w:val="20"/>
        </w:rPr>
        <w:t xml:space="preserve"> applicable. We apply the as-invoiced practical expedient to record revenue as the services are provided, given the nature of the services provided and the frequency of billing under the customer contracts. Under this practical expedient, we recognize reve</w:t>
      </w:r>
      <w:r>
        <w:rPr>
          <w:rFonts w:ascii="Arial" w:eastAsia="Times New Roman" w:hAnsi="Arial" w:cs="Arial"/>
          <w:color w:val="000000"/>
          <w:sz w:val="20"/>
          <w:szCs w:val="20"/>
        </w:rPr>
        <w:t xml:space="preserve">nue in an amount that corresponds directly with the value to the customer of our performance completed to date and for which we have the right to invoice the customer. </w:t>
      </w:r>
    </w:p>
    <w:p w:rsidR="00000000" w:rsidRDefault="00A07857">
      <w:pPr>
        <w:jc w:val="both"/>
        <w:divId w:val="1695038722"/>
        <w:rPr>
          <w:rFonts w:eastAsia="Times New Roman"/>
        </w:rPr>
      </w:pPr>
      <w:r>
        <w:rPr>
          <w:rFonts w:ascii="Arial" w:eastAsia="Times New Roman" w:hAnsi="Arial" w:cs="Arial"/>
          <w:b/>
          <w:bCs/>
          <w:color w:val="0046AD"/>
          <w:sz w:val="20"/>
          <w:szCs w:val="20"/>
        </w:rPr>
        <w:t>Remaining Performance Obligations</w:t>
      </w:r>
    </w:p>
    <w:p w:rsidR="00000000" w:rsidRDefault="00A07857">
      <w:pPr>
        <w:ind w:firstLine="720"/>
        <w:jc w:val="both"/>
        <w:divId w:val="130949112"/>
        <w:rPr>
          <w:rFonts w:eastAsia="Times New Roman"/>
        </w:rPr>
      </w:pPr>
      <w:r>
        <w:rPr>
          <w:rFonts w:ascii="Arial" w:eastAsia="Times New Roman" w:hAnsi="Arial" w:cs="Arial"/>
          <w:color w:val="000000"/>
          <w:sz w:val="20"/>
          <w:szCs w:val="20"/>
        </w:rPr>
        <w:t>At January 31, 2021, performance obligations that wer</w:t>
      </w:r>
      <w:r>
        <w:rPr>
          <w:rFonts w:ascii="Arial" w:eastAsia="Times New Roman" w:hAnsi="Arial" w:cs="Arial"/>
          <w:color w:val="000000"/>
          <w:sz w:val="20"/>
          <w:szCs w:val="20"/>
        </w:rPr>
        <w:t>e unsatisfied or partially unsatisfied for which we expect to recognize revenue totaled $246.5 million. We expect to recognize revenue on approximately 61% of the remaining performance obligations over the next 12 months, with the remainder recognized ther</w:t>
      </w:r>
      <w:r>
        <w:rPr>
          <w:rFonts w:ascii="Arial" w:eastAsia="Times New Roman" w:hAnsi="Arial" w:cs="Arial"/>
          <w:color w:val="000000"/>
          <w:sz w:val="20"/>
          <w:szCs w:val="20"/>
        </w:rPr>
        <w:t>eafter, based on our estimates of project timing.</w:t>
      </w:r>
    </w:p>
    <w:p w:rsidR="00000000" w:rsidRDefault="00A07857">
      <w:pPr>
        <w:ind w:firstLine="720"/>
        <w:jc w:val="both"/>
        <w:divId w:val="1805079145"/>
        <w:rPr>
          <w:rFonts w:eastAsia="Times New Roman"/>
        </w:rPr>
      </w:pPr>
      <w:r>
        <w:rPr>
          <w:rFonts w:ascii="Arial" w:eastAsia="Times New Roman" w:hAnsi="Arial" w:cs="Arial"/>
          <w:color w:val="000000"/>
          <w:sz w:val="20"/>
          <w:szCs w:val="20"/>
        </w:rPr>
        <w:t xml:space="preserve">These amounts exclude variable consideration primarily related to: (i) contracts where we have determined that the contract consists of a series of distinct service periods and revenues are based on future </w:t>
      </w:r>
      <w:r>
        <w:rPr>
          <w:rFonts w:ascii="Arial" w:eastAsia="Times New Roman" w:hAnsi="Arial" w:cs="Arial"/>
          <w:color w:val="000000"/>
          <w:sz w:val="20"/>
          <w:szCs w:val="20"/>
        </w:rPr>
        <w:t>performance that cannot be estimated at contract inception; (ii) parking contracts where we and the customer share the gross revenues or operating profit for the location; and (iii) contracts where transaction prices include performance incentives that are</w:t>
      </w:r>
      <w:r>
        <w:rPr>
          <w:rFonts w:ascii="Arial" w:eastAsia="Times New Roman" w:hAnsi="Arial" w:cs="Arial"/>
          <w:color w:val="000000"/>
          <w:sz w:val="20"/>
          <w:szCs w:val="20"/>
        </w:rPr>
        <w:t xml:space="preserve"> based on future performance and therefore cannot be estimated at contract inception. We apply the practical expedient that permits exclusion of information about the remaining performance obligations with original expected durations of one year or less.</w:t>
      </w:r>
    </w:p>
    <w:p w:rsidR="00000000" w:rsidRDefault="00A07857">
      <w:pPr>
        <w:divId w:val="647973210"/>
        <w:rPr>
          <w:rFonts w:eastAsia="Times New Roman"/>
        </w:rPr>
      </w:pPr>
      <w:r>
        <w:rPr>
          <w:rFonts w:ascii="Arial" w:eastAsia="Times New Roman" w:hAnsi="Arial" w:cs="Arial"/>
          <w:b/>
          <w:bCs/>
          <w:color w:val="164FA2"/>
          <w:sz w:val="20"/>
          <w:szCs w:val="20"/>
        </w:rPr>
        <w:t>C</w:t>
      </w:r>
      <w:r>
        <w:rPr>
          <w:rFonts w:ascii="Arial" w:eastAsia="Times New Roman" w:hAnsi="Arial" w:cs="Arial"/>
          <w:b/>
          <w:bCs/>
          <w:color w:val="164FA2"/>
          <w:sz w:val="20"/>
          <w:szCs w:val="20"/>
        </w:rPr>
        <w:t xml:space="preserve">ontract Balances </w:t>
      </w:r>
    </w:p>
    <w:p w:rsidR="00000000" w:rsidRDefault="00A07857">
      <w:pPr>
        <w:ind w:firstLine="720"/>
        <w:jc w:val="both"/>
        <w:divId w:val="573129266"/>
        <w:rPr>
          <w:rFonts w:eastAsia="Times New Roman"/>
        </w:rPr>
      </w:pPr>
      <w:r>
        <w:rPr>
          <w:rFonts w:ascii="Arial" w:eastAsia="Times New Roman" w:hAnsi="Arial" w:cs="Arial"/>
          <w:color w:val="000000"/>
          <w:sz w:val="20"/>
          <w:szCs w:val="20"/>
        </w:rPr>
        <w:t>The timing of revenue recognition, billings, and cash collections results in contract assets and contract liabilities, as further explained below. The timing of revenue recognition may differ from the timing of invoicing to customers.</w:t>
      </w:r>
    </w:p>
    <w:p w:rsidR="00000000" w:rsidRDefault="00A07857">
      <w:pPr>
        <w:ind w:firstLine="720"/>
        <w:jc w:val="both"/>
        <w:divId w:val="208146981"/>
        <w:rPr>
          <w:rFonts w:eastAsia="Times New Roman"/>
        </w:rPr>
      </w:pPr>
      <w:r>
        <w:rPr>
          <w:rFonts w:ascii="Arial" w:eastAsia="Times New Roman" w:hAnsi="Arial" w:cs="Arial"/>
          <w:color w:val="000000"/>
          <w:sz w:val="20"/>
          <w:szCs w:val="20"/>
        </w:rPr>
        <w:t>Contract assets prima</w:t>
      </w:r>
      <w:r>
        <w:rPr>
          <w:rFonts w:ascii="Arial" w:eastAsia="Times New Roman" w:hAnsi="Arial" w:cs="Arial"/>
          <w:color w:val="000000"/>
          <w:sz w:val="20"/>
          <w:szCs w:val="20"/>
        </w:rPr>
        <w:t xml:space="preserve">rily consist of billed trade receivables, unbilled trade receivables, and costs incurred in excess of amounts billed. Billed and unbilled trade receivables represent amounts from work completed in which we have an unconditional right to bill our customer. </w:t>
      </w:r>
      <w:r>
        <w:rPr>
          <w:rFonts w:ascii="Arial" w:eastAsia="Times New Roman" w:hAnsi="Arial" w:cs="Arial"/>
          <w:color w:val="000000"/>
          <w:sz w:val="20"/>
          <w:szCs w:val="20"/>
        </w:rPr>
        <w:t>Costs incurred in excess of amounts billed typically arise when the revenue recognized on projects exceeds the amount billed to the customer. These amounts are transferred to billed trade receivables when the rights become unconditional. Contract assets al</w:t>
      </w:r>
      <w:r>
        <w:rPr>
          <w:rFonts w:ascii="Arial" w:eastAsia="Times New Roman" w:hAnsi="Arial" w:cs="Arial"/>
          <w:color w:val="000000"/>
          <w:sz w:val="20"/>
          <w:szCs w:val="20"/>
        </w:rPr>
        <w:t>so include the capitalization of incremental costs of obtaining a contract with a customer, primarily commissions. Commissions expense is recognized on a straight-line basis over a weighted average expected customer relationship period.</w:t>
      </w:r>
    </w:p>
    <w:p w:rsidR="00000000" w:rsidRDefault="00A07857">
      <w:pPr>
        <w:ind w:firstLine="720"/>
        <w:jc w:val="both"/>
        <w:divId w:val="674310936"/>
        <w:rPr>
          <w:rFonts w:eastAsia="Times New Roman"/>
        </w:rPr>
      </w:pPr>
      <w:r>
        <w:rPr>
          <w:rFonts w:ascii="Arial" w:eastAsia="Times New Roman" w:hAnsi="Arial" w:cs="Arial"/>
          <w:color w:val="000000"/>
          <w:sz w:val="20"/>
          <w:szCs w:val="20"/>
        </w:rPr>
        <w:t>Contract liabilitie</w:t>
      </w:r>
      <w:r>
        <w:rPr>
          <w:rFonts w:ascii="Arial" w:eastAsia="Times New Roman" w:hAnsi="Arial" w:cs="Arial"/>
          <w:color w:val="000000"/>
          <w:sz w:val="20"/>
          <w:szCs w:val="20"/>
        </w:rPr>
        <w:t>s consist of deferred revenue and advance payments and billings in excess of revenue recognized. We generally classify contract liabilities as current since the related contracts are generally for a period of one year or less. Contract liabilities decrease</w:t>
      </w:r>
      <w:r>
        <w:rPr>
          <w:rFonts w:ascii="Arial" w:eastAsia="Times New Roman" w:hAnsi="Arial" w:cs="Arial"/>
          <w:color w:val="000000"/>
          <w:sz w:val="20"/>
          <w:szCs w:val="20"/>
        </w:rPr>
        <w:t xml:space="preserve"> as we recognize revenue from the satisfaction of the related performance obligation.</w:t>
      </w:r>
    </w:p>
    <w:p w:rsidR="00000000" w:rsidRDefault="00A07857">
      <w:pPr>
        <w:ind w:firstLine="720"/>
        <w:jc w:val="both"/>
        <w:divId w:val="1345131047"/>
        <w:rPr>
          <w:rFonts w:eastAsia="Times New Roman"/>
        </w:rPr>
      </w:pPr>
    </w:p>
    <w:p w:rsidR="00000000" w:rsidRDefault="00A07857">
      <w:pPr>
        <w:jc w:val="center"/>
        <w:divId w:val="1676153462"/>
        <w:rPr>
          <w:rFonts w:eastAsia="Times New Roman"/>
        </w:rPr>
      </w:pPr>
      <w:r>
        <w:rPr>
          <w:rFonts w:ascii="Arial" w:eastAsia="Times New Roman" w:hAnsi="Arial" w:cs="Arial"/>
          <w:color w:val="000000"/>
          <w:sz w:val="20"/>
          <w:szCs w:val="20"/>
        </w:rPr>
        <w:t>10</w:t>
      </w:r>
    </w:p>
    <w:p w:rsidR="00000000" w:rsidRDefault="00A07857">
      <w:pPr>
        <w:rPr>
          <w:rFonts w:eastAsia="Times New Roman"/>
        </w:rPr>
      </w:pPr>
      <w:r>
        <w:rPr>
          <w:rFonts w:eastAsia="Times New Roman"/>
        </w:rPr>
        <w:pict>
          <v:rect id="_x0000_i1040" style="width:0;height:1.5pt" o:hralign="center" o:hrstd="t" o:hr="t" fillcolor="#a0a0a0" stroked="f"/>
        </w:pict>
      </w:r>
    </w:p>
    <w:p w:rsidR="00000000" w:rsidRDefault="00A07857">
      <w:pPr>
        <w:jc w:val="both"/>
        <w:divId w:val="221209977"/>
        <w:rPr>
          <w:rFonts w:eastAsia="Times New Roman"/>
        </w:rPr>
      </w:pPr>
    </w:p>
    <w:p w:rsidR="00000000" w:rsidRDefault="00A07857">
      <w:pPr>
        <w:ind w:firstLine="720"/>
        <w:jc w:val="both"/>
        <w:divId w:val="694187442"/>
        <w:rPr>
          <w:rFonts w:eastAsia="Times New Roman"/>
        </w:rPr>
      </w:pPr>
      <w:r>
        <w:rPr>
          <w:rFonts w:ascii="Arial" w:eastAsia="Times New Roman" w:hAnsi="Arial" w:cs="Arial"/>
          <w:color w:val="000000"/>
          <w:sz w:val="20"/>
          <w:szCs w:val="20"/>
        </w:rPr>
        <w:t xml:space="preserve">The following tables present the balances in our contract assets and contract liabilities: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67"/>
        <w:gridCol w:w="39"/>
        <w:gridCol w:w="36"/>
        <w:gridCol w:w="36"/>
        <w:gridCol w:w="36"/>
        <w:gridCol w:w="122"/>
        <w:gridCol w:w="1463"/>
        <w:gridCol w:w="36"/>
        <w:gridCol w:w="36"/>
        <w:gridCol w:w="36"/>
        <w:gridCol w:w="36"/>
        <w:gridCol w:w="122"/>
        <w:gridCol w:w="1465"/>
        <w:gridCol w:w="36"/>
      </w:tblGrid>
      <w:tr w:rsidR="00000000">
        <w:trPr>
          <w:divId w:val="1184051500"/>
          <w:jc w:val="center"/>
        </w:trPr>
        <w:tc>
          <w:tcPr>
            <w:tcW w:w="50" w:type="pct"/>
            <w:vAlign w:val="center"/>
            <w:hideMark/>
          </w:tcPr>
          <w:p w:rsidR="00000000" w:rsidRDefault="00A07857">
            <w:pPr>
              <w:ind w:firstLine="720"/>
              <w:jc w:val="both"/>
              <w:rPr>
                <w:rFonts w:eastAsia="Times New Roman"/>
              </w:rPr>
            </w:pPr>
          </w:p>
        </w:tc>
        <w:tc>
          <w:tcPr>
            <w:tcW w:w="289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931"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93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184051500"/>
          <w:jc w:val="center"/>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January 31, 2021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20"/>
                <w:szCs w:val="20"/>
              </w:rPr>
              <w:t>October 31, 2020</w:t>
            </w:r>
          </w:p>
        </w:tc>
      </w:tr>
      <w:tr w:rsidR="00000000">
        <w:trPr>
          <w:divId w:val="1184051500"/>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Contract assets</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184051500"/>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divId w:val="1515457377"/>
              <w:rPr>
                <w:rFonts w:eastAsia="Times New Roman"/>
              </w:rPr>
            </w:pPr>
            <w:r>
              <w:rPr>
                <w:rFonts w:ascii="Arial" w:eastAsia="Times New Roman" w:hAnsi="Arial" w:cs="Arial"/>
                <w:color w:val="000000"/>
                <w:sz w:val="18"/>
                <w:szCs w:val="18"/>
              </w:rPr>
              <w:t>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896.8 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835.8 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184051500"/>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divId w:val="630088606"/>
              <w:rPr>
                <w:rFonts w:eastAsia="Times New Roman"/>
              </w:rPr>
            </w:pPr>
            <w:r>
              <w:rPr>
                <w:rFonts w:ascii="Arial" w:eastAsia="Times New Roman" w:hAnsi="Arial" w:cs="Arial"/>
                <w:color w:val="000000"/>
                <w:sz w:val="18"/>
                <w:szCs w:val="18"/>
              </w:rPr>
              <w:t>Unbilled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58.3 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53.9 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184051500"/>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divId w:val="1509520681"/>
              <w:rPr>
                <w:rFonts w:eastAsia="Times New Roman"/>
              </w:rPr>
            </w:pPr>
            <w:r>
              <w:rPr>
                <w:rFonts w:ascii="Arial" w:eastAsia="Times New Roman" w:hAnsi="Arial" w:cs="Arial"/>
                <w:color w:val="000000"/>
                <w:sz w:val="18"/>
                <w:szCs w:val="18"/>
              </w:rPr>
              <w:t>Costs incurred in excess of amounts bille</w:t>
            </w:r>
            <w:r>
              <w:rPr>
                <w:rFonts w:ascii="Arial" w:eastAsia="Times New Roman" w:hAnsi="Arial" w:cs="Arial"/>
                <w:color w:val="000000"/>
                <w:sz w:val="18"/>
                <w:szCs w:val="18"/>
              </w:rPr>
              <w:t>d</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38.6 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52.2 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184051500"/>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divId w:val="1321734647"/>
              <w:rPr>
                <w:rFonts w:eastAsia="Times New Roman"/>
              </w:rPr>
            </w:pPr>
            <w:r>
              <w:rPr>
                <w:rFonts w:ascii="Arial" w:eastAsia="Times New Roman" w:hAnsi="Arial" w:cs="Arial"/>
                <w:color w:val="000000"/>
                <w:sz w:val="18"/>
                <w:szCs w:val="18"/>
              </w:rPr>
              <w:t>Capitalized commission</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24.9 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25.2 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ind w:hanging="180"/>
        <w:jc w:val="both"/>
        <w:divId w:val="188614306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trade accounts receivable, net, on the unaudited Consolidated Balance Sheets. The fluctuations correlate directly to the execution of new customer contracts and to invoicing and collections from customers in the normal course of business. </w:t>
      </w:r>
    </w:p>
    <w:p w:rsidR="00000000" w:rsidRDefault="00A07857">
      <w:pPr>
        <w:ind w:hanging="180"/>
        <w:jc w:val="both"/>
        <w:divId w:val="706950196"/>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Fluctuation is primarily due to the timing of payments on our contracts measured using the cost-to-cost method of revenue recognition. </w:t>
      </w:r>
    </w:p>
    <w:p w:rsidR="00000000" w:rsidRDefault="00A07857">
      <w:pPr>
        <w:ind w:hanging="180"/>
        <w:jc w:val="both"/>
        <w:divId w:val="959413818"/>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Included in other current assets and other noncurrent assets on the unaudited Consolidated Balance Sheets. During th</w:t>
      </w:r>
      <w:r>
        <w:rPr>
          <w:rFonts w:ascii="Arial" w:eastAsia="Times New Roman" w:hAnsi="Arial" w:cs="Arial"/>
          <w:color w:val="000000"/>
          <w:sz w:val="18"/>
          <w:szCs w:val="18"/>
        </w:rPr>
        <w:t>e three months ended January 31, 2021, we capitalized $3.0 million of new costs and amortized $3.3 million of previously capitalized costs. There was no impairment loss recorded on the costs capitalized.</w:t>
      </w:r>
    </w:p>
    <w:tbl>
      <w:tblPr>
        <w:tblW w:w="5000" w:type="pct"/>
        <w:tblCellMar>
          <w:top w:w="15" w:type="dxa"/>
          <w:left w:w="15" w:type="dxa"/>
          <w:bottom w:w="15" w:type="dxa"/>
          <w:right w:w="15" w:type="dxa"/>
        </w:tblCellMar>
        <w:tblLook w:val="04A0" w:firstRow="1" w:lastRow="0" w:firstColumn="1" w:lastColumn="0" w:noHBand="0" w:noVBand="1"/>
      </w:tblPr>
      <w:tblGrid>
        <w:gridCol w:w="45"/>
        <w:gridCol w:w="6333"/>
        <w:gridCol w:w="37"/>
        <w:gridCol w:w="36"/>
        <w:gridCol w:w="36"/>
        <w:gridCol w:w="36"/>
        <w:gridCol w:w="122"/>
        <w:gridCol w:w="1625"/>
        <w:gridCol w:w="36"/>
      </w:tblGrid>
      <w:tr w:rsidR="00000000">
        <w:trPr>
          <w:divId w:val="2031683655"/>
        </w:trPr>
        <w:tc>
          <w:tcPr>
            <w:tcW w:w="50" w:type="pct"/>
            <w:vAlign w:val="center"/>
            <w:hideMark/>
          </w:tcPr>
          <w:p w:rsidR="00000000" w:rsidRDefault="00A07857">
            <w:pPr>
              <w:ind w:hanging="180"/>
              <w:jc w:val="both"/>
              <w:rPr>
                <w:rFonts w:eastAsia="Times New Roman"/>
              </w:rPr>
            </w:pPr>
          </w:p>
        </w:tc>
        <w:tc>
          <w:tcPr>
            <w:tcW w:w="3833"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10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2031683655"/>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w:t>
            </w:r>
            <w:r>
              <w:rPr>
                <w:rFonts w:ascii="Arial" w:eastAsia="Times New Roman" w:hAnsi="Arial" w:cs="Arial"/>
                <w:b/>
                <w:bCs/>
                <w:color w:val="000000"/>
                <w:sz w:val="18"/>
                <w:szCs w:val="18"/>
              </w:rPr>
              <w:br/>
              <w:t>January 31, 2021</w:t>
            </w:r>
          </w:p>
        </w:tc>
      </w:tr>
      <w:tr w:rsidR="00000000">
        <w:trPr>
          <w:divId w:val="2031683655"/>
        </w:trPr>
        <w:tc>
          <w:tcPr>
            <w:tcW w:w="0" w:type="auto"/>
            <w:gridSpan w:val="3"/>
            <w:shd w:val="clear" w:color="auto" w:fill="DCE2EF"/>
            <w:tcMar>
              <w:top w:w="30" w:type="dxa"/>
              <w:left w:w="20" w:type="dxa"/>
              <w:bottom w:w="30" w:type="dxa"/>
              <w:right w:w="20" w:type="dxa"/>
            </w:tcMar>
            <w:vAlign w:val="bottom"/>
            <w:hideMark/>
          </w:tcPr>
          <w:p w:rsidR="00000000" w:rsidRDefault="00A07857">
            <w:pPr>
              <w:divId w:val="338433973"/>
              <w:rPr>
                <w:rFonts w:eastAsia="Times New Roman"/>
              </w:rPr>
            </w:pPr>
            <w:r>
              <w:rPr>
                <w:rFonts w:ascii="Arial" w:eastAsia="Times New Roman" w:hAnsi="Arial" w:cs="Arial"/>
                <w:b/>
                <w:bCs/>
                <w:color w:val="000000"/>
                <w:sz w:val="18"/>
                <w:szCs w:val="18"/>
              </w:rPr>
              <w:t>Contract liabilitie</w:t>
            </w:r>
            <w:r>
              <w:rPr>
                <w:rFonts w:ascii="Arial" w:eastAsia="Times New Roman" w:hAnsi="Arial" w:cs="Arial"/>
                <w:b/>
                <w:bCs/>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2031683655"/>
        </w:trPr>
        <w:tc>
          <w:tcPr>
            <w:tcW w:w="0" w:type="auto"/>
            <w:gridSpan w:val="3"/>
            <w:shd w:val="clear" w:color="auto" w:fill="FFFFFF"/>
            <w:tcMar>
              <w:top w:w="30" w:type="dxa"/>
              <w:left w:w="24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Balance at beginning of period</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36.4 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31683655"/>
        </w:trPr>
        <w:tc>
          <w:tcPr>
            <w:tcW w:w="0" w:type="auto"/>
            <w:gridSpan w:val="3"/>
            <w:shd w:val="clear" w:color="auto" w:fill="DCE2EF"/>
            <w:tcMar>
              <w:top w:w="30" w:type="dxa"/>
              <w:left w:w="24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Additional contract liabilities</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31.5 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31683655"/>
        </w:trPr>
        <w:tc>
          <w:tcPr>
            <w:tcW w:w="0" w:type="auto"/>
            <w:gridSpan w:val="3"/>
            <w:shd w:val="clear" w:color="auto" w:fill="FFFFFF"/>
            <w:tcMar>
              <w:top w:w="30" w:type="dxa"/>
              <w:left w:w="20" w:type="dxa"/>
              <w:bottom w:w="30" w:type="dxa"/>
              <w:right w:w="20" w:type="dxa"/>
            </w:tcMar>
            <w:vAlign w:val="bottom"/>
            <w:hideMark/>
          </w:tcPr>
          <w:p w:rsidR="00000000" w:rsidRDefault="00A07857">
            <w:pPr>
              <w:ind w:hanging="180"/>
              <w:divId w:val="2027826927"/>
              <w:rPr>
                <w:rFonts w:eastAsia="Times New Roman"/>
              </w:rPr>
            </w:pPr>
            <w:r>
              <w:rPr>
                <w:rFonts w:ascii="Arial" w:eastAsia="Times New Roman" w:hAnsi="Arial" w:cs="Arial"/>
                <w:color w:val="000000"/>
                <w:sz w:val="18"/>
                <w:szCs w:val="18"/>
              </w:rPr>
              <w:t>Recognition of deferred revenue</w:t>
            </w:r>
          </w:p>
        </w:tc>
        <w:tc>
          <w:tcPr>
            <w:tcW w:w="0" w:type="auto"/>
            <w:gridSpan w:val="3"/>
            <w:shd w:val="clear" w:color="auto" w:fill="FFFFFF"/>
            <w:tcMar>
              <w:top w:w="0" w:type="dxa"/>
              <w:left w:w="20" w:type="dxa"/>
              <w:bottom w:w="0" w:type="dxa"/>
              <w:right w:w="20" w:type="dxa"/>
            </w:tcMar>
            <w:vAlign w:val="center"/>
            <w:hideMark/>
          </w:tcPr>
          <w:p w:rsidR="00000000" w:rsidRDefault="00A07857">
            <w:pPr>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(14.8)</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31683655"/>
        </w:trPr>
        <w:tc>
          <w:tcPr>
            <w:tcW w:w="0" w:type="auto"/>
            <w:gridSpan w:val="3"/>
            <w:shd w:val="clear" w:color="auto" w:fill="DCE2EF"/>
            <w:tcMar>
              <w:top w:w="30" w:type="dxa"/>
              <w:left w:w="20" w:type="dxa"/>
              <w:bottom w:w="30" w:type="dxa"/>
              <w:right w:w="20" w:type="dxa"/>
            </w:tcMar>
            <w:vAlign w:val="bottom"/>
            <w:hideMark/>
          </w:tcPr>
          <w:p w:rsidR="00000000" w:rsidRDefault="00A07857">
            <w:pPr>
              <w:ind w:hanging="180"/>
              <w:divId w:val="359866870"/>
              <w:rPr>
                <w:rFonts w:eastAsia="Times New Roman"/>
              </w:rPr>
            </w:pPr>
            <w:r>
              <w:rPr>
                <w:rFonts w:ascii="Arial" w:eastAsia="Times New Roman" w:hAnsi="Arial" w:cs="Arial"/>
                <w:color w:val="000000"/>
                <w:sz w:val="18"/>
                <w:szCs w:val="18"/>
              </w:rPr>
              <w:t>Balance at end of period</w:t>
            </w:r>
          </w:p>
        </w:tc>
        <w:tc>
          <w:tcPr>
            <w:tcW w:w="0" w:type="auto"/>
            <w:gridSpan w:val="3"/>
            <w:shd w:val="clear" w:color="auto" w:fill="DCE2EF"/>
            <w:tcMar>
              <w:top w:w="0" w:type="dxa"/>
              <w:left w:w="20" w:type="dxa"/>
              <w:bottom w:w="0" w:type="dxa"/>
              <w:right w:w="20" w:type="dxa"/>
            </w:tcMar>
            <w:vAlign w:val="center"/>
            <w:hideMark/>
          </w:tcPr>
          <w:p w:rsidR="00000000" w:rsidRDefault="00A07857">
            <w:pPr>
              <w:ind w:hanging="18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53.1 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ind w:hanging="180"/>
        <w:jc w:val="both"/>
        <w:divId w:val="57674401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Included in other accrued liabilities on the unaudited Consolidated Balance Sheets. </w:t>
      </w:r>
    </w:p>
    <w:p w:rsidR="00000000" w:rsidRDefault="00A07857">
      <w:pPr>
        <w:jc w:val="center"/>
        <w:divId w:val="919754223"/>
        <w:rPr>
          <w:rFonts w:eastAsia="Times New Roman"/>
        </w:rPr>
      </w:pPr>
      <w:r>
        <w:rPr>
          <w:rFonts w:ascii="Arial" w:eastAsia="Times New Roman" w:hAnsi="Arial" w:cs="Arial"/>
          <w:color w:val="000000"/>
          <w:sz w:val="20"/>
          <w:szCs w:val="20"/>
        </w:rPr>
        <w:t>11</w:t>
      </w:r>
    </w:p>
    <w:p w:rsidR="00000000" w:rsidRDefault="00A07857">
      <w:pPr>
        <w:rPr>
          <w:rFonts w:eastAsia="Times New Roman"/>
        </w:rPr>
      </w:pPr>
      <w:r>
        <w:rPr>
          <w:rFonts w:eastAsia="Times New Roman"/>
        </w:rPr>
        <w:pict>
          <v:rect id="_x0000_i1041" style="width:0;height:1.5pt" o:hralign="center" o:hrstd="t" o:hr="t" fillcolor="#a0a0a0" stroked="f"/>
        </w:pict>
      </w:r>
    </w:p>
    <w:p w:rsidR="00000000" w:rsidRDefault="00A07857">
      <w:pPr>
        <w:jc w:val="both"/>
        <w:divId w:val="127746265"/>
        <w:rPr>
          <w:rFonts w:eastAsia="Times New Roman"/>
        </w:rPr>
      </w:pPr>
    </w:p>
    <w:p w:rsidR="00000000" w:rsidRDefault="00A07857">
      <w:pPr>
        <w:divId w:val="1230531861"/>
        <w:rPr>
          <w:rFonts w:eastAsia="Times New Roman"/>
        </w:rPr>
      </w:pPr>
      <w:r>
        <w:rPr>
          <w:rFonts w:ascii="Arial" w:eastAsia="Times New Roman" w:hAnsi="Arial" w:cs="Arial"/>
          <w:b/>
          <w:bCs/>
          <w:color w:val="0046AD"/>
          <w:sz w:val="20"/>
          <w:szCs w:val="20"/>
        </w:rPr>
        <w:t>4. NET INCOME PER COMMON SHARE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302953904"/>
        </w:trPr>
        <w:tc>
          <w:tcPr>
            <w:tcW w:w="5" w:type="pct"/>
            <w:vAlign w:val="center"/>
            <w:hideMark/>
          </w:tcPr>
          <w:p w:rsidR="00000000" w:rsidRDefault="00A07857">
            <w:pPr>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302953904"/>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jc w:val="both"/>
        <w:divId w:val="719324835"/>
        <w:rPr>
          <w:rFonts w:eastAsia="Times New Roman"/>
        </w:rPr>
      </w:pPr>
      <w:r>
        <w:rPr>
          <w:rFonts w:ascii="Arial" w:eastAsia="Times New Roman" w:hAnsi="Arial" w:cs="Arial"/>
          <w:b/>
          <w:bCs/>
          <w:color w:val="0046AD"/>
          <w:sz w:val="20"/>
          <w:szCs w:val="20"/>
        </w:rPr>
        <w:t>Basic and Diluted Net Income Per Common Share Calculations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191"/>
        <w:gridCol w:w="40"/>
        <w:gridCol w:w="126"/>
        <w:gridCol w:w="1320"/>
        <w:gridCol w:w="36"/>
        <w:gridCol w:w="36"/>
        <w:gridCol w:w="36"/>
        <w:gridCol w:w="36"/>
        <w:gridCol w:w="126"/>
        <w:gridCol w:w="1282"/>
        <w:gridCol w:w="36"/>
      </w:tblGrid>
      <w:tr w:rsidR="00000000">
        <w:trPr>
          <w:divId w:val="2065327653"/>
        </w:trPr>
        <w:tc>
          <w:tcPr>
            <w:tcW w:w="50" w:type="pct"/>
            <w:vAlign w:val="center"/>
            <w:hideMark/>
          </w:tcPr>
          <w:p w:rsidR="00000000" w:rsidRDefault="00A07857">
            <w:pPr>
              <w:jc w:val="both"/>
              <w:rPr>
                <w:rFonts w:eastAsia="Times New Roman"/>
              </w:rPr>
            </w:pPr>
          </w:p>
        </w:tc>
        <w:tc>
          <w:tcPr>
            <w:tcW w:w="315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82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82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2065327653"/>
        </w:trPr>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9"/>
                <w:szCs w:val="19"/>
              </w:rPr>
              <w:t>Three Months Ended January 31,</w:t>
            </w:r>
          </w:p>
        </w:tc>
      </w:tr>
      <w:tr w:rsidR="00000000">
        <w:trPr>
          <w:divId w:val="2065327653"/>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9"/>
                <w:szCs w:val="19"/>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9"/>
                <w:szCs w:val="19"/>
              </w:rPr>
              <w:t>2020</w:t>
            </w:r>
          </w:p>
        </w:tc>
      </w:tr>
      <w:tr w:rsidR="00000000">
        <w:trPr>
          <w:divId w:val="2065327653"/>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9"/>
                <w:szCs w:val="19"/>
              </w:rPr>
              <w:t>Income from continuing operations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74.6 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27.9 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65327653"/>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9"/>
                <w:szCs w:val="19"/>
              </w:rPr>
              <w:t>Income from discontinued operations, net of taxes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0.1 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65327653"/>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9"/>
                <w:szCs w:val="19"/>
              </w:rPr>
              <w:t xml:space="preserve">Net income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74.6 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28.0 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65327653"/>
          <w:trHeight w:val="280"/>
        </w:trPr>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2065327653"/>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9"/>
                <w:szCs w:val="19"/>
              </w:rPr>
              <w:t xml:space="preserve">Weighted-average common and common equivalent shares </w:t>
            </w:r>
            <w:r>
              <w:rPr>
                <w:rFonts w:ascii="Arial" w:eastAsia="Times New Roman" w:hAnsi="Arial" w:cs="Arial"/>
                <w:b/>
                <w:bCs/>
                <w:color w:val="000000"/>
                <w:sz w:val="19"/>
                <w:szCs w:val="19"/>
              </w:rPr>
              <w:br/>
              <w:t>outstanding — Basic</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67.2 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66.9 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65327653"/>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9"/>
                <w:szCs w:val="19"/>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2065327653"/>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9"/>
                <w:szCs w:val="19"/>
              </w:rPr>
              <w:t>Restricted stock units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0.2 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0.1 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65327653"/>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9"/>
                <w:szCs w:val="19"/>
              </w:rPr>
              <w:t>Stock options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0.1 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0.1 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65327653"/>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9"/>
                <w:szCs w:val="19"/>
              </w:rPr>
              <w:t>Performance shares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0.2 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0.1 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65327653"/>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9"/>
                <w:szCs w:val="19"/>
              </w:rPr>
              <w:t xml:space="preserve">Weighted-average common and common equivalent shares </w:t>
            </w:r>
            <w:r>
              <w:rPr>
                <w:rFonts w:ascii="Arial" w:eastAsia="Times New Roman" w:hAnsi="Arial" w:cs="Arial"/>
                <w:b/>
                <w:bCs/>
                <w:color w:val="000000"/>
                <w:sz w:val="19"/>
                <w:szCs w:val="19"/>
              </w:rPr>
              <w:br/>
              <w:t>outstanding — Diluted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67.6 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67.2 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65327653"/>
          <w:trHeight w:val="280"/>
        </w:trPr>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2065327653"/>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9"/>
                <w:szCs w:val="19"/>
              </w:rPr>
              <w:t>Net income per common share — Basic</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2065327653"/>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9"/>
                <w:szCs w:val="19"/>
              </w:rPr>
              <w:t>Income from continuing operations</w:t>
            </w:r>
          </w:p>
        </w:tc>
        <w:tc>
          <w:tcPr>
            <w:tcW w:w="0" w:type="auto"/>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1.11 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0.42 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65327653"/>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9"/>
                <w:szCs w:val="19"/>
              </w:rPr>
              <w:t>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65327653"/>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9"/>
                <w:szCs w:val="19"/>
              </w:rPr>
              <w:t xml:space="preserve">Net income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1.11 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0.42 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65327653"/>
          <w:trHeight w:val="280"/>
        </w:trPr>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2065327653"/>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9"/>
                <w:szCs w:val="19"/>
              </w:rPr>
              <w:t>Net income per common share — Diluted</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2065327653"/>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9"/>
                <w:szCs w:val="19"/>
              </w:rPr>
              <w:t xml:space="preserve">Income from continuing operations </w:t>
            </w: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1.10 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0.41 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65327653"/>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9"/>
                <w:szCs w:val="19"/>
              </w:rPr>
              <w:t>Income from discontinued operations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065327653"/>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9"/>
                <w:szCs w:val="19"/>
              </w:rPr>
              <w:t xml:space="preserve">Net income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0.42 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jc w:val="both"/>
        <w:divId w:val="1040515790"/>
        <w:rPr>
          <w:rFonts w:eastAsia="Times New Roman"/>
        </w:rPr>
      </w:pPr>
      <w:r>
        <w:rPr>
          <w:rFonts w:ascii="Arial" w:eastAsia="Times New Roman" w:hAnsi="Arial" w:cs="Arial"/>
          <w:b/>
          <w:bCs/>
          <w:color w:val="0046AD"/>
          <w:sz w:val="20"/>
          <w:szCs w:val="20"/>
        </w:rPr>
        <w:t>Anti-Dilutive Outstanding Stock Awards Issued Under Share-Based Compensation Plans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5220"/>
        <w:gridCol w:w="37"/>
        <w:gridCol w:w="63"/>
        <w:gridCol w:w="1346"/>
        <w:gridCol w:w="37"/>
        <w:gridCol w:w="36"/>
        <w:gridCol w:w="36"/>
        <w:gridCol w:w="36"/>
        <w:gridCol w:w="50"/>
        <w:gridCol w:w="1346"/>
        <w:gridCol w:w="37"/>
      </w:tblGrid>
      <w:tr w:rsidR="00000000">
        <w:trPr>
          <w:divId w:val="479344075"/>
          <w:jc w:val="center"/>
        </w:trPr>
        <w:tc>
          <w:tcPr>
            <w:tcW w:w="50" w:type="pct"/>
            <w:vAlign w:val="center"/>
            <w:hideMark/>
          </w:tcPr>
          <w:p w:rsidR="00000000" w:rsidRDefault="00A07857">
            <w:pPr>
              <w:jc w:val="both"/>
              <w:rPr>
                <w:rFonts w:eastAsia="Times New Roman"/>
              </w:rPr>
            </w:pPr>
          </w:p>
        </w:tc>
        <w:tc>
          <w:tcPr>
            <w:tcW w:w="315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82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82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479344075"/>
          <w:jc w:val="center"/>
        </w:trPr>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9"/>
                <w:szCs w:val="19"/>
              </w:rPr>
              <w:t>Three Months Ended January 31,</w:t>
            </w:r>
          </w:p>
        </w:tc>
      </w:tr>
      <w:tr w:rsidR="00000000">
        <w:trPr>
          <w:divId w:val="479344075"/>
          <w:jc w:val="center"/>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9"/>
                <w:szCs w:val="19"/>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9"/>
                <w:szCs w:val="19"/>
              </w:rPr>
              <w:t>2020</w:t>
            </w:r>
          </w:p>
        </w:tc>
      </w:tr>
      <w:tr w:rsidR="00000000">
        <w:trPr>
          <w:divId w:val="479344075"/>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9"/>
                <w:szCs w:val="19"/>
              </w:rPr>
              <w:t>Anti-dilutive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0.1 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9"/>
                <w:szCs w:val="19"/>
              </w:rPr>
              <w:t>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ind w:hanging="180"/>
        <w:jc w:val="both"/>
        <w:divId w:val="1176506122"/>
        <w:rPr>
          <w:rFonts w:eastAsia="Times New Roman"/>
        </w:rPr>
      </w:pPr>
    </w:p>
    <w:p w:rsidR="00000000" w:rsidRDefault="00A07857">
      <w:pPr>
        <w:jc w:val="center"/>
        <w:divId w:val="2031450992"/>
        <w:rPr>
          <w:rFonts w:eastAsia="Times New Roman"/>
        </w:rPr>
      </w:pPr>
      <w:r>
        <w:rPr>
          <w:rFonts w:ascii="Arial" w:eastAsia="Times New Roman" w:hAnsi="Arial" w:cs="Arial"/>
          <w:color w:val="000000"/>
          <w:sz w:val="20"/>
          <w:szCs w:val="20"/>
        </w:rPr>
        <w:t>12</w:t>
      </w:r>
    </w:p>
    <w:p w:rsidR="00000000" w:rsidRDefault="00A07857">
      <w:pPr>
        <w:rPr>
          <w:rFonts w:eastAsia="Times New Roman"/>
        </w:rPr>
      </w:pPr>
      <w:r>
        <w:rPr>
          <w:rFonts w:eastAsia="Times New Roman"/>
        </w:rPr>
        <w:pict>
          <v:rect id="_x0000_i1042" style="width:0;height:1.5pt" o:hralign="center" o:hrstd="t" o:hr="t" fillcolor="#a0a0a0" stroked="f"/>
        </w:pict>
      </w:r>
    </w:p>
    <w:p w:rsidR="00000000" w:rsidRDefault="00A07857">
      <w:pPr>
        <w:jc w:val="both"/>
        <w:divId w:val="502824240"/>
        <w:rPr>
          <w:rFonts w:eastAsia="Times New Roman"/>
        </w:rPr>
      </w:pPr>
    </w:p>
    <w:p w:rsidR="00000000" w:rsidRDefault="00A07857">
      <w:pPr>
        <w:jc w:val="both"/>
        <w:divId w:val="1443770606"/>
        <w:rPr>
          <w:rFonts w:eastAsia="Times New Roman"/>
        </w:rPr>
      </w:pPr>
      <w:r>
        <w:rPr>
          <w:rFonts w:ascii="Arial" w:eastAsia="Times New Roman" w:hAnsi="Arial" w:cs="Arial"/>
          <w:b/>
          <w:bCs/>
          <w:color w:val="0046AD"/>
          <w:sz w:val="20"/>
          <w:szCs w:val="20"/>
        </w:rPr>
        <w:t>5. FAIR VALUE OF FINANCIAL INSTRUMENTS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201409599"/>
        </w:trPr>
        <w:tc>
          <w:tcPr>
            <w:tcW w:w="5" w:type="pct"/>
            <w:vAlign w:val="center"/>
            <w:hideMark/>
          </w:tcPr>
          <w:p w:rsidR="00000000" w:rsidRDefault="00A07857">
            <w:pPr>
              <w:jc w:val="both"/>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201409599"/>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divId w:val="1231383476"/>
        <w:rPr>
          <w:rFonts w:eastAsia="Times New Roman"/>
        </w:rPr>
      </w:pPr>
      <w:r>
        <w:rPr>
          <w:rFonts w:ascii="Arial" w:eastAsia="Times New Roman" w:hAnsi="Arial" w:cs="Arial"/>
          <w:b/>
          <w:bCs/>
          <w:color w:val="0046AD"/>
          <w:sz w:val="20"/>
          <w:szCs w:val="20"/>
        </w:rPr>
        <w:t>Fair Value Hierarchy of Our Financial Instruments</w:t>
      </w:r>
    </w:p>
    <w:p w:rsidR="00000000" w:rsidRDefault="00A07857">
      <w:pPr>
        <w:jc w:val="both"/>
        <w:divId w:val="278605691"/>
        <w:rPr>
          <w:rFonts w:eastAsia="Times New Roman"/>
        </w:rPr>
      </w:pPr>
      <w:r>
        <w:rPr>
          <w:rFonts w:ascii="Arial" w:eastAsia="Times New Roman" w:hAnsi="Arial" w:cs="Arial"/>
          <w:b/>
          <w:bCs/>
          <w:i/>
          <w:iCs/>
          <w:color w:val="0046AD"/>
          <w:sz w:val="20"/>
          <w:szCs w:val="20"/>
        </w:rPr>
        <w:t xml:space="preserve">Financial Assets and Liabilities Measured at Fair Value on a Recurring Basis </w:t>
      </w:r>
    </w:p>
    <w:tbl>
      <w:tblPr>
        <w:tblW w:w="5000" w:type="pct"/>
        <w:tblCellMar>
          <w:top w:w="15" w:type="dxa"/>
          <w:left w:w="15" w:type="dxa"/>
          <w:bottom w:w="15" w:type="dxa"/>
          <w:right w:w="15" w:type="dxa"/>
        </w:tblCellMar>
        <w:tblLook w:val="04A0" w:firstRow="1" w:lastRow="0" w:firstColumn="1" w:lastColumn="0" w:noHBand="0" w:noVBand="1"/>
      </w:tblPr>
      <w:tblGrid>
        <w:gridCol w:w="42"/>
        <w:gridCol w:w="4132"/>
        <w:gridCol w:w="37"/>
        <w:gridCol w:w="71"/>
        <w:gridCol w:w="968"/>
        <w:gridCol w:w="36"/>
        <w:gridCol w:w="36"/>
        <w:gridCol w:w="36"/>
        <w:gridCol w:w="36"/>
        <w:gridCol w:w="133"/>
        <w:gridCol w:w="1233"/>
        <w:gridCol w:w="36"/>
        <w:gridCol w:w="36"/>
        <w:gridCol w:w="36"/>
        <w:gridCol w:w="36"/>
        <w:gridCol w:w="133"/>
        <w:gridCol w:w="1233"/>
        <w:gridCol w:w="36"/>
      </w:tblGrid>
      <w:tr w:rsidR="00000000">
        <w:trPr>
          <w:divId w:val="1428695681"/>
        </w:trPr>
        <w:tc>
          <w:tcPr>
            <w:tcW w:w="50" w:type="pct"/>
            <w:vAlign w:val="center"/>
            <w:hideMark/>
          </w:tcPr>
          <w:p w:rsidR="00000000" w:rsidRDefault="00A07857">
            <w:pPr>
              <w:jc w:val="both"/>
              <w:rPr>
                <w:rFonts w:eastAsia="Times New Roman"/>
              </w:rPr>
            </w:pPr>
          </w:p>
        </w:tc>
        <w:tc>
          <w:tcPr>
            <w:tcW w:w="2510"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62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8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8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428695681"/>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4"/>
                <w:szCs w:val="14"/>
                <w:u w:val="single"/>
              </w:rPr>
              <w:t>(in millions)</w:t>
            </w: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20"/>
                <w:szCs w:val="20"/>
              </w:rPr>
              <w:t>Fair Value Hierarchy</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20"/>
                <w:szCs w:val="20"/>
              </w:rPr>
              <w:t>January 31, 2021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20"/>
                <w:szCs w:val="20"/>
              </w:rPr>
              <w:t>October 31, 2020</w:t>
            </w:r>
          </w:p>
        </w:tc>
      </w:tr>
      <w:tr w:rsidR="00000000">
        <w:trPr>
          <w:divId w:val="1428695681"/>
        </w:trPr>
        <w:tc>
          <w:tcPr>
            <w:tcW w:w="0" w:type="auto"/>
            <w:gridSpan w:val="3"/>
            <w:shd w:val="clear" w:color="auto" w:fill="DCE2EF"/>
            <w:tcMar>
              <w:top w:w="30" w:type="dxa"/>
              <w:left w:w="20" w:type="dxa"/>
              <w:bottom w:w="30" w:type="dxa"/>
              <w:right w:w="20" w:type="dxa"/>
            </w:tcMar>
            <w:vAlign w:val="bottom"/>
            <w:hideMark/>
          </w:tcPr>
          <w:p w:rsidR="00000000" w:rsidRDefault="00A07857">
            <w:pPr>
              <w:divId w:val="643893829"/>
              <w:rPr>
                <w:rFonts w:eastAsia="Times New Roman"/>
              </w:rPr>
            </w:pPr>
            <w:r>
              <w:rPr>
                <w:rFonts w:ascii="Arial" w:eastAsia="Times New Roman" w:hAnsi="Arial" w:cs="Arial"/>
                <w:color w:val="000000"/>
                <w:sz w:val="20"/>
                <w:szCs w:val="20"/>
              </w:rPr>
              <w:t>Cash and cash equivalent</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rsidR="00000000" w:rsidRDefault="00A07857">
            <w:pPr>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20"/>
                <w:szCs w:val="20"/>
              </w:rPr>
              <w:t>378.3 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20"/>
                <w:szCs w:val="20"/>
              </w:rPr>
              <w:t>394.2 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428695681"/>
        </w:trPr>
        <w:tc>
          <w:tcPr>
            <w:tcW w:w="0" w:type="auto"/>
            <w:gridSpan w:val="3"/>
            <w:shd w:val="clear" w:color="auto" w:fill="FFFFFF"/>
            <w:tcMar>
              <w:top w:w="30" w:type="dxa"/>
              <w:left w:w="20" w:type="dxa"/>
              <w:bottom w:w="30" w:type="dxa"/>
              <w:right w:w="20" w:type="dxa"/>
            </w:tcMar>
            <w:vAlign w:val="bottom"/>
            <w:hideMark/>
          </w:tcPr>
          <w:p w:rsidR="00000000" w:rsidRDefault="00A07857">
            <w:pPr>
              <w:divId w:val="1955016640"/>
              <w:rPr>
                <w:rFonts w:eastAsia="Times New Roman"/>
              </w:rPr>
            </w:pPr>
            <w:r>
              <w:rPr>
                <w:rFonts w:ascii="Arial" w:eastAsia="Times New Roman" w:hAnsi="Arial" w:cs="Arial"/>
                <w:color w:val="000000"/>
                <w:sz w:val="20"/>
                <w:szCs w:val="20"/>
              </w:rPr>
              <w:t>Insurance deposit</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color w:val="000000"/>
                <w:sz w:val="20"/>
                <w:szCs w:val="20"/>
              </w:rPr>
              <w:t>0.7</w:t>
            </w: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428695681"/>
        </w:trPr>
        <w:tc>
          <w:tcPr>
            <w:tcW w:w="0" w:type="auto"/>
            <w:gridSpan w:val="3"/>
            <w:shd w:val="clear" w:color="auto" w:fill="DCE2EF"/>
            <w:tcMar>
              <w:top w:w="30" w:type="dxa"/>
              <w:left w:w="20" w:type="dxa"/>
              <w:bottom w:w="30" w:type="dxa"/>
              <w:right w:w="20" w:type="dxa"/>
            </w:tcMar>
            <w:vAlign w:val="bottom"/>
            <w:hideMark/>
          </w:tcPr>
          <w:p w:rsidR="00000000" w:rsidRDefault="00A07857">
            <w:pPr>
              <w:divId w:val="2070179004"/>
              <w:rPr>
                <w:rFonts w:eastAsia="Times New Roman"/>
              </w:rPr>
            </w:pPr>
            <w:r>
              <w:rPr>
                <w:rFonts w:ascii="Arial" w:eastAsia="Times New Roman" w:hAnsi="Arial" w:cs="Arial"/>
                <w:color w:val="000000"/>
                <w:sz w:val="20"/>
                <w:szCs w:val="20"/>
              </w:rPr>
              <w:t>Assets held in funded deferred compensation pla</w:t>
            </w:r>
            <w:r>
              <w:rPr>
                <w:rFonts w:ascii="Arial" w:eastAsia="Times New Roman" w:hAnsi="Arial" w:cs="Arial"/>
                <w:color w:val="000000"/>
                <w:sz w:val="20"/>
                <w:szCs w:val="20"/>
              </w:rPr>
              <w:t>n</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20"/>
                <w:szCs w:val="20"/>
              </w:rPr>
              <w:t>2.8 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20"/>
                <w:szCs w:val="20"/>
              </w:rPr>
              <w:t>2.6 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428695681"/>
        </w:trPr>
        <w:tc>
          <w:tcPr>
            <w:tcW w:w="0" w:type="auto"/>
            <w:gridSpan w:val="3"/>
            <w:shd w:val="clear" w:color="auto" w:fill="FFFFFF"/>
            <w:tcMar>
              <w:top w:w="30" w:type="dxa"/>
              <w:left w:w="20" w:type="dxa"/>
              <w:bottom w:w="30" w:type="dxa"/>
              <w:right w:w="20" w:type="dxa"/>
            </w:tcMar>
            <w:vAlign w:val="bottom"/>
            <w:hideMark/>
          </w:tcPr>
          <w:p w:rsidR="00000000" w:rsidRDefault="00A07857">
            <w:pPr>
              <w:divId w:val="557014293"/>
              <w:rPr>
                <w:rFonts w:eastAsia="Times New Roman"/>
              </w:rPr>
            </w:pPr>
            <w:r>
              <w:rPr>
                <w:rFonts w:ascii="Arial" w:eastAsia="Times New Roman" w:hAnsi="Arial" w:cs="Arial"/>
                <w:color w:val="000000"/>
                <w:sz w:val="20"/>
                <w:szCs w:val="20"/>
              </w:rPr>
              <w:t>Credit facilit</w:t>
            </w:r>
            <w:r>
              <w:rPr>
                <w:rFonts w:ascii="Arial" w:eastAsia="Times New Roman" w:hAnsi="Arial" w:cs="Arial"/>
                <w:color w:val="000000"/>
                <w:sz w:val="20"/>
                <w:szCs w:val="20"/>
              </w:rPr>
              <w:t>y</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20"/>
                <w:szCs w:val="20"/>
              </w:rPr>
              <w:t>695.3 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20"/>
                <w:szCs w:val="20"/>
              </w:rPr>
              <w:t>725.3 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428695681"/>
        </w:trPr>
        <w:tc>
          <w:tcPr>
            <w:tcW w:w="0" w:type="auto"/>
            <w:gridSpan w:val="3"/>
            <w:shd w:val="clear" w:color="auto" w:fill="DCE2EF"/>
            <w:tcMar>
              <w:top w:w="30" w:type="dxa"/>
              <w:left w:w="20" w:type="dxa"/>
              <w:bottom w:w="30" w:type="dxa"/>
              <w:right w:w="20" w:type="dxa"/>
            </w:tcMar>
            <w:vAlign w:val="bottom"/>
            <w:hideMark/>
          </w:tcPr>
          <w:p w:rsidR="00000000" w:rsidRDefault="00A07857">
            <w:pPr>
              <w:divId w:val="223225997"/>
              <w:rPr>
                <w:rFonts w:eastAsia="Times New Roman"/>
              </w:rPr>
            </w:pPr>
            <w:r>
              <w:rPr>
                <w:rFonts w:ascii="Arial" w:eastAsia="Times New Roman" w:hAnsi="Arial" w:cs="Arial"/>
                <w:color w:val="000000"/>
                <w:sz w:val="20"/>
                <w:szCs w:val="20"/>
              </w:rPr>
              <w:t>Interest rate swap liabilitie</w:t>
            </w:r>
            <w:r>
              <w:rPr>
                <w:rFonts w:ascii="Arial" w:eastAsia="Times New Roman" w:hAnsi="Arial" w:cs="Arial"/>
                <w:color w:val="000000"/>
                <w:sz w:val="20"/>
                <w:szCs w:val="20"/>
              </w:rPr>
              <w:t>s</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20"/>
                <w:szCs w:val="20"/>
              </w:rPr>
              <w:t>2</w:t>
            </w:r>
          </w:p>
        </w:tc>
        <w:tc>
          <w:tcPr>
            <w:tcW w:w="0" w:type="auto"/>
            <w:gridSpan w:val="3"/>
            <w:shd w:val="clear" w:color="auto" w:fill="DCE2E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20"/>
                <w:szCs w:val="20"/>
              </w:rPr>
              <w:t>12.7 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20"/>
                <w:szCs w:val="20"/>
              </w:rPr>
              <w:t>15.5 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ind w:hanging="180"/>
        <w:jc w:val="both"/>
        <w:divId w:val="79753446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Cash and cash equivalents are stated at nominal value, which equals fair value.</w:t>
      </w:r>
    </w:p>
    <w:p w:rsidR="00000000" w:rsidRDefault="00A07857">
      <w:pPr>
        <w:ind w:hanging="180"/>
        <w:jc w:val="both"/>
        <w:divId w:val="1519466945"/>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Represents restricted deposits that are used to collateralize our insurance obligations and are stated at nominal value, which equals fair value. These insurance deposits are included in “Other noncurrent assets” on the accompanying unaudited Consolidated </w:t>
      </w:r>
      <w:r>
        <w:rPr>
          <w:rFonts w:ascii="Arial" w:eastAsia="Times New Roman" w:hAnsi="Arial" w:cs="Arial"/>
          <w:color w:val="000000"/>
          <w:sz w:val="18"/>
          <w:szCs w:val="18"/>
        </w:rPr>
        <w:t>Balance Sheets. See Note 6, “Insurance,” for further information.</w:t>
      </w:r>
    </w:p>
    <w:p w:rsidR="00000000" w:rsidRDefault="00A07857">
      <w:pPr>
        <w:ind w:hanging="180"/>
        <w:jc w:val="both"/>
        <w:divId w:val="1206212942"/>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investments held in a Rabbi trust associated with one of our deferred compensation plans, which we include in “Other noncurrent assets” on the accompanying unaudited Consolida</w:t>
      </w:r>
      <w:r>
        <w:rPr>
          <w:rFonts w:ascii="Arial" w:eastAsia="Times New Roman" w:hAnsi="Arial" w:cs="Arial"/>
          <w:color w:val="000000"/>
          <w:sz w:val="18"/>
          <w:szCs w:val="18"/>
        </w:rPr>
        <w:t xml:space="preserve">ted Balance Sheets. The fair value of the assets held in the funded deferred compensation plan is based on quoted market prices. </w:t>
      </w:r>
    </w:p>
    <w:p w:rsidR="00000000" w:rsidRDefault="00A07857">
      <w:pPr>
        <w:ind w:hanging="180"/>
        <w:jc w:val="both"/>
        <w:divId w:val="972177514"/>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gross outstanding borrowings under our syndicated line of credit and term loan. Due to variable interest rates,</w:t>
      </w:r>
      <w:r>
        <w:rPr>
          <w:rFonts w:ascii="Arial" w:eastAsia="Times New Roman" w:hAnsi="Arial" w:cs="Arial"/>
          <w:color w:val="000000"/>
          <w:sz w:val="18"/>
          <w:szCs w:val="18"/>
        </w:rPr>
        <w:t xml:space="preserve"> the carrying value of outstanding borrowings under our line of credit and term loan approximates the fair value. See Note 7, “Credit Facility,” for further information.</w:t>
      </w:r>
    </w:p>
    <w:p w:rsidR="00000000" w:rsidRDefault="00A07857">
      <w:pPr>
        <w:ind w:hanging="180"/>
        <w:jc w:val="both"/>
        <w:divId w:val="984967722"/>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interest rate swap derivatives designated as cash flow hedges. The fair</w:t>
      </w:r>
      <w:r>
        <w:rPr>
          <w:rFonts w:ascii="Arial" w:eastAsia="Times New Roman" w:hAnsi="Arial" w:cs="Arial"/>
          <w:color w:val="000000"/>
          <w:sz w:val="18"/>
          <w:szCs w:val="18"/>
        </w:rPr>
        <w:t xml:space="preserve"> values of the interest rate swaps are estimated based on the present value of the difference between expected cash flows calculated at the contracted interest rates and the expected cash flows at current market interest rates using observable benchmarks f</w:t>
      </w:r>
      <w:r>
        <w:rPr>
          <w:rFonts w:ascii="Arial" w:eastAsia="Times New Roman" w:hAnsi="Arial" w:cs="Arial"/>
          <w:color w:val="000000"/>
          <w:sz w:val="18"/>
          <w:szCs w:val="18"/>
        </w:rPr>
        <w:t>or the London Interbank Offered Rate (“LIBOR”) forward rates at the end of the period. At January 31, 2021 and October 31, 2020, our interest rate swaps are included in “Other noncurrent liabilities” on the accompanying unaudited Consolidated Balance Sheet</w:t>
      </w:r>
      <w:r>
        <w:rPr>
          <w:rFonts w:ascii="Arial" w:eastAsia="Times New Roman" w:hAnsi="Arial" w:cs="Arial"/>
          <w:color w:val="000000"/>
          <w:sz w:val="18"/>
          <w:szCs w:val="18"/>
        </w:rPr>
        <w:t>s. See Note 7, “Credit Facility,” for further information.</w:t>
      </w:r>
    </w:p>
    <w:p w:rsidR="00000000" w:rsidRDefault="00A07857">
      <w:pPr>
        <w:ind w:firstLine="720"/>
        <w:jc w:val="both"/>
        <w:divId w:val="2083671052"/>
        <w:rPr>
          <w:rFonts w:eastAsia="Times New Roman"/>
        </w:rPr>
      </w:pPr>
      <w:r>
        <w:rPr>
          <w:rFonts w:ascii="Arial" w:eastAsia="Times New Roman" w:hAnsi="Arial" w:cs="Arial"/>
          <w:color w:val="000000"/>
          <w:sz w:val="20"/>
          <w:szCs w:val="20"/>
        </w:rPr>
        <w:t>During the three months ended January </w:t>
      </w:r>
      <w:r>
        <w:rPr>
          <w:rFonts w:ascii="Arial" w:eastAsia="Times New Roman" w:hAnsi="Arial" w:cs="Arial"/>
          <w:color w:val="000000"/>
          <w:sz w:val="20"/>
          <w:szCs w:val="20"/>
        </w:rPr>
        <w:t>31, 2021, we had no transfers of assets or liabilities between any of the above hierarchy levels.</w:t>
      </w:r>
    </w:p>
    <w:p w:rsidR="00000000" w:rsidRDefault="00A07857">
      <w:pPr>
        <w:jc w:val="both"/>
        <w:divId w:val="2091151675"/>
        <w:rPr>
          <w:rFonts w:eastAsia="Times New Roman"/>
        </w:rPr>
      </w:pPr>
      <w:r>
        <w:rPr>
          <w:rFonts w:ascii="Arial" w:eastAsia="Times New Roman" w:hAnsi="Arial" w:cs="Arial"/>
          <w:b/>
          <w:bCs/>
          <w:i/>
          <w:iCs/>
          <w:color w:val="0046AD"/>
          <w:sz w:val="20"/>
          <w:szCs w:val="20"/>
        </w:rPr>
        <w:t>Non-Financial Assets Measured at Fair Value on a Non-Recurring Basis</w:t>
      </w:r>
    </w:p>
    <w:p w:rsidR="00000000" w:rsidRDefault="00A07857">
      <w:pPr>
        <w:ind w:firstLine="720"/>
        <w:jc w:val="both"/>
        <w:divId w:val="510141847"/>
        <w:rPr>
          <w:rFonts w:eastAsia="Times New Roman"/>
        </w:rPr>
      </w:pPr>
      <w:r>
        <w:rPr>
          <w:rFonts w:ascii="Arial" w:eastAsia="Times New Roman" w:hAnsi="Arial" w:cs="Arial"/>
          <w:color w:val="000000"/>
          <w:sz w:val="20"/>
          <w:szCs w:val="20"/>
        </w:rPr>
        <w:t>In addition to assets and liabilities that are measured at fair value on a recurring basi</w:t>
      </w:r>
      <w:r>
        <w:rPr>
          <w:rFonts w:ascii="Arial" w:eastAsia="Times New Roman" w:hAnsi="Arial" w:cs="Arial"/>
          <w:color w:val="000000"/>
          <w:sz w:val="20"/>
          <w:szCs w:val="20"/>
        </w:rPr>
        <w:t>s, we are also required to measure certain items at fair value on a non-recurring basis. These assets can include: goodwill; intangible assets; property, plant and equipment; lease-related ROU assets; and long-lived assets that have been reduced to fair va</w:t>
      </w:r>
      <w:r>
        <w:rPr>
          <w:rFonts w:ascii="Arial" w:eastAsia="Times New Roman" w:hAnsi="Arial" w:cs="Arial"/>
          <w:color w:val="000000"/>
          <w:sz w:val="20"/>
          <w:szCs w:val="20"/>
        </w:rPr>
        <w:t>lue when they are held for sale. If certain triggering events occur, or if an annual impairment test is required, we would evaluate these non-financial assets for impairment. If an impairment were to occur, the asset would be recorded at the estimated fair</w:t>
      </w:r>
      <w:r>
        <w:rPr>
          <w:rFonts w:ascii="Arial" w:eastAsia="Times New Roman" w:hAnsi="Arial" w:cs="Arial"/>
          <w:color w:val="000000"/>
          <w:sz w:val="20"/>
          <w:szCs w:val="20"/>
        </w:rPr>
        <w:t xml:space="preserve"> value, using primarily unobservable Level 3 inputs. </w:t>
      </w:r>
    </w:p>
    <w:p w:rsidR="00000000" w:rsidRDefault="00A07857">
      <w:pPr>
        <w:ind w:firstLine="720"/>
        <w:jc w:val="both"/>
        <w:divId w:val="734275284"/>
        <w:rPr>
          <w:rFonts w:eastAsia="Times New Roman"/>
        </w:rPr>
      </w:pPr>
    </w:p>
    <w:p w:rsidR="00000000" w:rsidRDefault="00A07857">
      <w:pPr>
        <w:divId w:val="848640221"/>
        <w:rPr>
          <w:rFonts w:eastAsia="Times New Roman"/>
        </w:rPr>
      </w:pPr>
      <w:r>
        <w:rPr>
          <w:rFonts w:ascii="Arial" w:eastAsia="Times New Roman" w:hAnsi="Arial" w:cs="Arial"/>
          <w:b/>
          <w:bCs/>
          <w:color w:val="0046AD"/>
          <w:sz w:val="20"/>
          <w:szCs w:val="20"/>
        </w:rPr>
        <w:t>6. INSURANCE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631012417"/>
        </w:trPr>
        <w:tc>
          <w:tcPr>
            <w:tcW w:w="5" w:type="pct"/>
            <w:vAlign w:val="center"/>
            <w:hideMark/>
          </w:tcPr>
          <w:p w:rsidR="00000000" w:rsidRDefault="00A07857">
            <w:pPr>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63101241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ind w:firstLine="720"/>
        <w:jc w:val="both"/>
        <w:divId w:val="11273431"/>
        <w:rPr>
          <w:rFonts w:eastAsia="Times New Roman"/>
        </w:rPr>
      </w:pPr>
      <w:r>
        <w:rPr>
          <w:rFonts w:ascii="Arial" w:eastAsia="Times New Roman" w:hAnsi="Arial" w:cs="Arial"/>
          <w:color w:val="000000"/>
          <w:sz w:val="20"/>
          <w:szCs w:val="20"/>
        </w:rPr>
        <w:t xml:space="preserve">We use a combination of insured and self-insurance programs to cover workers’ </w:t>
      </w:r>
      <w:r>
        <w:rPr>
          <w:rFonts w:ascii="Arial" w:eastAsia="Times New Roman" w:hAnsi="Arial" w:cs="Arial"/>
          <w:color w:val="000000"/>
          <w:sz w:val="20"/>
          <w:szCs w:val="20"/>
        </w:rPr>
        <w:t>compensation, general liability, automobile liability, property damage, and other insurable risks. For the majority of these insurance programs, we retain the initial $1.0 million to $1.5 million of exposure on a per-occurrence basis, either through deduct</w:t>
      </w:r>
      <w:r>
        <w:rPr>
          <w:rFonts w:ascii="Arial" w:eastAsia="Times New Roman" w:hAnsi="Arial" w:cs="Arial"/>
          <w:color w:val="000000"/>
          <w:sz w:val="20"/>
          <w:szCs w:val="20"/>
        </w:rPr>
        <w:t>ibles or self-insured retentions. Beyond the retained exposures, we have varying primary policy limits ranging between $1.0 million and $5.0 million per occurrence. To cover general liability and automobile liability losses above these primary limits, we m</w:t>
      </w:r>
      <w:r>
        <w:rPr>
          <w:rFonts w:ascii="Arial" w:eastAsia="Times New Roman" w:hAnsi="Arial" w:cs="Arial"/>
          <w:color w:val="000000"/>
          <w:sz w:val="20"/>
          <w:szCs w:val="20"/>
        </w:rPr>
        <w:t>aintain commercial umbrella insurance policies that provide aggregate limits of $200.0 million. Our insurance policies generally cover workers’ compensation losses to the full extent of statutory requirements. Additionally, to cover property damage risks a</w:t>
      </w:r>
      <w:r>
        <w:rPr>
          <w:rFonts w:ascii="Arial" w:eastAsia="Times New Roman" w:hAnsi="Arial" w:cs="Arial"/>
          <w:color w:val="000000"/>
          <w:sz w:val="20"/>
          <w:szCs w:val="20"/>
        </w:rPr>
        <w:t>bove our retained limits, we maintain policies that provide per occurrence limits of $75.0 million. We are also self-insured for certain employee medical and dental plans. We maintain stop-loss insurance for our self-insured medical plan under which we ret</w:t>
      </w:r>
      <w:r>
        <w:rPr>
          <w:rFonts w:ascii="Arial" w:eastAsia="Times New Roman" w:hAnsi="Arial" w:cs="Arial"/>
          <w:color w:val="000000"/>
          <w:sz w:val="20"/>
          <w:szCs w:val="20"/>
        </w:rPr>
        <w:t>ain up to $0.5 million of exposure on a per-participant, per-year basis with respect to claims.</w:t>
      </w:r>
    </w:p>
    <w:p w:rsidR="00000000" w:rsidRDefault="00A07857">
      <w:pPr>
        <w:jc w:val="center"/>
        <w:divId w:val="1121920718"/>
        <w:rPr>
          <w:rFonts w:eastAsia="Times New Roman"/>
        </w:rPr>
      </w:pPr>
      <w:r>
        <w:rPr>
          <w:rFonts w:ascii="Arial" w:eastAsia="Times New Roman" w:hAnsi="Arial" w:cs="Arial"/>
          <w:color w:val="000000"/>
          <w:sz w:val="20"/>
          <w:szCs w:val="20"/>
        </w:rPr>
        <w:t>13</w:t>
      </w:r>
    </w:p>
    <w:p w:rsidR="00000000" w:rsidRDefault="00A07857">
      <w:pPr>
        <w:rPr>
          <w:rFonts w:eastAsia="Times New Roman"/>
        </w:rPr>
      </w:pPr>
      <w:r>
        <w:rPr>
          <w:rFonts w:eastAsia="Times New Roman"/>
        </w:rPr>
        <w:pict>
          <v:rect id="_x0000_i1043" style="width:0;height:1.5pt" o:hralign="center" o:hrstd="t" o:hr="t" fillcolor="#a0a0a0" stroked="f"/>
        </w:pict>
      </w:r>
    </w:p>
    <w:p w:rsidR="00000000" w:rsidRDefault="00A07857">
      <w:pPr>
        <w:jc w:val="both"/>
        <w:divId w:val="210774215"/>
        <w:rPr>
          <w:rFonts w:eastAsia="Times New Roman"/>
        </w:rPr>
      </w:pPr>
    </w:p>
    <w:p w:rsidR="00000000" w:rsidRDefault="00A07857">
      <w:pPr>
        <w:ind w:firstLine="720"/>
        <w:jc w:val="both"/>
        <w:divId w:val="49235233"/>
        <w:rPr>
          <w:rFonts w:eastAsia="Times New Roman"/>
        </w:rPr>
      </w:pPr>
      <w:r>
        <w:rPr>
          <w:rFonts w:ascii="Arial" w:eastAsia="Times New Roman" w:hAnsi="Arial" w:cs="Arial"/>
          <w:color w:val="000000"/>
          <w:sz w:val="20"/>
          <w:szCs w:val="20"/>
        </w:rPr>
        <w:t>We maintain our reserves for workers’ compensation, general liability, automobile liability, and property damage insur</w:t>
      </w:r>
      <w:r>
        <w:rPr>
          <w:rFonts w:ascii="Arial" w:eastAsia="Times New Roman" w:hAnsi="Arial" w:cs="Arial"/>
          <w:color w:val="000000"/>
          <w:sz w:val="20"/>
          <w:szCs w:val="20"/>
        </w:rPr>
        <w:t>ance claims based upon known trends and events and the actuarial estimates of required reserves considering the most recently completed actuarial reports. We use all available information to develop our best estimate of insurance claims reserves as informa</w:t>
      </w:r>
      <w:r>
        <w:rPr>
          <w:rFonts w:ascii="Arial" w:eastAsia="Times New Roman" w:hAnsi="Arial" w:cs="Arial"/>
          <w:color w:val="000000"/>
          <w:sz w:val="20"/>
          <w:szCs w:val="20"/>
        </w:rPr>
        <w:t>tion is obtained. The results of actuarial reviews are used to estimate our insurance rates and insurance reserves for future periods and to adjust reserves, if appropriate, for prior years.</w:t>
      </w:r>
    </w:p>
    <w:p w:rsidR="00000000" w:rsidRDefault="00A07857">
      <w:pPr>
        <w:jc w:val="both"/>
        <w:divId w:val="333147544"/>
        <w:rPr>
          <w:rFonts w:eastAsia="Times New Roman"/>
        </w:rPr>
      </w:pPr>
      <w:r>
        <w:rPr>
          <w:rFonts w:ascii="Arial" w:eastAsia="Times New Roman" w:hAnsi="Arial" w:cs="Arial"/>
          <w:b/>
          <w:bCs/>
          <w:color w:val="0046AD"/>
          <w:sz w:val="20"/>
          <w:szCs w:val="20"/>
        </w:rPr>
        <w:t>Actuarial Review Performed During the First Quarter of 2021</w:t>
      </w:r>
    </w:p>
    <w:p w:rsidR="00000000" w:rsidRDefault="00A07857">
      <w:pPr>
        <w:ind w:firstLine="720"/>
        <w:jc w:val="both"/>
        <w:divId w:val="56636340"/>
        <w:rPr>
          <w:rFonts w:eastAsia="Times New Roman"/>
        </w:rPr>
      </w:pPr>
      <w:r>
        <w:rPr>
          <w:rFonts w:ascii="Arial" w:eastAsia="Times New Roman" w:hAnsi="Arial" w:cs="Arial"/>
          <w:color w:val="000000"/>
          <w:sz w:val="20"/>
          <w:szCs w:val="20"/>
        </w:rPr>
        <w:t>We re</w:t>
      </w:r>
      <w:r>
        <w:rPr>
          <w:rFonts w:ascii="Arial" w:eastAsia="Times New Roman" w:hAnsi="Arial" w:cs="Arial"/>
          <w:color w:val="000000"/>
          <w:sz w:val="20"/>
          <w:szCs w:val="20"/>
        </w:rPr>
        <w:t>view our self-insurance liabilities on a regular basis and adjust our accruals accordingly. Actual claims activity or development may vary from our assumptions and estimates, which may result in material losses or gains. As we obtain additional information</w:t>
      </w:r>
      <w:r>
        <w:rPr>
          <w:rFonts w:ascii="Arial" w:eastAsia="Times New Roman" w:hAnsi="Arial" w:cs="Arial"/>
          <w:color w:val="000000"/>
          <w:sz w:val="20"/>
          <w:szCs w:val="20"/>
        </w:rPr>
        <w:t xml:space="preserve"> that affects the assumptions and estimates used in our reserve liability calculations, we adjust our self-insurance rates and reserves for future periods and, if appropriate, adjust our reserves for claims incurred in prior accounting periods. </w:t>
      </w:r>
    </w:p>
    <w:p w:rsidR="00000000" w:rsidRDefault="00A07857">
      <w:pPr>
        <w:ind w:firstLine="720"/>
        <w:jc w:val="both"/>
        <w:divId w:val="324088662"/>
        <w:rPr>
          <w:rFonts w:eastAsia="Times New Roman"/>
        </w:rPr>
      </w:pPr>
      <w:r>
        <w:rPr>
          <w:rFonts w:ascii="Arial" w:eastAsia="Times New Roman" w:hAnsi="Arial" w:cs="Arial"/>
          <w:color w:val="000000"/>
          <w:sz w:val="20"/>
          <w:szCs w:val="20"/>
        </w:rPr>
        <w:t>During the</w:t>
      </w:r>
      <w:r>
        <w:rPr>
          <w:rFonts w:ascii="Arial" w:eastAsia="Times New Roman" w:hAnsi="Arial" w:cs="Arial"/>
          <w:color w:val="000000"/>
          <w:sz w:val="20"/>
          <w:szCs w:val="20"/>
        </w:rPr>
        <w:t xml:space="preserve"> first quarter of 2021, we performed a comprehensive actuarial review of the majority of our casualty insurance programs to evaluate changes made to claims reserves and claims payment activity for the period of May 1, 2020 through October 31, 2020 (the “Ac</w:t>
      </w:r>
      <w:r>
        <w:rPr>
          <w:rFonts w:ascii="Arial" w:eastAsia="Times New Roman" w:hAnsi="Arial" w:cs="Arial"/>
          <w:color w:val="000000"/>
          <w:sz w:val="20"/>
          <w:szCs w:val="20"/>
        </w:rPr>
        <w:t>tuarial Review”). The Actuarial Review was comprehensive in nature and was based on loss development patterns, trend assumptions, and underlying expected loss costs during the period analyzed. The Actuarial Review again demonstrated that the changes we hav</w:t>
      </w:r>
      <w:r>
        <w:rPr>
          <w:rFonts w:ascii="Arial" w:eastAsia="Times New Roman" w:hAnsi="Arial" w:cs="Arial"/>
          <w:color w:val="000000"/>
          <w:sz w:val="20"/>
          <w:szCs w:val="20"/>
        </w:rPr>
        <w:t xml:space="preserve">e made to our risk management programs continue to positively impact the frequency and severity of claims. </w:t>
      </w:r>
    </w:p>
    <w:p w:rsidR="00000000" w:rsidRDefault="00A07857">
      <w:pPr>
        <w:ind w:firstLine="720"/>
        <w:jc w:val="both"/>
        <w:divId w:val="207572714"/>
        <w:rPr>
          <w:rFonts w:eastAsia="Times New Roman"/>
        </w:rPr>
      </w:pPr>
      <w:r>
        <w:rPr>
          <w:rFonts w:ascii="Arial" w:eastAsia="Times New Roman" w:hAnsi="Arial" w:cs="Arial"/>
          <w:color w:val="000000"/>
          <w:sz w:val="20"/>
          <w:szCs w:val="20"/>
        </w:rPr>
        <w:t>Based on the results of the Actuarial Review, we decreased our total reserves for known claims as well as our estimate of the loss amounts associate</w:t>
      </w:r>
      <w:r>
        <w:rPr>
          <w:rFonts w:ascii="Arial" w:eastAsia="Times New Roman" w:hAnsi="Arial" w:cs="Arial"/>
          <w:color w:val="000000"/>
          <w:sz w:val="20"/>
          <w:szCs w:val="20"/>
        </w:rPr>
        <w:t>d with incurred but not reported claims (“IBNR claims”) by $14.4 million during the three months ended January 31, 2021; $11.4 million of that amount relates to prior years. During the three months ended January 31, 2020, we decreased our total reserves re</w:t>
      </w:r>
      <w:r>
        <w:rPr>
          <w:rFonts w:ascii="Arial" w:eastAsia="Times New Roman" w:hAnsi="Arial" w:cs="Arial"/>
          <w:color w:val="000000"/>
          <w:sz w:val="20"/>
          <w:szCs w:val="20"/>
        </w:rPr>
        <w:t xml:space="preserve">lated to prior year claims by $6.6 million. We will continue to assess ongoing developments, which may result in further adjustments to reserves. </w:t>
      </w:r>
    </w:p>
    <w:p w:rsidR="00000000" w:rsidRDefault="00A07857">
      <w:pPr>
        <w:jc w:val="both"/>
        <w:divId w:val="2023510480"/>
        <w:rPr>
          <w:rFonts w:eastAsia="Times New Roman"/>
        </w:rPr>
      </w:pPr>
      <w:r>
        <w:rPr>
          <w:rFonts w:ascii="Arial" w:eastAsia="Times New Roman" w:hAnsi="Arial" w:cs="Arial"/>
          <w:b/>
          <w:bCs/>
          <w:color w:val="0046AD"/>
          <w:sz w:val="20"/>
          <w:szCs w:val="20"/>
        </w:rPr>
        <w:t xml:space="preserve">Insurance Related Balances and Activity </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2"/>
        <w:gridCol w:w="1322"/>
        <w:gridCol w:w="36"/>
        <w:gridCol w:w="36"/>
        <w:gridCol w:w="36"/>
        <w:gridCol w:w="36"/>
        <w:gridCol w:w="122"/>
        <w:gridCol w:w="1286"/>
        <w:gridCol w:w="36"/>
      </w:tblGrid>
      <w:tr w:rsidR="00000000">
        <w:trPr>
          <w:divId w:val="1580360648"/>
        </w:trPr>
        <w:tc>
          <w:tcPr>
            <w:tcW w:w="50" w:type="pct"/>
            <w:vAlign w:val="center"/>
            <w:hideMark/>
          </w:tcPr>
          <w:p w:rsidR="00000000" w:rsidRDefault="00A07857">
            <w:pPr>
              <w:jc w:val="both"/>
              <w:rPr>
                <w:rFonts w:eastAsia="Times New Roman"/>
              </w:rPr>
            </w:pPr>
          </w:p>
        </w:tc>
        <w:tc>
          <w:tcPr>
            <w:tcW w:w="315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82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82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58036064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January 31, 2021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October 31, 2020</w:t>
            </w:r>
          </w:p>
        </w:tc>
      </w:tr>
      <w:tr w:rsidR="00000000">
        <w:trPr>
          <w:divId w:val="1580360648"/>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Insurance claim reserves, excluding medical and dental</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498.6 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504.9 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580360648"/>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Medical and dental claim reserves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18.3 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16.6 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580360648"/>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Insurance recoverables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70.2 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70.1 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ind w:firstLine="720"/>
        <w:jc w:val="both"/>
        <w:divId w:val="327445878"/>
        <w:rPr>
          <w:rFonts w:eastAsia="Times New Roman"/>
        </w:rPr>
      </w:pPr>
      <w:r>
        <w:rPr>
          <w:rFonts w:ascii="Arial" w:eastAsia="Times New Roman" w:hAnsi="Arial" w:cs="Arial"/>
          <w:color w:val="000000"/>
          <w:sz w:val="20"/>
          <w:szCs w:val="20"/>
        </w:rPr>
        <w:t>At January </w:t>
      </w:r>
      <w:r>
        <w:rPr>
          <w:rFonts w:ascii="Arial" w:eastAsia="Times New Roman" w:hAnsi="Arial" w:cs="Arial"/>
          <w:color w:val="000000"/>
          <w:sz w:val="20"/>
          <w:szCs w:val="20"/>
        </w:rPr>
        <w:t>31, 2021 and October 31, 2020, insurance recoverables are included in both “Other current assets” and “Other noncurrent assets” on the accompanying unaudited Consolidated Balance Sheets.</w:t>
      </w:r>
    </w:p>
    <w:p w:rsidR="00000000" w:rsidRDefault="00A07857">
      <w:pPr>
        <w:jc w:val="both"/>
        <w:divId w:val="1835300029"/>
        <w:rPr>
          <w:rFonts w:eastAsia="Times New Roman"/>
        </w:rPr>
      </w:pPr>
      <w:r>
        <w:rPr>
          <w:rFonts w:ascii="Arial" w:eastAsia="Times New Roman" w:hAnsi="Arial" w:cs="Arial"/>
          <w:b/>
          <w:bCs/>
          <w:i/>
          <w:iCs/>
          <w:color w:val="0046AD"/>
          <w:sz w:val="20"/>
          <w:szCs w:val="20"/>
        </w:rPr>
        <w:t>Instruments Used to Collateralize Our Insurance Obligations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2"/>
        <w:gridCol w:w="1322"/>
        <w:gridCol w:w="36"/>
        <w:gridCol w:w="36"/>
        <w:gridCol w:w="36"/>
        <w:gridCol w:w="36"/>
        <w:gridCol w:w="122"/>
        <w:gridCol w:w="1286"/>
        <w:gridCol w:w="36"/>
      </w:tblGrid>
      <w:tr w:rsidR="00000000">
        <w:trPr>
          <w:divId w:val="245115827"/>
        </w:trPr>
        <w:tc>
          <w:tcPr>
            <w:tcW w:w="50" w:type="pct"/>
            <w:vAlign w:val="center"/>
            <w:hideMark/>
          </w:tcPr>
          <w:p w:rsidR="00000000" w:rsidRDefault="00A07857">
            <w:pPr>
              <w:jc w:val="both"/>
              <w:rPr>
                <w:rFonts w:eastAsia="Times New Roman"/>
              </w:rPr>
            </w:pPr>
          </w:p>
        </w:tc>
        <w:tc>
          <w:tcPr>
            <w:tcW w:w="315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82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82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245115827"/>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January 31, 2021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October 31, 2020</w:t>
            </w:r>
          </w:p>
        </w:tc>
      </w:tr>
      <w:tr w:rsidR="00000000">
        <w:trPr>
          <w:divId w:val="245115827"/>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 xml:space="preserve">Standby letters of credit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45115827"/>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Surety bonds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85.7 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82.6 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45115827"/>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Restricted insurance deposits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245115827"/>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227.8 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jc w:val="both"/>
        <w:divId w:val="437987458"/>
        <w:rPr>
          <w:rFonts w:eastAsia="Times New Roman"/>
        </w:rPr>
      </w:pPr>
    </w:p>
    <w:p w:rsidR="00000000" w:rsidRDefault="00A07857">
      <w:pPr>
        <w:jc w:val="center"/>
        <w:divId w:val="243732953"/>
        <w:rPr>
          <w:rFonts w:eastAsia="Times New Roman"/>
        </w:rPr>
      </w:pPr>
      <w:r>
        <w:rPr>
          <w:rFonts w:ascii="Arial" w:eastAsia="Times New Roman" w:hAnsi="Arial" w:cs="Arial"/>
          <w:color w:val="000000"/>
          <w:sz w:val="20"/>
          <w:szCs w:val="20"/>
        </w:rPr>
        <w:t>14</w:t>
      </w:r>
    </w:p>
    <w:p w:rsidR="00000000" w:rsidRDefault="00A07857">
      <w:pPr>
        <w:rPr>
          <w:rFonts w:eastAsia="Times New Roman"/>
        </w:rPr>
      </w:pPr>
      <w:r>
        <w:rPr>
          <w:rFonts w:eastAsia="Times New Roman"/>
        </w:rPr>
        <w:pict>
          <v:rect id="_x0000_i1044" style="width:0;height:1.5pt" o:hralign="center" o:hrstd="t" o:hr="t" fillcolor="#a0a0a0" stroked="f"/>
        </w:pict>
      </w:r>
    </w:p>
    <w:p w:rsidR="00000000" w:rsidRDefault="00A07857">
      <w:pPr>
        <w:jc w:val="both"/>
        <w:divId w:val="1226183450"/>
        <w:rPr>
          <w:rFonts w:eastAsia="Times New Roman"/>
        </w:rPr>
      </w:pPr>
    </w:p>
    <w:p w:rsidR="00000000" w:rsidRDefault="00A07857">
      <w:pPr>
        <w:jc w:val="both"/>
        <w:divId w:val="1363551011"/>
        <w:rPr>
          <w:rFonts w:eastAsia="Times New Roman"/>
        </w:rPr>
      </w:pPr>
      <w:r>
        <w:rPr>
          <w:rFonts w:ascii="Arial" w:eastAsia="Times New Roman" w:hAnsi="Arial" w:cs="Arial"/>
          <w:b/>
          <w:bCs/>
          <w:color w:val="0046AD"/>
          <w:sz w:val="20"/>
          <w:szCs w:val="20"/>
        </w:rPr>
        <w:t>7. CREDIT FACILITY</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236354022"/>
        </w:trPr>
        <w:tc>
          <w:tcPr>
            <w:tcW w:w="5" w:type="pct"/>
            <w:vAlign w:val="center"/>
            <w:hideMark/>
          </w:tcPr>
          <w:p w:rsidR="00000000" w:rsidRDefault="00A07857">
            <w:pPr>
              <w:jc w:val="both"/>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236354022"/>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ind w:firstLine="720"/>
        <w:jc w:val="both"/>
        <w:divId w:val="1739209261"/>
        <w:rPr>
          <w:rFonts w:eastAsia="Times New Roman"/>
        </w:rPr>
      </w:pPr>
      <w:r>
        <w:rPr>
          <w:rFonts w:ascii="Arial" w:eastAsia="Times New Roman" w:hAnsi="Arial" w:cs="Arial"/>
          <w:color w:val="000000"/>
          <w:sz w:val="20"/>
          <w:szCs w:val="20"/>
        </w:rPr>
        <w:t xml:space="preserve">On September 1, 2017, we refinanced and replaced our then-existing $800.0 million credit facility with a new senior, secured five-year </w:t>
      </w:r>
      <w:r>
        <w:rPr>
          <w:rFonts w:ascii="Arial" w:eastAsia="Times New Roman" w:hAnsi="Arial" w:cs="Arial"/>
          <w:color w:val="000000"/>
          <w:sz w:val="20"/>
          <w:szCs w:val="20"/>
        </w:rPr>
        <w:t>syndicated credit facility (the “Credit Facility”), consisting of a $900.0 million revolving line of credit and an $800.0 million amortizing term loan, both of which are scheduled to mature on September 1, 2022. In accordance with the terms of the Credit F</w:t>
      </w:r>
      <w:r>
        <w:rPr>
          <w:rFonts w:ascii="Arial" w:eastAsia="Times New Roman" w:hAnsi="Arial" w:cs="Arial"/>
          <w:color w:val="000000"/>
          <w:sz w:val="20"/>
          <w:szCs w:val="20"/>
        </w:rPr>
        <w:t>acility, the revolving line of credit was reduced to $800.0 million on September 1, 2018. The Credit Facility also provides for the issuance of up to $300.0 million for standby letters of credit and the issuance of up to $75.0 million in swingline advances</w:t>
      </w:r>
      <w:r>
        <w:rPr>
          <w:rFonts w:ascii="Arial" w:eastAsia="Times New Roman" w:hAnsi="Arial" w:cs="Arial"/>
          <w:color w:val="000000"/>
          <w:sz w:val="20"/>
          <w:szCs w:val="20"/>
        </w:rPr>
        <w:t>. The obligations under the Credit Facility are secured on a first-priority basis by a lien on substantially all of our assets and properties, subject to certain exceptions. To further enhance our financial flexibility as a precautionary measure in respons</w:t>
      </w:r>
      <w:r>
        <w:rPr>
          <w:rFonts w:ascii="Arial" w:eastAsia="Times New Roman" w:hAnsi="Arial" w:cs="Arial"/>
          <w:color w:val="000000"/>
          <w:sz w:val="20"/>
          <w:szCs w:val="20"/>
        </w:rPr>
        <w:t xml:space="preserve">e to uncertainty arising from the Pandemic, we amended our Credit Facility (the “Amendment”) on May 28, 2020. </w:t>
      </w:r>
    </w:p>
    <w:p w:rsidR="00000000" w:rsidRDefault="00A07857">
      <w:pPr>
        <w:ind w:firstLine="720"/>
        <w:jc w:val="both"/>
        <w:divId w:val="1596864047"/>
        <w:rPr>
          <w:rFonts w:eastAsia="Times New Roman"/>
        </w:rPr>
      </w:pPr>
      <w:r>
        <w:rPr>
          <w:rFonts w:ascii="Arial" w:eastAsia="Times New Roman" w:hAnsi="Arial" w:cs="Arial"/>
          <w:color w:val="000000"/>
          <w:sz w:val="20"/>
          <w:szCs w:val="20"/>
        </w:rPr>
        <w:t xml:space="preserve">The Amendment modified the financial covenants under the Credit Facility, including: (i) replacing a maximum total leverage ratio with a maximum </w:t>
      </w:r>
      <w:r>
        <w:rPr>
          <w:rFonts w:ascii="Arial" w:eastAsia="Times New Roman" w:hAnsi="Arial" w:cs="Arial"/>
          <w:color w:val="000000"/>
          <w:sz w:val="20"/>
          <w:szCs w:val="20"/>
        </w:rPr>
        <w:t>total net leverage ratio that varies on a quarterly basis and adjusts to 4.00 to 1.00 by the quarter ending October 31, 2022; (ii) modifying the minimum fixed charge coverage ratio on a quarterly basis, which adjusts to 1.25 to 1.00 as of the quarter endin</w:t>
      </w:r>
      <w:r>
        <w:rPr>
          <w:rFonts w:ascii="Arial" w:eastAsia="Times New Roman" w:hAnsi="Arial" w:cs="Arial"/>
          <w:color w:val="000000"/>
          <w:sz w:val="20"/>
          <w:szCs w:val="20"/>
        </w:rPr>
        <w:t>g April 30, 2022; and (iii) adding a minimum liquidity (defined in the Amendment as domestic cash plus available revolving loans) of $250.0 million. These financial covenants were effective with the quarter ended April 30, 2020. Our borrowing capacity is s</w:t>
      </w:r>
      <w:r>
        <w:rPr>
          <w:rFonts w:ascii="Arial" w:eastAsia="Times New Roman" w:hAnsi="Arial" w:cs="Arial"/>
          <w:color w:val="000000"/>
          <w:sz w:val="20"/>
          <w:szCs w:val="20"/>
        </w:rPr>
        <w:t>ubject to, and limited by, compliance with these covenants. At January 31, 2021, we were in compliance with these covenants.</w:t>
      </w:r>
    </w:p>
    <w:p w:rsidR="00000000" w:rsidRDefault="00A07857">
      <w:pPr>
        <w:ind w:firstLine="720"/>
        <w:jc w:val="both"/>
        <w:divId w:val="1038505006"/>
        <w:rPr>
          <w:rFonts w:eastAsia="Times New Roman"/>
        </w:rPr>
      </w:pPr>
      <w:r>
        <w:rPr>
          <w:rFonts w:ascii="Arial" w:eastAsia="Times New Roman" w:hAnsi="Arial" w:cs="Arial"/>
          <w:color w:val="000000"/>
          <w:sz w:val="20"/>
          <w:szCs w:val="20"/>
        </w:rPr>
        <w:t>The Amendment also changed the interest rate, interest margins, and commitment fees applicable to loans and commitments under the C</w:t>
      </w:r>
      <w:r>
        <w:rPr>
          <w:rFonts w:ascii="Arial" w:eastAsia="Times New Roman" w:hAnsi="Arial" w:cs="Arial"/>
          <w:color w:val="000000"/>
          <w:sz w:val="20"/>
          <w:szCs w:val="20"/>
        </w:rPr>
        <w:t>redit Facility. Prior to the Amendment, borrowings under the Credit Facility bore interest at a rate equal to 1-month LIBOR plus a spread that was based upon our leverage ratio. The spread ranged from 1.00% to 2.25% for Eurocurrency loans and 0.00% to 1.25</w:t>
      </w:r>
      <w:r>
        <w:rPr>
          <w:rFonts w:ascii="Arial" w:eastAsia="Times New Roman" w:hAnsi="Arial" w:cs="Arial"/>
          <w:color w:val="000000"/>
          <w:sz w:val="20"/>
          <w:szCs w:val="20"/>
        </w:rPr>
        <w:t>% for base rate loans. We were also charged a commitment fee, which was paid quarterly in arrears and was based on our leverage ratio, that ranged from 0.200% to 0.350% on the average daily unused portion of the revolving line of credit. For purposes of th</w:t>
      </w:r>
      <w:r>
        <w:rPr>
          <w:rFonts w:ascii="Arial" w:eastAsia="Times New Roman" w:hAnsi="Arial" w:cs="Arial"/>
          <w:color w:val="000000"/>
          <w:sz w:val="20"/>
          <w:szCs w:val="20"/>
        </w:rPr>
        <w:t>is calculation, irrevocable standby letters of credit, which are issued primarily in conjunction with our insurance programs, and cash borrowings were included as outstanding under the line of credit.</w:t>
      </w:r>
    </w:p>
    <w:p w:rsidR="00000000" w:rsidRDefault="00A07857">
      <w:pPr>
        <w:ind w:firstLine="720"/>
        <w:jc w:val="both"/>
        <w:divId w:val="139542587"/>
        <w:rPr>
          <w:rFonts w:eastAsia="Times New Roman"/>
        </w:rPr>
      </w:pPr>
      <w:r>
        <w:rPr>
          <w:rFonts w:ascii="Arial" w:eastAsia="Times New Roman" w:hAnsi="Arial" w:cs="Arial"/>
          <w:color w:val="000000"/>
          <w:sz w:val="20"/>
          <w:szCs w:val="20"/>
        </w:rPr>
        <w:t>Subsequent to the Amendment, borrowings under the Credi</w:t>
      </w:r>
      <w:r>
        <w:rPr>
          <w:rFonts w:ascii="Arial" w:eastAsia="Times New Roman" w:hAnsi="Arial" w:cs="Arial"/>
          <w:color w:val="000000"/>
          <w:sz w:val="20"/>
          <w:szCs w:val="20"/>
        </w:rPr>
        <w:t>t Facility bear interest at a rate equal to 1-month LIBOR plus a spread that is based upon our total leverage ratio. The spread ranges from 1.00% to 2.75% for revolving Eurocurrency loans and 0.00% to 1.75% for revolving base rate loans. At January 31, 202</w:t>
      </w:r>
      <w:r>
        <w:rPr>
          <w:rFonts w:ascii="Arial" w:eastAsia="Times New Roman" w:hAnsi="Arial" w:cs="Arial"/>
          <w:color w:val="000000"/>
          <w:sz w:val="20"/>
          <w:szCs w:val="20"/>
        </w:rPr>
        <w:t xml:space="preserve">1, the weighted average interest rate on our outstanding borrowings was 2.39%. We are also charged a commitment fee, which is paid quarterly in arrears and is based on our total leverage ratio, that ranges from 0.200% to 0.450% on the average daily unused </w:t>
      </w:r>
      <w:r>
        <w:rPr>
          <w:rFonts w:ascii="Arial" w:eastAsia="Times New Roman" w:hAnsi="Arial" w:cs="Arial"/>
          <w:color w:val="000000"/>
          <w:sz w:val="20"/>
          <w:szCs w:val="20"/>
        </w:rPr>
        <w:t>portion of the revolving line of credit. For purposes of this calculation, irrevocable standby letters of credit, which are issued primarily in conjunction with our insurance programs, and cash borrowings are included as outstanding under the revolving lin</w:t>
      </w:r>
      <w:r>
        <w:rPr>
          <w:rFonts w:ascii="Arial" w:eastAsia="Times New Roman" w:hAnsi="Arial" w:cs="Arial"/>
          <w:color w:val="000000"/>
          <w:sz w:val="20"/>
          <w:szCs w:val="20"/>
        </w:rPr>
        <w:t xml:space="preserve">e of credit. </w:t>
      </w:r>
    </w:p>
    <w:p w:rsidR="00000000" w:rsidRDefault="00A07857">
      <w:pPr>
        <w:ind w:firstLine="720"/>
        <w:jc w:val="both"/>
        <w:divId w:val="891118801"/>
        <w:rPr>
          <w:rFonts w:eastAsia="Times New Roman"/>
        </w:rPr>
      </w:pPr>
      <w:r>
        <w:rPr>
          <w:rFonts w:ascii="Arial" w:eastAsia="Times New Roman" w:hAnsi="Arial" w:cs="Arial"/>
          <w:color w:val="000000"/>
          <w:sz w:val="20"/>
          <w:szCs w:val="20"/>
        </w:rPr>
        <w:t>The Credit Facility also includes customary events of default, such as: failure to pay principal, interest, or fees when due; failure to comply with covenants; the occurrence of certain material judgments; and a change in control of the Compa</w:t>
      </w:r>
      <w:r>
        <w:rPr>
          <w:rFonts w:ascii="Arial" w:eastAsia="Times New Roman" w:hAnsi="Arial" w:cs="Arial"/>
          <w:color w:val="000000"/>
          <w:sz w:val="20"/>
          <w:szCs w:val="20"/>
        </w:rPr>
        <w:t xml:space="preserve">ny. If certain events of default occur, including certain cross-defaults, insolvency, change in control, or violation of specific covenants, the lenders can terminate or suspend our access to the Credit Facility, declare all amounts outstanding (including </w:t>
      </w:r>
      <w:r>
        <w:rPr>
          <w:rFonts w:ascii="Arial" w:eastAsia="Times New Roman" w:hAnsi="Arial" w:cs="Arial"/>
          <w:color w:val="000000"/>
          <w:sz w:val="20"/>
          <w:szCs w:val="20"/>
        </w:rPr>
        <w:t xml:space="preserve">all accrued interest and unpaid fees) to be immediately due and payable, and require that we cash collateralize the outstanding standby letters of credit. </w:t>
      </w:r>
    </w:p>
    <w:p w:rsidR="00000000" w:rsidRDefault="00A07857">
      <w:pPr>
        <w:ind w:firstLine="720"/>
        <w:jc w:val="both"/>
        <w:divId w:val="1555390562"/>
        <w:rPr>
          <w:rFonts w:eastAsia="Times New Roman"/>
        </w:rPr>
      </w:pPr>
      <w:r>
        <w:rPr>
          <w:rFonts w:ascii="Arial" w:eastAsia="Times New Roman" w:hAnsi="Arial" w:cs="Arial"/>
          <w:color w:val="000000"/>
          <w:sz w:val="20"/>
          <w:szCs w:val="20"/>
        </w:rPr>
        <w:t xml:space="preserve">Total deferred financing costs related to the Credit Facility of $18.7 million, consisting of $13.4 </w:t>
      </w:r>
      <w:r>
        <w:rPr>
          <w:rFonts w:ascii="Arial" w:eastAsia="Times New Roman" w:hAnsi="Arial" w:cs="Arial"/>
          <w:color w:val="000000"/>
          <w:sz w:val="20"/>
          <w:szCs w:val="20"/>
        </w:rPr>
        <w:t>million related to the term loan and $5.2 million related to the line of credit, are being amortized to interest expense over the term of the Credit Facility. We incurred total fees of $4.6 million in conjunction with the Amendment, the majority of which w</w:t>
      </w:r>
      <w:r>
        <w:rPr>
          <w:rFonts w:ascii="Arial" w:eastAsia="Times New Roman" w:hAnsi="Arial" w:cs="Arial"/>
          <w:color w:val="000000"/>
          <w:sz w:val="20"/>
          <w:szCs w:val="20"/>
        </w:rPr>
        <w:t>e capitalized in the quarter ended July 31, 2020, and are amortizing over the remaining term of the Credit Facility.</w:t>
      </w:r>
    </w:p>
    <w:p w:rsidR="00000000" w:rsidRDefault="00A07857">
      <w:pPr>
        <w:jc w:val="center"/>
        <w:divId w:val="591160322"/>
        <w:rPr>
          <w:rFonts w:eastAsia="Times New Roman"/>
        </w:rPr>
      </w:pPr>
      <w:r>
        <w:rPr>
          <w:rFonts w:ascii="Arial" w:eastAsia="Times New Roman" w:hAnsi="Arial" w:cs="Arial"/>
          <w:color w:val="000000"/>
          <w:sz w:val="20"/>
          <w:szCs w:val="20"/>
        </w:rPr>
        <w:t>15</w:t>
      </w:r>
    </w:p>
    <w:p w:rsidR="00000000" w:rsidRDefault="00A07857">
      <w:pPr>
        <w:rPr>
          <w:rFonts w:eastAsia="Times New Roman"/>
        </w:rPr>
      </w:pPr>
      <w:r>
        <w:rPr>
          <w:rFonts w:eastAsia="Times New Roman"/>
        </w:rPr>
        <w:pict>
          <v:rect id="_x0000_i1045" style="width:0;height:1.5pt" o:hralign="center" o:hrstd="t" o:hr="t" fillcolor="#a0a0a0" stroked="f"/>
        </w:pict>
      </w:r>
    </w:p>
    <w:p w:rsidR="00000000" w:rsidRDefault="00A07857">
      <w:pPr>
        <w:jc w:val="both"/>
        <w:divId w:val="1971130990"/>
        <w:rPr>
          <w:rFonts w:eastAsia="Times New Roman"/>
        </w:rPr>
      </w:pPr>
    </w:p>
    <w:p w:rsidR="00000000" w:rsidRDefault="00A07857">
      <w:pPr>
        <w:divId w:val="209154962"/>
        <w:rPr>
          <w:rFonts w:eastAsia="Times New Roman"/>
        </w:rPr>
      </w:pPr>
      <w:r>
        <w:rPr>
          <w:rFonts w:ascii="Arial" w:eastAsia="Times New Roman" w:hAnsi="Arial" w:cs="Arial"/>
          <w:b/>
          <w:bCs/>
          <w:color w:val="0046AD"/>
          <w:sz w:val="20"/>
          <w:szCs w:val="20"/>
        </w:rPr>
        <w:t>Credit Facility Information</w:t>
      </w:r>
    </w:p>
    <w:tbl>
      <w:tblPr>
        <w:tblW w:w="5000" w:type="pct"/>
        <w:tblCellMar>
          <w:top w:w="15" w:type="dxa"/>
          <w:left w:w="15" w:type="dxa"/>
          <w:bottom w:w="15" w:type="dxa"/>
          <w:right w:w="15" w:type="dxa"/>
        </w:tblCellMar>
        <w:tblLook w:val="04A0" w:firstRow="1" w:lastRow="0" w:firstColumn="1" w:lastColumn="0" w:noHBand="0" w:noVBand="1"/>
      </w:tblPr>
      <w:tblGrid>
        <w:gridCol w:w="40"/>
        <w:gridCol w:w="5131"/>
        <w:gridCol w:w="39"/>
        <w:gridCol w:w="36"/>
        <w:gridCol w:w="36"/>
        <w:gridCol w:w="36"/>
        <w:gridCol w:w="122"/>
        <w:gridCol w:w="1281"/>
        <w:gridCol w:w="36"/>
        <w:gridCol w:w="36"/>
        <w:gridCol w:w="36"/>
        <w:gridCol w:w="36"/>
        <w:gridCol w:w="122"/>
        <w:gridCol w:w="1283"/>
        <w:gridCol w:w="36"/>
      </w:tblGrid>
      <w:tr w:rsidR="00000000">
        <w:trPr>
          <w:divId w:val="1734698791"/>
        </w:trPr>
        <w:tc>
          <w:tcPr>
            <w:tcW w:w="50" w:type="pct"/>
            <w:vAlign w:val="center"/>
            <w:hideMark/>
          </w:tcPr>
          <w:p w:rsidR="00000000" w:rsidRDefault="00A07857">
            <w:pPr>
              <w:rPr>
                <w:rFonts w:eastAsia="Times New Roman"/>
              </w:rPr>
            </w:pPr>
          </w:p>
        </w:tc>
        <w:tc>
          <w:tcPr>
            <w:tcW w:w="311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82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82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734698791"/>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January 31, 2021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October 31, 2020</w:t>
            </w:r>
          </w:p>
        </w:tc>
      </w:tr>
      <w:tr w:rsidR="00000000">
        <w:trPr>
          <w:divId w:val="1734698791"/>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Current portion of long-term debt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734698791"/>
        </w:trPr>
        <w:tc>
          <w:tcPr>
            <w:tcW w:w="0" w:type="auto"/>
            <w:gridSpan w:val="3"/>
            <w:shd w:val="clear" w:color="auto" w:fill="FFFFFF"/>
            <w:tcMar>
              <w:top w:w="30" w:type="dxa"/>
              <w:left w:w="24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Gross term loan</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120.0 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120.0 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34698791"/>
        </w:trPr>
        <w:tc>
          <w:tcPr>
            <w:tcW w:w="0" w:type="auto"/>
            <w:gridSpan w:val="3"/>
            <w:shd w:val="clear" w:color="auto" w:fill="DCE2EF"/>
            <w:tcMar>
              <w:top w:w="30" w:type="dxa"/>
              <w:left w:w="24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(3.1)</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(3.3)</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34698791"/>
        </w:trPr>
        <w:tc>
          <w:tcPr>
            <w:tcW w:w="0" w:type="auto"/>
            <w:gridSpan w:val="3"/>
            <w:shd w:val="clear" w:color="auto" w:fill="FFFFFF"/>
            <w:tcMar>
              <w:top w:w="30" w:type="dxa"/>
              <w:left w:w="51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Current portion of term loan</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34698791"/>
          <w:trHeight w:val="280"/>
        </w:trPr>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734698791"/>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734698791"/>
        </w:trPr>
        <w:tc>
          <w:tcPr>
            <w:tcW w:w="0" w:type="auto"/>
            <w:gridSpan w:val="3"/>
            <w:shd w:val="clear" w:color="auto" w:fill="DCE2EF"/>
            <w:tcMar>
              <w:top w:w="30" w:type="dxa"/>
              <w:left w:w="24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Gross term loan</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530.0 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560.0 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34698791"/>
        </w:trPr>
        <w:tc>
          <w:tcPr>
            <w:tcW w:w="0" w:type="auto"/>
            <w:gridSpan w:val="3"/>
            <w:shd w:val="clear" w:color="auto" w:fill="FFFFFF"/>
            <w:tcMar>
              <w:top w:w="30" w:type="dxa"/>
              <w:left w:w="24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(1.5)</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34698791"/>
        </w:trPr>
        <w:tc>
          <w:tcPr>
            <w:tcW w:w="0" w:type="auto"/>
            <w:gridSpan w:val="3"/>
            <w:shd w:val="clear" w:color="auto" w:fill="DCE2EF"/>
            <w:tcMar>
              <w:top w:w="30" w:type="dxa"/>
              <w:left w:w="51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Total noncurrent portion of term loan</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528.5 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557.7 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34698791"/>
        </w:trPr>
        <w:tc>
          <w:tcPr>
            <w:tcW w:w="0" w:type="auto"/>
            <w:gridSpan w:val="3"/>
            <w:shd w:val="clear" w:color="auto" w:fill="FFFFFF"/>
            <w:tcMar>
              <w:top w:w="30" w:type="dxa"/>
              <w:left w:w="20" w:type="dxa"/>
              <w:bottom w:w="30" w:type="dxa"/>
              <w:right w:w="20" w:type="dxa"/>
            </w:tcMar>
            <w:vAlign w:val="bottom"/>
            <w:hideMark/>
          </w:tcPr>
          <w:p w:rsidR="00000000" w:rsidRDefault="00A07857">
            <w:pPr>
              <w:divId w:val="1548908749"/>
              <w:rPr>
                <w:rFonts w:eastAsia="Times New Roman"/>
              </w:rPr>
            </w:pPr>
            <w:r>
              <w:rPr>
                <w:rFonts w:ascii="Arial" w:eastAsia="Times New Roman" w:hAnsi="Arial" w:cs="Arial"/>
                <w:color w:val="000000"/>
                <w:sz w:val="18"/>
                <w:szCs w:val="18"/>
              </w:rPr>
              <w:t>Revolving line of credi</w:t>
            </w:r>
            <w:r>
              <w:rPr>
                <w:rFonts w:ascii="Arial" w:eastAsia="Times New Roman" w:hAnsi="Arial" w:cs="Arial"/>
                <w:color w:val="000000"/>
                <w:sz w:val="18"/>
                <w:szCs w:val="18"/>
              </w:rPr>
              <w:t>t</w:t>
            </w:r>
            <w:r>
              <w:rPr>
                <w:rFonts w:ascii="Arial" w:eastAsia="Times New Roman" w:hAnsi="Arial" w:cs="Arial"/>
                <w:color w:val="000000"/>
                <w:sz w:val="12"/>
                <w:szCs w:val="12"/>
              </w:rPr>
              <w:t>(1)(2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2"/>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45.3 </w:t>
            </w:r>
          </w:p>
        </w:tc>
        <w:tc>
          <w:tcPr>
            <w:tcW w:w="0" w:type="auto"/>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45.3 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34698791"/>
        </w:trPr>
        <w:tc>
          <w:tcPr>
            <w:tcW w:w="0" w:type="auto"/>
            <w:gridSpan w:val="3"/>
            <w:shd w:val="clear" w:color="auto" w:fill="DCE2EF"/>
            <w:tcMar>
              <w:top w:w="30" w:type="dxa"/>
              <w:left w:w="245"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Long-term debt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573.8 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603.0 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ind w:hanging="180"/>
        <w:jc w:val="both"/>
        <w:divId w:val="205365270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Standby letters of credit amounted to $151.0 million at January 31, 2021. </w:t>
      </w:r>
    </w:p>
    <w:p w:rsidR="00000000" w:rsidRDefault="00A07857">
      <w:pPr>
        <w:ind w:hanging="180"/>
        <w:jc w:val="both"/>
        <w:divId w:val="1924758396"/>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At January 31, 2021, we had borrowing capacity of $599.4 million, reflecting covenant restrictions.</w:t>
      </w:r>
    </w:p>
    <w:p w:rsidR="00000000" w:rsidRDefault="00A07857">
      <w:pPr>
        <w:divId w:val="1790929657"/>
        <w:rPr>
          <w:rFonts w:eastAsia="Times New Roman"/>
        </w:rPr>
      </w:pPr>
      <w:r>
        <w:rPr>
          <w:rFonts w:ascii="Arial" w:eastAsia="Times New Roman" w:hAnsi="Arial" w:cs="Arial"/>
          <w:b/>
          <w:bCs/>
          <w:color w:val="0046AD"/>
          <w:sz w:val="20"/>
          <w:szCs w:val="20"/>
        </w:rPr>
        <w:t>Term Loan Maturities</w:t>
      </w:r>
    </w:p>
    <w:p w:rsidR="00000000" w:rsidRDefault="00A07857">
      <w:pPr>
        <w:ind w:firstLine="720"/>
        <w:jc w:val="both"/>
        <w:divId w:val="1902447169"/>
        <w:rPr>
          <w:rFonts w:eastAsia="Times New Roman"/>
        </w:rPr>
      </w:pPr>
      <w:r>
        <w:rPr>
          <w:rFonts w:ascii="Arial" w:eastAsia="Times New Roman" w:hAnsi="Arial" w:cs="Arial"/>
          <w:color w:val="000000"/>
          <w:sz w:val="20"/>
          <w:szCs w:val="20"/>
        </w:rPr>
        <w:t xml:space="preserve">During the three months ended January 31, 2021, we </w:t>
      </w:r>
      <w:r>
        <w:rPr>
          <w:rFonts w:ascii="Arial" w:eastAsia="Times New Roman" w:hAnsi="Arial" w:cs="Arial"/>
          <w:color w:val="000000"/>
          <w:sz w:val="20"/>
          <w:szCs w:val="20"/>
        </w:rPr>
        <w:t>made principal payments under the term loan of $30.0 million. As of January 31, 2021, the following principal payments are required under the term loan.</w:t>
      </w:r>
    </w:p>
    <w:tbl>
      <w:tblPr>
        <w:tblW w:w="5000" w:type="pct"/>
        <w:tblCellMar>
          <w:top w:w="15" w:type="dxa"/>
          <w:left w:w="15" w:type="dxa"/>
          <w:bottom w:w="15" w:type="dxa"/>
          <w:right w:w="15" w:type="dxa"/>
        </w:tblCellMar>
        <w:tblLook w:val="04A0" w:firstRow="1" w:lastRow="0" w:firstColumn="1" w:lastColumn="0" w:noHBand="0" w:noVBand="1"/>
      </w:tblPr>
      <w:tblGrid>
        <w:gridCol w:w="38"/>
        <w:gridCol w:w="5646"/>
        <w:gridCol w:w="37"/>
        <w:gridCol w:w="36"/>
        <w:gridCol w:w="36"/>
        <w:gridCol w:w="36"/>
        <w:gridCol w:w="121"/>
        <w:gridCol w:w="1027"/>
        <w:gridCol w:w="36"/>
        <w:gridCol w:w="36"/>
        <w:gridCol w:w="36"/>
        <w:gridCol w:w="36"/>
        <w:gridCol w:w="121"/>
        <w:gridCol w:w="1028"/>
        <w:gridCol w:w="36"/>
      </w:tblGrid>
      <w:tr w:rsidR="00000000">
        <w:trPr>
          <w:divId w:val="1085611559"/>
        </w:trPr>
        <w:tc>
          <w:tcPr>
            <w:tcW w:w="50" w:type="pct"/>
            <w:vAlign w:val="center"/>
            <w:hideMark/>
          </w:tcPr>
          <w:p w:rsidR="00000000" w:rsidRDefault="00A07857">
            <w:pPr>
              <w:ind w:firstLine="720"/>
              <w:jc w:val="both"/>
              <w:rPr>
                <w:rFonts w:eastAsia="Times New Roman"/>
              </w:rPr>
            </w:pPr>
          </w:p>
        </w:tc>
        <w:tc>
          <w:tcPr>
            <w:tcW w:w="342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66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66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085611559"/>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2022</w:t>
            </w:r>
          </w:p>
        </w:tc>
      </w:tr>
      <w:tr w:rsidR="00000000">
        <w:trPr>
          <w:divId w:val="1085611559"/>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Debt maturities</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90.0 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560.0 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divId w:val="1507328130"/>
        <w:rPr>
          <w:rFonts w:eastAsia="Times New Roman"/>
        </w:rPr>
      </w:pPr>
      <w:r>
        <w:rPr>
          <w:rFonts w:ascii="Arial" w:eastAsia="Times New Roman" w:hAnsi="Arial" w:cs="Arial"/>
          <w:b/>
          <w:bCs/>
          <w:color w:val="0046AD"/>
          <w:sz w:val="20"/>
          <w:szCs w:val="20"/>
        </w:rPr>
        <w:t>Interest Rate Swaps</w:t>
      </w:r>
    </w:p>
    <w:p w:rsidR="00000000" w:rsidRDefault="00A07857">
      <w:pPr>
        <w:ind w:firstLine="720"/>
        <w:jc w:val="both"/>
        <w:divId w:val="1928883718"/>
        <w:rPr>
          <w:rFonts w:eastAsia="Times New Roman"/>
        </w:rPr>
      </w:pPr>
      <w:r>
        <w:rPr>
          <w:rFonts w:ascii="Arial" w:eastAsia="Times New Roman" w:hAnsi="Arial" w:cs="Arial"/>
          <w:color w:val="000000"/>
          <w:sz w:val="20"/>
          <w:szCs w:val="20"/>
        </w:rPr>
        <w:t>We enter into interest rate swaps to manage the interest rate risk associated with our floating-rate, LIBOR-based borrowings. Under these arrangements, we typically pay a fixed interest rate in exchange for LIBOR-based variable interest throughout the life</w:t>
      </w:r>
      <w:r>
        <w:rPr>
          <w:rFonts w:ascii="Arial" w:eastAsia="Times New Roman" w:hAnsi="Arial" w:cs="Arial"/>
          <w:color w:val="000000"/>
          <w:sz w:val="20"/>
          <w:szCs w:val="20"/>
        </w:rPr>
        <w:t xml:space="preserve"> of the agreement. We initially report the mark-to-market gain or loss on a derivative as a component of accumulated other comprehensive loss (“AOCL”) and subsequently reclassify the gain or loss into earnings when the hedged transactions occur and affect </w:t>
      </w:r>
      <w:r>
        <w:rPr>
          <w:rFonts w:ascii="Arial" w:eastAsia="Times New Roman" w:hAnsi="Arial" w:cs="Arial"/>
          <w:color w:val="000000"/>
          <w:sz w:val="20"/>
          <w:szCs w:val="20"/>
        </w:rPr>
        <w:t>earnings. Interest payables and receivables under the swap agreements are accrued and recorded as adjustments to interest expense. All of our interest rate swaps have been designated and accounted for as cash flow hedges from inception. See Note 5, “Fair V</w:t>
      </w:r>
      <w:r>
        <w:rPr>
          <w:rFonts w:ascii="Arial" w:eastAsia="Times New Roman" w:hAnsi="Arial" w:cs="Arial"/>
          <w:color w:val="000000"/>
          <w:sz w:val="20"/>
          <w:szCs w:val="20"/>
        </w:rPr>
        <w:t>alue of Financial Instruments,” regarding the valuation of our interest rate swaps.</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6"/>
        <w:gridCol w:w="36"/>
        <w:gridCol w:w="36"/>
        <w:gridCol w:w="36"/>
        <w:gridCol w:w="39"/>
        <w:gridCol w:w="1912"/>
        <w:gridCol w:w="36"/>
        <w:gridCol w:w="36"/>
        <w:gridCol w:w="36"/>
        <w:gridCol w:w="36"/>
        <w:gridCol w:w="40"/>
        <w:gridCol w:w="1912"/>
        <w:gridCol w:w="37"/>
        <w:gridCol w:w="36"/>
        <w:gridCol w:w="36"/>
        <w:gridCol w:w="36"/>
        <w:gridCol w:w="40"/>
        <w:gridCol w:w="1912"/>
        <w:gridCol w:w="37"/>
      </w:tblGrid>
      <w:tr w:rsidR="00000000">
        <w:trPr>
          <w:divId w:val="766198618"/>
        </w:trPr>
        <w:tc>
          <w:tcPr>
            <w:tcW w:w="50" w:type="pct"/>
            <w:vAlign w:val="center"/>
            <w:hideMark/>
          </w:tcPr>
          <w:p w:rsidR="00000000" w:rsidRDefault="00A07857">
            <w:pPr>
              <w:ind w:firstLine="720"/>
              <w:jc w:val="both"/>
              <w:rPr>
                <w:rFonts w:eastAsia="Times New Roman"/>
              </w:rPr>
            </w:pPr>
          </w:p>
        </w:tc>
        <w:tc>
          <w:tcPr>
            <w:tcW w:w="116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116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116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116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766198618"/>
        </w:trPr>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Notional Amount</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Fixed Interest Rate</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Effective Date</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Maturity Date</w:t>
            </w:r>
          </w:p>
        </w:tc>
      </w:tr>
      <w:tr w:rsidR="00000000">
        <w:trPr>
          <w:divId w:val="766198618"/>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$ 90.0 million</w:t>
            </w:r>
          </w:p>
        </w:tc>
        <w:tc>
          <w:tcPr>
            <w:tcW w:w="0" w:type="auto"/>
            <w:gridSpan w:val="3"/>
            <w:shd w:val="clear" w:color="auto" w:fill="DCE2E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2.83%</w:t>
            </w:r>
          </w:p>
        </w:tc>
        <w:tc>
          <w:tcPr>
            <w:tcW w:w="0" w:type="auto"/>
            <w:gridSpan w:val="3"/>
            <w:shd w:val="clear" w:color="auto" w:fill="DCE2E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DCE2E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April 30, 2021</w:t>
            </w:r>
          </w:p>
        </w:tc>
      </w:tr>
      <w:tr w:rsidR="00000000">
        <w:trPr>
          <w:divId w:val="766198618"/>
        </w:trPr>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$ 90.0 million</w:t>
            </w:r>
          </w:p>
        </w:tc>
        <w:tc>
          <w:tcPr>
            <w:tcW w:w="0" w:type="auto"/>
            <w:gridSpan w:val="3"/>
            <w:shd w:val="clear" w:color="auto" w:fill="FFFFF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2.84%</w:t>
            </w:r>
          </w:p>
        </w:tc>
        <w:tc>
          <w:tcPr>
            <w:tcW w:w="0" w:type="auto"/>
            <w:gridSpan w:val="3"/>
            <w:shd w:val="clear" w:color="auto" w:fill="FFFFF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FFFFF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October 31, 2021</w:t>
            </w:r>
          </w:p>
        </w:tc>
      </w:tr>
      <w:tr w:rsidR="00000000">
        <w:trPr>
          <w:divId w:val="766198618"/>
        </w:trPr>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$ 130.0 million</w:t>
            </w:r>
          </w:p>
        </w:tc>
        <w:tc>
          <w:tcPr>
            <w:tcW w:w="0" w:type="auto"/>
            <w:gridSpan w:val="3"/>
            <w:shd w:val="clear" w:color="auto" w:fill="DCE2E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2.86%</w:t>
            </w:r>
          </w:p>
        </w:tc>
        <w:tc>
          <w:tcPr>
            <w:tcW w:w="0" w:type="auto"/>
            <w:gridSpan w:val="3"/>
            <w:shd w:val="clear" w:color="auto" w:fill="DCE2E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DCE2E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April 30, 2022</w:t>
            </w:r>
          </w:p>
        </w:tc>
      </w:tr>
      <w:tr w:rsidR="00000000">
        <w:trPr>
          <w:divId w:val="766198618"/>
        </w:trPr>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$ 130.0 million</w:t>
            </w:r>
          </w:p>
        </w:tc>
        <w:tc>
          <w:tcPr>
            <w:tcW w:w="0" w:type="auto"/>
            <w:gridSpan w:val="3"/>
            <w:shd w:val="clear" w:color="auto" w:fill="FFFFF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2.84%</w:t>
            </w:r>
          </w:p>
        </w:tc>
        <w:tc>
          <w:tcPr>
            <w:tcW w:w="0" w:type="auto"/>
            <w:gridSpan w:val="3"/>
            <w:shd w:val="clear" w:color="auto" w:fill="FFFFF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FFFFF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September 1, 2022</w:t>
            </w:r>
          </w:p>
        </w:tc>
      </w:tr>
    </w:tbl>
    <w:p w:rsidR="00000000" w:rsidRDefault="00A07857">
      <w:pPr>
        <w:ind w:firstLine="720"/>
        <w:jc w:val="both"/>
        <w:divId w:val="1984848142"/>
        <w:rPr>
          <w:rFonts w:eastAsia="Times New Roman"/>
        </w:rPr>
      </w:pPr>
      <w:r>
        <w:rPr>
          <w:rFonts w:ascii="Arial" w:eastAsia="Times New Roman" w:hAnsi="Arial" w:cs="Arial"/>
          <w:color w:val="000000"/>
          <w:sz w:val="20"/>
          <w:szCs w:val="20"/>
        </w:rPr>
        <w:t>At January 31, 2021 and October 31, 2020, amounts recorded in AOCL for interest rate swaps were a loss of $2.5 million, net of taxes of $0.5 million, and a loss of $3.3 million, net of taxes of $0.9 million, respectively. These amounts included the gain as</w:t>
      </w:r>
      <w:r>
        <w:rPr>
          <w:rFonts w:ascii="Arial" w:eastAsia="Times New Roman" w:hAnsi="Arial" w:cs="Arial"/>
          <w:color w:val="000000"/>
          <w:sz w:val="20"/>
          <w:szCs w:val="20"/>
        </w:rPr>
        <w:t xml:space="preserve">sociated with the interest rate swaps we terminated in 2018, which is being amortized to interest expense as interest payments are made over the term of our Credit Facility. During the three months ended January 31, 2021, we amortized $1.2 million of this </w:t>
      </w:r>
      <w:r>
        <w:rPr>
          <w:rFonts w:ascii="Arial" w:eastAsia="Times New Roman" w:hAnsi="Arial" w:cs="Arial"/>
          <w:color w:val="000000"/>
          <w:sz w:val="20"/>
          <w:szCs w:val="20"/>
        </w:rPr>
        <w:t>gain, net of taxes of $0.4 million, to interest expense. During the three months ended January 31, 2020, we amortized $1.2 million, net of taxes of $0.4 million. At January 31, 2021, the total amount expected to be reclassified from AOCL to earnings during</w:t>
      </w:r>
      <w:r>
        <w:rPr>
          <w:rFonts w:ascii="Arial" w:eastAsia="Times New Roman" w:hAnsi="Arial" w:cs="Arial"/>
          <w:color w:val="000000"/>
          <w:sz w:val="20"/>
          <w:szCs w:val="20"/>
        </w:rPr>
        <w:t xml:space="preserve"> the next twelve months is a loss of $4.3 million, net of a tax benefit of $1.4 million.</w:t>
      </w:r>
    </w:p>
    <w:p w:rsidR="00000000" w:rsidRDefault="00A07857">
      <w:pPr>
        <w:ind w:firstLine="720"/>
        <w:jc w:val="both"/>
        <w:divId w:val="189730440"/>
        <w:rPr>
          <w:rFonts w:eastAsia="Times New Roman"/>
        </w:rPr>
      </w:pPr>
    </w:p>
    <w:p w:rsidR="00000000" w:rsidRDefault="00A07857">
      <w:pPr>
        <w:jc w:val="center"/>
        <w:divId w:val="376785557"/>
        <w:rPr>
          <w:rFonts w:eastAsia="Times New Roman"/>
        </w:rPr>
      </w:pPr>
      <w:r>
        <w:rPr>
          <w:rFonts w:ascii="Arial" w:eastAsia="Times New Roman" w:hAnsi="Arial" w:cs="Arial"/>
          <w:color w:val="000000"/>
          <w:sz w:val="20"/>
          <w:szCs w:val="20"/>
        </w:rPr>
        <w:t>16</w:t>
      </w:r>
    </w:p>
    <w:p w:rsidR="00000000" w:rsidRDefault="00A07857">
      <w:pPr>
        <w:rPr>
          <w:rFonts w:eastAsia="Times New Roman"/>
        </w:rPr>
      </w:pPr>
      <w:r>
        <w:rPr>
          <w:rFonts w:eastAsia="Times New Roman"/>
        </w:rPr>
        <w:pict>
          <v:rect id="_x0000_i1046" style="width:0;height:1.5pt" o:hralign="center" o:hrstd="t" o:hr="t" fillcolor="#a0a0a0" stroked="f"/>
        </w:pict>
      </w:r>
    </w:p>
    <w:p w:rsidR="00000000" w:rsidRDefault="00A07857">
      <w:pPr>
        <w:jc w:val="both"/>
        <w:divId w:val="745957270"/>
        <w:rPr>
          <w:rFonts w:eastAsia="Times New Roman"/>
        </w:rPr>
      </w:pPr>
    </w:p>
    <w:p w:rsidR="00000000" w:rsidRDefault="00A07857">
      <w:pPr>
        <w:divId w:val="890115604"/>
        <w:rPr>
          <w:rFonts w:eastAsia="Times New Roman"/>
        </w:rPr>
      </w:pPr>
      <w:r>
        <w:rPr>
          <w:rFonts w:ascii="Arial" w:eastAsia="Times New Roman" w:hAnsi="Arial" w:cs="Arial"/>
          <w:b/>
          <w:bCs/>
          <w:color w:val="0046AD"/>
          <w:sz w:val="20"/>
          <w:szCs w:val="20"/>
        </w:rPr>
        <w:t xml:space="preserve">8. COMMITMENTS AND CONTINGENCIES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886674685"/>
        </w:trPr>
        <w:tc>
          <w:tcPr>
            <w:tcW w:w="5" w:type="pct"/>
            <w:vAlign w:val="center"/>
            <w:hideMark/>
          </w:tcPr>
          <w:p w:rsidR="00000000" w:rsidRDefault="00A07857">
            <w:pPr>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886674685"/>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divId w:val="610626420"/>
        <w:rPr>
          <w:rFonts w:eastAsia="Times New Roman"/>
        </w:rPr>
      </w:pPr>
      <w:r>
        <w:rPr>
          <w:rFonts w:ascii="Arial" w:eastAsia="Times New Roman" w:hAnsi="Arial" w:cs="Arial"/>
          <w:b/>
          <w:bCs/>
          <w:color w:val="0046AD"/>
          <w:sz w:val="20"/>
          <w:szCs w:val="20"/>
        </w:rPr>
        <w:t>Letters of Credit and Surety Bonds</w:t>
      </w:r>
    </w:p>
    <w:p w:rsidR="00000000" w:rsidRDefault="00A07857">
      <w:pPr>
        <w:ind w:firstLine="720"/>
        <w:jc w:val="both"/>
        <w:divId w:val="1613777776"/>
        <w:rPr>
          <w:rFonts w:eastAsia="Times New Roman"/>
        </w:rPr>
      </w:pPr>
      <w:r>
        <w:rPr>
          <w:rFonts w:ascii="Arial" w:eastAsia="Times New Roman" w:hAnsi="Arial" w:cs="Arial"/>
          <w:color w:val="000000"/>
          <w:sz w:val="20"/>
          <w:szCs w:val="20"/>
        </w:rPr>
        <w:t xml:space="preserve">We use letters of credit and surety bonds to secure certain commitments related to insurance programs and for other purposes. As of January 31, 2021, these letters of credit and surety bonds totaled $151.0 million and $640.6 million, respectively. </w:t>
      </w:r>
    </w:p>
    <w:p w:rsidR="00000000" w:rsidRDefault="00A07857">
      <w:pPr>
        <w:jc w:val="both"/>
        <w:divId w:val="922226417"/>
        <w:rPr>
          <w:rFonts w:eastAsia="Times New Roman"/>
        </w:rPr>
      </w:pPr>
      <w:r>
        <w:rPr>
          <w:rFonts w:ascii="Arial" w:eastAsia="Times New Roman" w:hAnsi="Arial" w:cs="Arial"/>
          <w:b/>
          <w:bCs/>
          <w:color w:val="0046AD"/>
          <w:sz w:val="20"/>
          <w:szCs w:val="20"/>
        </w:rPr>
        <w:t>Guarant</w:t>
      </w:r>
      <w:r>
        <w:rPr>
          <w:rFonts w:ascii="Arial" w:eastAsia="Times New Roman" w:hAnsi="Arial" w:cs="Arial"/>
          <w:b/>
          <w:bCs/>
          <w:color w:val="0046AD"/>
          <w:sz w:val="20"/>
          <w:szCs w:val="20"/>
        </w:rPr>
        <w:t>ees</w:t>
      </w:r>
    </w:p>
    <w:p w:rsidR="00000000" w:rsidRDefault="00A07857">
      <w:pPr>
        <w:ind w:firstLine="720"/>
        <w:jc w:val="both"/>
        <w:divId w:val="1214197965"/>
        <w:rPr>
          <w:rFonts w:eastAsia="Times New Roman"/>
        </w:rPr>
      </w:pPr>
      <w:r>
        <w:rPr>
          <w:rFonts w:ascii="Arial" w:eastAsia="Times New Roman" w:hAnsi="Arial" w:cs="Arial"/>
          <w:color w:val="000000"/>
          <w:sz w:val="20"/>
          <w:szCs w:val="20"/>
        </w:rPr>
        <w:t xml:space="preserve">In some instances, we offer clients guaranteed energy savings under certain energy savings contracts. At January 31, 2021, total guarantees were $173.8 million and extend through 2040. We accrue for the estimated cost of guarantees when it is probable </w:t>
      </w:r>
      <w:r>
        <w:rPr>
          <w:rFonts w:ascii="Arial" w:eastAsia="Times New Roman" w:hAnsi="Arial" w:cs="Arial"/>
          <w:color w:val="000000"/>
          <w:sz w:val="20"/>
          <w:szCs w:val="20"/>
        </w:rPr>
        <w:t xml:space="preserve">that a liability has been incurred and the amount can be reasonably estimated. Historically, we have not incurred any material losses in connection with these guarantees. </w:t>
      </w:r>
    </w:p>
    <w:p w:rsidR="00000000" w:rsidRDefault="00A07857">
      <w:pPr>
        <w:divId w:val="1284115695"/>
        <w:rPr>
          <w:rFonts w:eastAsia="Times New Roman"/>
        </w:rPr>
      </w:pPr>
      <w:r>
        <w:rPr>
          <w:rFonts w:ascii="Arial" w:eastAsia="Times New Roman" w:hAnsi="Arial" w:cs="Arial"/>
          <w:b/>
          <w:bCs/>
          <w:color w:val="0046AD"/>
          <w:sz w:val="20"/>
          <w:szCs w:val="20"/>
        </w:rPr>
        <w:t>Sales Taxes</w:t>
      </w:r>
    </w:p>
    <w:p w:rsidR="00000000" w:rsidRDefault="00A07857">
      <w:pPr>
        <w:ind w:firstLine="720"/>
        <w:jc w:val="both"/>
        <w:divId w:val="1110780013"/>
        <w:rPr>
          <w:rFonts w:eastAsia="Times New Roman"/>
        </w:rPr>
      </w:pPr>
      <w:r>
        <w:rPr>
          <w:rFonts w:ascii="Arial" w:eastAsia="Times New Roman" w:hAnsi="Arial" w:cs="Arial"/>
          <w:color w:val="000000"/>
          <w:sz w:val="20"/>
          <w:szCs w:val="20"/>
        </w:rPr>
        <w:t>We collect sales tax from clients and remit those collections to the app</w:t>
      </w:r>
      <w:r>
        <w:rPr>
          <w:rFonts w:ascii="Arial" w:eastAsia="Times New Roman" w:hAnsi="Arial" w:cs="Arial"/>
          <w:color w:val="000000"/>
          <w:sz w:val="20"/>
          <w:szCs w:val="20"/>
        </w:rPr>
        <w:t xml:space="preserve">licable states. When clients fail to pay their invoices, including the amount of any sales tax that we paid on their behalf, in some cases we are entitled to seek a refund of that amount of sales tax from the applicable state. </w:t>
      </w:r>
    </w:p>
    <w:p w:rsidR="00000000" w:rsidRDefault="00A07857">
      <w:pPr>
        <w:ind w:firstLine="720"/>
        <w:jc w:val="both"/>
        <w:divId w:val="1941646256"/>
        <w:rPr>
          <w:rFonts w:eastAsia="Times New Roman"/>
        </w:rPr>
      </w:pPr>
      <w:r>
        <w:rPr>
          <w:rFonts w:ascii="Arial" w:eastAsia="Times New Roman" w:hAnsi="Arial" w:cs="Arial"/>
          <w:color w:val="000000"/>
          <w:sz w:val="20"/>
          <w:szCs w:val="20"/>
        </w:rPr>
        <w:t>Sales tax laws and regulatio</w:t>
      </w:r>
      <w:r>
        <w:rPr>
          <w:rFonts w:ascii="Arial" w:eastAsia="Times New Roman" w:hAnsi="Arial" w:cs="Arial"/>
          <w:color w:val="000000"/>
          <w:sz w:val="20"/>
          <w:szCs w:val="20"/>
        </w:rPr>
        <w:t>ns enacted by the various states are subject to interpretation, and our compliance with such laws is routinely subject to audit and review by such states. Audit risk is concentrated in several states that are conducting ongoing audits. The outcomes of ongo</w:t>
      </w:r>
      <w:r>
        <w:rPr>
          <w:rFonts w:ascii="Arial" w:eastAsia="Times New Roman" w:hAnsi="Arial" w:cs="Arial"/>
          <w:color w:val="000000"/>
          <w:sz w:val="20"/>
          <w:szCs w:val="20"/>
        </w:rPr>
        <w:t xml:space="preserve">ing and any future audits and changes in the states’ interpretation of the sales tax laws and regulations could materially adversely impact our results of operations. </w:t>
      </w:r>
    </w:p>
    <w:p w:rsidR="00000000" w:rsidRDefault="00A07857">
      <w:pPr>
        <w:jc w:val="both"/>
        <w:divId w:val="255790622"/>
        <w:rPr>
          <w:rFonts w:eastAsia="Times New Roman"/>
        </w:rPr>
      </w:pPr>
      <w:r>
        <w:rPr>
          <w:rFonts w:ascii="Arial" w:eastAsia="Times New Roman" w:hAnsi="Arial" w:cs="Arial"/>
          <w:b/>
          <w:bCs/>
          <w:color w:val="0046AD"/>
          <w:sz w:val="20"/>
          <w:szCs w:val="20"/>
        </w:rPr>
        <w:t>Legal Matters</w:t>
      </w:r>
    </w:p>
    <w:p w:rsidR="00000000" w:rsidRDefault="00A07857">
      <w:pPr>
        <w:ind w:firstLine="720"/>
        <w:jc w:val="both"/>
        <w:divId w:val="268464898"/>
        <w:rPr>
          <w:rFonts w:eastAsia="Times New Roman"/>
        </w:rPr>
      </w:pPr>
      <w:r>
        <w:rPr>
          <w:rFonts w:ascii="Arial" w:eastAsia="Times New Roman" w:hAnsi="Arial" w:cs="Arial"/>
          <w:color w:val="000000"/>
          <w:sz w:val="20"/>
          <w:szCs w:val="20"/>
        </w:rPr>
        <w:t>We are a party to a number of lawsuits, claims, and proceedings incident t</w:t>
      </w:r>
      <w:r>
        <w:rPr>
          <w:rFonts w:ascii="Arial" w:eastAsia="Times New Roman" w:hAnsi="Arial" w:cs="Arial"/>
          <w:color w:val="000000"/>
          <w:sz w:val="20"/>
          <w:szCs w:val="20"/>
        </w:rPr>
        <w:t>o the operation of our business, including those pertaining to labor and employment, contracts, personal injury, and other matters, some of which allege substantial monetary damages. Some of these actions may be brought as class actions on behalf of a clas</w:t>
      </w:r>
      <w:r>
        <w:rPr>
          <w:rFonts w:ascii="Arial" w:eastAsia="Times New Roman" w:hAnsi="Arial" w:cs="Arial"/>
          <w:color w:val="000000"/>
          <w:sz w:val="20"/>
          <w:szCs w:val="20"/>
        </w:rPr>
        <w:t>s or purported class of employees.</w:t>
      </w:r>
    </w:p>
    <w:p w:rsidR="00000000" w:rsidRDefault="00A07857">
      <w:pPr>
        <w:ind w:firstLine="720"/>
        <w:jc w:val="both"/>
        <w:divId w:val="1216309023"/>
        <w:rPr>
          <w:rFonts w:eastAsia="Times New Roman"/>
        </w:rPr>
      </w:pPr>
      <w:r>
        <w:rPr>
          <w:rFonts w:ascii="Arial" w:eastAsia="Times New Roman" w:hAnsi="Arial" w:cs="Arial"/>
          <w:color w:val="000000"/>
          <w:sz w:val="20"/>
          <w:szCs w:val="20"/>
        </w:rPr>
        <w:t>At January 31, 2021, the total amount accrued for probable litigation losses where a reasonable estimate of the loss could be made was $13.8 million. We do not accrue for contingent losses that, in our judgment, are consi</w:t>
      </w:r>
      <w:r>
        <w:rPr>
          <w:rFonts w:ascii="Arial" w:eastAsia="Times New Roman" w:hAnsi="Arial" w:cs="Arial"/>
          <w:color w:val="000000"/>
          <w:sz w:val="20"/>
          <w:szCs w:val="20"/>
        </w:rPr>
        <w:t>dered to be reasonably possible but not probable. The estimation of reasonably possible losses also requires the analysis of multiple possible outcomes that often depend on judgments about potential actions by third parties. Our management currently estima</w:t>
      </w:r>
      <w:r>
        <w:rPr>
          <w:rFonts w:ascii="Arial" w:eastAsia="Times New Roman" w:hAnsi="Arial" w:cs="Arial"/>
          <w:color w:val="000000"/>
          <w:sz w:val="20"/>
          <w:szCs w:val="20"/>
        </w:rPr>
        <w:t>tes the range of loss for all reasonably possible losses for which a reasonable estimate of the loss can be made is between zero and $5 million. Factors underlying this estimated range of loss may change from time to time, and actual results may vary signi</w:t>
      </w:r>
      <w:r>
        <w:rPr>
          <w:rFonts w:ascii="Arial" w:eastAsia="Times New Roman" w:hAnsi="Arial" w:cs="Arial"/>
          <w:color w:val="000000"/>
          <w:sz w:val="20"/>
          <w:szCs w:val="20"/>
        </w:rPr>
        <w:t>ficantly from this estimate. The amounts above do not include any accrual or loss estimates with respect to the Bucio case described below, because a reasonable estimate of loss or range of loss cannot be made at this time.</w:t>
      </w:r>
    </w:p>
    <w:p w:rsidR="00000000" w:rsidRDefault="00A07857">
      <w:pPr>
        <w:ind w:firstLine="720"/>
        <w:jc w:val="both"/>
        <w:divId w:val="1147043294"/>
        <w:rPr>
          <w:rFonts w:eastAsia="Times New Roman"/>
        </w:rPr>
      </w:pPr>
      <w:r>
        <w:rPr>
          <w:rFonts w:ascii="Arial" w:eastAsia="Times New Roman" w:hAnsi="Arial" w:cs="Arial"/>
          <w:color w:val="000000"/>
          <w:sz w:val="20"/>
          <w:szCs w:val="20"/>
        </w:rPr>
        <w:t>Litigation outcomes are difficul</w:t>
      </w:r>
      <w:r>
        <w:rPr>
          <w:rFonts w:ascii="Arial" w:eastAsia="Times New Roman" w:hAnsi="Arial" w:cs="Arial"/>
          <w:color w:val="000000"/>
          <w:sz w:val="20"/>
          <w:szCs w:val="20"/>
        </w:rPr>
        <w:t>t to predict and the estimation of probable losses requires the analysis of multiple possible outcomes that often depend on judgments about potential actions by third parties. If one or more matters are resolved in a particular period in an amount in exces</w:t>
      </w:r>
      <w:r>
        <w:rPr>
          <w:rFonts w:ascii="Arial" w:eastAsia="Times New Roman" w:hAnsi="Arial" w:cs="Arial"/>
          <w:color w:val="000000"/>
          <w:sz w:val="20"/>
          <w:szCs w:val="20"/>
        </w:rPr>
        <w:t>s of, or in a manner different than, what we anticipated, this could have a material adverse effect on our financial position, results of operations, or cash flows.</w:t>
      </w:r>
    </w:p>
    <w:p w:rsidR="00000000" w:rsidRDefault="00A07857">
      <w:pPr>
        <w:ind w:firstLine="720"/>
        <w:jc w:val="both"/>
        <w:divId w:val="1441099310"/>
        <w:rPr>
          <w:rFonts w:eastAsia="Times New Roman"/>
        </w:rPr>
      </w:pPr>
      <w:r>
        <w:rPr>
          <w:rFonts w:ascii="Arial" w:eastAsia="Times New Roman" w:hAnsi="Arial" w:cs="Arial"/>
          <w:color w:val="000000"/>
          <w:sz w:val="20"/>
          <w:szCs w:val="20"/>
        </w:rPr>
        <w:t>In some cases, although a loss is probable or reasonably possible, we cannot reasonably est</w:t>
      </w:r>
      <w:r>
        <w:rPr>
          <w:rFonts w:ascii="Arial" w:eastAsia="Times New Roman" w:hAnsi="Arial" w:cs="Arial"/>
          <w:color w:val="000000"/>
          <w:sz w:val="20"/>
          <w:szCs w:val="20"/>
        </w:rPr>
        <w:t xml:space="preserve">imate the maximum potential losses for probable matters or the range of losses for reasonably possible matters. Therefore, our accrual for probable losses and our estimated range of loss for reasonably possible losses do not represent our maximum possible </w:t>
      </w:r>
      <w:r>
        <w:rPr>
          <w:rFonts w:ascii="Arial" w:eastAsia="Times New Roman" w:hAnsi="Arial" w:cs="Arial"/>
          <w:color w:val="000000"/>
          <w:sz w:val="20"/>
          <w:szCs w:val="20"/>
        </w:rPr>
        <w:t>exposure.</w:t>
      </w:r>
    </w:p>
    <w:p w:rsidR="00000000" w:rsidRDefault="00A07857">
      <w:pPr>
        <w:jc w:val="both"/>
        <w:divId w:val="371613814"/>
        <w:rPr>
          <w:rFonts w:eastAsia="Times New Roman"/>
        </w:rPr>
      </w:pPr>
      <w:r>
        <w:rPr>
          <w:rFonts w:ascii="Arial" w:eastAsia="Times New Roman" w:hAnsi="Arial" w:cs="Arial"/>
          <w:b/>
          <w:bCs/>
          <w:i/>
          <w:iCs/>
          <w:color w:val="0046AD"/>
          <w:sz w:val="20"/>
          <w:szCs w:val="20"/>
        </w:rPr>
        <w:t>Certain Legal Proceedings</w:t>
      </w:r>
    </w:p>
    <w:p w:rsidR="00000000" w:rsidRDefault="00A07857">
      <w:pPr>
        <w:ind w:firstLine="720"/>
        <w:jc w:val="both"/>
        <w:divId w:val="728530678"/>
        <w:rPr>
          <w:rFonts w:eastAsia="Times New Roman"/>
        </w:rPr>
      </w:pPr>
      <w:r>
        <w:rPr>
          <w:rFonts w:ascii="Arial" w:eastAsia="Times New Roman" w:hAnsi="Arial" w:cs="Arial"/>
          <w:color w:val="000000"/>
          <w:sz w:val="20"/>
          <w:szCs w:val="20"/>
        </w:rPr>
        <w:t>In determining whether to include any particular lawsuit or other proceeding in our disclosure below, we consider both quantitative and qualitative factors. These factors include, but are not limited to: the amount of da</w:t>
      </w:r>
      <w:r>
        <w:rPr>
          <w:rFonts w:ascii="Arial" w:eastAsia="Times New Roman" w:hAnsi="Arial" w:cs="Arial"/>
          <w:color w:val="000000"/>
          <w:sz w:val="20"/>
          <w:szCs w:val="20"/>
        </w:rPr>
        <w:t xml:space="preserve">mages and the nature of any other relief sought in the proceeding; if such damages and other relief are specified, our view of the merits of the claims; whether the action is or purports to be a class action, and our view of the </w:t>
      </w:r>
    </w:p>
    <w:p w:rsidR="00000000" w:rsidRDefault="00A07857">
      <w:pPr>
        <w:jc w:val="center"/>
        <w:divId w:val="1210917631"/>
        <w:rPr>
          <w:rFonts w:eastAsia="Times New Roman"/>
        </w:rPr>
      </w:pPr>
      <w:r>
        <w:rPr>
          <w:rFonts w:ascii="Arial" w:eastAsia="Times New Roman" w:hAnsi="Arial" w:cs="Arial"/>
          <w:color w:val="000000"/>
          <w:sz w:val="20"/>
          <w:szCs w:val="20"/>
        </w:rPr>
        <w:t>17</w:t>
      </w:r>
    </w:p>
    <w:p w:rsidR="00000000" w:rsidRDefault="00A07857">
      <w:pPr>
        <w:rPr>
          <w:rFonts w:eastAsia="Times New Roman"/>
        </w:rPr>
      </w:pPr>
      <w:r>
        <w:rPr>
          <w:rFonts w:eastAsia="Times New Roman"/>
        </w:rPr>
        <w:pict>
          <v:rect id="_x0000_i1047" style="width:0;height:1.5pt" o:hralign="center" o:hrstd="t" o:hr="t" fillcolor="#a0a0a0" stroked="f"/>
        </w:pict>
      </w:r>
    </w:p>
    <w:p w:rsidR="00000000" w:rsidRDefault="00A07857">
      <w:pPr>
        <w:jc w:val="both"/>
        <w:divId w:val="1739668369"/>
        <w:rPr>
          <w:rFonts w:eastAsia="Times New Roman"/>
        </w:rPr>
      </w:pPr>
    </w:p>
    <w:p w:rsidR="00000000" w:rsidRDefault="00A07857">
      <w:pPr>
        <w:jc w:val="both"/>
        <w:divId w:val="1355380945"/>
        <w:rPr>
          <w:rFonts w:eastAsia="Times New Roman"/>
        </w:rPr>
      </w:pPr>
      <w:r>
        <w:rPr>
          <w:rFonts w:ascii="Arial" w:eastAsia="Times New Roman" w:hAnsi="Arial" w:cs="Arial"/>
          <w:color w:val="000000"/>
          <w:sz w:val="20"/>
          <w:szCs w:val="20"/>
        </w:rPr>
        <w:t xml:space="preserve">likelihood that a class will be certified by the court; the jurisdiction in which the proceeding is pending; and the potential impact of the proceeding on our reputation. </w:t>
      </w:r>
    </w:p>
    <w:p w:rsidR="00000000" w:rsidRDefault="00A07857">
      <w:pPr>
        <w:ind w:firstLine="720"/>
        <w:jc w:val="both"/>
        <w:divId w:val="71631918"/>
        <w:rPr>
          <w:rFonts w:eastAsia="Times New Roman"/>
        </w:rPr>
      </w:pPr>
      <w:r>
        <w:rPr>
          <w:rFonts w:ascii="Arial" w:eastAsia="Times New Roman" w:hAnsi="Arial" w:cs="Arial"/>
          <w:i/>
          <w:iCs/>
          <w:color w:val="000000"/>
          <w:sz w:val="20"/>
          <w:szCs w:val="20"/>
        </w:rPr>
        <w:t>The Consolidated Cases of Bucio and Martinez v. ABM Janitorial Servi</w:t>
      </w:r>
      <w:r>
        <w:rPr>
          <w:rFonts w:ascii="Arial" w:eastAsia="Times New Roman" w:hAnsi="Arial" w:cs="Arial"/>
          <w:i/>
          <w:iCs/>
          <w:color w:val="000000"/>
          <w:sz w:val="20"/>
          <w:szCs w:val="20"/>
        </w:rPr>
        <w:t>ces filed on April 7, 2006, pending in the Superior Court of California, County of San Francisco (the “Bucio case”)</w:t>
      </w:r>
    </w:p>
    <w:p w:rsidR="00000000" w:rsidRDefault="00A07857">
      <w:pPr>
        <w:ind w:firstLine="720"/>
        <w:jc w:val="both"/>
        <w:divId w:val="1887909371"/>
        <w:rPr>
          <w:rFonts w:eastAsia="Times New Roman"/>
        </w:rPr>
      </w:pPr>
      <w:r>
        <w:rPr>
          <w:rFonts w:ascii="Arial" w:eastAsia="Times New Roman" w:hAnsi="Arial" w:cs="Arial"/>
          <w:color w:val="000000"/>
          <w:sz w:val="20"/>
          <w:szCs w:val="20"/>
        </w:rPr>
        <w:t xml:space="preserve">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w:t>
      </w:r>
      <w:r>
        <w:rPr>
          <w:rFonts w:ascii="Arial" w:eastAsia="Times New Roman" w:hAnsi="Arial" w:cs="Arial"/>
          <w:color w:val="000000"/>
          <w:sz w:val="20"/>
          <w:szCs w:val="20"/>
        </w:rPr>
        <w:t>case is a class action pending in San Francisco Superior Court that alleges we failed to provide legally required meal periods and make additional premium payments for such meal periods, pay split shift premiums when owed, and reimburse janitors for travel</w:t>
      </w:r>
      <w:r>
        <w:rPr>
          <w:rFonts w:ascii="Arial" w:eastAsia="Times New Roman" w:hAnsi="Arial" w:cs="Arial"/>
          <w:color w:val="000000"/>
          <w:sz w:val="20"/>
          <w:szCs w:val="20"/>
        </w:rPr>
        <w:t xml:space="preserve"> expenses. There is also a claim for penalties under the California Labor Code Private Attorneys General Act (“PAGA”). On April 19, 2011, the trial court held a hearing on plaintiffs’ motion to certify the class. At the conclusion of that hearing, the tria</w:t>
      </w:r>
      <w:r>
        <w:rPr>
          <w:rFonts w:ascii="Arial" w:eastAsia="Times New Roman" w:hAnsi="Arial" w:cs="Arial"/>
          <w:color w:val="000000"/>
          <w:sz w:val="20"/>
          <w:szCs w:val="20"/>
        </w:rPr>
        <w:t>l court denied plaintiffs’ motion to certify the class. On May 11, 2011, the plaintiffs filed a motion to reconsider, which was denied. The plaintiffs appealed the class certification issues. The trial court stayed the underlying lawsuit pending the decisi</w:t>
      </w:r>
      <w:r>
        <w:rPr>
          <w:rFonts w:ascii="Arial" w:eastAsia="Times New Roman" w:hAnsi="Arial" w:cs="Arial"/>
          <w:color w:val="000000"/>
          <w:sz w:val="20"/>
          <w:szCs w:val="20"/>
        </w:rPr>
        <w:t>on in the appeal. The Court of Appeal of the State of California, First Appellate District (the “Court of Appeal”), heard oral arguments on November 7, 2017. On December 11, 2017, the Court of Appeal reversed the trial court’s order denying class certifica</w:t>
      </w:r>
      <w:r>
        <w:rPr>
          <w:rFonts w:ascii="Arial" w:eastAsia="Times New Roman" w:hAnsi="Arial" w:cs="Arial"/>
          <w:color w:val="000000"/>
          <w:sz w:val="20"/>
          <w:szCs w:val="20"/>
        </w:rPr>
        <w:t xml:space="preserve">tion and remanded the matter for certification of a meal period, travel expense reimbursement, and split shift class. The case was remitted to the trial court for further proceedings on class certification, discovery, dispositive motions, and trial. </w:t>
      </w:r>
    </w:p>
    <w:p w:rsidR="00000000" w:rsidRDefault="00A07857">
      <w:pPr>
        <w:ind w:firstLine="720"/>
        <w:jc w:val="both"/>
        <w:divId w:val="2006587497"/>
        <w:rPr>
          <w:rFonts w:eastAsia="Times New Roman"/>
        </w:rPr>
      </w:pPr>
      <w:r>
        <w:rPr>
          <w:rFonts w:ascii="Arial" w:eastAsia="Times New Roman" w:hAnsi="Arial" w:cs="Arial"/>
          <w:color w:val="000000"/>
          <w:sz w:val="20"/>
          <w:szCs w:val="20"/>
        </w:rPr>
        <w:t>On September 20, 2018, the trial court entered an order defining four certified subclasses of janitors who were employed by the legacy ABM janitorial companies in California at any time between April 7, 2002 and April 30, 2013, on claims based on alleged p</w:t>
      </w:r>
      <w:r>
        <w:rPr>
          <w:rFonts w:ascii="Arial" w:eastAsia="Times New Roman" w:hAnsi="Arial" w:cs="Arial"/>
          <w:color w:val="000000"/>
          <w:sz w:val="20"/>
          <w:szCs w:val="20"/>
        </w:rPr>
        <w:t>revious automatic deduction practices for meal breaks, unpaid meal premiums, unpaid split shift premiums, and unreimbursed business expenses, such as mileage reimbursement for use of personal vehicles to travel between worksites. On February 1, 2019, the t</w:t>
      </w:r>
      <w:r>
        <w:rPr>
          <w:rFonts w:ascii="Arial" w:eastAsia="Times New Roman" w:hAnsi="Arial" w:cs="Arial"/>
          <w:color w:val="000000"/>
          <w:sz w:val="20"/>
          <w:szCs w:val="20"/>
        </w:rPr>
        <w:t>rial court held that the discovery related to PAGA claims allegedly arising after April 30, 2013 would be stayed until after the class and PAGA claims accruing prior to April 30, 2013 had been tried. The parties engaged in mediation in July 2019, which did</w:t>
      </w:r>
      <w:r>
        <w:rPr>
          <w:rFonts w:ascii="Arial" w:eastAsia="Times New Roman" w:hAnsi="Arial" w:cs="Arial"/>
          <w:color w:val="000000"/>
          <w:sz w:val="20"/>
          <w:szCs w:val="20"/>
        </w:rPr>
        <w:t xml:space="preserve"> not result in settlement of the case. On October 17, 2019, the plaintiffs filed a motion asking the trial court to certify additional classes based on an alleged failure to maintain time records, an alleged failure to provide accurate wage statements, and</w:t>
      </w:r>
      <w:r>
        <w:rPr>
          <w:rFonts w:ascii="Arial" w:eastAsia="Times New Roman" w:hAnsi="Arial" w:cs="Arial"/>
          <w:color w:val="000000"/>
          <w:sz w:val="20"/>
          <w:szCs w:val="20"/>
        </w:rPr>
        <w:t xml:space="preserve"> an alleged practice of combining meal and rest breaks. The trial court denied the plaintiffs’ motion to certify additional classes on December 26, 2019. The case was re-assigned to a new judge on January 6, 2020. ABM filed motions for summary adjudication</w:t>
      </w:r>
      <w:r>
        <w:rPr>
          <w:rFonts w:ascii="Arial" w:eastAsia="Times New Roman" w:hAnsi="Arial" w:cs="Arial"/>
          <w:color w:val="000000"/>
          <w:sz w:val="20"/>
          <w:szCs w:val="20"/>
        </w:rPr>
        <w:t xml:space="preserve"> as to certain of plaintiffs’ class claims, and the trial court denied those motions in November 2020. The parties engaged in another mediation in January 2021, which did not result in a settlement of the case. Plaintiffs filed motions for summary adjudica</w:t>
      </w:r>
      <w:r>
        <w:rPr>
          <w:rFonts w:ascii="Arial" w:eastAsia="Times New Roman" w:hAnsi="Arial" w:cs="Arial"/>
          <w:color w:val="000000"/>
          <w:sz w:val="20"/>
          <w:szCs w:val="20"/>
        </w:rPr>
        <w:t xml:space="preserve">tion and/or summary judgment on some claims in December 2020, and a hearing on these motions is currently set for March 17, 2021. </w:t>
      </w:r>
    </w:p>
    <w:p w:rsidR="00000000" w:rsidRDefault="00A07857">
      <w:pPr>
        <w:ind w:firstLine="720"/>
        <w:jc w:val="both"/>
        <w:divId w:val="248932433"/>
        <w:rPr>
          <w:rFonts w:eastAsia="Times New Roman"/>
        </w:rPr>
      </w:pPr>
      <w:r>
        <w:rPr>
          <w:rFonts w:ascii="Arial" w:eastAsia="Times New Roman" w:hAnsi="Arial" w:cs="Arial"/>
          <w:color w:val="000000"/>
          <w:sz w:val="20"/>
          <w:szCs w:val="20"/>
        </w:rPr>
        <w:t>The parties are currently engaged in substantive briefing and began expert discovery in January 2021.The expert discovery ser</w:t>
      </w:r>
      <w:r>
        <w:rPr>
          <w:rFonts w:ascii="Arial" w:eastAsia="Times New Roman" w:hAnsi="Arial" w:cs="Arial"/>
          <w:color w:val="000000"/>
          <w:sz w:val="20"/>
          <w:szCs w:val="20"/>
        </w:rPr>
        <w:t>ves to provide us with detailed information regarding the plaintiffs’ damage calculations. The class action claims accruing prior to April 30, 2013, are currently set for trial on July 12, 2021, although it is unclear whether the trial will proceed at that</w:t>
      </w:r>
      <w:r>
        <w:rPr>
          <w:rFonts w:ascii="Arial" w:eastAsia="Times New Roman" w:hAnsi="Arial" w:cs="Arial"/>
          <w:color w:val="000000"/>
          <w:sz w:val="20"/>
          <w:szCs w:val="20"/>
        </w:rPr>
        <w:t xml:space="preserve"> time in light of the Pandemic and courtroom protocols. Prior to trial, we will have the opportunity to, among other things, seek decertification of the classes, seek interlocutory appellate review, or engage in further mediation if we deem such actions ap</w:t>
      </w:r>
      <w:r>
        <w:rPr>
          <w:rFonts w:ascii="Arial" w:eastAsia="Times New Roman" w:hAnsi="Arial" w:cs="Arial"/>
          <w:color w:val="000000"/>
          <w:sz w:val="20"/>
          <w:szCs w:val="20"/>
        </w:rPr>
        <w:t xml:space="preserve">propriate. We intend to engage in one or more such activities before the trial during the second and/or third quarter. </w:t>
      </w:r>
    </w:p>
    <w:p w:rsidR="00000000" w:rsidRDefault="00A07857">
      <w:pPr>
        <w:ind w:firstLine="720"/>
        <w:jc w:val="both"/>
        <w:divId w:val="247810054"/>
        <w:rPr>
          <w:rFonts w:eastAsia="Times New Roman"/>
        </w:rPr>
      </w:pPr>
      <w:r>
        <w:rPr>
          <w:rFonts w:ascii="Arial" w:eastAsia="Times New Roman" w:hAnsi="Arial" w:cs="Arial"/>
          <w:color w:val="000000"/>
          <w:sz w:val="20"/>
          <w:szCs w:val="20"/>
        </w:rPr>
        <w:t xml:space="preserve">While we believe we have valid defenses to the claims in this proceeding and will continue to vigorously defend ourselves, there can be </w:t>
      </w:r>
      <w:r>
        <w:rPr>
          <w:rFonts w:ascii="Arial" w:eastAsia="Times New Roman" w:hAnsi="Arial" w:cs="Arial"/>
          <w:color w:val="000000"/>
          <w:sz w:val="20"/>
          <w:szCs w:val="20"/>
        </w:rPr>
        <w:t xml:space="preserve">no assurance that the final resolution of this matter will not have a material adverse effect on our business, financial condition, results of operations, or cash flows. </w:t>
      </w:r>
    </w:p>
    <w:p w:rsidR="00000000" w:rsidRDefault="00A07857">
      <w:pPr>
        <w:divId w:val="557669214"/>
        <w:rPr>
          <w:rFonts w:eastAsia="Times New Roman"/>
        </w:rPr>
      </w:pPr>
    </w:p>
    <w:p w:rsidR="00000000" w:rsidRDefault="00A07857">
      <w:pPr>
        <w:divId w:val="1461538452"/>
        <w:rPr>
          <w:rFonts w:eastAsia="Times New Roman"/>
        </w:rPr>
      </w:pPr>
    </w:p>
    <w:p w:rsidR="00000000" w:rsidRDefault="00A07857">
      <w:pPr>
        <w:divId w:val="385228819"/>
        <w:rPr>
          <w:rFonts w:eastAsia="Times New Roman"/>
        </w:rPr>
      </w:pPr>
    </w:p>
    <w:p w:rsidR="00000000" w:rsidRDefault="00A07857">
      <w:pPr>
        <w:divId w:val="473328686"/>
        <w:rPr>
          <w:rFonts w:eastAsia="Times New Roman"/>
        </w:rPr>
      </w:pPr>
    </w:p>
    <w:p w:rsidR="00000000" w:rsidRDefault="00A07857">
      <w:pPr>
        <w:divId w:val="1324896530"/>
        <w:rPr>
          <w:rFonts w:eastAsia="Times New Roman"/>
        </w:rPr>
      </w:pPr>
    </w:p>
    <w:p w:rsidR="00000000" w:rsidRDefault="00A07857">
      <w:pPr>
        <w:divId w:val="1284114750"/>
        <w:rPr>
          <w:rFonts w:eastAsia="Times New Roman"/>
        </w:rPr>
      </w:pPr>
    </w:p>
    <w:p w:rsidR="00000000" w:rsidRDefault="00A07857">
      <w:pPr>
        <w:jc w:val="both"/>
        <w:divId w:val="178278305"/>
        <w:rPr>
          <w:rFonts w:eastAsia="Times New Roman"/>
        </w:rPr>
      </w:pPr>
    </w:p>
    <w:p w:rsidR="00000000" w:rsidRDefault="00A07857">
      <w:pPr>
        <w:jc w:val="center"/>
        <w:divId w:val="2049718568"/>
        <w:rPr>
          <w:rFonts w:eastAsia="Times New Roman"/>
        </w:rPr>
      </w:pPr>
      <w:r>
        <w:rPr>
          <w:rFonts w:ascii="Arial" w:eastAsia="Times New Roman" w:hAnsi="Arial" w:cs="Arial"/>
          <w:color w:val="000000"/>
          <w:sz w:val="20"/>
          <w:szCs w:val="20"/>
        </w:rPr>
        <w:t>18</w:t>
      </w:r>
    </w:p>
    <w:p w:rsidR="00000000" w:rsidRDefault="00A07857">
      <w:pPr>
        <w:rPr>
          <w:rFonts w:eastAsia="Times New Roman"/>
        </w:rPr>
      </w:pPr>
      <w:r>
        <w:rPr>
          <w:rFonts w:eastAsia="Times New Roman"/>
        </w:rPr>
        <w:pict>
          <v:rect id="_x0000_i1048" style="width:0;height:1.5pt" o:hralign="center" o:hrstd="t" o:hr="t" fillcolor="#a0a0a0" stroked="f"/>
        </w:pict>
      </w:r>
    </w:p>
    <w:p w:rsidR="00000000" w:rsidRDefault="00A07857">
      <w:pPr>
        <w:jc w:val="both"/>
        <w:divId w:val="1074623903"/>
        <w:rPr>
          <w:rFonts w:eastAsia="Times New Roman"/>
        </w:rPr>
      </w:pPr>
    </w:p>
    <w:p w:rsidR="00000000" w:rsidRDefault="00A07857">
      <w:pPr>
        <w:jc w:val="both"/>
        <w:divId w:val="66995255"/>
        <w:rPr>
          <w:rFonts w:eastAsia="Times New Roman"/>
        </w:rPr>
      </w:pPr>
      <w:r>
        <w:rPr>
          <w:rFonts w:ascii="Arial" w:eastAsia="Times New Roman" w:hAnsi="Arial" w:cs="Arial"/>
          <w:b/>
          <w:bCs/>
          <w:color w:val="0046AD"/>
          <w:sz w:val="20"/>
          <w:szCs w:val="20"/>
        </w:rPr>
        <w:t xml:space="preserve">9. INCOME TAXES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802699817"/>
        </w:trPr>
        <w:tc>
          <w:tcPr>
            <w:tcW w:w="5" w:type="pct"/>
            <w:vAlign w:val="center"/>
            <w:hideMark/>
          </w:tcPr>
          <w:p w:rsidR="00000000" w:rsidRDefault="00A07857">
            <w:pPr>
              <w:jc w:val="both"/>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80269981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ind w:firstLine="720"/>
        <w:jc w:val="both"/>
        <w:divId w:val="1276446406"/>
        <w:rPr>
          <w:rFonts w:eastAsia="Times New Roman"/>
        </w:rPr>
      </w:pPr>
      <w:r>
        <w:rPr>
          <w:rFonts w:ascii="Arial" w:eastAsia="Times New Roman" w:hAnsi="Arial" w:cs="Arial"/>
          <w:color w:val="000000"/>
          <w:sz w:val="20"/>
          <w:szCs w:val="20"/>
        </w:rPr>
        <w:t>Our quarterly tax provision is calculated using an estimated annual tax rate that is adjusted for discrete items occurring during the period to arrive at our effective tax rate. During the three months ended January 31, 2021 and 2020, we had effective t</w:t>
      </w:r>
      <w:r>
        <w:rPr>
          <w:rFonts w:ascii="Arial" w:eastAsia="Times New Roman" w:hAnsi="Arial" w:cs="Arial"/>
          <w:color w:val="000000"/>
          <w:sz w:val="20"/>
          <w:szCs w:val="20"/>
        </w:rPr>
        <w:t xml:space="preserve">ax rates of 26.7% and 23.6%, respectively, resulting in provisions for taxes of $27.2 million and $8.6 million, respectively. The difference between the effective tax rate and statutory rate is primarily related to tax credits. The rate difference between </w:t>
      </w:r>
      <w:r>
        <w:rPr>
          <w:rFonts w:ascii="Arial" w:eastAsia="Times New Roman" w:hAnsi="Arial" w:cs="Arial"/>
          <w:color w:val="000000"/>
          <w:sz w:val="20"/>
          <w:szCs w:val="20"/>
        </w:rPr>
        <w:t>periods is driven by increased income in 2021.</w:t>
      </w:r>
    </w:p>
    <w:p w:rsidR="00000000" w:rsidRDefault="00A07857">
      <w:pPr>
        <w:ind w:firstLine="720"/>
        <w:jc w:val="both"/>
        <w:divId w:val="1842232696"/>
        <w:rPr>
          <w:rFonts w:eastAsia="Times New Roman"/>
        </w:rPr>
      </w:pPr>
      <w:r>
        <w:rPr>
          <w:rFonts w:ascii="Arial" w:eastAsia="Times New Roman" w:hAnsi="Arial" w:cs="Arial"/>
          <w:color w:val="000000"/>
          <w:sz w:val="20"/>
          <w:szCs w:val="20"/>
        </w:rPr>
        <w:t>Our effective tax rates for the three months ended January 31, 2021 and January 31, 2020, were not impacted by any significant discrete items.</w:t>
      </w:r>
    </w:p>
    <w:p w:rsidR="00000000" w:rsidRDefault="00A07857">
      <w:pPr>
        <w:ind w:firstLine="720"/>
        <w:jc w:val="both"/>
        <w:divId w:val="1373725929"/>
        <w:rPr>
          <w:rFonts w:eastAsia="Times New Roman"/>
        </w:rPr>
      </w:pPr>
      <w:r>
        <w:rPr>
          <w:rFonts w:ascii="Arial" w:eastAsia="Times New Roman" w:hAnsi="Arial" w:cs="Arial"/>
          <w:color w:val="000000"/>
          <w:sz w:val="20"/>
          <w:szCs w:val="20"/>
        </w:rPr>
        <w:t>In response to COVID-19, Congress enacted the Coronavirus Aid, Rel</w:t>
      </w:r>
      <w:r>
        <w:rPr>
          <w:rFonts w:ascii="Arial" w:eastAsia="Times New Roman" w:hAnsi="Arial" w:cs="Arial"/>
          <w:color w:val="000000"/>
          <w:sz w:val="20"/>
          <w:szCs w:val="20"/>
        </w:rPr>
        <w:t>ief, and Economic Security Act (“CARES Act”) on March 27, 2020. The CARES Act provides various tax provisions, including payroll tax provisions, which we have evaluated for applicability. Through December 31, 2020, we deferred approximately $132 million of</w:t>
      </w:r>
      <w:r>
        <w:rPr>
          <w:rFonts w:ascii="Arial" w:eastAsia="Times New Roman" w:hAnsi="Arial" w:cs="Arial"/>
          <w:color w:val="000000"/>
          <w:sz w:val="20"/>
          <w:szCs w:val="20"/>
        </w:rPr>
        <w:t xml:space="preserve"> payroll tax, which the CARES Act requires to be remitted by December 31, 2021 and December 31, 2022 in equal parts. The impact of the income tax provisions was not material. </w:t>
      </w:r>
    </w:p>
    <w:p w:rsidR="00000000" w:rsidRDefault="00A07857">
      <w:pPr>
        <w:ind w:firstLine="720"/>
        <w:jc w:val="both"/>
        <w:divId w:val="1985235876"/>
        <w:rPr>
          <w:rFonts w:eastAsia="Times New Roman"/>
        </w:rPr>
      </w:pPr>
      <w:r>
        <w:rPr>
          <w:rFonts w:ascii="Arial" w:eastAsia="Times New Roman" w:hAnsi="Arial" w:cs="Arial"/>
          <w:color w:val="000000"/>
          <w:sz w:val="20"/>
          <w:szCs w:val="20"/>
        </w:rPr>
        <w:t>We plan to reinvest our foreign earnings to fund future non-U.S. growth and expa</w:t>
      </w:r>
      <w:r>
        <w:rPr>
          <w:rFonts w:ascii="Arial" w:eastAsia="Times New Roman" w:hAnsi="Arial" w:cs="Arial"/>
          <w:color w:val="000000"/>
          <w:sz w:val="20"/>
          <w:szCs w:val="20"/>
        </w:rPr>
        <w:t>nsion, and we do not anticipate remitting such earnings to the United States. While U.S. federal tax expense has been recognized as a result of the Tax Cuts and Jobs Act of 2017, no deferred tax liabilities with respect to federal and state income taxes or</w:t>
      </w:r>
      <w:r>
        <w:rPr>
          <w:rFonts w:ascii="Arial" w:eastAsia="Times New Roman" w:hAnsi="Arial" w:cs="Arial"/>
          <w:color w:val="000000"/>
          <w:sz w:val="20"/>
          <w:szCs w:val="20"/>
        </w:rPr>
        <w:t xml:space="preserve"> foreign withholding taxes have been recognized. </w:t>
      </w:r>
    </w:p>
    <w:p w:rsidR="00000000" w:rsidRDefault="00A07857">
      <w:pPr>
        <w:ind w:firstLine="720"/>
        <w:divId w:val="1751997135"/>
        <w:rPr>
          <w:rFonts w:eastAsia="Times New Roman"/>
        </w:rPr>
      </w:pPr>
    </w:p>
    <w:p w:rsidR="00000000" w:rsidRDefault="00A07857">
      <w:pPr>
        <w:ind w:hanging="720"/>
        <w:divId w:val="1445345835"/>
        <w:rPr>
          <w:rFonts w:eastAsia="Times New Roman"/>
        </w:rPr>
      </w:pPr>
      <w:r>
        <w:rPr>
          <w:rFonts w:ascii="Arial" w:eastAsia="Times New Roman" w:hAnsi="Arial" w:cs="Arial"/>
          <w:b/>
          <w:bCs/>
          <w:color w:val="0046AD"/>
          <w:sz w:val="20"/>
          <w:szCs w:val="20"/>
        </w:rPr>
        <w:t xml:space="preserve">10. SEGMENT INFORMATION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213494328"/>
        </w:trPr>
        <w:tc>
          <w:tcPr>
            <w:tcW w:w="5" w:type="pct"/>
            <w:vAlign w:val="center"/>
            <w:hideMark/>
          </w:tcPr>
          <w:p w:rsidR="00000000" w:rsidRDefault="00A07857">
            <w:pPr>
              <w:ind w:hanging="720"/>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213494328"/>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ind w:firstLine="720"/>
        <w:jc w:val="both"/>
        <w:divId w:val="1020933086"/>
        <w:rPr>
          <w:rFonts w:eastAsia="Times New Roman"/>
        </w:rPr>
      </w:pPr>
      <w:r>
        <w:rPr>
          <w:rFonts w:ascii="Arial" w:eastAsia="Times New Roman" w:hAnsi="Arial" w:cs="Arial"/>
          <w:color w:val="000000"/>
          <w:sz w:val="20"/>
          <w:szCs w:val="20"/>
        </w:rPr>
        <w:t>Our current reportable segments consist of B&amp;I, T&amp;</w:t>
      </w:r>
      <w:r>
        <w:rPr>
          <w:rFonts w:ascii="Arial" w:eastAsia="Times New Roman" w:hAnsi="Arial" w:cs="Arial"/>
          <w:color w:val="000000"/>
          <w:sz w:val="20"/>
          <w:szCs w:val="20"/>
        </w:rPr>
        <w:t xml:space="preserve">M, Education, Aviation, and Technical Solutions, as further described below. </w:t>
      </w:r>
    </w:p>
    <w:tbl>
      <w:tblPr>
        <w:tblW w:w="5000" w:type="pct"/>
        <w:tblCellMar>
          <w:top w:w="15" w:type="dxa"/>
          <w:left w:w="15" w:type="dxa"/>
          <w:bottom w:w="15" w:type="dxa"/>
          <w:right w:w="15" w:type="dxa"/>
        </w:tblCellMar>
        <w:tblLook w:val="04A0" w:firstRow="1" w:lastRow="0" w:firstColumn="1" w:lastColumn="0" w:noHBand="0" w:noVBand="1"/>
      </w:tblPr>
      <w:tblGrid>
        <w:gridCol w:w="68"/>
        <w:gridCol w:w="2261"/>
        <w:gridCol w:w="38"/>
        <w:gridCol w:w="69"/>
        <w:gridCol w:w="5833"/>
        <w:gridCol w:w="37"/>
      </w:tblGrid>
      <w:tr w:rsidR="00000000">
        <w:trPr>
          <w:divId w:val="92550972"/>
        </w:trPr>
        <w:tc>
          <w:tcPr>
            <w:tcW w:w="50" w:type="pct"/>
            <w:vAlign w:val="center"/>
            <w:hideMark/>
          </w:tcPr>
          <w:p w:rsidR="00000000" w:rsidRDefault="00A07857">
            <w:pPr>
              <w:ind w:firstLine="720"/>
              <w:jc w:val="both"/>
              <w:rPr>
                <w:rFonts w:eastAsia="Times New Roman"/>
              </w:rPr>
            </w:pPr>
          </w:p>
        </w:tc>
        <w:tc>
          <w:tcPr>
            <w:tcW w:w="1370"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3519"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92550972"/>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46AD"/>
                <w:sz w:val="18"/>
                <w:szCs w:val="18"/>
              </w:rPr>
              <w:t>REPORTABLE SEGMENTS AND DESCRIPTIONS</w:t>
            </w:r>
          </w:p>
        </w:tc>
      </w:tr>
      <w:tr w:rsidR="00000000">
        <w:trPr>
          <w:divId w:val="92550972"/>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A07857">
            <w:pPr>
              <w:jc w:val="center"/>
              <w:divId w:val="1587223399"/>
              <w:rPr>
                <w:rFonts w:eastAsia="Times New Roman"/>
              </w:rPr>
            </w:pPr>
            <w:r>
              <w:rPr>
                <w:rFonts w:ascii="Arial" w:eastAsia="Times New Roman" w:hAnsi="Arial" w:cs="Arial"/>
                <w:color w:val="000000"/>
                <w:sz w:val="18"/>
                <w:szCs w:val="18"/>
              </w:rPr>
              <w:t>B&amp;I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A07857">
            <w:pPr>
              <w:jc w:val="both"/>
              <w:divId w:val="1216894402"/>
              <w:rPr>
                <w:rFonts w:eastAsia="Times New Roman"/>
              </w:rPr>
            </w:pPr>
            <w:r>
              <w:rPr>
                <w:rFonts w:ascii="Arial" w:eastAsia="Times New Roman" w:hAnsi="Arial" w:cs="Arial"/>
                <w:color w:val="000000"/>
                <w:sz w:val="18"/>
                <w:szCs w:val="18"/>
              </w:rPr>
              <w:t>B&amp;</w:t>
            </w:r>
            <w:r>
              <w:rPr>
                <w:rFonts w:ascii="Arial" w:eastAsia="Times New Roman" w:hAnsi="Arial" w:cs="Arial"/>
                <w:color w:val="000000"/>
                <w:sz w:val="18"/>
                <w:szCs w:val="18"/>
              </w:rPr>
              <w:t>I, our largest reportable segment, encompasses janitorial, facilities engineering, and parking services for commercial real estate properties, sports and entertainment venues, and traditional hospitals and non-acute healthcare facilities. B&amp;I also provides</w:t>
            </w:r>
            <w:r>
              <w:rPr>
                <w:rFonts w:ascii="Arial" w:eastAsia="Times New Roman" w:hAnsi="Arial" w:cs="Arial"/>
                <w:color w:val="000000"/>
                <w:sz w:val="18"/>
                <w:szCs w:val="18"/>
              </w:rPr>
              <w:t xml:space="preserve"> vehicle maintenance and other services to rental car providers.</w:t>
            </w:r>
          </w:p>
        </w:tc>
      </w:tr>
      <w:tr w:rsidR="00000000">
        <w:trPr>
          <w:divId w:val="92550972"/>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A07857">
            <w:pPr>
              <w:jc w:val="center"/>
              <w:divId w:val="363094793"/>
              <w:rPr>
                <w:rFonts w:eastAsia="Times New Roman"/>
              </w:rPr>
            </w:pPr>
            <w:r>
              <w:rPr>
                <w:rFonts w:ascii="Arial" w:eastAsia="Times New Roman" w:hAnsi="Arial" w:cs="Arial"/>
                <w:color w:val="000000"/>
                <w:sz w:val="18"/>
                <w:szCs w:val="18"/>
              </w:rPr>
              <w:t>T&amp;M</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A07857">
            <w:pPr>
              <w:jc w:val="both"/>
              <w:divId w:val="2011130232"/>
              <w:rPr>
                <w:rFonts w:eastAsia="Times New Roman"/>
              </w:rPr>
            </w:pPr>
            <w:r>
              <w:rPr>
                <w:rFonts w:ascii="Arial" w:eastAsia="Times New Roman" w:hAnsi="Arial" w:cs="Arial"/>
                <w:color w:val="000000"/>
                <w:sz w:val="18"/>
                <w:szCs w:val="18"/>
              </w:rPr>
              <w:t>T&amp;</w:t>
            </w:r>
            <w:r>
              <w:rPr>
                <w:rFonts w:ascii="Arial" w:eastAsia="Times New Roman" w:hAnsi="Arial" w:cs="Arial"/>
                <w:color w:val="000000"/>
                <w:sz w:val="18"/>
                <w:szCs w:val="18"/>
              </w:rPr>
              <w:t>M provides janitorial, facilities engineering, and parking services to industrial and high-tech manufacturing facilities.</w:t>
            </w:r>
          </w:p>
        </w:tc>
      </w:tr>
      <w:tr w:rsidR="00000000">
        <w:trPr>
          <w:divId w:val="92550972"/>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A07857">
            <w:pPr>
              <w:jc w:val="center"/>
              <w:divId w:val="1352611673"/>
              <w:rPr>
                <w:rFonts w:eastAsia="Times New Roman"/>
              </w:rPr>
            </w:pPr>
            <w:r>
              <w:rPr>
                <w:rFonts w:ascii="Arial" w:eastAsia="Times New Roman" w:hAnsi="Arial" w:cs="Arial"/>
                <w:color w:val="000000"/>
                <w:sz w:val="18"/>
                <w:szCs w:val="18"/>
              </w:rPr>
              <w:t>Education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A07857">
            <w:pPr>
              <w:jc w:val="both"/>
              <w:divId w:val="1480146178"/>
              <w:rPr>
                <w:rFonts w:eastAsia="Times New Roman"/>
              </w:rPr>
            </w:pPr>
            <w:r>
              <w:rPr>
                <w:rFonts w:ascii="Arial" w:eastAsia="Times New Roman" w:hAnsi="Arial" w:cs="Arial"/>
                <w:color w:val="000000"/>
                <w:sz w:val="18"/>
                <w:szCs w:val="18"/>
              </w:rPr>
              <w:t>Education delivers janitorial, custodial, landscaping and grounds, facilities engineering, and parking services for pub</w:t>
            </w:r>
            <w:r>
              <w:rPr>
                <w:rFonts w:ascii="Arial" w:eastAsia="Times New Roman" w:hAnsi="Arial" w:cs="Arial"/>
                <w:color w:val="000000"/>
                <w:sz w:val="18"/>
                <w:szCs w:val="18"/>
              </w:rPr>
              <w:t>lic school districts, private schools, colleges, and universities.</w:t>
            </w:r>
          </w:p>
        </w:tc>
      </w:tr>
      <w:tr w:rsidR="00000000">
        <w:trPr>
          <w:divId w:val="92550972"/>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A07857">
            <w:pPr>
              <w:jc w:val="center"/>
              <w:divId w:val="164826029"/>
              <w:rPr>
                <w:rFonts w:eastAsia="Times New Roman"/>
              </w:rPr>
            </w:pPr>
            <w:r>
              <w:rPr>
                <w:rFonts w:ascii="Arial" w:eastAsia="Times New Roman" w:hAnsi="Arial" w:cs="Arial"/>
                <w:color w:val="000000"/>
                <w:sz w:val="18"/>
                <w:szCs w:val="18"/>
              </w:rPr>
              <w:t>Aviation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A07857">
            <w:pPr>
              <w:jc w:val="both"/>
              <w:divId w:val="2135050841"/>
              <w:rPr>
                <w:rFonts w:eastAsia="Times New Roman"/>
              </w:rPr>
            </w:pPr>
            <w:r>
              <w:rPr>
                <w:rFonts w:ascii="Arial" w:eastAsia="Times New Roman" w:hAnsi="Arial" w:cs="Arial"/>
                <w:color w:val="000000"/>
                <w:sz w:val="18"/>
                <w:szCs w:val="18"/>
              </w:rPr>
              <w:t>Aviation supports airlines and airports with services ranging from parking and janitorial to passenger assistance, catering logistics, air cabin maintenance, and transportation.</w:t>
            </w:r>
          </w:p>
        </w:tc>
      </w:tr>
      <w:tr w:rsidR="00000000">
        <w:trPr>
          <w:divId w:val="92550972"/>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rsidR="00000000" w:rsidRDefault="00A07857">
            <w:pPr>
              <w:jc w:val="center"/>
              <w:divId w:val="1460420546"/>
              <w:rPr>
                <w:rFonts w:eastAsia="Times New Roman"/>
              </w:rPr>
            </w:pPr>
            <w:r>
              <w:rPr>
                <w:rFonts w:ascii="Arial" w:eastAsia="Times New Roman" w:hAnsi="Arial" w:cs="Arial"/>
                <w:color w:val="000000"/>
                <w:sz w:val="18"/>
                <w:szCs w:val="18"/>
              </w:rPr>
              <w:t>Technical Solutions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A07857">
            <w:pPr>
              <w:jc w:val="both"/>
              <w:divId w:val="193081448"/>
              <w:rPr>
                <w:rFonts w:eastAsia="Times New Roman"/>
              </w:rPr>
            </w:pPr>
            <w:r>
              <w:rPr>
                <w:rFonts w:ascii="Arial" w:eastAsia="Times New Roman" w:hAnsi="Arial" w:cs="Arial"/>
                <w:color w:val="000000"/>
                <w:sz w:val="18"/>
                <w:szCs w:val="18"/>
              </w:rPr>
              <w:t>Technical Solutions specializes in mechanical and electrical services. These services can also be leveraged for cross-selling across all of our industry groups, both domestically and internationally.</w:t>
            </w:r>
          </w:p>
        </w:tc>
      </w:tr>
    </w:tbl>
    <w:p w:rsidR="00000000" w:rsidRDefault="00A07857">
      <w:pPr>
        <w:jc w:val="center"/>
        <w:divId w:val="197358251"/>
        <w:rPr>
          <w:rFonts w:eastAsia="Times New Roman"/>
        </w:rPr>
      </w:pPr>
      <w:r>
        <w:rPr>
          <w:rFonts w:ascii="Arial" w:eastAsia="Times New Roman" w:hAnsi="Arial" w:cs="Arial"/>
          <w:color w:val="000000"/>
          <w:sz w:val="20"/>
          <w:szCs w:val="20"/>
        </w:rPr>
        <w:t>19</w:t>
      </w:r>
    </w:p>
    <w:p w:rsidR="00000000" w:rsidRDefault="00A07857">
      <w:pPr>
        <w:rPr>
          <w:rFonts w:eastAsia="Times New Roman"/>
        </w:rPr>
      </w:pPr>
      <w:r>
        <w:rPr>
          <w:rFonts w:eastAsia="Times New Roman"/>
        </w:rPr>
        <w:pict>
          <v:rect id="_x0000_i1049" style="width:0;height:1.5pt" o:hralign="center" o:hrstd="t" o:hr="t" fillcolor="#a0a0a0" stroked="f"/>
        </w:pict>
      </w:r>
    </w:p>
    <w:p w:rsidR="00000000" w:rsidRDefault="00A07857">
      <w:pPr>
        <w:jc w:val="both"/>
        <w:divId w:val="1831674838"/>
        <w:rPr>
          <w:rFonts w:eastAsia="Times New Roman"/>
        </w:rPr>
      </w:pPr>
    </w:p>
    <w:p w:rsidR="00000000" w:rsidRDefault="00A07857">
      <w:pPr>
        <w:jc w:val="both"/>
        <w:divId w:val="1356612683"/>
        <w:rPr>
          <w:rFonts w:eastAsia="Times New Roman"/>
        </w:rPr>
      </w:pPr>
      <w:r>
        <w:rPr>
          <w:rFonts w:ascii="Arial" w:eastAsia="Times New Roman" w:hAnsi="Arial" w:cs="Arial"/>
          <w:b/>
          <w:bCs/>
          <w:i/>
          <w:iCs/>
          <w:color w:val="0046AD"/>
          <w:sz w:val="20"/>
          <w:szCs w:val="20"/>
        </w:rPr>
        <w:t>Financial Information by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5392"/>
        <w:gridCol w:w="38"/>
        <w:gridCol w:w="121"/>
        <w:gridCol w:w="1224"/>
        <w:gridCol w:w="36"/>
        <w:gridCol w:w="36"/>
        <w:gridCol w:w="36"/>
        <w:gridCol w:w="36"/>
        <w:gridCol w:w="121"/>
        <w:gridCol w:w="1190"/>
        <w:gridCol w:w="36"/>
      </w:tblGrid>
      <w:tr w:rsidR="00000000">
        <w:trPr>
          <w:divId w:val="1715042436"/>
        </w:trPr>
        <w:tc>
          <w:tcPr>
            <w:tcW w:w="50" w:type="pct"/>
            <w:vAlign w:val="center"/>
            <w:hideMark/>
          </w:tcPr>
          <w:p w:rsidR="00000000" w:rsidRDefault="00A07857">
            <w:pPr>
              <w:jc w:val="both"/>
              <w:rPr>
                <w:rFonts w:eastAsia="Times New Roman"/>
              </w:rPr>
            </w:pPr>
          </w:p>
        </w:tc>
        <w:tc>
          <w:tcPr>
            <w:tcW w:w="3271"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63"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63"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715042436"/>
        </w:trPr>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w:t>
            </w:r>
          </w:p>
        </w:tc>
      </w:tr>
      <w:tr w:rsidR="00000000">
        <w:trPr>
          <w:divId w:val="1715042436"/>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2020</w:t>
            </w:r>
          </w:p>
        </w:tc>
      </w:tr>
      <w:tr w:rsidR="00000000">
        <w:trPr>
          <w:divId w:val="1715042436"/>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715042436"/>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809.4 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820.9 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249.2 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233.9 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209.4 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208.0 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143.1 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238.7 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113.4 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142.0 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Elimination of inter-segment revenues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(32.1)</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(30.6)</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1,492.4 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1,612.9 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Operating profit (loss)</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715042436"/>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85.7 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38.2 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26.9 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16.7 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21.5 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Corporate</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(32.6)</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(33.3)</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DCE2EF"/>
            <w:tcMar>
              <w:top w:w="30" w:type="dxa"/>
              <w:left w:w="200" w:type="dxa"/>
              <w:bottom w:w="30" w:type="dxa"/>
              <w:right w:w="20" w:type="dxa"/>
            </w:tcMar>
            <w:hideMark/>
          </w:tcPr>
          <w:p w:rsidR="00000000" w:rsidRDefault="00A07857">
            <w:pPr>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(0.6)</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(0.9)</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FFFFFF"/>
            <w:tcMar>
              <w:top w:w="30" w:type="dxa"/>
              <w:left w:w="20" w:type="dxa"/>
              <w:bottom w:w="30" w:type="dxa"/>
              <w:right w:w="20" w:type="dxa"/>
            </w:tcMar>
            <w:hideMark/>
          </w:tcPr>
          <w:p w:rsidR="00000000" w:rsidRDefault="00A07857">
            <w:pPr>
              <w:ind w:hanging="180"/>
              <w:divId w:val="225262284"/>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109.7 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45.8 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from unconsolidated affiliates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Interest expense</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(8.5)</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(10.2)</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715042436"/>
        </w:trPr>
        <w:tc>
          <w:tcPr>
            <w:tcW w:w="0" w:type="auto"/>
            <w:gridSpan w:val="3"/>
            <w:shd w:val="clear" w:color="auto" w:fill="FFFFFF"/>
            <w:tcMar>
              <w:top w:w="30" w:type="dxa"/>
              <w:left w:w="200" w:type="dxa"/>
              <w:bottom w:w="30" w:type="dxa"/>
              <w:right w:w="20" w:type="dxa"/>
            </w:tcMar>
            <w:hideMark/>
          </w:tcPr>
          <w:p w:rsidR="00000000" w:rsidRDefault="00A07857">
            <w:pPr>
              <w:ind w:hanging="180"/>
              <w:rPr>
                <w:rFonts w:eastAsia="Times New Roman"/>
              </w:rPr>
            </w:pPr>
            <w:r>
              <w:rPr>
                <w:rFonts w:ascii="Arial" w:eastAsia="Times New Roman" w:hAnsi="Arial" w:cs="Arial"/>
                <w:color w:val="000000"/>
                <w:sz w:val="18"/>
                <w:szCs w:val="18"/>
              </w:rPr>
              <w:t>Income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ind w:firstLine="720"/>
        <w:jc w:val="both"/>
        <w:divId w:val="85420664"/>
        <w:rPr>
          <w:rFonts w:eastAsia="Times New Roman"/>
        </w:rPr>
      </w:pPr>
      <w:r>
        <w:rPr>
          <w:rFonts w:ascii="Arial" w:eastAsia="Times New Roman" w:hAnsi="Arial" w:cs="Arial"/>
          <w:color w:val="000000"/>
          <w:sz w:val="20"/>
          <w:szCs w:val="20"/>
        </w:rPr>
        <w:t xml:space="preserve">The accounting policies for our segments are the same as those disclosed within our significant accounting policies in Note 2, “Basis of Presentation and Significant Accounting Policies.” Our management evaluates the performance of each reportable segment </w:t>
      </w:r>
      <w:r>
        <w:rPr>
          <w:rFonts w:ascii="Arial" w:eastAsia="Times New Roman" w:hAnsi="Arial" w:cs="Arial"/>
          <w:color w:val="000000"/>
          <w:sz w:val="20"/>
          <w:szCs w:val="20"/>
        </w:rPr>
        <w:t>based on its respective operating profit results, which include the allocation of certain centrally incurred costs. Corporate expenses not allocated to segments include certain CEO and other finance and human resource departmental expenses, certain informa</w:t>
      </w:r>
      <w:r>
        <w:rPr>
          <w:rFonts w:ascii="Arial" w:eastAsia="Times New Roman" w:hAnsi="Arial" w:cs="Arial"/>
          <w:color w:val="000000"/>
          <w:sz w:val="20"/>
          <w:szCs w:val="20"/>
        </w:rPr>
        <w:t>tion technology costs, share-based compensation, certain legal costs and settlements, restructuring and related costs, certain actuarial adjustments to self-insurance reserves, and direct acquisition costs. Management does not review asset information by s</w:t>
      </w:r>
      <w:r>
        <w:rPr>
          <w:rFonts w:ascii="Arial" w:eastAsia="Times New Roman" w:hAnsi="Arial" w:cs="Arial"/>
          <w:color w:val="000000"/>
          <w:sz w:val="20"/>
          <w:szCs w:val="20"/>
        </w:rPr>
        <w:t>egment, therefore we do not present assets in this note.</w:t>
      </w:r>
    </w:p>
    <w:p w:rsidR="00000000" w:rsidRDefault="00A07857">
      <w:pPr>
        <w:jc w:val="center"/>
        <w:divId w:val="928585442"/>
        <w:rPr>
          <w:rFonts w:eastAsia="Times New Roman"/>
        </w:rPr>
      </w:pPr>
      <w:r>
        <w:rPr>
          <w:rFonts w:ascii="Arial" w:eastAsia="Times New Roman" w:hAnsi="Arial" w:cs="Arial"/>
          <w:color w:val="000000"/>
          <w:sz w:val="20"/>
          <w:szCs w:val="20"/>
        </w:rPr>
        <w:t>20</w:t>
      </w:r>
    </w:p>
    <w:p w:rsidR="00000000" w:rsidRDefault="00A07857">
      <w:pPr>
        <w:rPr>
          <w:rFonts w:eastAsia="Times New Roman"/>
        </w:rPr>
      </w:pPr>
      <w:r>
        <w:rPr>
          <w:rFonts w:eastAsia="Times New Roman"/>
        </w:rPr>
        <w:pict>
          <v:rect id="_x0000_i1050" style="width:0;height:1.5pt" o:hralign="center" o:hrstd="t" o:hr="t" fillcolor="#a0a0a0" stroked="f"/>
        </w:pict>
      </w:r>
    </w:p>
    <w:p w:rsidR="00000000" w:rsidRDefault="00A07857">
      <w:pPr>
        <w:jc w:val="both"/>
        <w:divId w:val="1336153394"/>
        <w:rPr>
          <w:rFonts w:eastAsia="Times New Roman"/>
        </w:rPr>
      </w:pPr>
    </w:p>
    <w:p w:rsidR="00000000" w:rsidRDefault="00A07857">
      <w:pPr>
        <w:jc w:val="both"/>
        <w:divId w:val="445320515"/>
        <w:rPr>
          <w:rFonts w:eastAsia="Times New Roman"/>
        </w:rPr>
      </w:pPr>
      <w:r>
        <w:rPr>
          <w:rFonts w:ascii="Arial" w:eastAsia="Times New Roman" w:hAnsi="Arial" w:cs="Arial"/>
          <w:b/>
          <w:bCs/>
          <w:color w:val="0046AD"/>
          <w:sz w:val="20"/>
          <w:szCs w:val="20"/>
        </w:rPr>
        <w:t>ITEM 2. MANAGEMENT’S DISCUSSION AND ANALYSIS OF FINANCIAL CONDITION AND RESULTS OF OPERATIONS.</w:t>
      </w:r>
    </w:p>
    <w:p w:rsidR="00000000" w:rsidRDefault="00A07857">
      <w:pPr>
        <w:ind w:firstLine="720"/>
        <w:jc w:val="both"/>
        <w:divId w:val="1114903603"/>
        <w:rPr>
          <w:rFonts w:eastAsia="Times New Roman"/>
        </w:rPr>
      </w:pPr>
      <w:r>
        <w:rPr>
          <w:rFonts w:ascii="Arial" w:eastAsia="Times New Roman" w:hAnsi="Arial" w:cs="Arial"/>
          <w:color w:val="000000"/>
          <w:sz w:val="20"/>
          <w:szCs w:val="20"/>
        </w:rPr>
        <w:t>The following Management’s Discussion and Analysis of Financial Condition and Results of Operations (“MD&amp;A”) is intended to</w:t>
      </w:r>
      <w:r>
        <w:rPr>
          <w:rFonts w:ascii="Arial" w:eastAsia="Times New Roman" w:hAnsi="Arial" w:cs="Arial"/>
          <w:color w:val="000000"/>
          <w:sz w:val="20"/>
          <w:szCs w:val="20"/>
        </w:rPr>
        <w:t xml:space="preserve"> facilitate an understanding of the results of operations and financial condition of ABM. This MD&amp;A is provided as a supplement to, and should be read in conjunction with, our Financial Statements and our Annual Report on Form 10-K for the year ended Octob</w:t>
      </w:r>
      <w:r>
        <w:rPr>
          <w:rFonts w:ascii="Arial" w:eastAsia="Times New Roman" w:hAnsi="Arial" w:cs="Arial"/>
          <w:color w:val="000000"/>
          <w:sz w:val="20"/>
          <w:szCs w:val="20"/>
        </w:rPr>
        <w:t>er 31, 2020, which has been filed with the SEC. This MD&amp;A contains forward-looking statements about our business, operations, and industry that involve risks and uncertainties, such as statements regarding our plans, objectives, expectations, and intention</w:t>
      </w:r>
      <w:r>
        <w:rPr>
          <w:rFonts w:ascii="Arial" w:eastAsia="Times New Roman" w:hAnsi="Arial" w:cs="Arial"/>
          <w:color w:val="000000"/>
          <w:sz w:val="20"/>
          <w:szCs w:val="20"/>
        </w:rPr>
        <w:t>s. Our future results and financial condition may be materially different from those we currently anticipate. See “Forward-Looking Statements” for more information.</w:t>
      </w:r>
    </w:p>
    <w:p w:rsidR="00000000" w:rsidRDefault="00A07857">
      <w:pPr>
        <w:ind w:firstLine="720"/>
        <w:jc w:val="both"/>
        <w:divId w:val="2047438498"/>
        <w:rPr>
          <w:rFonts w:eastAsia="Times New Roman"/>
        </w:rPr>
      </w:pPr>
      <w:r>
        <w:rPr>
          <w:rFonts w:ascii="Arial" w:eastAsia="Times New Roman" w:hAnsi="Arial" w:cs="Arial"/>
          <w:color w:val="000000"/>
          <w:sz w:val="20"/>
          <w:szCs w:val="20"/>
        </w:rPr>
        <w:t>Throughout the MD&amp;A, amounts and percentages may not recalculate due to rounding. Unless ot</w:t>
      </w:r>
      <w:r>
        <w:rPr>
          <w:rFonts w:ascii="Arial" w:eastAsia="Times New Roman" w:hAnsi="Arial" w:cs="Arial"/>
          <w:color w:val="000000"/>
          <w:sz w:val="20"/>
          <w:szCs w:val="20"/>
        </w:rPr>
        <w:t xml:space="preserve">herwise indicated, all information in the MD&amp;A and references to years are based on our fiscal years, which end on October 31. </w:t>
      </w:r>
    </w:p>
    <w:p w:rsidR="00000000" w:rsidRDefault="00A07857">
      <w:pPr>
        <w:divId w:val="1655404044"/>
        <w:rPr>
          <w:rFonts w:eastAsia="Times New Roman"/>
        </w:rPr>
      </w:pPr>
      <w:r>
        <w:rPr>
          <w:rFonts w:ascii="Arial" w:eastAsia="Times New Roman" w:hAnsi="Arial" w:cs="Arial"/>
          <w:b/>
          <w:bCs/>
          <w:color w:val="0046AD"/>
          <w:sz w:val="20"/>
          <w:szCs w:val="20"/>
        </w:rPr>
        <w:t>Business Overview</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503665157"/>
        </w:trPr>
        <w:tc>
          <w:tcPr>
            <w:tcW w:w="5" w:type="pct"/>
            <w:vAlign w:val="center"/>
            <w:hideMark/>
          </w:tcPr>
          <w:p w:rsidR="00000000" w:rsidRDefault="00A07857">
            <w:pPr>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50366515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ind w:firstLine="720"/>
        <w:jc w:val="both"/>
        <w:divId w:val="728453186"/>
        <w:rPr>
          <w:rFonts w:eastAsia="Times New Roman"/>
        </w:rPr>
      </w:pPr>
      <w:r>
        <w:rPr>
          <w:rFonts w:ascii="Arial" w:eastAsia="Times New Roman" w:hAnsi="Arial" w:cs="Arial"/>
          <w:color w:val="000000"/>
          <w:sz w:val="20"/>
          <w:szCs w:val="20"/>
        </w:rPr>
        <w:t xml:space="preserve">ABM is a leading provider of integrated facility solutions, customized by industry,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748571226"/>
        </w:trPr>
        <w:tc>
          <w:tcPr>
            <w:tcW w:w="5" w:type="pct"/>
            <w:vAlign w:val="center"/>
            <w:hideMark/>
          </w:tcPr>
          <w:p w:rsidR="00000000" w:rsidRDefault="00A07857">
            <w:pPr>
              <w:ind w:firstLine="720"/>
              <w:jc w:val="both"/>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748571226"/>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jc w:val="both"/>
        <w:divId w:val="1447626971"/>
        <w:rPr>
          <w:rFonts w:eastAsia="Times New Roman"/>
        </w:rPr>
      </w:pPr>
      <w:r>
        <w:rPr>
          <w:rFonts w:ascii="Arial" w:eastAsia="Times New Roman" w:hAnsi="Arial" w:cs="Arial"/>
          <w:b/>
          <w:bCs/>
          <w:color w:val="0046AD"/>
          <w:sz w:val="20"/>
          <w:szCs w:val="20"/>
        </w:rPr>
        <w:t>COVID-19 Pandemic</w:t>
      </w:r>
    </w:p>
    <w:p w:rsidR="00000000" w:rsidRDefault="00A07857">
      <w:pPr>
        <w:ind w:firstLine="720"/>
        <w:jc w:val="both"/>
        <w:divId w:val="1070079984"/>
        <w:rPr>
          <w:rFonts w:eastAsia="Times New Roman"/>
        </w:rPr>
      </w:pPr>
      <w:r>
        <w:rPr>
          <w:rFonts w:ascii="Arial" w:eastAsia="Times New Roman" w:hAnsi="Arial" w:cs="Arial"/>
          <w:color w:val="000000"/>
          <w:sz w:val="20"/>
          <w:szCs w:val="20"/>
        </w:rPr>
        <w:t>COVID-19 has resulted in a worldwide health Pandemic. To date, COVID-19 has surfaced in regions all around the world and resulted in business slowdowns and shutdowns, as well as global travel restrictions. We, along with many of our clients, have been impa</w:t>
      </w:r>
      <w:r>
        <w:rPr>
          <w:rFonts w:ascii="Arial" w:eastAsia="Times New Roman" w:hAnsi="Arial" w:cs="Arial"/>
          <w:color w:val="000000"/>
          <w:sz w:val="20"/>
          <w:szCs w:val="20"/>
        </w:rPr>
        <w:t>cted by recommendations and/or mandates from federal, state, and local authorities to practice social distancing, to refrain from gathering in groups, and, in some areas, to refrain from non-essential movements outside of homes. The Pandemic has also creat</w:t>
      </w:r>
      <w:r>
        <w:rPr>
          <w:rFonts w:ascii="Arial" w:eastAsia="Times New Roman" w:hAnsi="Arial" w:cs="Arial"/>
          <w:color w:val="000000"/>
          <w:sz w:val="20"/>
          <w:szCs w:val="20"/>
        </w:rPr>
        <w:t>ed unanticipated circumstances and uncertainty, disruption, and significant volatility in the broader economy. Refer to “Consolidated Results of Operations” and “Results of Operations by Segment” for additional information related to the impact of the Pand</w:t>
      </w:r>
      <w:r>
        <w:rPr>
          <w:rFonts w:ascii="Arial" w:eastAsia="Times New Roman" w:hAnsi="Arial" w:cs="Arial"/>
          <w:color w:val="000000"/>
          <w:sz w:val="20"/>
          <w:szCs w:val="20"/>
        </w:rPr>
        <w:t xml:space="preserve">emic on our financial results. </w:t>
      </w:r>
    </w:p>
    <w:p w:rsidR="00000000" w:rsidRDefault="00A07857">
      <w:pPr>
        <w:ind w:firstLine="720"/>
        <w:jc w:val="both"/>
        <w:divId w:val="956988127"/>
        <w:rPr>
          <w:rFonts w:eastAsia="Times New Roman"/>
        </w:rPr>
      </w:pPr>
      <w:r>
        <w:rPr>
          <w:rFonts w:ascii="Arial" w:eastAsia="Times New Roman" w:hAnsi="Arial" w:cs="Arial"/>
          <w:color w:val="000000"/>
          <w:sz w:val="20"/>
          <w:szCs w:val="20"/>
        </w:rPr>
        <w:t xml:space="preserve">Given the unprecedented and uncertain nature and potential duration of this situation, we cannot reasonably estimate the full extent of the impact the Pandemic will have on our financial condition, results of operations, or </w:t>
      </w:r>
      <w:r>
        <w:rPr>
          <w:rFonts w:ascii="Arial" w:eastAsia="Times New Roman" w:hAnsi="Arial" w:cs="Arial"/>
          <w:color w:val="000000"/>
          <w:sz w:val="20"/>
          <w:szCs w:val="20"/>
        </w:rPr>
        <w:t xml:space="preserve">cash flows. The ultimate extent of the effects of the Pandemic on our company is highly uncertain and will depend on future developments, and such effects could exist for an extended period of time even after the Pandemic subsides. </w:t>
      </w:r>
    </w:p>
    <w:p w:rsidR="00000000" w:rsidRDefault="00A07857">
      <w:pPr>
        <w:ind w:firstLine="720"/>
        <w:jc w:val="both"/>
        <w:divId w:val="2043703290"/>
        <w:rPr>
          <w:rFonts w:eastAsia="Times New Roman"/>
        </w:rPr>
      </w:pPr>
      <w:r>
        <w:rPr>
          <w:rFonts w:ascii="Arial" w:eastAsia="Times New Roman" w:hAnsi="Arial" w:cs="Arial"/>
          <w:color w:val="000000"/>
          <w:sz w:val="20"/>
          <w:szCs w:val="20"/>
        </w:rPr>
        <w:t>Our priority has been a</w:t>
      </w:r>
      <w:r>
        <w:rPr>
          <w:rFonts w:ascii="Arial" w:eastAsia="Times New Roman" w:hAnsi="Arial" w:cs="Arial"/>
          <w:color w:val="000000"/>
          <w:sz w:val="20"/>
          <w:szCs w:val="20"/>
        </w:rPr>
        <w:t>nd continues to be the health, safety, and support of our employees, our clients, and the communities that we serve. We have also taken actions to strengthen our liquidity, cash flows, and financial position to help mitigate potential future impacts on our</w:t>
      </w:r>
      <w:r>
        <w:rPr>
          <w:rFonts w:ascii="Arial" w:eastAsia="Times New Roman" w:hAnsi="Arial" w:cs="Arial"/>
          <w:color w:val="000000"/>
          <w:sz w:val="20"/>
          <w:szCs w:val="20"/>
        </w:rPr>
        <w:t xml:space="preserve"> operations and financial performance. These priorities and measures include, but are not limited to, the following:</w:t>
      </w:r>
    </w:p>
    <w:p w:rsidR="00000000" w:rsidRDefault="00A07857">
      <w:pPr>
        <w:ind w:firstLine="720"/>
        <w:jc w:val="both"/>
        <w:divId w:val="2115585769"/>
        <w:rPr>
          <w:rFonts w:eastAsia="Times New Roman"/>
        </w:rPr>
      </w:pPr>
      <w:r>
        <w:rPr>
          <w:rFonts w:ascii="Arial" w:eastAsia="Times New Roman" w:hAnsi="Arial" w:cs="Arial"/>
          <w:i/>
          <w:iCs/>
          <w:color w:val="0046AD"/>
          <w:sz w:val="20"/>
          <w:szCs w:val="20"/>
        </w:rPr>
        <w:t>Health and Safety of our Employees and Clients</w:t>
      </w:r>
    </w:p>
    <w:p w:rsidR="00000000" w:rsidRDefault="00A07857">
      <w:pPr>
        <w:ind w:firstLine="720"/>
        <w:jc w:val="both"/>
        <w:divId w:val="45031722"/>
        <w:rPr>
          <w:rFonts w:eastAsia="Times New Roman"/>
        </w:rPr>
      </w:pPr>
      <w:r>
        <w:rPr>
          <w:rFonts w:ascii="Arial" w:eastAsia="Times New Roman" w:hAnsi="Arial" w:cs="Arial"/>
          <w:color w:val="000000"/>
          <w:sz w:val="20"/>
          <w:szCs w:val="20"/>
        </w:rPr>
        <w:t>As the Pandemic has developed, we have taken steps to support our employees and clients base</w:t>
      </w:r>
      <w:r>
        <w:rPr>
          <w:rFonts w:ascii="Arial" w:eastAsia="Times New Roman" w:hAnsi="Arial" w:cs="Arial"/>
          <w:color w:val="000000"/>
          <w:sz w:val="20"/>
          <w:szCs w:val="20"/>
        </w:rPr>
        <w:t>d on recommendations from various global experts, including the World Health Organization, the Centers for Disease Control and Prevention, the Occupational Safety and Health Administration, and the U.K. National Health Service. To help protect our employee</w:t>
      </w:r>
      <w:r>
        <w:rPr>
          <w:rFonts w:ascii="Arial" w:eastAsia="Times New Roman" w:hAnsi="Arial" w:cs="Arial"/>
          <w:color w:val="000000"/>
          <w:sz w:val="20"/>
          <w:szCs w:val="20"/>
        </w:rPr>
        <w:t>s and our clients, face masks and other personal protective equipment (“PPE”) are being used by our employees. We have also encouraged our employees to practice social distancing and wash hands frequently. Additionally, we transitioned many office-based em</w:t>
      </w:r>
      <w:r>
        <w:rPr>
          <w:rFonts w:ascii="Arial" w:eastAsia="Times New Roman" w:hAnsi="Arial" w:cs="Arial"/>
          <w:color w:val="000000"/>
          <w:sz w:val="20"/>
          <w:szCs w:val="20"/>
        </w:rPr>
        <w:t xml:space="preserve">ployees to a remote work environment, suspended non-essential travel, and adopted technologies to allow employees to effectively perform their functions remotely. </w:t>
      </w:r>
    </w:p>
    <w:p w:rsidR="00000000" w:rsidRDefault="00A07857">
      <w:pPr>
        <w:ind w:firstLine="720"/>
        <w:divId w:val="1752775661"/>
        <w:rPr>
          <w:rFonts w:eastAsia="Times New Roman"/>
        </w:rPr>
      </w:pPr>
      <w:r>
        <w:rPr>
          <w:rFonts w:ascii="Arial" w:eastAsia="Times New Roman" w:hAnsi="Arial" w:cs="Arial"/>
          <w:i/>
          <w:iCs/>
          <w:color w:val="0046AD"/>
          <w:sz w:val="20"/>
          <w:szCs w:val="20"/>
        </w:rPr>
        <w:t>Client Focus</w:t>
      </w:r>
    </w:p>
    <w:p w:rsidR="00000000" w:rsidRDefault="00A07857">
      <w:pPr>
        <w:ind w:firstLine="720"/>
        <w:jc w:val="both"/>
        <w:divId w:val="376468437"/>
        <w:rPr>
          <w:rFonts w:eastAsia="Times New Roman"/>
        </w:rPr>
      </w:pPr>
      <w:r>
        <w:rPr>
          <w:rFonts w:ascii="Arial" w:eastAsia="Times New Roman" w:hAnsi="Arial" w:cs="Arial"/>
          <w:color w:val="000000"/>
          <w:sz w:val="20"/>
          <w:szCs w:val="20"/>
        </w:rPr>
        <w:t>Over the past few years, we have focused on consolidating purchasing activities</w:t>
      </w:r>
      <w:r>
        <w:rPr>
          <w:rFonts w:ascii="Arial" w:eastAsia="Times New Roman" w:hAnsi="Arial" w:cs="Arial"/>
          <w:color w:val="000000"/>
          <w:sz w:val="20"/>
          <w:szCs w:val="20"/>
        </w:rPr>
        <w:t xml:space="preserve"> to leverage our scale and identify preferred suppliers. While we have seen a reduction in the availability of supplies and an increase in costs, our procurement efforts have helped create a positive supply chain for our company and </w:t>
      </w:r>
    </w:p>
    <w:p w:rsidR="00000000" w:rsidRDefault="00A07857">
      <w:pPr>
        <w:jc w:val="center"/>
        <w:divId w:val="1853565084"/>
        <w:rPr>
          <w:rFonts w:eastAsia="Times New Roman"/>
        </w:rPr>
      </w:pPr>
      <w:r>
        <w:rPr>
          <w:rFonts w:ascii="Arial" w:eastAsia="Times New Roman" w:hAnsi="Arial" w:cs="Arial"/>
          <w:color w:val="000000"/>
          <w:sz w:val="20"/>
          <w:szCs w:val="20"/>
        </w:rPr>
        <w:t>21</w:t>
      </w:r>
    </w:p>
    <w:p w:rsidR="00000000" w:rsidRDefault="00A07857">
      <w:pPr>
        <w:rPr>
          <w:rFonts w:eastAsia="Times New Roman"/>
        </w:rPr>
      </w:pPr>
      <w:r>
        <w:rPr>
          <w:rFonts w:eastAsia="Times New Roman"/>
        </w:rPr>
        <w:pict>
          <v:rect id="_x0000_i1051" style="width:0;height:1.5pt" o:hralign="center" o:hrstd="t" o:hr="t" fillcolor="#a0a0a0" stroked="f"/>
        </w:pict>
      </w:r>
    </w:p>
    <w:p w:rsidR="00000000" w:rsidRDefault="00A07857">
      <w:pPr>
        <w:jc w:val="both"/>
        <w:divId w:val="689449119"/>
        <w:rPr>
          <w:rFonts w:eastAsia="Times New Roman"/>
        </w:rPr>
      </w:pPr>
    </w:p>
    <w:p w:rsidR="00000000" w:rsidRDefault="00A07857">
      <w:pPr>
        <w:jc w:val="both"/>
        <w:divId w:val="1938519675"/>
        <w:rPr>
          <w:rFonts w:eastAsia="Times New Roman"/>
        </w:rPr>
      </w:pPr>
      <w:r>
        <w:rPr>
          <w:rFonts w:ascii="Arial" w:eastAsia="Times New Roman" w:hAnsi="Arial" w:cs="Arial"/>
          <w:color w:val="000000"/>
          <w:sz w:val="20"/>
          <w:szCs w:val="20"/>
        </w:rPr>
        <w:t xml:space="preserve">clients during the Pandemic, particularly as city and state mandates on PPE for employees have arisen. We will continue to monitor our supply chain for potential impacts as future developments unfold. </w:t>
      </w:r>
    </w:p>
    <w:p w:rsidR="00000000" w:rsidRDefault="00A07857">
      <w:pPr>
        <w:ind w:firstLine="720"/>
        <w:jc w:val="both"/>
        <w:divId w:val="1957254954"/>
        <w:rPr>
          <w:rFonts w:eastAsia="Times New Roman"/>
        </w:rPr>
      </w:pPr>
      <w:r>
        <w:rPr>
          <w:rFonts w:ascii="Arial" w:eastAsia="Times New Roman" w:hAnsi="Arial" w:cs="Arial"/>
          <w:color w:val="000000"/>
          <w:sz w:val="20"/>
          <w:szCs w:val="20"/>
        </w:rPr>
        <w:t>The Pandemic continues to create a dynamic client envi</w:t>
      </w:r>
      <w:r>
        <w:rPr>
          <w:rFonts w:ascii="Arial" w:eastAsia="Times New Roman" w:hAnsi="Arial" w:cs="Arial"/>
          <w:color w:val="000000"/>
          <w:sz w:val="20"/>
          <w:szCs w:val="20"/>
        </w:rPr>
        <w:t>ronment, and we are working diligently to ensure our clients’ changing staffing and service needs are met. We developed new cleaning initiatives in accordance with various protocols issued by global experts, including deep cleaning services, special projec</w:t>
      </w:r>
      <w:r>
        <w:rPr>
          <w:rFonts w:ascii="Arial" w:eastAsia="Times New Roman" w:hAnsi="Arial" w:cs="Arial"/>
          <w:color w:val="000000"/>
          <w:sz w:val="20"/>
          <w:szCs w:val="20"/>
        </w:rPr>
        <w:t xml:space="preserve">t cleaning services, and other work orders. </w:t>
      </w:r>
    </w:p>
    <w:p w:rsidR="00000000" w:rsidRDefault="00A07857">
      <w:pPr>
        <w:ind w:firstLine="720"/>
        <w:jc w:val="both"/>
        <w:divId w:val="152533712"/>
        <w:rPr>
          <w:rFonts w:eastAsia="Times New Roman"/>
        </w:rPr>
      </w:pPr>
      <w:r>
        <w:rPr>
          <w:rFonts w:ascii="Arial" w:eastAsia="Times New Roman" w:hAnsi="Arial" w:cs="Arial"/>
          <w:color w:val="000000"/>
          <w:sz w:val="20"/>
          <w:szCs w:val="20"/>
        </w:rPr>
        <w:t>In April 2020, we announced our EnhancedClea</w:t>
      </w:r>
      <w:r>
        <w:rPr>
          <w:rFonts w:ascii="Arial" w:eastAsia="Times New Roman" w:hAnsi="Arial" w:cs="Arial"/>
          <w:color w:val="000000"/>
          <w:sz w:val="20"/>
          <w:szCs w:val="20"/>
        </w:rPr>
        <w:t>n</w:t>
      </w:r>
      <w:r>
        <w:rPr>
          <w:rFonts w:ascii="Arial" w:eastAsia="Times New Roman" w:hAnsi="Arial" w:cs="Arial"/>
          <w:color w:val="000000"/>
          <w:sz w:val="13"/>
          <w:szCs w:val="13"/>
        </w:rPr>
        <w:t>T</w:t>
      </w:r>
      <w:r>
        <w:rPr>
          <w:rFonts w:ascii="Arial" w:eastAsia="Times New Roman" w:hAnsi="Arial" w:cs="Arial"/>
          <w:color w:val="000000"/>
          <w:sz w:val="13"/>
          <w:szCs w:val="13"/>
        </w:rPr>
        <w:t>M</w:t>
      </w:r>
      <w:r>
        <w:rPr>
          <w:rFonts w:ascii="Arial" w:eastAsia="Times New Roman" w:hAnsi="Arial" w:cs="Arial"/>
          <w:color w:val="000000"/>
          <w:sz w:val="20"/>
          <w:szCs w:val="20"/>
        </w:rPr>
        <w:t xml:space="preserve"> Program (“EnhancedClean”), an innovative solution that helps provide clients with healthy spaces. We designed EnhancedClean under the guidance of experts on infect</w:t>
      </w:r>
      <w:r>
        <w:rPr>
          <w:rFonts w:ascii="Arial" w:eastAsia="Times New Roman" w:hAnsi="Arial" w:cs="Arial"/>
          <w:color w:val="000000"/>
          <w:sz w:val="20"/>
          <w:szCs w:val="20"/>
        </w:rPr>
        <w:t>ious diseases and industrial hygiene to help provide our clients with processes that use hospital-grade disinfectants, specialized equipment, and innovative solutions and technology. These solutions include: hygiene and safety protocols, utilization of dis</w:t>
      </w:r>
      <w:r>
        <w:rPr>
          <w:rFonts w:ascii="Arial" w:eastAsia="Times New Roman" w:hAnsi="Arial" w:cs="Arial"/>
          <w:color w:val="000000"/>
          <w:sz w:val="20"/>
          <w:szCs w:val="20"/>
        </w:rPr>
        <w:t>infecting procedures and products for high-touch surfaces, employment of PPE, and communication and training protocols.</w:t>
      </w:r>
    </w:p>
    <w:p w:rsidR="00000000" w:rsidRDefault="00A07857">
      <w:pPr>
        <w:ind w:firstLine="720"/>
        <w:jc w:val="both"/>
        <w:divId w:val="806968516"/>
        <w:rPr>
          <w:rFonts w:eastAsia="Times New Roman"/>
        </w:rPr>
      </w:pPr>
      <w:r>
        <w:rPr>
          <w:rFonts w:ascii="Arial" w:eastAsia="Times New Roman" w:hAnsi="Arial" w:cs="Arial"/>
          <w:i/>
          <w:iCs/>
          <w:color w:val="0046AD"/>
          <w:sz w:val="20"/>
          <w:szCs w:val="20"/>
        </w:rPr>
        <w:t>Management of Direct Labor</w:t>
      </w:r>
    </w:p>
    <w:p w:rsidR="00000000" w:rsidRDefault="00A07857">
      <w:pPr>
        <w:ind w:firstLine="720"/>
        <w:jc w:val="both"/>
        <w:divId w:val="1613201135"/>
        <w:rPr>
          <w:rFonts w:eastAsia="Times New Roman"/>
        </w:rPr>
      </w:pPr>
      <w:r>
        <w:rPr>
          <w:rFonts w:ascii="Arial" w:eastAsia="Times New Roman" w:hAnsi="Arial" w:cs="Arial"/>
          <w:color w:val="000000"/>
          <w:sz w:val="20"/>
          <w:szCs w:val="20"/>
        </w:rPr>
        <w:t>As we adapt to the changing demand environment resulting from the Pandemic, we continue to actively manage di</w:t>
      </w:r>
      <w:r>
        <w:rPr>
          <w:rFonts w:ascii="Arial" w:eastAsia="Times New Roman" w:hAnsi="Arial" w:cs="Arial"/>
          <w:color w:val="000000"/>
          <w:sz w:val="20"/>
          <w:szCs w:val="20"/>
        </w:rPr>
        <w:t>rect labor and related personnel costs, including furloughs or reduced hours for certain frontline employees in markets significantly impacted by business slowdowns and shutdowns.</w:t>
      </w:r>
    </w:p>
    <w:p w:rsidR="00000000" w:rsidRDefault="00A07857">
      <w:pPr>
        <w:ind w:firstLine="720"/>
        <w:jc w:val="both"/>
        <w:divId w:val="1175073427"/>
        <w:rPr>
          <w:rFonts w:eastAsia="Times New Roman"/>
        </w:rPr>
      </w:pPr>
      <w:r>
        <w:rPr>
          <w:rFonts w:ascii="Arial" w:eastAsia="Times New Roman" w:hAnsi="Arial" w:cs="Arial"/>
          <w:i/>
          <w:iCs/>
          <w:color w:val="0046AD"/>
          <w:sz w:val="20"/>
          <w:szCs w:val="20"/>
        </w:rPr>
        <w:t>Liquidity, Cash Flows, and Financial Position</w:t>
      </w:r>
    </w:p>
    <w:p w:rsidR="00000000" w:rsidRDefault="00A07857">
      <w:pPr>
        <w:ind w:firstLine="720"/>
        <w:jc w:val="both"/>
        <w:divId w:val="1132017711"/>
        <w:rPr>
          <w:rFonts w:eastAsia="Times New Roman"/>
        </w:rPr>
      </w:pPr>
      <w:r>
        <w:rPr>
          <w:rFonts w:ascii="Arial" w:eastAsia="Times New Roman" w:hAnsi="Arial" w:cs="Arial"/>
          <w:color w:val="000000"/>
          <w:sz w:val="20"/>
          <w:szCs w:val="20"/>
        </w:rPr>
        <w:t>As of January 31, 2021, we had</w:t>
      </w:r>
      <w:r>
        <w:rPr>
          <w:rFonts w:ascii="Arial" w:eastAsia="Times New Roman" w:hAnsi="Arial" w:cs="Arial"/>
          <w:color w:val="000000"/>
          <w:sz w:val="20"/>
          <w:szCs w:val="20"/>
        </w:rPr>
        <w:t xml:space="preserve"> $378.3 million of cash and cash equivalents, and we had net cash provided by operating activities of $45.3 million during the three months ended January 31, 2021. We have taken and continue to take actions to help preserve cash, increase liquidity, and st</w:t>
      </w:r>
      <w:r>
        <w:rPr>
          <w:rFonts w:ascii="Arial" w:eastAsia="Times New Roman" w:hAnsi="Arial" w:cs="Arial"/>
          <w:color w:val="000000"/>
          <w:sz w:val="20"/>
          <w:szCs w:val="20"/>
        </w:rPr>
        <w:t>rengthen our financial position, including:</w:t>
      </w:r>
    </w:p>
    <w:p w:rsidR="00000000" w:rsidRDefault="00A07857">
      <w:pPr>
        <w:ind w:hanging="360"/>
        <w:jc w:val="both"/>
        <w:divId w:val="80219224"/>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20"/>
          <w:szCs w:val="20"/>
        </w:rPr>
        <w:t>Amending our Credit Facility on May 28, 2020, to further enhance our financial flexibility as a precautionary measure in response to uncertainty arising from the Pandemic (refer to “Liquidity and Capital Resources” for more information);</w:t>
      </w:r>
    </w:p>
    <w:p w:rsidR="00000000" w:rsidRDefault="00A07857">
      <w:pPr>
        <w:ind w:hanging="360"/>
        <w:jc w:val="both"/>
        <w:divId w:val="129054349"/>
        <w:rPr>
          <w:rFonts w:eastAsia="Times New Roman"/>
        </w:rPr>
      </w:pPr>
      <w:r>
        <w:rPr>
          <w:rFonts w:ascii="Arial" w:eastAsia="Times New Roman" w:hAnsi="Arial" w:cs="Arial"/>
          <w:color w:val="000000"/>
          <w:sz w:val="20"/>
          <w:szCs w:val="20"/>
        </w:rPr>
        <w:t>•Focusing on colle</w:t>
      </w:r>
      <w:r>
        <w:rPr>
          <w:rFonts w:ascii="Arial" w:eastAsia="Times New Roman" w:hAnsi="Arial" w:cs="Arial"/>
          <w:color w:val="000000"/>
          <w:sz w:val="20"/>
          <w:szCs w:val="20"/>
        </w:rPr>
        <w:t xml:space="preserve">ction of client receivables and monitoring the adequacy of our reserves; </w:t>
      </w:r>
    </w:p>
    <w:p w:rsidR="00000000" w:rsidRDefault="00A07857">
      <w:pPr>
        <w:ind w:hanging="360"/>
        <w:jc w:val="both"/>
        <w:divId w:val="1682703869"/>
        <w:rPr>
          <w:rFonts w:eastAsia="Times New Roman"/>
        </w:rPr>
      </w:pPr>
      <w:r>
        <w:rPr>
          <w:rFonts w:ascii="Arial" w:eastAsia="Times New Roman" w:hAnsi="Arial" w:cs="Arial"/>
          <w:color w:val="000000"/>
          <w:sz w:val="20"/>
          <w:szCs w:val="20"/>
        </w:rPr>
        <w:t xml:space="preserve">•Extending vendor payment terms where possible; </w:t>
      </w:r>
    </w:p>
    <w:p w:rsidR="00000000" w:rsidRDefault="00A07857">
      <w:pPr>
        <w:ind w:hanging="360"/>
        <w:jc w:val="both"/>
        <w:divId w:val="1297101962"/>
        <w:rPr>
          <w:rFonts w:eastAsia="Times New Roman"/>
        </w:rPr>
      </w:pPr>
      <w:r>
        <w:rPr>
          <w:rFonts w:ascii="Arial" w:eastAsia="Times New Roman" w:hAnsi="Arial" w:cs="Arial"/>
          <w:color w:val="000000"/>
          <w:sz w:val="20"/>
          <w:szCs w:val="20"/>
        </w:rPr>
        <w:t xml:space="preserve">•Utilizing certain governmental relief efforts (as further described below); and </w:t>
      </w:r>
    </w:p>
    <w:p w:rsidR="00000000" w:rsidRDefault="00A07857">
      <w:pPr>
        <w:ind w:hanging="360"/>
        <w:jc w:val="both"/>
        <w:divId w:val="434789139"/>
        <w:rPr>
          <w:rFonts w:eastAsia="Times New Roman"/>
        </w:rPr>
      </w:pPr>
      <w:r>
        <w:rPr>
          <w:rFonts w:ascii="Arial" w:eastAsia="Times New Roman" w:hAnsi="Arial" w:cs="Arial"/>
          <w:color w:val="000000"/>
          <w:sz w:val="20"/>
          <w:szCs w:val="20"/>
        </w:rPr>
        <w:t>•Suspending share repurchases under our share repur</w:t>
      </w:r>
      <w:r>
        <w:rPr>
          <w:rFonts w:ascii="Arial" w:eastAsia="Times New Roman" w:hAnsi="Arial" w:cs="Arial"/>
          <w:color w:val="000000"/>
          <w:sz w:val="20"/>
          <w:szCs w:val="20"/>
        </w:rPr>
        <w:t>chase program.</w:t>
      </w:r>
    </w:p>
    <w:p w:rsidR="00000000" w:rsidRDefault="00A07857">
      <w:pPr>
        <w:ind w:firstLine="720"/>
        <w:jc w:val="both"/>
        <w:divId w:val="469321794"/>
        <w:rPr>
          <w:rFonts w:eastAsia="Times New Roman"/>
        </w:rPr>
      </w:pPr>
      <w:r>
        <w:rPr>
          <w:rFonts w:ascii="Arial" w:eastAsia="Times New Roman" w:hAnsi="Arial" w:cs="Arial"/>
          <w:color w:val="000000"/>
          <w:sz w:val="20"/>
          <w:szCs w:val="20"/>
        </w:rPr>
        <w:t xml:space="preserve">As a result of the actions taken above, we were able to strengthen our cash flow during the first quarter. As of January 31, 2021, this resulted in a borrowing capacity of $599.4 million, reflecting covenant restrictions, in addition to the </w:t>
      </w:r>
      <w:r>
        <w:rPr>
          <w:rFonts w:ascii="Arial" w:eastAsia="Times New Roman" w:hAnsi="Arial" w:cs="Arial"/>
          <w:color w:val="000000"/>
          <w:sz w:val="20"/>
          <w:szCs w:val="20"/>
        </w:rPr>
        <w:t>cash and cash equivalents amount noted above.</w:t>
      </w:r>
    </w:p>
    <w:p w:rsidR="00000000" w:rsidRDefault="00A07857">
      <w:pPr>
        <w:ind w:firstLine="720"/>
        <w:jc w:val="both"/>
        <w:divId w:val="409736729"/>
        <w:rPr>
          <w:rFonts w:eastAsia="Times New Roman"/>
        </w:rPr>
      </w:pPr>
      <w:r>
        <w:rPr>
          <w:rFonts w:ascii="Arial" w:eastAsia="Times New Roman" w:hAnsi="Arial" w:cs="Arial"/>
          <w:color w:val="000000"/>
          <w:sz w:val="20"/>
          <w:szCs w:val="20"/>
        </w:rPr>
        <w:t>In response to the Pandemic, Congress enacted the CARES Act on March 27, 2020. The CARES Act provides various tax provisions, including payroll tax provisions, which we have evaluated for applicability. Through</w:t>
      </w:r>
      <w:r>
        <w:rPr>
          <w:rFonts w:ascii="Arial" w:eastAsia="Times New Roman" w:hAnsi="Arial" w:cs="Arial"/>
          <w:color w:val="000000"/>
          <w:sz w:val="20"/>
          <w:szCs w:val="20"/>
        </w:rPr>
        <w:t xml:space="preserve"> December 31, 2020, we deferred approximately $132 million of payroll tax, which the CARES Act requires to be remitted by December 31, 2021 and December 31, 2022 in equal parts. The impact of the income tax provisions was not material. Additionally, we rec</w:t>
      </w:r>
      <w:r>
        <w:rPr>
          <w:rFonts w:ascii="Arial" w:eastAsia="Times New Roman" w:hAnsi="Arial" w:cs="Arial"/>
          <w:color w:val="000000"/>
          <w:sz w:val="20"/>
          <w:szCs w:val="20"/>
        </w:rPr>
        <w:t>eived grants under the United Kingdom’s job retention scheme to reimburse us for a portion of certain furloughed employees’ salaries.</w:t>
      </w:r>
    </w:p>
    <w:p w:rsidR="00000000" w:rsidRDefault="00A07857">
      <w:pPr>
        <w:ind w:firstLine="720"/>
        <w:jc w:val="both"/>
        <w:divId w:val="1216694047"/>
        <w:rPr>
          <w:rFonts w:eastAsia="Times New Roman"/>
        </w:rPr>
      </w:pPr>
      <w:r>
        <w:rPr>
          <w:rFonts w:ascii="Arial" w:eastAsia="Times New Roman" w:hAnsi="Arial" w:cs="Arial"/>
          <w:color w:val="000000"/>
          <w:sz w:val="20"/>
          <w:szCs w:val="20"/>
        </w:rPr>
        <w:t xml:space="preserve">The Pandemic is an unprecedented situation and is continuously evolving. Since we cannot predict the duration or scope of </w:t>
      </w:r>
      <w:r>
        <w:rPr>
          <w:rFonts w:ascii="Arial" w:eastAsia="Times New Roman" w:hAnsi="Arial" w:cs="Arial"/>
          <w:color w:val="000000"/>
          <w:sz w:val="20"/>
          <w:szCs w:val="20"/>
        </w:rPr>
        <w:t>the Pandemic, we cannot fully anticipate or reasonably estimate all the ways in which the current global health crisis and financial market conditions could adversely impact our business in 2021 or in the future. Even after the Pandemic has moderated and t</w:t>
      </w:r>
      <w:r>
        <w:rPr>
          <w:rFonts w:ascii="Arial" w:eastAsia="Times New Roman" w:hAnsi="Arial" w:cs="Arial"/>
          <w:color w:val="000000"/>
          <w:sz w:val="20"/>
          <w:szCs w:val="20"/>
        </w:rPr>
        <w:t>he business and social distancing restrictions have eased, we may continue to experience adverse effects on our business, consolidated results of operations, financial position, and cash flows resulting from a recessionary economic environment that may per</w:t>
      </w:r>
      <w:r>
        <w:rPr>
          <w:rFonts w:ascii="Arial" w:eastAsia="Times New Roman" w:hAnsi="Arial" w:cs="Arial"/>
          <w:color w:val="000000"/>
          <w:sz w:val="20"/>
          <w:szCs w:val="20"/>
        </w:rPr>
        <w:t xml:space="preserve">sist. </w:t>
      </w:r>
    </w:p>
    <w:p w:rsidR="00000000" w:rsidRDefault="00A07857">
      <w:pPr>
        <w:ind w:firstLine="720"/>
        <w:jc w:val="both"/>
        <w:divId w:val="2055617842"/>
        <w:rPr>
          <w:rFonts w:eastAsia="Times New Roman"/>
        </w:rPr>
      </w:pPr>
      <w:r>
        <w:rPr>
          <w:rFonts w:ascii="Arial" w:eastAsia="Times New Roman" w:hAnsi="Arial" w:cs="Arial"/>
          <w:color w:val="000000"/>
          <w:sz w:val="20"/>
          <w:szCs w:val="20"/>
        </w:rPr>
        <w:t>The Pandemic has had a profoundly negative impact on the public health and safety of the global and American public. As a result, the global and U.S. economies continue to experience significant uncertainty. Gross domestic product has demonstrated c</w:t>
      </w:r>
      <w:r>
        <w:rPr>
          <w:rFonts w:ascii="Arial" w:eastAsia="Times New Roman" w:hAnsi="Arial" w:cs="Arial"/>
          <w:color w:val="000000"/>
          <w:sz w:val="20"/>
          <w:szCs w:val="20"/>
        </w:rPr>
        <w:t xml:space="preserve">onsiderable volatility since the onset of the Pandemic, contracting to a historic and sudden low during 2020. While the unemployment rate has been slightly decreasing since its peak in April </w:t>
      </w:r>
    </w:p>
    <w:p w:rsidR="00000000" w:rsidRDefault="00A07857">
      <w:pPr>
        <w:jc w:val="center"/>
        <w:divId w:val="1201170562"/>
        <w:rPr>
          <w:rFonts w:eastAsia="Times New Roman"/>
        </w:rPr>
      </w:pPr>
      <w:r>
        <w:rPr>
          <w:rFonts w:ascii="Arial" w:eastAsia="Times New Roman" w:hAnsi="Arial" w:cs="Arial"/>
          <w:color w:val="000000"/>
          <w:sz w:val="20"/>
          <w:szCs w:val="20"/>
        </w:rPr>
        <w:t>22</w:t>
      </w:r>
    </w:p>
    <w:p w:rsidR="00000000" w:rsidRDefault="00A07857">
      <w:pPr>
        <w:rPr>
          <w:rFonts w:eastAsia="Times New Roman"/>
        </w:rPr>
      </w:pPr>
      <w:r>
        <w:rPr>
          <w:rFonts w:eastAsia="Times New Roman"/>
        </w:rPr>
        <w:pict>
          <v:rect id="_x0000_i1052" style="width:0;height:1.5pt" o:hralign="center" o:hrstd="t" o:hr="t" fillcolor="#a0a0a0" stroked="f"/>
        </w:pict>
      </w:r>
    </w:p>
    <w:p w:rsidR="00000000" w:rsidRDefault="00A07857">
      <w:pPr>
        <w:jc w:val="both"/>
        <w:divId w:val="1334453172"/>
        <w:rPr>
          <w:rFonts w:eastAsia="Times New Roman"/>
        </w:rPr>
      </w:pPr>
    </w:p>
    <w:p w:rsidR="00000000" w:rsidRDefault="00A07857">
      <w:pPr>
        <w:jc w:val="both"/>
        <w:divId w:val="2025159222"/>
        <w:rPr>
          <w:rFonts w:eastAsia="Times New Roman"/>
        </w:rPr>
      </w:pPr>
      <w:r>
        <w:rPr>
          <w:rFonts w:ascii="Arial" w:eastAsia="Times New Roman" w:hAnsi="Arial" w:cs="Arial"/>
          <w:color w:val="000000"/>
          <w:sz w:val="20"/>
          <w:szCs w:val="20"/>
        </w:rPr>
        <w:t xml:space="preserve">2020, it continues to </w:t>
      </w:r>
      <w:r>
        <w:rPr>
          <w:rFonts w:ascii="Arial" w:eastAsia="Times New Roman" w:hAnsi="Arial" w:cs="Arial"/>
          <w:color w:val="000000"/>
          <w:sz w:val="20"/>
          <w:szCs w:val="20"/>
        </w:rPr>
        <w:t>remain well above pre-Pandemic levels, given the struggling macroeconomic environment. These factors have led to lower demand for some of our services in certain end-markets. At present, the Pandemic is expected to continue impacting global communities and</w:t>
      </w:r>
      <w:r>
        <w:rPr>
          <w:rFonts w:ascii="Arial" w:eastAsia="Times New Roman" w:hAnsi="Arial" w:cs="Arial"/>
          <w:color w:val="000000"/>
          <w:sz w:val="20"/>
          <w:szCs w:val="20"/>
        </w:rPr>
        <w:t xml:space="preserve"> commerce for the foreseeable future.</w:t>
      </w:r>
    </w:p>
    <w:p w:rsidR="00000000" w:rsidRDefault="00A07857">
      <w:pPr>
        <w:divId w:val="428548020"/>
        <w:rPr>
          <w:rFonts w:eastAsia="Times New Roman"/>
        </w:rPr>
      </w:pPr>
      <w:r>
        <w:rPr>
          <w:rFonts w:ascii="Arial" w:eastAsia="Times New Roman" w:hAnsi="Arial" w:cs="Arial"/>
          <w:b/>
          <w:bCs/>
          <w:color w:val="0046AD"/>
          <w:sz w:val="20"/>
          <w:szCs w:val="20"/>
        </w:rPr>
        <w:t>Insurance</w:t>
      </w:r>
    </w:p>
    <w:p w:rsidR="00000000" w:rsidRDefault="00A07857">
      <w:pPr>
        <w:ind w:firstLine="720"/>
        <w:jc w:val="both"/>
        <w:divId w:val="1256137693"/>
        <w:rPr>
          <w:rFonts w:eastAsia="Times New Roman"/>
        </w:rPr>
      </w:pPr>
      <w:r>
        <w:rPr>
          <w:rFonts w:ascii="Arial" w:eastAsia="Times New Roman" w:hAnsi="Arial" w:cs="Arial"/>
          <w:color w:val="000000"/>
          <w:sz w:val="20"/>
          <w:szCs w:val="20"/>
        </w:rPr>
        <w:t>We review our self-insurance liabilities on a regular basis and adjust our accruals accordingly. Actual claims activity or development may vary from our assumptions and estimates, which may result in material</w:t>
      </w:r>
      <w:r>
        <w:rPr>
          <w:rFonts w:ascii="Arial" w:eastAsia="Times New Roman" w:hAnsi="Arial" w:cs="Arial"/>
          <w:color w:val="000000"/>
          <w:sz w:val="20"/>
          <w:szCs w:val="20"/>
        </w:rPr>
        <w:t xml:space="preserve"> losses or gains. As we obtain additional information that affects the assumptions and estimates used in our reserve liability calculations, we adjust our self-insurance rates and reserves for future periods and, if appropriate, adjust our reserves for cla</w:t>
      </w:r>
      <w:r>
        <w:rPr>
          <w:rFonts w:ascii="Arial" w:eastAsia="Times New Roman" w:hAnsi="Arial" w:cs="Arial"/>
          <w:color w:val="000000"/>
          <w:sz w:val="20"/>
          <w:szCs w:val="20"/>
        </w:rPr>
        <w:t xml:space="preserve">ims incurred in prior accounting periods. </w:t>
      </w:r>
    </w:p>
    <w:p w:rsidR="00000000" w:rsidRDefault="00A07857">
      <w:pPr>
        <w:ind w:firstLine="720"/>
        <w:jc w:val="both"/>
        <w:divId w:val="1434395440"/>
        <w:rPr>
          <w:rFonts w:eastAsia="Times New Roman"/>
        </w:rPr>
      </w:pPr>
      <w:r>
        <w:rPr>
          <w:rFonts w:ascii="Arial" w:eastAsia="Times New Roman" w:hAnsi="Arial" w:cs="Arial"/>
          <w:color w:val="000000"/>
          <w:sz w:val="20"/>
          <w:szCs w:val="20"/>
        </w:rPr>
        <w:t>During the first quarter of 2021, we performed a comprehensive actuarial review of the majority of our casualty insurance programs to evaluate changes made to claims reserves and claims payment activity for the pe</w:t>
      </w:r>
      <w:r>
        <w:rPr>
          <w:rFonts w:ascii="Arial" w:eastAsia="Times New Roman" w:hAnsi="Arial" w:cs="Arial"/>
          <w:color w:val="000000"/>
          <w:sz w:val="20"/>
          <w:szCs w:val="20"/>
        </w:rPr>
        <w:t>riod of May 1, 2020 through October 31, 2020. The Actuarial Review was comprehensive in nature and was based on loss development patterns, trend assumptions, and underlying expected loss costs during the period analyzed. The Actuarial Review again demonstr</w:t>
      </w:r>
      <w:r>
        <w:rPr>
          <w:rFonts w:ascii="Arial" w:eastAsia="Times New Roman" w:hAnsi="Arial" w:cs="Arial"/>
          <w:color w:val="000000"/>
          <w:sz w:val="20"/>
          <w:szCs w:val="20"/>
        </w:rPr>
        <w:t>ated that the changes we have made to our risk management programs continue to positively impact the frequency and severity of claims.</w:t>
      </w:r>
    </w:p>
    <w:p w:rsidR="00000000" w:rsidRDefault="00A07857">
      <w:pPr>
        <w:ind w:firstLine="720"/>
        <w:jc w:val="both"/>
        <w:divId w:val="1824347480"/>
        <w:rPr>
          <w:rFonts w:eastAsia="Times New Roman"/>
        </w:rPr>
      </w:pPr>
      <w:r>
        <w:rPr>
          <w:rFonts w:ascii="Arial" w:eastAsia="Times New Roman" w:hAnsi="Arial" w:cs="Arial"/>
          <w:color w:val="000000"/>
          <w:sz w:val="20"/>
          <w:szCs w:val="20"/>
        </w:rPr>
        <w:t>The claims management strategies and programs that we have implemented have resulted in improvements. Furthermore, we con</w:t>
      </w:r>
      <w:r>
        <w:rPr>
          <w:rFonts w:ascii="Arial" w:eastAsia="Times New Roman" w:hAnsi="Arial" w:cs="Arial"/>
          <w:color w:val="000000"/>
          <w:sz w:val="20"/>
          <w:szCs w:val="20"/>
        </w:rPr>
        <w:t>tinue to adjust our reserves consistent with known fact patterns. Based on the results of the Actuarial Review, we decreased our total reserves for known claims as well as our estimate of the loss amounts associated with IBNR claims by $14.4 million during</w:t>
      </w:r>
      <w:r>
        <w:rPr>
          <w:rFonts w:ascii="Arial" w:eastAsia="Times New Roman" w:hAnsi="Arial" w:cs="Arial"/>
          <w:color w:val="000000"/>
          <w:sz w:val="20"/>
          <w:szCs w:val="20"/>
        </w:rPr>
        <w:t xml:space="preserve"> the three months ended January 31, 2021; $11.4 million of that amount relates to prior years. During the three months ended January 31, 2020, we decreased our total reserves related to prior year claims by $6.6 million. We will continue to assess ongoing </w:t>
      </w:r>
      <w:r>
        <w:rPr>
          <w:rFonts w:ascii="Arial" w:eastAsia="Times New Roman" w:hAnsi="Arial" w:cs="Arial"/>
          <w:color w:val="000000"/>
          <w:sz w:val="20"/>
          <w:szCs w:val="20"/>
        </w:rPr>
        <w:t xml:space="preserve">developments, which may result in further adjustments to reserves. </w:t>
      </w:r>
    </w:p>
    <w:p w:rsidR="00000000" w:rsidRDefault="00A07857">
      <w:pPr>
        <w:divId w:val="1041904597"/>
        <w:rPr>
          <w:rFonts w:eastAsia="Times New Roman"/>
        </w:rPr>
      </w:pPr>
      <w:r>
        <w:rPr>
          <w:rFonts w:ascii="Arial" w:eastAsia="Times New Roman" w:hAnsi="Arial" w:cs="Arial"/>
          <w:b/>
          <w:bCs/>
          <w:color w:val="0046AD"/>
          <w:sz w:val="20"/>
          <w:szCs w:val="20"/>
        </w:rPr>
        <w:t xml:space="preserve">Segment Reporting </w:t>
      </w:r>
    </w:p>
    <w:p w:rsidR="00000000" w:rsidRDefault="00A07857">
      <w:pPr>
        <w:ind w:firstLine="720"/>
        <w:jc w:val="both"/>
        <w:divId w:val="348139176"/>
        <w:rPr>
          <w:rFonts w:eastAsia="Times New Roman"/>
        </w:rPr>
      </w:pPr>
      <w:r>
        <w:rPr>
          <w:rFonts w:ascii="Arial" w:eastAsia="Times New Roman" w:hAnsi="Arial" w:cs="Arial"/>
          <w:color w:val="000000"/>
          <w:sz w:val="20"/>
          <w:szCs w:val="20"/>
        </w:rPr>
        <w:t>Our current reportable segments consist of B&amp;I, T&amp;</w:t>
      </w:r>
      <w:r>
        <w:rPr>
          <w:rFonts w:ascii="Arial" w:eastAsia="Times New Roman" w:hAnsi="Arial" w:cs="Arial"/>
          <w:color w:val="000000"/>
          <w:sz w:val="20"/>
          <w:szCs w:val="20"/>
        </w:rPr>
        <w:t xml:space="preserve">M, Education, Aviation, and Technical Solutions, as further described below. </w:t>
      </w:r>
    </w:p>
    <w:tbl>
      <w:tblPr>
        <w:tblW w:w="5000" w:type="pct"/>
        <w:tblCellMar>
          <w:top w:w="15" w:type="dxa"/>
          <w:left w:w="15" w:type="dxa"/>
          <w:bottom w:w="15" w:type="dxa"/>
          <w:right w:w="15" w:type="dxa"/>
        </w:tblCellMar>
        <w:tblLook w:val="04A0" w:firstRow="1" w:lastRow="0" w:firstColumn="1" w:lastColumn="0" w:noHBand="0" w:noVBand="1"/>
      </w:tblPr>
      <w:tblGrid>
        <w:gridCol w:w="68"/>
        <w:gridCol w:w="1836"/>
        <w:gridCol w:w="38"/>
        <w:gridCol w:w="68"/>
        <w:gridCol w:w="6259"/>
        <w:gridCol w:w="37"/>
      </w:tblGrid>
      <w:tr w:rsidR="00000000">
        <w:trPr>
          <w:divId w:val="185801499"/>
        </w:trPr>
        <w:tc>
          <w:tcPr>
            <w:tcW w:w="50" w:type="pct"/>
            <w:vAlign w:val="center"/>
            <w:hideMark/>
          </w:tcPr>
          <w:p w:rsidR="00000000" w:rsidRDefault="00A07857">
            <w:pPr>
              <w:ind w:firstLine="720"/>
              <w:jc w:val="both"/>
              <w:rPr>
                <w:rFonts w:eastAsia="Times New Roman"/>
              </w:rPr>
            </w:pPr>
          </w:p>
        </w:tc>
        <w:tc>
          <w:tcPr>
            <w:tcW w:w="111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377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85801499"/>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46AD"/>
                <w:sz w:val="18"/>
                <w:szCs w:val="18"/>
              </w:rPr>
              <w:t>REPORTABLE SEGMENTS AND DESCRIPTIONS</w:t>
            </w:r>
          </w:p>
        </w:tc>
      </w:tr>
      <w:tr w:rsidR="00000000">
        <w:trPr>
          <w:divId w:val="185801499"/>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r>
              <w:rPr>
                <w:rFonts w:eastAsia="Times New Roman"/>
                <w:noProof/>
              </w:rPr>
              <w:drawing>
                <wp:inline distT="0" distB="0" distL="0" distR="0">
                  <wp:extent cx="304800"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A07857">
            <w:pPr>
              <w:jc w:val="both"/>
              <w:rPr>
                <w:rFonts w:eastAsia="Times New Roman"/>
              </w:rPr>
            </w:pPr>
            <w:r>
              <w:rPr>
                <w:rFonts w:ascii="Arial" w:eastAsia="Times New Roman" w:hAnsi="Arial" w:cs="Arial"/>
                <w:color w:val="000000"/>
                <w:sz w:val="18"/>
                <w:szCs w:val="18"/>
              </w:rPr>
              <w:t>B&amp;I, our largest reportable segment, encompasses janitorial, facilities engineering, and parking services for commercial real estate properties, sports and entertainment ve</w:t>
            </w:r>
            <w:r>
              <w:rPr>
                <w:rFonts w:ascii="Arial" w:eastAsia="Times New Roman" w:hAnsi="Arial" w:cs="Arial"/>
                <w:color w:val="000000"/>
                <w:sz w:val="18"/>
                <w:szCs w:val="18"/>
              </w:rPr>
              <w:t>nues, and traditional hospitals and non-acute healthcare facilities. B&amp;I also provides vehicle maintenance and other services to rental car providers.</w:t>
            </w:r>
          </w:p>
        </w:tc>
      </w:tr>
      <w:tr w:rsidR="00000000">
        <w:trPr>
          <w:divId w:val="185801499"/>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r>
              <w:rPr>
                <w:rFonts w:eastAsia="Times New Roman"/>
                <w:noProof/>
              </w:rPr>
              <w:drawing>
                <wp:inline distT="0" distB="0" distL="0" distR="0">
                  <wp:extent cx="304800"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A07857">
            <w:pPr>
              <w:jc w:val="both"/>
              <w:rPr>
                <w:rFonts w:eastAsia="Times New Roman"/>
              </w:rPr>
            </w:pPr>
            <w:r>
              <w:rPr>
                <w:rFonts w:ascii="Arial" w:eastAsia="Times New Roman" w:hAnsi="Arial" w:cs="Arial"/>
                <w:color w:val="000000"/>
                <w:sz w:val="18"/>
                <w:szCs w:val="18"/>
              </w:rPr>
              <w:t>T&amp;M provides janitorial, facilities engineering, and parking services to industrial and high-tech manufacturing facilities.</w:t>
            </w:r>
          </w:p>
        </w:tc>
      </w:tr>
      <w:tr w:rsidR="00000000">
        <w:trPr>
          <w:divId w:val="185801499"/>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r>
              <w:rPr>
                <w:rFonts w:eastAsia="Times New Roman"/>
                <w:noProof/>
              </w:rPr>
              <w:drawing>
                <wp:inline distT="0" distB="0" distL="0" distR="0">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A07857">
            <w:pPr>
              <w:jc w:val="both"/>
              <w:rPr>
                <w:rFonts w:eastAsia="Times New Roman"/>
              </w:rPr>
            </w:pPr>
            <w:r>
              <w:rPr>
                <w:rFonts w:ascii="Arial" w:eastAsia="Times New Roman" w:hAnsi="Arial" w:cs="Arial"/>
                <w:color w:val="000000"/>
                <w:sz w:val="18"/>
                <w:szCs w:val="18"/>
              </w:rPr>
              <w:t>Education delivers janitorial, custodial, landscaping and grounds, facilities engineering, and parking services for public</w:t>
            </w:r>
            <w:r>
              <w:rPr>
                <w:rFonts w:ascii="Arial" w:eastAsia="Times New Roman" w:hAnsi="Arial" w:cs="Arial"/>
                <w:color w:val="000000"/>
                <w:sz w:val="18"/>
                <w:szCs w:val="18"/>
              </w:rPr>
              <w:t xml:space="preserve"> school districts, private schools, colleges, and universities.</w:t>
            </w:r>
          </w:p>
        </w:tc>
      </w:tr>
      <w:tr w:rsidR="00000000">
        <w:trPr>
          <w:divId w:val="185801499"/>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r>
              <w:rPr>
                <w:rFonts w:eastAsia="Times New Roman"/>
                <w:noProof/>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A07857">
            <w:pPr>
              <w:jc w:val="both"/>
              <w:rPr>
                <w:rFonts w:eastAsia="Times New Roman"/>
              </w:rPr>
            </w:pPr>
            <w:r>
              <w:rPr>
                <w:rFonts w:ascii="Arial" w:eastAsia="Times New Roman" w:hAnsi="Arial" w:cs="Arial"/>
                <w:color w:val="000000"/>
                <w:sz w:val="18"/>
                <w:szCs w:val="18"/>
              </w:rPr>
              <w:t xml:space="preserve">Aviation supports airlines and airports with services ranging from parking and janitorial to passenger assistance, catering </w:t>
            </w:r>
            <w:r>
              <w:rPr>
                <w:rFonts w:ascii="Arial" w:eastAsia="Times New Roman" w:hAnsi="Arial" w:cs="Arial"/>
                <w:color w:val="000000"/>
                <w:sz w:val="18"/>
                <w:szCs w:val="18"/>
              </w:rPr>
              <w:t>logistics, air cabin maintenance, and transportation.</w:t>
            </w:r>
          </w:p>
        </w:tc>
      </w:tr>
      <w:tr w:rsidR="00000000">
        <w:trPr>
          <w:divId w:val="185801499"/>
        </w:trPr>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r>
              <w:rPr>
                <w:rFonts w:eastAsia="Times New Roman"/>
                <w:noProof/>
              </w:rPr>
              <w:drawing>
                <wp:inline distT="0" distB="0" distL="0" distR="0">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A07857">
            <w:pPr>
              <w:jc w:val="both"/>
              <w:rPr>
                <w:rFonts w:eastAsia="Times New Roman"/>
              </w:rPr>
            </w:pPr>
            <w:r>
              <w:rPr>
                <w:rFonts w:ascii="Arial" w:eastAsia="Times New Roman" w:hAnsi="Arial" w:cs="Arial"/>
                <w:color w:val="000000"/>
                <w:sz w:val="18"/>
                <w:szCs w:val="18"/>
              </w:rPr>
              <w:t>Technical Solutions specializes in mechanical and electrical services. These services can also be leveraged for cross-sellin</w:t>
            </w:r>
            <w:r>
              <w:rPr>
                <w:rFonts w:ascii="Arial" w:eastAsia="Times New Roman" w:hAnsi="Arial" w:cs="Arial"/>
                <w:color w:val="000000"/>
                <w:sz w:val="18"/>
                <w:szCs w:val="18"/>
              </w:rPr>
              <w:t>g across all of our industry groups, both domestically and internationally.</w:t>
            </w:r>
          </w:p>
        </w:tc>
      </w:tr>
    </w:tbl>
    <w:p w:rsidR="00000000" w:rsidRDefault="00A07857">
      <w:pPr>
        <w:jc w:val="both"/>
        <w:divId w:val="2093431150"/>
        <w:rPr>
          <w:rFonts w:eastAsia="Times New Roman"/>
        </w:rPr>
      </w:pPr>
    </w:p>
    <w:p w:rsidR="00000000" w:rsidRDefault="00A07857">
      <w:pPr>
        <w:jc w:val="both"/>
        <w:divId w:val="1269973778"/>
        <w:rPr>
          <w:rFonts w:eastAsia="Times New Roman"/>
        </w:rPr>
      </w:pPr>
    </w:p>
    <w:p w:rsidR="00000000" w:rsidRDefault="00A07857">
      <w:pPr>
        <w:jc w:val="center"/>
        <w:divId w:val="744497558"/>
        <w:rPr>
          <w:rFonts w:eastAsia="Times New Roman"/>
        </w:rPr>
      </w:pPr>
      <w:r>
        <w:rPr>
          <w:rFonts w:ascii="Arial" w:eastAsia="Times New Roman" w:hAnsi="Arial" w:cs="Arial"/>
          <w:color w:val="000000"/>
          <w:sz w:val="20"/>
          <w:szCs w:val="20"/>
        </w:rPr>
        <w:t>23</w:t>
      </w:r>
    </w:p>
    <w:p w:rsidR="00000000" w:rsidRDefault="00A07857">
      <w:pPr>
        <w:rPr>
          <w:rFonts w:eastAsia="Times New Roman"/>
        </w:rPr>
      </w:pPr>
      <w:r>
        <w:rPr>
          <w:rFonts w:eastAsia="Times New Roman"/>
        </w:rPr>
        <w:pict>
          <v:rect id="_x0000_i1058" style="width:0;height:1.5pt" o:hralign="center" o:hrstd="t" o:hr="t" fillcolor="#a0a0a0" stroked="f"/>
        </w:pict>
      </w:r>
    </w:p>
    <w:p w:rsidR="00000000" w:rsidRDefault="00A07857">
      <w:pPr>
        <w:jc w:val="both"/>
        <w:divId w:val="1448310337"/>
        <w:rPr>
          <w:rFonts w:eastAsia="Times New Roman"/>
        </w:rPr>
      </w:pPr>
    </w:p>
    <w:p w:rsidR="00000000" w:rsidRDefault="00A07857">
      <w:pPr>
        <w:jc w:val="both"/>
        <w:divId w:val="1174563629"/>
        <w:rPr>
          <w:rFonts w:eastAsia="Times New Roman"/>
        </w:rPr>
      </w:pPr>
      <w:r>
        <w:rPr>
          <w:rFonts w:ascii="Arial" w:eastAsia="Times New Roman" w:hAnsi="Arial" w:cs="Arial"/>
          <w:b/>
          <w:bCs/>
          <w:color w:val="0046AD"/>
          <w:sz w:val="20"/>
          <w:szCs w:val="20"/>
        </w:rPr>
        <w:t>Key Financial Highlights</w:t>
      </w:r>
    </w:p>
    <w:p w:rsidR="00000000" w:rsidRDefault="00A07857">
      <w:pPr>
        <w:ind w:hanging="360"/>
        <w:jc w:val="both"/>
        <w:divId w:val="1457025203"/>
        <w:rPr>
          <w:rFonts w:eastAsia="Times New Roman"/>
        </w:rPr>
      </w:pPr>
      <w:r>
        <w:rPr>
          <w:rFonts w:ascii="Arial" w:eastAsia="Times New Roman" w:hAnsi="Arial" w:cs="Arial"/>
          <w:color w:val="000000"/>
          <w:sz w:val="20"/>
          <w:szCs w:val="20"/>
        </w:rPr>
        <w:t>•Revenues decreased by $120.5 million, or 7.5%, during the three months ended January </w:t>
      </w:r>
      <w:r>
        <w:rPr>
          <w:rFonts w:ascii="Arial" w:eastAsia="Times New Roman" w:hAnsi="Arial" w:cs="Arial"/>
          <w:color w:val="000000"/>
          <w:sz w:val="20"/>
          <w:szCs w:val="20"/>
        </w:rPr>
        <w:t>31, 2021, as compared to the three months ended January 31, 2020, primarily due to the impact of Pandemic-related disruptions across our businesses. However, this decrease was partially offset by an increase in work orders, primarily as a result of the Pan</w:t>
      </w:r>
      <w:r>
        <w:rPr>
          <w:rFonts w:ascii="Arial" w:eastAsia="Times New Roman" w:hAnsi="Arial" w:cs="Arial"/>
          <w:color w:val="000000"/>
          <w:sz w:val="20"/>
          <w:szCs w:val="20"/>
        </w:rPr>
        <w:t>demic, and the expansion of certain accounts and new business within B&amp;I and T&amp;M.</w:t>
      </w:r>
    </w:p>
    <w:p w:rsidR="00000000" w:rsidRDefault="00A07857">
      <w:pPr>
        <w:ind w:hanging="360"/>
        <w:jc w:val="both"/>
        <w:divId w:val="831407951"/>
        <w:rPr>
          <w:rFonts w:eastAsia="Times New Roman"/>
        </w:rPr>
      </w:pPr>
      <w:r>
        <w:rPr>
          <w:rFonts w:ascii="Arial" w:eastAsia="Times New Roman" w:hAnsi="Arial" w:cs="Arial"/>
          <w:color w:val="000000"/>
          <w:sz w:val="20"/>
          <w:szCs w:val="20"/>
        </w:rPr>
        <w:t>•Operating profit increased by $63.9 million during the three months ended January 31, 2021, as compared to the three months ended January 31, 2020. This change was primarily</w:t>
      </w:r>
      <w:r>
        <w:rPr>
          <w:rFonts w:ascii="Arial" w:eastAsia="Times New Roman" w:hAnsi="Arial" w:cs="Arial"/>
          <w:color w:val="000000"/>
          <w:sz w:val="20"/>
          <w:szCs w:val="20"/>
        </w:rPr>
        <w:t xml:space="preserve"> associated with the management of direct labor and related personnel costs during the Pandemic and an increase in work orders with higher margins as a result of the Pandemic (primarily within B&amp;I and T&amp;M). These benefits were partially offset by account c</w:t>
      </w:r>
      <w:r>
        <w:rPr>
          <w:rFonts w:ascii="Arial" w:eastAsia="Times New Roman" w:hAnsi="Arial" w:cs="Arial"/>
          <w:color w:val="000000"/>
          <w:sz w:val="20"/>
          <w:szCs w:val="20"/>
        </w:rPr>
        <w:t xml:space="preserve">ompression resulting from Pandemic-related disruptions in certain markets. </w:t>
      </w:r>
    </w:p>
    <w:p w:rsidR="00000000" w:rsidRDefault="00A07857">
      <w:pPr>
        <w:ind w:hanging="360"/>
        <w:jc w:val="both"/>
        <w:divId w:val="1251351634"/>
        <w:rPr>
          <w:rFonts w:eastAsia="Times New Roman"/>
        </w:rPr>
      </w:pPr>
      <w:r>
        <w:rPr>
          <w:rFonts w:ascii="Arial" w:eastAsia="Times New Roman" w:hAnsi="Arial" w:cs="Arial"/>
          <w:color w:val="000000"/>
          <w:sz w:val="20"/>
          <w:szCs w:val="20"/>
        </w:rPr>
        <w:t>•Our effective tax rate on income from continuing operations was 26.7% for the three months ended January 31, 2021, as compared to 23.6% for the three months ended January 31, 2020</w:t>
      </w:r>
      <w:r>
        <w:rPr>
          <w:rFonts w:ascii="Arial" w:eastAsia="Times New Roman" w:hAnsi="Arial" w:cs="Arial"/>
          <w:color w:val="000000"/>
          <w:sz w:val="20"/>
          <w:szCs w:val="20"/>
        </w:rPr>
        <w:t xml:space="preserve">. Our effective tax rate for the three months ended January 31, 2021 was not impacted by any significant discrete items. </w:t>
      </w:r>
    </w:p>
    <w:p w:rsidR="00000000" w:rsidRDefault="00A07857">
      <w:pPr>
        <w:ind w:hanging="360"/>
        <w:jc w:val="both"/>
        <w:divId w:val="30152046"/>
        <w:rPr>
          <w:rFonts w:eastAsia="Times New Roman"/>
        </w:rPr>
      </w:pPr>
      <w:r>
        <w:rPr>
          <w:rFonts w:ascii="Arial" w:eastAsia="Times New Roman" w:hAnsi="Arial" w:cs="Arial"/>
          <w:color w:val="000000"/>
          <w:sz w:val="20"/>
          <w:szCs w:val="20"/>
        </w:rPr>
        <w:t>•Net cash provided by operating activities was $45.3 million during the three months ended January 31, 2021. This includes the deferre</w:t>
      </w:r>
      <w:r>
        <w:rPr>
          <w:rFonts w:ascii="Arial" w:eastAsia="Times New Roman" w:hAnsi="Arial" w:cs="Arial"/>
          <w:color w:val="000000"/>
          <w:sz w:val="20"/>
          <w:szCs w:val="20"/>
        </w:rPr>
        <w:t>d remittance of approximately $31 million of payroll taxes under the CARES Act.</w:t>
      </w:r>
    </w:p>
    <w:p w:rsidR="00000000" w:rsidRDefault="00A07857">
      <w:pPr>
        <w:ind w:hanging="360"/>
        <w:jc w:val="both"/>
        <w:divId w:val="803810084"/>
        <w:rPr>
          <w:rFonts w:eastAsia="Times New Roman"/>
        </w:rPr>
      </w:pPr>
      <w:r>
        <w:rPr>
          <w:rFonts w:ascii="Arial" w:eastAsia="Times New Roman" w:hAnsi="Arial" w:cs="Arial"/>
          <w:color w:val="000000"/>
          <w:sz w:val="20"/>
          <w:szCs w:val="20"/>
        </w:rPr>
        <w:t>•Dividends of $12.7 million were paid to shareholders and dividends totaling $0.190 per common share were declared during the three months ended January 31, 2021.</w:t>
      </w:r>
    </w:p>
    <w:p w:rsidR="00000000" w:rsidRDefault="00A07857">
      <w:pPr>
        <w:ind w:hanging="360"/>
        <w:jc w:val="both"/>
        <w:divId w:val="658770139"/>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20"/>
          <w:szCs w:val="20"/>
        </w:rPr>
        <w:t>At January 3</w:t>
      </w:r>
      <w:r>
        <w:rPr>
          <w:rFonts w:ascii="Arial" w:eastAsia="Times New Roman" w:hAnsi="Arial" w:cs="Arial"/>
          <w:color w:val="000000"/>
          <w:sz w:val="20"/>
          <w:szCs w:val="20"/>
        </w:rPr>
        <w:t>1, 2021, total outstanding borrowings under our Credit Facility were $695.3 million. At January 31, 2021, we had up to $599.4 million of borrowing capacity, reflecting covenant restrictions.</w:t>
      </w:r>
    </w:p>
    <w:p w:rsidR="00000000" w:rsidRDefault="00A07857">
      <w:pPr>
        <w:jc w:val="center"/>
        <w:divId w:val="1451782077"/>
        <w:rPr>
          <w:rFonts w:eastAsia="Times New Roman"/>
        </w:rPr>
      </w:pPr>
      <w:r>
        <w:rPr>
          <w:rFonts w:ascii="Arial" w:eastAsia="Times New Roman" w:hAnsi="Arial" w:cs="Arial"/>
          <w:color w:val="000000"/>
          <w:sz w:val="20"/>
          <w:szCs w:val="20"/>
        </w:rPr>
        <w:t>24</w:t>
      </w:r>
    </w:p>
    <w:p w:rsidR="00000000" w:rsidRDefault="00A07857">
      <w:pPr>
        <w:rPr>
          <w:rFonts w:eastAsia="Times New Roman"/>
        </w:rPr>
      </w:pPr>
      <w:r>
        <w:rPr>
          <w:rFonts w:eastAsia="Times New Roman"/>
        </w:rPr>
        <w:pict>
          <v:rect id="_x0000_i1059" style="width:0;height:1.5pt" o:hralign="center" o:hrstd="t" o:hr="t" fillcolor="#a0a0a0" stroked="f"/>
        </w:pict>
      </w:r>
    </w:p>
    <w:p w:rsidR="00000000" w:rsidRDefault="00A07857">
      <w:pPr>
        <w:jc w:val="both"/>
        <w:divId w:val="1983148394"/>
        <w:rPr>
          <w:rFonts w:eastAsia="Times New Roman"/>
        </w:rPr>
      </w:pPr>
    </w:p>
    <w:p w:rsidR="00000000" w:rsidRDefault="00A07857">
      <w:pPr>
        <w:divId w:val="1708483813"/>
        <w:rPr>
          <w:rFonts w:eastAsia="Times New Roman"/>
        </w:rPr>
      </w:pPr>
      <w:r>
        <w:rPr>
          <w:rFonts w:ascii="Arial" w:eastAsia="Times New Roman" w:hAnsi="Arial" w:cs="Arial"/>
          <w:b/>
          <w:bCs/>
          <w:color w:val="0046AD"/>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2041010898"/>
        </w:trPr>
        <w:tc>
          <w:tcPr>
            <w:tcW w:w="5" w:type="pct"/>
            <w:vAlign w:val="center"/>
            <w:hideMark/>
          </w:tcPr>
          <w:p w:rsidR="00000000" w:rsidRDefault="00A07857">
            <w:pPr>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2041010898"/>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divId w:val="1288585724"/>
        <w:rPr>
          <w:rFonts w:eastAsia="Times New Roman"/>
        </w:rPr>
      </w:pPr>
      <w:r>
        <w:rPr>
          <w:rFonts w:ascii="Arial" w:eastAsia="Times New Roman" w:hAnsi="Arial" w:cs="Arial"/>
          <w:b/>
          <w:bCs/>
          <w:i/>
          <w:iCs/>
          <w:color w:val="0046AD"/>
          <w:sz w:val="20"/>
          <w:szCs w:val="20"/>
          <w:shd w:val="clear" w:color="auto" w:fill="FFFFFF"/>
        </w:rPr>
        <w:t>Consolidated</w:t>
      </w:r>
      <w:r>
        <w:rPr>
          <w:rFonts w:ascii="Arial" w:eastAsia="Times New Roman" w:hAnsi="Arial" w:cs="Arial"/>
          <w:b/>
          <w:bCs/>
          <w:i/>
          <w:iCs/>
          <w:color w:val="000000"/>
          <w:sz w:val="20"/>
          <w:szCs w:val="20"/>
          <w:shd w:val="clear" w:color="auto" w:fill="FFFFFF"/>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836"/>
        <w:gridCol w:w="40"/>
        <w:gridCol w:w="121"/>
        <w:gridCol w:w="1007"/>
        <w:gridCol w:w="163"/>
        <w:gridCol w:w="36"/>
        <w:gridCol w:w="36"/>
        <w:gridCol w:w="36"/>
        <w:gridCol w:w="121"/>
        <w:gridCol w:w="946"/>
        <w:gridCol w:w="163"/>
        <w:gridCol w:w="36"/>
        <w:gridCol w:w="36"/>
        <w:gridCol w:w="36"/>
        <w:gridCol w:w="122"/>
        <w:gridCol w:w="665"/>
        <w:gridCol w:w="37"/>
        <w:gridCol w:w="37"/>
        <w:gridCol w:w="37"/>
        <w:gridCol w:w="36"/>
        <w:gridCol w:w="62"/>
        <w:gridCol w:w="617"/>
        <w:gridCol w:w="39"/>
      </w:tblGrid>
      <w:tr w:rsidR="00000000">
        <w:trPr>
          <w:divId w:val="1813014001"/>
        </w:trPr>
        <w:tc>
          <w:tcPr>
            <w:tcW w:w="50" w:type="pct"/>
            <w:vAlign w:val="center"/>
            <w:hideMark/>
          </w:tcPr>
          <w:p w:rsidR="00000000" w:rsidRDefault="00A07857">
            <w:pPr>
              <w:rPr>
                <w:rFonts w:eastAsia="Times New Roman"/>
              </w:rPr>
            </w:pPr>
          </w:p>
        </w:tc>
        <w:tc>
          <w:tcPr>
            <w:tcW w:w="236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64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64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7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7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813014001"/>
        </w:trPr>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shd w:val="clear" w:color="auto" w:fill="FFFFF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813014001"/>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u w:val="single"/>
              </w:rPr>
              <w:t>($ in millions)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2020</w:t>
            </w:r>
          </w:p>
        </w:tc>
        <w:tc>
          <w:tcPr>
            <w:tcW w:w="0" w:type="auto"/>
            <w:gridSpan w:val="3"/>
            <w:shd w:val="clear" w:color="auto" w:fill="FFFFFF"/>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Increase / (Decrease)</w:t>
            </w:r>
          </w:p>
        </w:tc>
      </w:tr>
      <w:tr w:rsidR="00000000">
        <w:trPr>
          <w:divId w:val="1813014001"/>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1,492.4 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1,612.9 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(120.5)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(7.5)%</w:t>
            </w:r>
          </w:p>
        </w:tc>
      </w:tr>
      <w:tr w:rsidR="00000000">
        <w:trPr>
          <w:divId w:val="1813014001"/>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Operating expenses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1,249.4 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1,433.7 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(184.3)</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(12.9)%</w:t>
            </w:r>
          </w:p>
        </w:tc>
      </w:tr>
      <w:tr w:rsidR="00000000">
        <w:trPr>
          <w:divId w:val="1813014001"/>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Gross margin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16.3 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11.1 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518 bps</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813014001"/>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122.6 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117.6 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4.2%</w:t>
            </w:r>
          </w:p>
        </w:tc>
      </w:tr>
      <w:tr w:rsidR="00000000">
        <w:trPr>
          <w:divId w:val="1813014001"/>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Restructuring and related expenses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3.1 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(3.1)</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1813014001"/>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10.8 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12.6 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(1.8)</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(14.7)%</w:t>
            </w:r>
          </w:p>
        </w:tc>
      </w:tr>
      <w:tr w:rsidR="00000000">
        <w:trPr>
          <w:divId w:val="1813014001"/>
        </w:trPr>
        <w:tc>
          <w:tcPr>
            <w:tcW w:w="0" w:type="auto"/>
            <w:gridSpan w:val="3"/>
            <w:vAlign w:val="center"/>
            <w:hideMark/>
          </w:tcPr>
          <w:p w:rsidR="00000000" w:rsidRDefault="00A07857">
            <w:pPr>
              <w:jc w:val="center"/>
              <w:rPr>
                <w:rFonts w:eastAsia="Times New Roman"/>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813014001"/>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Operating profit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109.7 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45.8 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63.9 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1813014001"/>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(0.3)</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(32.1)%</w:t>
            </w:r>
          </w:p>
        </w:tc>
      </w:tr>
      <w:tr w:rsidR="00000000">
        <w:trPr>
          <w:divId w:val="1813014001"/>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Interest expense</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(8.5)</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(10.2)</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1.7 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16.9%</w:t>
            </w:r>
          </w:p>
        </w:tc>
      </w:tr>
      <w:tr w:rsidR="00000000">
        <w:trPr>
          <w:divId w:val="1813014001"/>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1813014001"/>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(27.2)</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(8.6)</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(18.6)</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1813014001"/>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74.6 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1813014001"/>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from discontinued operations, net of taxes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1813014001"/>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Net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74.6 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1813014001"/>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813014001"/>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1813014001"/>
        </w:trPr>
        <w:tc>
          <w:tcPr>
            <w:tcW w:w="0" w:type="auto"/>
            <w:gridSpan w:val="3"/>
            <w:shd w:val="clear" w:color="auto" w:fill="DCE2E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4.0 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0.4 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3.6 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1813014001"/>
        </w:trPr>
        <w:tc>
          <w:tcPr>
            <w:tcW w:w="0" w:type="auto"/>
            <w:gridSpan w:val="3"/>
            <w:shd w:val="clear" w:color="auto" w:fill="FFFFFF"/>
            <w:tcMar>
              <w:top w:w="30" w:type="dxa"/>
              <w:left w:w="38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Income tax (provision) benefit</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(0.4)</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(0.7)</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1813014001"/>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Comprehensive income</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79.5 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27.6 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51.9 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bl>
    <w:p w:rsidR="00000000" w:rsidRDefault="00A07857">
      <w:pPr>
        <w:divId w:val="65109136"/>
        <w:rPr>
          <w:rFonts w:eastAsia="Times New Roman"/>
        </w:rPr>
      </w:pPr>
      <w:r>
        <w:rPr>
          <w:rFonts w:ascii="Arial" w:eastAsia="Times New Roman" w:hAnsi="Arial" w:cs="Arial"/>
          <w:color w:val="000000"/>
          <w:sz w:val="18"/>
          <w:szCs w:val="18"/>
        </w:rPr>
        <w:t>*Not meaningful</w:t>
      </w:r>
    </w:p>
    <w:p w:rsidR="00000000" w:rsidRDefault="00A07857">
      <w:pPr>
        <w:jc w:val="both"/>
        <w:divId w:val="1316253641"/>
        <w:rPr>
          <w:rFonts w:eastAsia="Times New Roman"/>
        </w:rPr>
      </w:pPr>
      <w:r>
        <w:rPr>
          <w:rFonts w:ascii="Arial" w:eastAsia="Times New Roman" w:hAnsi="Arial" w:cs="Arial"/>
          <w:b/>
          <w:bCs/>
          <w:i/>
          <w:iCs/>
          <w:color w:val="0046AD"/>
          <w:sz w:val="20"/>
          <w:szCs w:val="20"/>
          <w:shd w:val="clear" w:color="auto" w:fill="FFFFFF"/>
        </w:rPr>
        <w:t xml:space="preserve">Three Months Ended January 31, 2021 Compared with the Three </w:t>
      </w:r>
      <w:r>
        <w:rPr>
          <w:rFonts w:ascii="Arial" w:eastAsia="Times New Roman" w:hAnsi="Arial" w:cs="Arial"/>
          <w:b/>
          <w:bCs/>
          <w:i/>
          <w:iCs/>
          <w:color w:val="0046AD"/>
          <w:sz w:val="20"/>
          <w:szCs w:val="20"/>
          <w:shd w:val="clear" w:color="auto" w:fill="FFFFFF"/>
        </w:rPr>
        <w:t>Months Ended January 31, 2020</w:t>
      </w:r>
    </w:p>
    <w:p w:rsidR="00000000" w:rsidRDefault="00A07857">
      <w:pPr>
        <w:divId w:val="629556789"/>
        <w:rPr>
          <w:rFonts w:eastAsia="Times New Roman"/>
        </w:rPr>
      </w:pPr>
      <w:r>
        <w:rPr>
          <w:rFonts w:ascii="Arial" w:eastAsia="Times New Roman" w:hAnsi="Arial" w:cs="Arial"/>
          <w:b/>
          <w:bCs/>
          <w:i/>
          <w:iCs/>
          <w:color w:val="0046AD"/>
          <w:sz w:val="20"/>
          <w:szCs w:val="20"/>
        </w:rPr>
        <w:t>Revenues</w:t>
      </w:r>
      <w:r>
        <w:rPr>
          <w:rFonts w:ascii="Arial" w:eastAsia="Times New Roman" w:hAnsi="Arial" w:cs="Arial"/>
          <w:i/>
          <w:iCs/>
          <w:color w:val="0046AD"/>
          <w:sz w:val="20"/>
          <w:szCs w:val="20"/>
        </w:rPr>
        <w:t xml:space="preserve"> </w:t>
      </w:r>
    </w:p>
    <w:p w:rsidR="00000000" w:rsidRDefault="00A07857">
      <w:pPr>
        <w:ind w:firstLine="720"/>
        <w:jc w:val="both"/>
        <w:divId w:val="1775830102"/>
        <w:rPr>
          <w:rFonts w:eastAsia="Times New Roman"/>
        </w:rPr>
      </w:pPr>
      <w:r>
        <w:rPr>
          <w:rFonts w:ascii="Arial" w:eastAsia="Times New Roman" w:hAnsi="Arial" w:cs="Arial"/>
          <w:color w:val="000000"/>
          <w:sz w:val="20"/>
          <w:szCs w:val="20"/>
        </w:rPr>
        <w:t>Revenues decreased by $120.5 million, or 7.5%, during the three months ended January 31, 2021, as compared to the three months ended January </w:t>
      </w:r>
      <w:r>
        <w:rPr>
          <w:rFonts w:ascii="Arial" w:eastAsia="Times New Roman" w:hAnsi="Arial" w:cs="Arial"/>
          <w:color w:val="000000"/>
          <w:sz w:val="20"/>
          <w:szCs w:val="20"/>
        </w:rPr>
        <w:t>31, 2020. This decrease was primarily due to the impact of Pandemic-related disruptions across our businesses. However, this decrease was partially offset by an increase in work orders, primarily as a result of the Pandemic, and the expansion of certain ac</w:t>
      </w:r>
      <w:r>
        <w:rPr>
          <w:rFonts w:ascii="Arial" w:eastAsia="Times New Roman" w:hAnsi="Arial" w:cs="Arial"/>
          <w:color w:val="000000"/>
          <w:sz w:val="20"/>
          <w:szCs w:val="20"/>
        </w:rPr>
        <w:t>counts and new business within B&amp;I and T&amp;M.</w:t>
      </w:r>
    </w:p>
    <w:p w:rsidR="00000000" w:rsidRDefault="00A07857">
      <w:pPr>
        <w:jc w:val="both"/>
        <w:divId w:val="1596523125"/>
        <w:rPr>
          <w:rFonts w:eastAsia="Times New Roman"/>
        </w:rPr>
      </w:pPr>
      <w:r>
        <w:rPr>
          <w:rFonts w:ascii="Arial" w:eastAsia="Times New Roman" w:hAnsi="Arial" w:cs="Arial"/>
          <w:b/>
          <w:bCs/>
          <w:i/>
          <w:iCs/>
          <w:color w:val="0046AD"/>
          <w:sz w:val="20"/>
          <w:szCs w:val="20"/>
        </w:rPr>
        <w:t>Operating Expenses</w:t>
      </w:r>
    </w:p>
    <w:p w:rsidR="00000000" w:rsidRDefault="00A07857">
      <w:pPr>
        <w:ind w:firstLine="720"/>
        <w:jc w:val="both"/>
        <w:divId w:val="1283464220"/>
        <w:rPr>
          <w:rFonts w:eastAsia="Times New Roman"/>
        </w:rPr>
      </w:pPr>
      <w:r>
        <w:rPr>
          <w:rFonts w:ascii="Arial" w:eastAsia="Times New Roman" w:hAnsi="Arial" w:cs="Arial"/>
          <w:color w:val="000000"/>
          <w:sz w:val="20"/>
          <w:szCs w:val="20"/>
        </w:rPr>
        <w:t>Operating expenses decreased by $184.3 million, or 12.9%, during the three months ended January </w:t>
      </w:r>
      <w:r>
        <w:rPr>
          <w:rFonts w:ascii="Arial" w:eastAsia="Times New Roman" w:hAnsi="Arial" w:cs="Arial"/>
          <w:color w:val="000000"/>
          <w:sz w:val="20"/>
          <w:szCs w:val="20"/>
        </w:rPr>
        <w:t>31, 2021, as compared to the three months ended January 31, 2020. Gross margin increased by 518 bps to 16.3% in the three months ended January 31, 2021 from 11.1% in the three months ended January 31, 2020. The increase in gross margin was primarily associ</w:t>
      </w:r>
      <w:r>
        <w:rPr>
          <w:rFonts w:ascii="Arial" w:eastAsia="Times New Roman" w:hAnsi="Arial" w:cs="Arial"/>
          <w:color w:val="000000"/>
          <w:sz w:val="20"/>
          <w:szCs w:val="20"/>
        </w:rPr>
        <w:t>ated with the management of direct labor and related personnel costs during the Pandemic and an increase in work orders with higher margins as a result of the Pandemic (primarily within B&amp;I and T&amp;M). The increase in gross margin was also driven by self-ins</w:t>
      </w:r>
      <w:r>
        <w:rPr>
          <w:rFonts w:ascii="Arial" w:eastAsia="Times New Roman" w:hAnsi="Arial" w:cs="Arial"/>
          <w:color w:val="000000"/>
          <w:sz w:val="20"/>
          <w:szCs w:val="20"/>
        </w:rPr>
        <w:t>urance reserve adjustments. These benefits were partially offset by account compression resulting from Pandemic-related disruptions in certain markets.</w:t>
      </w:r>
    </w:p>
    <w:p w:rsidR="00000000" w:rsidRDefault="00A07857">
      <w:pPr>
        <w:divId w:val="1698312677"/>
        <w:rPr>
          <w:rFonts w:eastAsia="Times New Roman"/>
        </w:rPr>
      </w:pPr>
      <w:r>
        <w:rPr>
          <w:rFonts w:ascii="Arial" w:eastAsia="Times New Roman" w:hAnsi="Arial" w:cs="Arial"/>
          <w:b/>
          <w:bCs/>
          <w:i/>
          <w:iCs/>
          <w:color w:val="0046AD"/>
          <w:sz w:val="20"/>
          <w:szCs w:val="20"/>
        </w:rPr>
        <w:t>Selling, General and Administrative Expenses</w:t>
      </w:r>
    </w:p>
    <w:p w:rsidR="00000000" w:rsidRDefault="00A07857">
      <w:pPr>
        <w:ind w:firstLine="720"/>
        <w:jc w:val="both"/>
        <w:divId w:val="708454813"/>
        <w:rPr>
          <w:rFonts w:eastAsia="Times New Roman"/>
        </w:rPr>
      </w:pPr>
      <w:r>
        <w:rPr>
          <w:rFonts w:ascii="Arial" w:eastAsia="Times New Roman" w:hAnsi="Arial" w:cs="Arial"/>
          <w:color w:val="000000"/>
          <w:sz w:val="20"/>
          <w:szCs w:val="20"/>
        </w:rPr>
        <w:t>Selling, general and administrative expenses increased by $</w:t>
      </w:r>
      <w:r>
        <w:rPr>
          <w:rFonts w:ascii="Arial" w:eastAsia="Times New Roman" w:hAnsi="Arial" w:cs="Arial"/>
          <w:color w:val="000000"/>
          <w:sz w:val="20"/>
          <w:szCs w:val="20"/>
        </w:rPr>
        <w:t>5.0 million, or 4.2%, during the three months ended January 31, 2021, as compared to the three months ended January 31, 2020. The increase in selling, general and administrative expenses was primarily attributable to:</w:t>
      </w:r>
    </w:p>
    <w:p w:rsidR="00000000" w:rsidRDefault="00A07857">
      <w:pPr>
        <w:ind w:hanging="360"/>
        <w:jc w:val="both"/>
        <w:divId w:val="23603261"/>
        <w:rPr>
          <w:rFonts w:eastAsia="Times New Roman"/>
        </w:rPr>
      </w:pPr>
      <w:r>
        <w:rPr>
          <w:rFonts w:ascii="Arial" w:eastAsia="Times New Roman" w:hAnsi="Arial" w:cs="Arial"/>
          <w:color w:val="000000"/>
          <w:sz w:val="20"/>
          <w:szCs w:val="20"/>
        </w:rPr>
        <w:t>•a $2.2 million increase in certain te</w:t>
      </w:r>
      <w:r>
        <w:rPr>
          <w:rFonts w:ascii="Arial" w:eastAsia="Times New Roman" w:hAnsi="Arial" w:cs="Arial"/>
          <w:color w:val="000000"/>
          <w:sz w:val="20"/>
          <w:szCs w:val="20"/>
        </w:rPr>
        <w:t>chnology projects and related support;</w:t>
      </w:r>
    </w:p>
    <w:p w:rsidR="00000000" w:rsidRDefault="00A07857">
      <w:pPr>
        <w:jc w:val="center"/>
        <w:divId w:val="887107695"/>
        <w:rPr>
          <w:rFonts w:eastAsia="Times New Roman"/>
        </w:rPr>
      </w:pPr>
      <w:r>
        <w:rPr>
          <w:rFonts w:ascii="Arial" w:eastAsia="Times New Roman" w:hAnsi="Arial" w:cs="Arial"/>
          <w:color w:val="000000"/>
          <w:sz w:val="20"/>
          <w:szCs w:val="20"/>
        </w:rPr>
        <w:t>25</w:t>
      </w:r>
    </w:p>
    <w:p w:rsidR="00000000" w:rsidRDefault="00A07857">
      <w:pPr>
        <w:rPr>
          <w:rFonts w:eastAsia="Times New Roman"/>
        </w:rPr>
      </w:pPr>
      <w:r>
        <w:rPr>
          <w:rFonts w:eastAsia="Times New Roman"/>
        </w:rPr>
        <w:pict>
          <v:rect id="_x0000_i1060" style="width:0;height:1.5pt" o:hralign="center" o:hrstd="t" o:hr="t" fillcolor="#a0a0a0" stroked="f"/>
        </w:pict>
      </w:r>
    </w:p>
    <w:p w:rsidR="00000000" w:rsidRDefault="00A07857">
      <w:pPr>
        <w:jc w:val="both"/>
        <w:divId w:val="1814830592"/>
        <w:rPr>
          <w:rFonts w:eastAsia="Times New Roman"/>
        </w:rPr>
      </w:pPr>
    </w:p>
    <w:p w:rsidR="00000000" w:rsidRDefault="00A07857">
      <w:pPr>
        <w:ind w:hanging="360"/>
        <w:jc w:val="both"/>
        <w:divId w:val="214172278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$1.5 million increase related to investments in EnhancedClean; and</w:t>
      </w:r>
    </w:p>
    <w:p w:rsidR="00000000" w:rsidRDefault="00A07857">
      <w:pPr>
        <w:ind w:hanging="360"/>
        <w:jc w:val="both"/>
        <w:divId w:val="6396318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$0.6 million increase in bad debt expense primarily associated with higher reserves established for cli</w:t>
      </w:r>
      <w:r>
        <w:rPr>
          <w:rFonts w:ascii="Arial" w:eastAsia="Times New Roman" w:hAnsi="Arial" w:cs="Arial"/>
          <w:color w:val="000000"/>
          <w:sz w:val="20"/>
          <w:szCs w:val="20"/>
        </w:rPr>
        <w:t>ent receivables mainly associated with increasing credit risk resulting from the Pandemic.</w:t>
      </w:r>
    </w:p>
    <w:p w:rsidR="00000000" w:rsidRDefault="00A07857">
      <w:pPr>
        <w:jc w:val="both"/>
        <w:divId w:val="574053827"/>
        <w:rPr>
          <w:rFonts w:eastAsia="Times New Roman"/>
        </w:rPr>
      </w:pPr>
      <w:r>
        <w:rPr>
          <w:rFonts w:ascii="Arial" w:eastAsia="Times New Roman" w:hAnsi="Arial" w:cs="Arial"/>
          <w:b/>
          <w:bCs/>
          <w:i/>
          <w:iCs/>
          <w:color w:val="0046AD"/>
          <w:sz w:val="20"/>
          <w:szCs w:val="20"/>
        </w:rPr>
        <w:t>Restructuring and Related Expenses</w:t>
      </w:r>
    </w:p>
    <w:p w:rsidR="00000000" w:rsidRDefault="00A07857">
      <w:pPr>
        <w:ind w:firstLine="720"/>
        <w:jc w:val="both"/>
        <w:divId w:val="855467050"/>
        <w:rPr>
          <w:rFonts w:eastAsia="Times New Roman"/>
        </w:rPr>
      </w:pPr>
      <w:r>
        <w:rPr>
          <w:rFonts w:ascii="Arial" w:eastAsia="Times New Roman" w:hAnsi="Arial" w:cs="Arial"/>
          <w:color w:val="000000"/>
          <w:sz w:val="20"/>
          <w:szCs w:val="20"/>
        </w:rPr>
        <w:t>Restructuring and related expenses decreased by $3.1 million during the three months ended January 31, 2021, as compared to the th</w:t>
      </w:r>
      <w:r>
        <w:rPr>
          <w:rFonts w:ascii="Arial" w:eastAsia="Times New Roman" w:hAnsi="Arial" w:cs="Arial"/>
          <w:color w:val="000000"/>
          <w:sz w:val="20"/>
          <w:szCs w:val="20"/>
        </w:rPr>
        <w:t>ree months ended January 31, 2020. The decrease was due to expenses incurred in the prior year related to our ongoing technology initiatives. By the end of 2020, we substantially completed the restructuring program. The remaining technology-based moderniza</w:t>
      </w:r>
      <w:r>
        <w:rPr>
          <w:rFonts w:ascii="Arial" w:eastAsia="Times New Roman" w:hAnsi="Arial" w:cs="Arial"/>
          <w:color w:val="000000"/>
          <w:sz w:val="20"/>
          <w:szCs w:val="20"/>
        </w:rPr>
        <w:t>tion efforts including system integration will be part of a new technology transformation project going forward.</w:t>
      </w:r>
    </w:p>
    <w:p w:rsidR="00000000" w:rsidRDefault="00A07857">
      <w:pPr>
        <w:jc w:val="both"/>
        <w:divId w:val="1469667315"/>
        <w:rPr>
          <w:rFonts w:eastAsia="Times New Roman"/>
        </w:rPr>
      </w:pPr>
      <w:r>
        <w:rPr>
          <w:rFonts w:ascii="Arial" w:eastAsia="Times New Roman" w:hAnsi="Arial" w:cs="Arial"/>
          <w:b/>
          <w:bCs/>
          <w:i/>
          <w:iCs/>
          <w:color w:val="0046AD"/>
          <w:sz w:val="20"/>
          <w:szCs w:val="20"/>
        </w:rPr>
        <w:t>Amortization of Intangible Assets</w:t>
      </w:r>
    </w:p>
    <w:p w:rsidR="00000000" w:rsidRDefault="00A07857">
      <w:pPr>
        <w:ind w:firstLine="720"/>
        <w:jc w:val="both"/>
        <w:divId w:val="539905868"/>
        <w:rPr>
          <w:rFonts w:eastAsia="Times New Roman"/>
        </w:rPr>
      </w:pPr>
      <w:r>
        <w:rPr>
          <w:rFonts w:ascii="Arial" w:eastAsia="Times New Roman" w:hAnsi="Arial" w:cs="Arial"/>
          <w:color w:val="000000"/>
          <w:sz w:val="20"/>
          <w:szCs w:val="20"/>
        </w:rPr>
        <w:t>Amortization of intangible assets decreased by $1.8 million, or 14.7%, during the three months ended January </w:t>
      </w:r>
      <w:r>
        <w:rPr>
          <w:rFonts w:ascii="Arial" w:eastAsia="Times New Roman" w:hAnsi="Arial" w:cs="Arial"/>
          <w:color w:val="000000"/>
          <w:sz w:val="20"/>
          <w:szCs w:val="20"/>
        </w:rPr>
        <w:t>31, 2021, as compared to the three months ended January 31, 2020. The decrease was due to a lower intangible assets balance resulting from the impairment loss recorded in the second quarter of 2020 and to certain intangible assets being amortized using the</w:t>
      </w:r>
      <w:r>
        <w:rPr>
          <w:rFonts w:ascii="Arial" w:eastAsia="Times New Roman" w:hAnsi="Arial" w:cs="Arial"/>
          <w:color w:val="000000"/>
          <w:sz w:val="20"/>
          <w:szCs w:val="20"/>
        </w:rPr>
        <w:t xml:space="preserve"> sum-of-the-years’-digits method, which results in declining amortization expense over the useful lives of the assets.</w:t>
      </w:r>
    </w:p>
    <w:p w:rsidR="00000000" w:rsidRDefault="00A07857">
      <w:pPr>
        <w:divId w:val="873075105"/>
        <w:rPr>
          <w:rFonts w:eastAsia="Times New Roman"/>
        </w:rPr>
      </w:pPr>
      <w:r>
        <w:rPr>
          <w:rFonts w:ascii="Arial" w:eastAsia="Times New Roman" w:hAnsi="Arial" w:cs="Arial"/>
          <w:b/>
          <w:bCs/>
          <w:i/>
          <w:iCs/>
          <w:color w:val="0046AD"/>
          <w:sz w:val="20"/>
          <w:szCs w:val="20"/>
        </w:rPr>
        <w:t>Interest Expense</w:t>
      </w:r>
    </w:p>
    <w:p w:rsidR="00000000" w:rsidRDefault="00A07857">
      <w:pPr>
        <w:ind w:firstLine="720"/>
        <w:jc w:val="both"/>
        <w:divId w:val="1354454692"/>
        <w:rPr>
          <w:rFonts w:eastAsia="Times New Roman"/>
        </w:rPr>
      </w:pPr>
      <w:r>
        <w:rPr>
          <w:rFonts w:ascii="Arial" w:eastAsia="Times New Roman" w:hAnsi="Arial" w:cs="Arial"/>
          <w:color w:val="000000"/>
          <w:sz w:val="20"/>
          <w:szCs w:val="20"/>
        </w:rPr>
        <w:t>Interest expense decreased by $1.7 million, or 16.9%, during the three months ended January 31, 2021, as compared to the</w:t>
      </w:r>
      <w:r>
        <w:rPr>
          <w:rFonts w:ascii="Arial" w:eastAsia="Times New Roman" w:hAnsi="Arial" w:cs="Arial"/>
          <w:color w:val="000000"/>
          <w:sz w:val="20"/>
          <w:szCs w:val="20"/>
        </w:rPr>
        <w:t xml:space="preserve"> three months ended January 31, 2020, primarily due to lower relative interest rates in the current year and lower outstanding borrowing under our credit facility.</w:t>
      </w:r>
    </w:p>
    <w:p w:rsidR="00000000" w:rsidRDefault="00A07857">
      <w:pPr>
        <w:divId w:val="2054189083"/>
        <w:rPr>
          <w:rFonts w:eastAsia="Times New Roman"/>
        </w:rPr>
      </w:pPr>
      <w:r>
        <w:rPr>
          <w:rFonts w:ascii="Arial" w:eastAsia="Times New Roman" w:hAnsi="Arial" w:cs="Arial"/>
          <w:b/>
          <w:bCs/>
          <w:i/>
          <w:iCs/>
          <w:color w:val="0046AD"/>
          <w:sz w:val="20"/>
          <w:szCs w:val="20"/>
        </w:rPr>
        <w:t>Income Taxes from Continuing Operations</w:t>
      </w:r>
    </w:p>
    <w:p w:rsidR="00000000" w:rsidRDefault="00A07857">
      <w:pPr>
        <w:ind w:firstLine="720"/>
        <w:jc w:val="both"/>
        <w:divId w:val="1999992252"/>
        <w:rPr>
          <w:rFonts w:eastAsia="Times New Roman"/>
        </w:rPr>
      </w:pPr>
      <w:r>
        <w:rPr>
          <w:rFonts w:ascii="Arial" w:eastAsia="Times New Roman" w:hAnsi="Arial" w:cs="Arial"/>
          <w:color w:val="000000"/>
          <w:sz w:val="20"/>
          <w:szCs w:val="20"/>
        </w:rPr>
        <w:t>Our effective tax rates on income from continuing op</w:t>
      </w:r>
      <w:r>
        <w:rPr>
          <w:rFonts w:ascii="Arial" w:eastAsia="Times New Roman" w:hAnsi="Arial" w:cs="Arial"/>
          <w:color w:val="000000"/>
          <w:sz w:val="20"/>
          <w:szCs w:val="20"/>
        </w:rPr>
        <w:t>erations for the three months ended January 31, 2021, and January 31, 2020, were 26.7% and 23.6%, respectively, resulting in provisions for taxes of $27.2 million and $8.6 million, respectively. The difference between the effective tax rate and statutory r</w:t>
      </w:r>
      <w:r>
        <w:rPr>
          <w:rFonts w:ascii="Arial" w:eastAsia="Times New Roman" w:hAnsi="Arial" w:cs="Arial"/>
          <w:color w:val="000000"/>
          <w:sz w:val="20"/>
          <w:szCs w:val="20"/>
        </w:rPr>
        <w:t xml:space="preserve">ate is primarily related to tax credits. The rate difference between periods is driven by increased income in 2021. Our effective tax rates for these periods were not impacted by any significant discrete items. </w:t>
      </w:r>
    </w:p>
    <w:p w:rsidR="00000000" w:rsidRDefault="00A07857">
      <w:pPr>
        <w:jc w:val="both"/>
        <w:divId w:val="1572228976"/>
        <w:rPr>
          <w:rFonts w:eastAsia="Times New Roman"/>
        </w:rPr>
      </w:pPr>
      <w:r>
        <w:rPr>
          <w:rFonts w:ascii="Arial" w:eastAsia="Times New Roman" w:hAnsi="Arial" w:cs="Arial"/>
          <w:b/>
          <w:bCs/>
          <w:i/>
          <w:iCs/>
          <w:color w:val="0046AD"/>
          <w:sz w:val="20"/>
          <w:szCs w:val="20"/>
        </w:rPr>
        <w:t>Interest Rate Swaps</w:t>
      </w:r>
    </w:p>
    <w:p w:rsidR="00000000" w:rsidRDefault="00A07857">
      <w:pPr>
        <w:ind w:firstLine="720"/>
        <w:jc w:val="both"/>
        <w:divId w:val="682629476"/>
        <w:rPr>
          <w:rFonts w:eastAsia="Times New Roman"/>
        </w:rPr>
      </w:pPr>
      <w:r>
        <w:rPr>
          <w:rFonts w:ascii="Arial" w:eastAsia="Times New Roman" w:hAnsi="Arial" w:cs="Arial"/>
          <w:color w:val="000000"/>
          <w:sz w:val="20"/>
          <w:szCs w:val="20"/>
        </w:rPr>
        <w:t>We had a gain of $1.2 mi</w:t>
      </w:r>
      <w:r>
        <w:rPr>
          <w:rFonts w:ascii="Arial" w:eastAsia="Times New Roman" w:hAnsi="Arial" w:cs="Arial"/>
          <w:color w:val="000000"/>
          <w:sz w:val="20"/>
          <w:szCs w:val="20"/>
        </w:rPr>
        <w:t xml:space="preserve">llion on interest rate swaps during the three months ended January 31, 2021, as compared to a loss of $1.1 million during the three months ended January 31, 2020, primarily due to underlying changes in the fair value of our interest rate swaps. </w:t>
      </w:r>
    </w:p>
    <w:p w:rsidR="00000000" w:rsidRDefault="00A07857">
      <w:pPr>
        <w:jc w:val="both"/>
        <w:divId w:val="603922915"/>
        <w:rPr>
          <w:rFonts w:eastAsia="Times New Roman"/>
        </w:rPr>
      </w:pPr>
      <w:r>
        <w:rPr>
          <w:rFonts w:ascii="Arial" w:eastAsia="Times New Roman" w:hAnsi="Arial" w:cs="Arial"/>
          <w:b/>
          <w:bCs/>
          <w:i/>
          <w:iCs/>
          <w:color w:val="0046AD"/>
          <w:sz w:val="20"/>
          <w:szCs w:val="20"/>
        </w:rPr>
        <w:t>Foreign Cu</w:t>
      </w:r>
      <w:r>
        <w:rPr>
          <w:rFonts w:ascii="Arial" w:eastAsia="Times New Roman" w:hAnsi="Arial" w:cs="Arial"/>
          <w:b/>
          <w:bCs/>
          <w:i/>
          <w:iCs/>
          <w:color w:val="0046AD"/>
          <w:sz w:val="20"/>
          <w:szCs w:val="20"/>
        </w:rPr>
        <w:t>rrency Translation</w:t>
      </w:r>
    </w:p>
    <w:p w:rsidR="00000000" w:rsidRDefault="00A07857">
      <w:pPr>
        <w:ind w:firstLine="720"/>
        <w:jc w:val="both"/>
        <w:divId w:val="53742232"/>
        <w:rPr>
          <w:rFonts w:eastAsia="Times New Roman"/>
        </w:rPr>
      </w:pPr>
      <w:r>
        <w:rPr>
          <w:rFonts w:ascii="Arial" w:eastAsia="Times New Roman" w:hAnsi="Arial" w:cs="Arial"/>
          <w:color w:val="000000"/>
          <w:sz w:val="20"/>
          <w:szCs w:val="20"/>
        </w:rPr>
        <w:t>Foreign currency translation gain increased by $3.6 million during the three months ended January 31, 2021, as compared to the three months ended January 31, 2020. This change was due to fluctuations in the exchange rate between the U.S.</w:t>
      </w:r>
      <w:r>
        <w:rPr>
          <w:rFonts w:ascii="Arial" w:eastAsia="Times New Roman" w:hAnsi="Arial" w:cs="Arial"/>
          <w:color w:val="000000"/>
          <w:sz w:val="20"/>
          <w:szCs w:val="20"/>
        </w:rPr>
        <w:t xml:space="preserve"> Dollar (“USD”) and the Great Britain Pound (“GBP”). Future gains and losses on foreign currency translation will be dependent upon changes in the relative value of foreign currencies to the USD and the extent of our foreign assets and liabilities. </w:t>
      </w:r>
    </w:p>
    <w:p w:rsidR="00000000" w:rsidRDefault="00A07857">
      <w:pPr>
        <w:jc w:val="center"/>
        <w:divId w:val="118769455"/>
        <w:rPr>
          <w:rFonts w:eastAsia="Times New Roman"/>
        </w:rPr>
      </w:pPr>
      <w:r>
        <w:rPr>
          <w:rFonts w:ascii="Arial" w:eastAsia="Times New Roman" w:hAnsi="Arial" w:cs="Arial"/>
          <w:color w:val="000000"/>
          <w:sz w:val="20"/>
          <w:szCs w:val="20"/>
        </w:rPr>
        <w:t>26</w:t>
      </w:r>
    </w:p>
    <w:p w:rsidR="00000000" w:rsidRDefault="00A07857">
      <w:pPr>
        <w:rPr>
          <w:rFonts w:eastAsia="Times New Roman"/>
        </w:rPr>
      </w:pPr>
      <w:r>
        <w:rPr>
          <w:rFonts w:eastAsia="Times New Roman"/>
        </w:rPr>
        <w:pict>
          <v:rect id="_x0000_i1061" style="width:0;height:1.5pt" o:hralign="center" o:hrstd="t" o:hr="t" fillcolor="#a0a0a0" stroked="f"/>
        </w:pict>
      </w:r>
    </w:p>
    <w:p w:rsidR="00000000" w:rsidRDefault="00A07857">
      <w:pPr>
        <w:jc w:val="both"/>
        <w:divId w:val="1585987455"/>
        <w:rPr>
          <w:rFonts w:eastAsia="Times New Roman"/>
        </w:rPr>
      </w:pPr>
    </w:p>
    <w:p w:rsidR="00000000" w:rsidRDefault="00A07857">
      <w:pPr>
        <w:divId w:val="2139756802"/>
        <w:rPr>
          <w:rFonts w:eastAsia="Times New Roman"/>
        </w:rPr>
      </w:pPr>
      <w:r>
        <w:rPr>
          <w:rFonts w:ascii="Arial" w:eastAsia="Times New Roman" w:hAnsi="Arial" w:cs="Arial"/>
          <w:b/>
          <w:bCs/>
          <w:i/>
          <w:iCs/>
          <w:color w:val="0046AD"/>
          <w:sz w:val="20"/>
          <w:szCs w:val="20"/>
        </w:rPr>
        <w:t>Segment Information</w:t>
      </w:r>
    </w:p>
    <w:p w:rsidR="00000000" w:rsidRDefault="00A07857">
      <w:pPr>
        <w:jc w:val="both"/>
        <w:divId w:val="1898474790"/>
        <w:rPr>
          <w:rFonts w:eastAsia="Times New Roman"/>
        </w:rPr>
      </w:pPr>
      <w:r>
        <w:rPr>
          <w:rFonts w:ascii="Arial" w:eastAsia="Times New Roman" w:hAnsi="Arial" w:cs="Arial"/>
          <w:b/>
          <w:bCs/>
          <w:i/>
          <w:iCs/>
          <w:color w:val="0046AD"/>
          <w:sz w:val="20"/>
          <w:szCs w:val="20"/>
        </w:rPr>
        <w:t>Financial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837"/>
        <w:gridCol w:w="39"/>
        <w:gridCol w:w="121"/>
        <w:gridCol w:w="1007"/>
        <w:gridCol w:w="163"/>
        <w:gridCol w:w="36"/>
        <w:gridCol w:w="36"/>
        <w:gridCol w:w="36"/>
        <w:gridCol w:w="121"/>
        <w:gridCol w:w="946"/>
        <w:gridCol w:w="163"/>
        <w:gridCol w:w="36"/>
        <w:gridCol w:w="36"/>
        <w:gridCol w:w="36"/>
        <w:gridCol w:w="122"/>
        <w:gridCol w:w="665"/>
        <w:gridCol w:w="37"/>
        <w:gridCol w:w="37"/>
        <w:gridCol w:w="37"/>
        <w:gridCol w:w="36"/>
        <w:gridCol w:w="62"/>
        <w:gridCol w:w="618"/>
        <w:gridCol w:w="39"/>
      </w:tblGrid>
      <w:tr w:rsidR="00000000">
        <w:trPr>
          <w:divId w:val="39911970"/>
        </w:trPr>
        <w:tc>
          <w:tcPr>
            <w:tcW w:w="50" w:type="pct"/>
            <w:vAlign w:val="center"/>
            <w:hideMark/>
          </w:tcPr>
          <w:p w:rsidR="00000000" w:rsidRDefault="00A07857">
            <w:pPr>
              <w:jc w:val="both"/>
              <w:rPr>
                <w:rFonts w:eastAsia="Times New Roman"/>
              </w:rPr>
            </w:pPr>
          </w:p>
        </w:tc>
        <w:tc>
          <w:tcPr>
            <w:tcW w:w="236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64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64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7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7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39911970"/>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7"/>
                <w:szCs w:val="17"/>
              </w:rPr>
              <w:t> </w:t>
            </w: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39911970"/>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Increase / (Decrease)</w:t>
            </w:r>
          </w:p>
        </w:tc>
      </w:tr>
      <w:tr w:rsidR="00000000">
        <w:trPr>
          <w:divId w:val="39911970"/>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39911970"/>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809.4 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820.9 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(11.5)</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(1.4)%</w:t>
            </w:r>
          </w:p>
        </w:tc>
      </w:tr>
      <w:tr w:rsidR="00000000">
        <w:trPr>
          <w:divId w:val="39911970"/>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249.2 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233.9 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15.3 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6.5%</w:t>
            </w:r>
          </w:p>
        </w:tc>
      </w:tr>
      <w:tr w:rsidR="00000000">
        <w:trPr>
          <w:divId w:val="39911970"/>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209.4 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208.0 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0.7%</w:t>
            </w:r>
          </w:p>
        </w:tc>
      </w:tr>
      <w:tr w:rsidR="00000000">
        <w:trPr>
          <w:divId w:val="39911970"/>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143.1 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238.7 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(95.6)</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(40.0)%</w:t>
            </w:r>
          </w:p>
        </w:tc>
      </w:tr>
      <w:tr w:rsidR="00000000">
        <w:trPr>
          <w:divId w:val="39911970"/>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113.4 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142.0 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(28.6)</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(20.2)%</w:t>
            </w:r>
          </w:p>
        </w:tc>
      </w:tr>
      <w:tr w:rsidR="00000000">
        <w:trPr>
          <w:divId w:val="39911970"/>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Elimination of inter-segment revenues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(32.1)</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(30.6)</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(1.5)</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(4.8)%</w:t>
            </w:r>
          </w:p>
        </w:tc>
      </w:tr>
      <w:tr w:rsidR="00000000">
        <w:trPr>
          <w:divId w:val="39911970"/>
        </w:trPr>
        <w:tc>
          <w:tcPr>
            <w:tcW w:w="0" w:type="auto"/>
            <w:gridSpan w:val="3"/>
            <w:shd w:val="clear" w:color="auto" w:fill="FFFFFF"/>
            <w:tcMar>
              <w:top w:w="0" w:type="dxa"/>
              <w:left w:w="20" w:type="dxa"/>
              <w:bottom w:w="0" w:type="dxa"/>
              <w:right w:w="20" w:type="dxa"/>
            </w:tcMar>
            <w:vAlign w:val="center"/>
            <w:hideMark/>
          </w:tcPr>
          <w:p w:rsidR="00000000" w:rsidRDefault="00A07857">
            <w:pPr>
              <w:jc w:val="cente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1,492.4 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1,612.9 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(120.5)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(7.5)%</w:t>
            </w:r>
          </w:p>
        </w:tc>
      </w:tr>
      <w:tr w:rsidR="00000000">
        <w:trPr>
          <w:divId w:val="39911970"/>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color w:val="000000"/>
                <w:sz w:val="18"/>
                <w:szCs w:val="18"/>
              </w:rPr>
              <w:t xml:space="preserve">Operating profit (loss) </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39911970"/>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85.7 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38.2 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47.5 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39911970"/>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10.6 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4.7 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 xml:space="preserve">593 bps </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39911970"/>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26.9 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16.7 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61.3%</w:t>
            </w:r>
          </w:p>
        </w:tc>
      </w:tr>
      <w:tr w:rsidR="00000000">
        <w:trPr>
          <w:divId w:val="39911970"/>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10.8 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7.1 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 xml:space="preserve">366 bps </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39911970"/>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21.5 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91.3%</w:t>
            </w:r>
          </w:p>
        </w:tc>
      </w:tr>
      <w:tr w:rsidR="00000000">
        <w:trPr>
          <w:divId w:val="39911970"/>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10.2 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5.4 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 xml:space="preserve">485 bps </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39911970"/>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(42.9)%</w:t>
            </w:r>
          </w:p>
        </w:tc>
      </w:tr>
      <w:tr w:rsidR="00000000">
        <w:trPr>
          <w:divId w:val="39911970"/>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2.2 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2.3 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 xml:space="preserve">(11) bps </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39911970"/>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(27.7)%</w:t>
            </w:r>
          </w:p>
        </w:tc>
      </w:tr>
      <w:tr w:rsidR="00000000">
        <w:trPr>
          <w:divId w:val="39911970"/>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5.3 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5.9 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 xml:space="preserve">(56) bps </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39911970"/>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39911970"/>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Operating profit margin</w:t>
            </w: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NM*</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NM*</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NM*</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39911970"/>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Corporate</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(32.6)</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(33.3)</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2.1%</w:t>
            </w:r>
          </w:p>
        </w:tc>
      </w:tr>
      <w:tr w:rsidR="00000000">
        <w:trPr>
          <w:divId w:val="39911970"/>
        </w:trPr>
        <w:tc>
          <w:tcPr>
            <w:tcW w:w="0" w:type="auto"/>
            <w:gridSpan w:val="3"/>
            <w:shd w:val="clear" w:color="auto" w:fill="DCE2EF"/>
            <w:tcMar>
              <w:top w:w="30" w:type="dxa"/>
              <w:left w:w="200" w:type="dxa"/>
              <w:bottom w:w="30" w:type="dxa"/>
              <w:right w:w="20" w:type="dxa"/>
            </w:tcMar>
            <w:vAlign w:val="bottom"/>
            <w:hideMark/>
          </w:tcPr>
          <w:p w:rsidR="00000000" w:rsidRDefault="00A07857">
            <w:pPr>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(0.6)</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(0.9)</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32.1%</w:t>
            </w:r>
          </w:p>
        </w:tc>
      </w:tr>
      <w:tr w:rsidR="00000000">
        <w:trPr>
          <w:divId w:val="39911970"/>
        </w:trPr>
        <w:tc>
          <w:tcPr>
            <w:tcW w:w="0" w:type="auto"/>
            <w:gridSpan w:val="3"/>
            <w:shd w:val="clear" w:color="auto" w:fill="FFFFFF"/>
            <w:tcMar>
              <w:top w:w="30" w:type="dxa"/>
              <w:left w:w="200" w:type="dxa"/>
              <w:bottom w:w="30" w:type="dxa"/>
              <w:right w:w="20" w:type="dxa"/>
            </w:tcMar>
            <w:vAlign w:val="bottom"/>
            <w:hideMark/>
          </w:tcPr>
          <w:p w:rsidR="00000000" w:rsidRDefault="00A07857">
            <w:pPr>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39911970"/>
        </w:trPr>
        <w:tc>
          <w:tcPr>
            <w:tcW w:w="0" w:type="auto"/>
            <w:gridSpan w:val="3"/>
            <w:shd w:val="clear" w:color="auto" w:fill="DCE2EF"/>
            <w:tcMar>
              <w:top w:w="0" w:type="dxa"/>
              <w:left w:w="20" w:type="dxa"/>
              <w:bottom w:w="0" w:type="dxa"/>
              <w:right w:w="20" w:type="dxa"/>
            </w:tcMar>
            <w:vAlign w:val="center"/>
            <w:hideMark/>
          </w:tcPr>
          <w:p w:rsidR="00000000" w:rsidRDefault="00A07857">
            <w:pPr>
              <w:jc w:val="cente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109.7 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45.8 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63.9 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bl>
    <w:p w:rsidR="00000000" w:rsidRDefault="00A07857">
      <w:pPr>
        <w:jc w:val="both"/>
        <w:divId w:val="1353846333"/>
        <w:rPr>
          <w:rFonts w:eastAsia="Times New Roman"/>
        </w:rPr>
      </w:pPr>
      <w:r>
        <w:rPr>
          <w:rFonts w:ascii="Arial" w:eastAsia="Times New Roman" w:hAnsi="Arial" w:cs="Arial"/>
          <w:color w:val="000000"/>
          <w:sz w:val="18"/>
          <w:szCs w:val="18"/>
        </w:rPr>
        <w:t>*Not meaningful</w:t>
      </w:r>
    </w:p>
    <w:p w:rsidR="00000000" w:rsidRDefault="00A07857">
      <w:pPr>
        <w:jc w:val="both"/>
        <w:divId w:val="1084834602"/>
        <w:rPr>
          <w:rFonts w:eastAsia="Times New Roman"/>
        </w:rPr>
      </w:pPr>
      <w:r>
        <w:rPr>
          <w:rFonts w:ascii="Arial" w:eastAsia="Times New Roman" w:hAnsi="Arial" w:cs="Arial"/>
          <w:b/>
          <w:bCs/>
          <w:i/>
          <w:iCs/>
          <w:color w:val="0046AD"/>
          <w:sz w:val="20"/>
          <w:szCs w:val="20"/>
          <w:shd w:val="clear" w:color="auto" w:fill="FFFFFF"/>
        </w:rPr>
        <w:t>Three Months Ended January </w:t>
      </w:r>
      <w:r>
        <w:rPr>
          <w:rFonts w:ascii="Arial" w:eastAsia="Times New Roman" w:hAnsi="Arial" w:cs="Arial"/>
          <w:b/>
          <w:bCs/>
          <w:i/>
          <w:iCs/>
          <w:color w:val="0046AD"/>
          <w:sz w:val="20"/>
          <w:szCs w:val="20"/>
          <w:shd w:val="clear" w:color="auto" w:fill="FFFFFF"/>
        </w:rPr>
        <w:t>31, 2021 Compared with the Three Months Ended January 31,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7"/>
        <w:gridCol w:w="1060"/>
        <w:gridCol w:w="37"/>
      </w:tblGrid>
      <w:tr w:rsidR="00000000">
        <w:trPr>
          <w:divId w:val="443840577"/>
        </w:trPr>
        <w:tc>
          <w:tcPr>
            <w:tcW w:w="50" w:type="pct"/>
            <w:vAlign w:val="center"/>
            <w:hideMark/>
          </w:tcPr>
          <w:p w:rsidR="00000000" w:rsidRDefault="00A07857">
            <w:pPr>
              <w:jc w:val="both"/>
              <w:rPr>
                <w:rFonts w:eastAsia="Times New Roman"/>
              </w:rPr>
            </w:pPr>
          </w:p>
        </w:tc>
        <w:tc>
          <w:tcPr>
            <w:tcW w:w="17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443840577"/>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i/>
                <w:iCs/>
                <w:color w:val="0046AD"/>
                <w:sz w:val="18"/>
                <w:szCs w:val="18"/>
              </w:rPr>
              <w:t>Business &amp; Industry</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443840577"/>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443840577"/>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(Decrease) / Increase</w:t>
            </w:r>
          </w:p>
        </w:tc>
      </w:tr>
      <w:tr w:rsidR="00000000">
        <w:trPr>
          <w:divId w:val="443840577"/>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809.4 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820.9 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(1.4)%</w:t>
            </w:r>
          </w:p>
        </w:tc>
      </w:tr>
      <w:tr w:rsidR="00000000">
        <w:trPr>
          <w:divId w:val="443840577"/>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85.7 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38.2 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47.5 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NM*</w:t>
            </w:r>
          </w:p>
        </w:tc>
      </w:tr>
      <w:tr w:rsidR="00000000">
        <w:trPr>
          <w:divId w:val="443840577"/>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10.6 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4.7 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593 bps</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jc w:val="both"/>
        <w:divId w:val="255985463"/>
        <w:rPr>
          <w:rFonts w:eastAsia="Times New Roman"/>
        </w:rPr>
      </w:pPr>
      <w:r>
        <w:rPr>
          <w:rFonts w:ascii="Arial" w:eastAsia="Times New Roman" w:hAnsi="Arial" w:cs="Arial"/>
          <w:color w:val="000000"/>
          <w:sz w:val="18"/>
          <w:szCs w:val="18"/>
        </w:rPr>
        <w:t>*Not meaningful</w:t>
      </w:r>
    </w:p>
    <w:p w:rsidR="00000000" w:rsidRDefault="00A07857">
      <w:pPr>
        <w:ind w:firstLine="720"/>
        <w:jc w:val="both"/>
        <w:divId w:val="1301497004"/>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revenues decreased by $11.5 million, or 1.4%, during the three months ended January 31, 2021, as compared to the three months ended January 31, 2020. The decrease was primarily attributable to account compression resulting from Pandemic-related disruptio</w:t>
      </w:r>
      <w:r>
        <w:rPr>
          <w:rFonts w:ascii="Arial" w:eastAsia="Times New Roman" w:hAnsi="Arial" w:cs="Arial"/>
          <w:color w:val="000000"/>
          <w:sz w:val="20"/>
          <w:szCs w:val="20"/>
        </w:rPr>
        <w:t>ns in certain markets within both our U.S. and U.K. businesses. The decrease was partially offset by the targeted expansion of certain key clients, new business, and an increase in work orders (primarily as a result of the Pandemic). Management reimburseme</w:t>
      </w:r>
      <w:r>
        <w:rPr>
          <w:rFonts w:ascii="Arial" w:eastAsia="Times New Roman" w:hAnsi="Arial" w:cs="Arial"/>
          <w:color w:val="000000"/>
          <w:sz w:val="20"/>
          <w:szCs w:val="20"/>
        </w:rPr>
        <w:t>nt revenues for this segment totaled $43.4 million and $73.7 million for the three months ended January 31, 2021 and 2020, respectively.</w:t>
      </w:r>
    </w:p>
    <w:p w:rsidR="00000000" w:rsidRDefault="00A07857">
      <w:pPr>
        <w:jc w:val="center"/>
        <w:divId w:val="606087878"/>
        <w:rPr>
          <w:rFonts w:eastAsia="Times New Roman"/>
        </w:rPr>
      </w:pPr>
      <w:r>
        <w:rPr>
          <w:rFonts w:ascii="Arial" w:eastAsia="Times New Roman" w:hAnsi="Arial" w:cs="Arial"/>
          <w:color w:val="000000"/>
          <w:sz w:val="20"/>
          <w:szCs w:val="20"/>
        </w:rPr>
        <w:t>27</w:t>
      </w:r>
    </w:p>
    <w:p w:rsidR="00000000" w:rsidRDefault="00A07857">
      <w:pPr>
        <w:rPr>
          <w:rFonts w:eastAsia="Times New Roman"/>
        </w:rPr>
      </w:pPr>
      <w:r>
        <w:rPr>
          <w:rFonts w:eastAsia="Times New Roman"/>
        </w:rPr>
        <w:pict>
          <v:rect id="_x0000_i1062" style="width:0;height:1.5pt" o:hralign="center" o:hrstd="t" o:hr="t" fillcolor="#a0a0a0" stroked="f"/>
        </w:pict>
      </w:r>
    </w:p>
    <w:p w:rsidR="00000000" w:rsidRDefault="00A07857">
      <w:pPr>
        <w:jc w:val="both"/>
        <w:divId w:val="2093164487"/>
        <w:rPr>
          <w:rFonts w:eastAsia="Times New Roman"/>
        </w:rPr>
      </w:pPr>
    </w:p>
    <w:p w:rsidR="00000000" w:rsidRDefault="00A07857">
      <w:pPr>
        <w:ind w:firstLine="720"/>
        <w:jc w:val="both"/>
        <w:divId w:val="1016004932"/>
        <w:rPr>
          <w:rFonts w:eastAsia="Times New Roman"/>
        </w:rPr>
      </w:pPr>
      <w:r>
        <w:rPr>
          <w:rFonts w:ascii="Arial" w:eastAsia="Times New Roman" w:hAnsi="Arial" w:cs="Arial"/>
          <w:color w:val="000000"/>
          <w:sz w:val="20"/>
          <w:szCs w:val="20"/>
        </w:rPr>
        <w:t>Operating profit increased by $47.5 million during the three months ended Janu</w:t>
      </w:r>
      <w:r>
        <w:rPr>
          <w:rFonts w:ascii="Arial" w:eastAsia="Times New Roman" w:hAnsi="Arial" w:cs="Arial"/>
          <w:color w:val="000000"/>
          <w:sz w:val="20"/>
          <w:szCs w:val="20"/>
        </w:rPr>
        <w:t>ary 31, 2021, as compared to the three months ended January 31, 2020. Operating profit margin increased by 593 bps to 10.6% in the three months ended January 31, 2021, from 4.7% in the three months ended January 31, 2020. The increase in operating profit m</w:t>
      </w:r>
      <w:r>
        <w:rPr>
          <w:rFonts w:ascii="Arial" w:eastAsia="Times New Roman" w:hAnsi="Arial" w:cs="Arial"/>
          <w:color w:val="000000"/>
          <w:sz w:val="20"/>
          <w:szCs w:val="20"/>
        </w:rPr>
        <w:t>argin was primarily associated with an increase in work orders, which have higher margins. Additionally, the increase in operating profit margin was impacted by higher margins on certain accounts in both our U.S. and U.K. businesses, driven by the manageme</w:t>
      </w:r>
      <w:r>
        <w:rPr>
          <w:rFonts w:ascii="Arial" w:eastAsia="Times New Roman" w:hAnsi="Arial" w:cs="Arial"/>
          <w:color w:val="000000"/>
          <w:sz w:val="20"/>
          <w:szCs w:val="20"/>
        </w:rPr>
        <w:t>nt of direct labor and related personnel costs during the Pandemic. The increase was partially offset by account compression resulting from Pandemic-related disruptions in certain markets.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8"/>
        <w:gridCol w:w="36"/>
        <w:gridCol w:w="121"/>
        <w:gridCol w:w="1141"/>
        <w:gridCol w:w="163"/>
        <w:gridCol w:w="36"/>
        <w:gridCol w:w="36"/>
        <w:gridCol w:w="36"/>
        <w:gridCol w:w="121"/>
        <w:gridCol w:w="1081"/>
        <w:gridCol w:w="163"/>
        <w:gridCol w:w="36"/>
        <w:gridCol w:w="36"/>
        <w:gridCol w:w="36"/>
        <w:gridCol w:w="121"/>
        <w:gridCol w:w="1081"/>
        <w:gridCol w:w="36"/>
        <w:gridCol w:w="36"/>
        <w:gridCol w:w="36"/>
        <w:gridCol w:w="36"/>
        <w:gridCol w:w="38"/>
        <w:gridCol w:w="1059"/>
        <w:gridCol w:w="36"/>
      </w:tblGrid>
      <w:tr w:rsidR="00000000">
        <w:trPr>
          <w:divId w:val="162550707"/>
          <w:jc w:val="center"/>
        </w:trPr>
        <w:tc>
          <w:tcPr>
            <w:tcW w:w="50" w:type="pct"/>
            <w:vAlign w:val="center"/>
            <w:hideMark/>
          </w:tcPr>
          <w:p w:rsidR="00000000" w:rsidRDefault="00A07857">
            <w:pPr>
              <w:ind w:firstLine="720"/>
              <w:jc w:val="both"/>
              <w:rPr>
                <w:rFonts w:eastAsia="Times New Roman"/>
              </w:rPr>
            </w:pPr>
          </w:p>
        </w:tc>
        <w:tc>
          <w:tcPr>
            <w:tcW w:w="17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62550707"/>
          <w:jc w:val="center"/>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i/>
                <w:iCs/>
                <w:color w:val="0046AD"/>
                <w:sz w:val="18"/>
                <w:szCs w:val="18"/>
              </w:rPr>
              <w:t>Technology &amp; Manufacturing</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62550707"/>
          <w:jc w:val="center"/>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62550707"/>
          <w:jc w:val="center"/>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Increase</w:t>
            </w:r>
          </w:p>
        </w:tc>
      </w:tr>
      <w:tr w:rsidR="00000000">
        <w:trPr>
          <w:divId w:val="162550707"/>
          <w:jc w:val="center"/>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249.2 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233.9 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15.3 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6.5%</w:t>
            </w:r>
          </w:p>
        </w:tc>
      </w:tr>
      <w:tr w:rsidR="00000000">
        <w:trPr>
          <w:divId w:val="162550707"/>
          <w:jc w:val="center"/>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26.9 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16.7 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61.3%</w:t>
            </w:r>
          </w:p>
        </w:tc>
      </w:tr>
      <w:tr w:rsidR="00000000">
        <w:trPr>
          <w:divId w:val="162550707"/>
          <w:jc w:val="center"/>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10.8 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7.1 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366 bps</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ind w:firstLine="720"/>
        <w:jc w:val="both"/>
        <w:divId w:val="254560214"/>
        <w:rPr>
          <w:rFonts w:eastAsia="Times New Roman"/>
        </w:rPr>
      </w:pPr>
      <w:r>
        <w:rPr>
          <w:rFonts w:ascii="Arial" w:eastAsia="Times New Roman" w:hAnsi="Arial" w:cs="Arial"/>
          <w:color w:val="000000"/>
          <w:sz w:val="20"/>
          <w:szCs w:val="20"/>
        </w:rPr>
        <w:t>T&amp;</w:t>
      </w:r>
      <w:r>
        <w:rPr>
          <w:rFonts w:ascii="Arial" w:eastAsia="Times New Roman" w:hAnsi="Arial" w:cs="Arial"/>
          <w:color w:val="000000"/>
          <w:sz w:val="20"/>
          <w:szCs w:val="20"/>
        </w:rPr>
        <w:t>M revenues increased by $15.3 million, or 6.5%, during the three months ended January 31, 2021, as compared to the three months ended January 31, 2020. The increase was primarily attributable to an increase in work orders (primarily as a result of the Pand</w:t>
      </w:r>
      <w:r>
        <w:rPr>
          <w:rFonts w:ascii="Arial" w:eastAsia="Times New Roman" w:hAnsi="Arial" w:cs="Arial"/>
          <w:color w:val="000000"/>
          <w:sz w:val="20"/>
          <w:szCs w:val="20"/>
        </w:rPr>
        <w:t>emic) and new business. This increase was partially offset by the compression of certain accounts, mainly resulting from Pandemic-related disruptions.</w:t>
      </w:r>
    </w:p>
    <w:p w:rsidR="00000000" w:rsidRDefault="00A07857">
      <w:pPr>
        <w:ind w:firstLine="720"/>
        <w:jc w:val="both"/>
        <w:divId w:val="53504688"/>
        <w:rPr>
          <w:rFonts w:eastAsia="Times New Roman"/>
        </w:rPr>
      </w:pPr>
      <w:r>
        <w:rPr>
          <w:rFonts w:ascii="Arial" w:eastAsia="Times New Roman" w:hAnsi="Arial" w:cs="Arial"/>
          <w:color w:val="000000"/>
          <w:sz w:val="20"/>
          <w:szCs w:val="20"/>
        </w:rPr>
        <w:t>Operating profit increased by $10.2 million, or 61.3%, during the three months ended January 31, 2021, as compared to the three months ended January 31, 2020. Operating profit margin increased by 366 bps to 10.8% in the three months ended January 31, 2021,</w:t>
      </w:r>
      <w:r>
        <w:rPr>
          <w:rFonts w:ascii="Arial" w:eastAsia="Times New Roman" w:hAnsi="Arial" w:cs="Arial"/>
          <w:color w:val="000000"/>
          <w:sz w:val="20"/>
          <w:szCs w:val="20"/>
        </w:rPr>
        <w:t xml:space="preserve"> from 7.1% in the three months ended January 31, 2020. The increase in operating profit margin was primarily attributable to higher margins on work orders, the management of direct labor and related personnel costs during the Pandemic, and lower reserves e</w:t>
      </w:r>
      <w:r>
        <w:rPr>
          <w:rFonts w:ascii="Arial" w:eastAsia="Times New Roman" w:hAnsi="Arial" w:cs="Arial"/>
          <w:color w:val="000000"/>
          <w:sz w:val="20"/>
          <w:szCs w:val="20"/>
        </w:rPr>
        <w:t>stablished for client receivables.</w:t>
      </w:r>
    </w:p>
    <w:tbl>
      <w:tblPr>
        <w:tblW w:w="5000" w:type="pct"/>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7"/>
        <w:gridCol w:w="36"/>
        <w:gridCol w:w="36"/>
        <w:gridCol w:w="36"/>
        <w:gridCol w:w="38"/>
        <w:gridCol w:w="1059"/>
        <w:gridCol w:w="36"/>
      </w:tblGrid>
      <w:tr w:rsidR="00000000">
        <w:trPr>
          <w:divId w:val="957179116"/>
        </w:trPr>
        <w:tc>
          <w:tcPr>
            <w:tcW w:w="50" w:type="pct"/>
            <w:vAlign w:val="center"/>
            <w:hideMark/>
          </w:tcPr>
          <w:p w:rsidR="00000000" w:rsidRDefault="00A07857">
            <w:pPr>
              <w:ind w:firstLine="720"/>
              <w:jc w:val="both"/>
              <w:rPr>
                <w:rFonts w:eastAsia="Times New Roman"/>
              </w:rPr>
            </w:pPr>
          </w:p>
        </w:tc>
        <w:tc>
          <w:tcPr>
            <w:tcW w:w="17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957179116"/>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i/>
                <w:iCs/>
                <w:color w:val="0046AD"/>
                <w:sz w:val="18"/>
                <w:szCs w:val="18"/>
              </w:rPr>
              <w:t>Education</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957179116"/>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957179116"/>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Increase</w:t>
            </w:r>
          </w:p>
        </w:tc>
      </w:tr>
      <w:tr w:rsidR="00000000">
        <w:trPr>
          <w:divId w:val="957179116"/>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209.4 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208.0 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0.7%</w:t>
            </w:r>
          </w:p>
        </w:tc>
      </w:tr>
      <w:tr w:rsidR="00000000">
        <w:trPr>
          <w:divId w:val="957179116"/>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21.5 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10.3 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91.3%</w:t>
            </w:r>
          </w:p>
        </w:tc>
      </w:tr>
      <w:tr w:rsidR="00000000">
        <w:trPr>
          <w:divId w:val="957179116"/>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10.2 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5.4 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485 bps</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957179116"/>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957179116"/>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bl>
    <w:p w:rsidR="00000000" w:rsidRDefault="00A07857">
      <w:pPr>
        <w:ind w:firstLine="720"/>
        <w:jc w:val="both"/>
        <w:divId w:val="1264340895"/>
        <w:rPr>
          <w:rFonts w:eastAsia="Times New Roman"/>
        </w:rPr>
      </w:pPr>
      <w:r>
        <w:rPr>
          <w:rFonts w:ascii="Arial" w:eastAsia="Times New Roman" w:hAnsi="Arial" w:cs="Arial"/>
          <w:color w:val="000000"/>
          <w:sz w:val="20"/>
          <w:szCs w:val="20"/>
        </w:rPr>
        <w:t>Education revenues increased by $1.4 million, or 0.7%, during the three months ended January 31, 2021, as compared to the three months ended January 31, 2020. The increase was primarily attributable to an increase in work orders (primarily as a result of t</w:t>
      </w:r>
      <w:r>
        <w:rPr>
          <w:rFonts w:ascii="Arial" w:eastAsia="Times New Roman" w:hAnsi="Arial" w:cs="Arial"/>
          <w:color w:val="000000"/>
          <w:sz w:val="20"/>
          <w:szCs w:val="20"/>
        </w:rPr>
        <w:t>he Pandemic).</w:t>
      </w:r>
    </w:p>
    <w:p w:rsidR="00000000" w:rsidRDefault="00A07857">
      <w:pPr>
        <w:ind w:firstLine="720"/>
        <w:jc w:val="both"/>
        <w:divId w:val="480344976"/>
        <w:rPr>
          <w:rFonts w:eastAsia="Times New Roman"/>
        </w:rPr>
      </w:pPr>
      <w:r>
        <w:rPr>
          <w:rFonts w:ascii="Arial" w:eastAsia="Times New Roman" w:hAnsi="Arial" w:cs="Arial"/>
          <w:color w:val="000000"/>
          <w:sz w:val="20"/>
          <w:szCs w:val="20"/>
        </w:rPr>
        <w:t>Operating profit increased by $10.3 million, or 91.3% during the three months ended January 31, 2021, as compared to the three months ended January 31, 2020. Operating profit margin increased by 485 bps to 10.2% in the three months ended Janu</w:t>
      </w:r>
      <w:r>
        <w:rPr>
          <w:rFonts w:ascii="Arial" w:eastAsia="Times New Roman" w:hAnsi="Arial" w:cs="Arial"/>
          <w:color w:val="000000"/>
          <w:sz w:val="20"/>
          <w:szCs w:val="20"/>
        </w:rPr>
        <w:t>ary 31, 2021, from 5.4% in the three months ended January 31, 2020. The increase in operating margin was primarily attributable to the management of direct labor and related personnel costs during Pandemic-related school closures, an increase in work order</w:t>
      </w:r>
      <w:r>
        <w:rPr>
          <w:rFonts w:ascii="Arial" w:eastAsia="Times New Roman" w:hAnsi="Arial" w:cs="Arial"/>
          <w:color w:val="000000"/>
          <w:sz w:val="20"/>
          <w:szCs w:val="20"/>
        </w:rPr>
        <w:t>s with higher margins as a result of the Pandemic, and lower amortization of intangible assets. This increase was partially offset by higher reserves established for client receivables mainly associated with increasing credit risk resulting from the Pandem</w:t>
      </w:r>
      <w:r>
        <w:rPr>
          <w:rFonts w:ascii="Arial" w:eastAsia="Times New Roman" w:hAnsi="Arial" w:cs="Arial"/>
          <w:color w:val="000000"/>
          <w:sz w:val="20"/>
          <w:szCs w:val="20"/>
        </w:rPr>
        <w:t>ic.</w:t>
      </w:r>
    </w:p>
    <w:tbl>
      <w:tblPr>
        <w:tblW w:w="5000" w:type="pct"/>
        <w:tblCellMar>
          <w:top w:w="15" w:type="dxa"/>
          <w:left w:w="15" w:type="dxa"/>
          <w:bottom w:w="15" w:type="dxa"/>
          <w:right w:w="15" w:type="dxa"/>
        </w:tblCellMar>
        <w:tblLook w:val="04A0" w:firstRow="1" w:lastRow="0" w:firstColumn="1" w:lastColumn="0" w:noHBand="0" w:noVBand="1"/>
      </w:tblPr>
      <w:tblGrid>
        <w:gridCol w:w="38"/>
        <w:gridCol w:w="2746"/>
        <w:gridCol w:w="37"/>
        <w:gridCol w:w="121"/>
        <w:gridCol w:w="1141"/>
        <w:gridCol w:w="163"/>
        <w:gridCol w:w="36"/>
        <w:gridCol w:w="36"/>
        <w:gridCol w:w="36"/>
        <w:gridCol w:w="121"/>
        <w:gridCol w:w="1081"/>
        <w:gridCol w:w="163"/>
        <w:gridCol w:w="36"/>
        <w:gridCol w:w="36"/>
        <w:gridCol w:w="36"/>
        <w:gridCol w:w="121"/>
        <w:gridCol w:w="1081"/>
        <w:gridCol w:w="36"/>
        <w:gridCol w:w="36"/>
        <w:gridCol w:w="36"/>
        <w:gridCol w:w="36"/>
        <w:gridCol w:w="43"/>
        <w:gridCol w:w="1054"/>
        <w:gridCol w:w="36"/>
      </w:tblGrid>
      <w:tr w:rsidR="00000000">
        <w:trPr>
          <w:divId w:val="510029128"/>
        </w:trPr>
        <w:tc>
          <w:tcPr>
            <w:tcW w:w="50" w:type="pct"/>
            <w:vAlign w:val="center"/>
            <w:hideMark/>
          </w:tcPr>
          <w:p w:rsidR="00000000" w:rsidRDefault="00A07857">
            <w:pPr>
              <w:ind w:firstLine="720"/>
              <w:jc w:val="both"/>
              <w:rPr>
                <w:rFonts w:eastAsia="Times New Roman"/>
              </w:rPr>
            </w:pPr>
          </w:p>
        </w:tc>
        <w:tc>
          <w:tcPr>
            <w:tcW w:w="17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51002912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i/>
                <w:iCs/>
                <w:color w:val="0046AD"/>
                <w:sz w:val="18"/>
                <w:szCs w:val="18"/>
              </w:rPr>
              <w:t xml:space="preserve">Aviation </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51002912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51002912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Decrease</w:t>
            </w:r>
          </w:p>
        </w:tc>
      </w:tr>
      <w:tr w:rsidR="00000000">
        <w:trPr>
          <w:divId w:val="510029128"/>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238.7 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(95.6)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(40.0)%</w:t>
            </w:r>
          </w:p>
        </w:tc>
      </w:tr>
      <w:tr w:rsidR="00000000">
        <w:trPr>
          <w:divId w:val="510029128"/>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5.6 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(42.9)%</w:t>
            </w:r>
          </w:p>
        </w:tc>
      </w:tr>
      <w:tr w:rsidR="00000000">
        <w:trPr>
          <w:divId w:val="510029128"/>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2.2 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2.3 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(11) bps</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ind w:firstLine="720"/>
        <w:jc w:val="both"/>
        <w:divId w:val="52124857"/>
        <w:rPr>
          <w:rFonts w:eastAsia="Times New Roman"/>
        </w:rPr>
      </w:pPr>
      <w:r>
        <w:rPr>
          <w:rFonts w:ascii="Arial" w:eastAsia="Times New Roman" w:hAnsi="Arial" w:cs="Arial"/>
          <w:color w:val="000000"/>
          <w:sz w:val="20"/>
          <w:szCs w:val="20"/>
        </w:rPr>
        <w:t>Aviation revenues decreased by $95.6 million, or 40.0%, during the three months ended January 31, 2021, as compared to the three months ended January 31, 2020. The decrease was primarily attributable to travel restrictions and a dramatic decline in passeng</w:t>
      </w:r>
      <w:r>
        <w:rPr>
          <w:rFonts w:ascii="Arial" w:eastAsia="Times New Roman" w:hAnsi="Arial" w:cs="Arial"/>
          <w:color w:val="000000"/>
          <w:sz w:val="20"/>
          <w:szCs w:val="20"/>
        </w:rPr>
        <w:t xml:space="preserve">er demand resulting from the Pandemic. Significant volume reductions impacted janitorial, cabin cleaning, transportation, parking, passenger services, and catering accounts. </w:t>
      </w:r>
    </w:p>
    <w:p w:rsidR="00000000" w:rsidRDefault="00A07857">
      <w:pPr>
        <w:jc w:val="center"/>
        <w:divId w:val="1368722410"/>
        <w:rPr>
          <w:rFonts w:eastAsia="Times New Roman"/>
        </w:rPr>
      </w:pPr>
      <w:r>
        <w:rPr>
          <w:rFonts w:ascii="Arial" w:eastAsia="Times New Roman" w:hAnsi="Arial" w:cs="Arial"/>
          <w:color w:val="000000"/>
          <w:sz w:val="20"/>
          <w:szCs w:val="20"/>
        </w:rPr>
        <w:t>28</w:t>
      </w:r>
    </w:p>
    <w:p w:rsidR="00000000" w:rsidRDefault="00A07857">
      <w:pPr>
        <w:rPr>
          <w:rFonts w:eastAsia="Times New Roman"/>
        </w:rPr>
      </w:pPr>
      <w:r>
        <w:rPr>
          <w:rFonts w:eastAsia="Times New Roman"/>
        </w:rPr>
        <w:pict>
          <v:rect id="_x0000_i1063" style="width:0;height:1.5pt" o:hralign="center" o:hrstd="t" o:hr="t" fillcolor="#a0a0a0" stroked="f"/>
        </w:pict>
      </w:r>
    </w:p>
    <w:p w:rsidR="00000000" w:rsidRDefault="00A07857">
      <w:pPr>
        <w:jc w:val="both"/>
        <w:divId w:val="1749113692"/>
        <w:rPr>
          <w:rFonts w:eastAsia="Times New Roman"/>
        </w:rPr>
      </w:pPr>
    </w:p>
    <w:p w:rsidR="00000000" w:rsidRDefault="00A07857">
      <w:pPr>
        <w:jc w:val="both"/>
        <w:divId w:val="2023167924"/>
        <w:rPr>
          <w:rFonts w:eastAsia="Times New Roman"/>
        </w:rPr>
      </w:pPr>
      <w:r>
        <w:rPr>
          <w:rFonts w:ascii="Arial" w:eastAsia="Times New Roman" w:hAnsi="Arial" w:cs="Arial"/>
          <w:color w:val="000000"/>
          <w:sz w:val="20"/>
          <w:szCs w:val="20"/>
        </w:rPr>
        <w:t xml:space="preserve">The decrease was partially offset by Pandemic-related cleaning services. Management reimbursement revenues for this segment totaled $13.7 million and $25.9 million for the three months ended January 31, 2021 and 2020, </w:t>
      </w:r>
      <w:r>
        <w:rPr>
          <w:rFonts w:ascii="Arial" w:eastAsia="Times New Roman" w:hAnsi="Arial" w:cs="Arial"/>
          <w:color w:val="000000"/>
          <w:sz w:val="20"/>
          <w:szCs w:val="20"/>
        </w:rPr>
        <w:t xml:space="preserve">respectively. </w:t>
      </w:r>
    </w:p>
    <w:p w:rsidR="00000000" w:rsidRDefault="00A07857">
      <w:pPr>
        <w:ind w:firstLine="720"/>
        <w:jc w:val="both"/>
        <w:divId w:val="1725520138"/>
        <w:rPr>
          <w:rFonts w:eastAsia="Times New Roman"/>
        </w:rPr>
      </w:pPr>
      <w:r>
        <w:rPr>
          <w:rFonts w:ascii="Arial" w:eastAsia="Times New Roman" w:hAnsi="Arial" w:cs="Arial"/>
          <w:color w:val="000000"/>
          <w:sz w:val="20"/>
          <w:szCs w:val="20"/>
          <w:shd w:val="clear" w:color="auto" w:fill="FFFFFF"/>
        </w:rPr>
        <w:t xml:space="preserve">Operating profit decreased by </w:t>
      </w:r>
      <w:r>
        <w:rPr>
          <w:rFonts w:ascii="Arial" w:eastAsia="Times New Roman" w:hAnsi="Arial" w:cs="Arial"/>
          <w:color w:val="000000"/>
          <w:sz w:val="20"/>
          <w:szCs w:val="20"/>
        </w:rPr>
        <w:t>$2.4 million</w:t>
      </w:r>
      <w:r>
        <w:rPr>
          <w:rFonts w:ascii="Arial" w:eastAsia="Times New Roman" w:hAnsi="Arial" w:cs="Arial"/>
          <w:color w:val="000000"/>
          <w:sz w:val="20"/>
          <w:szCs w:val="20"/>
          <w:shd w:val="clear" w:color="auto" w:fill="FFFFFF"/>
        </w:rPr>
        <w:t xml:space="preserve">, or 42.9%, during the three months ended January 31, 2021, as compared to </w:t>
      </w:r>
      <w:r>
        <w:rPr>
          <w:rFonts w:ascii="Arial" w:eastAsia="Times New Roman" w:hAnsi="Arial" w:cs="Arial"/>
          <w:color w:val="000000"/>
          <w:sz w:val="20"/>
          <w:szCs w:val="20"/>
        </w:rPr>
        <w:t>the three months ended January 31, 2020. Operating profit margin decreased by 11 bps to 2.2% in the three months ended Janua</w:t>
      </w:r>
      <w:r>
        <w:rPr>
          <w:rFonts w:ascii="Arial" w:eastAsia="Times New Roman" w:hAnsi="Arial" w:cs="Arial"/>
          <w:color w:val="000000"/>
          <w:sz w:val="20"/>
          <w:szCs w:val="20"/>
        </w:rPr>
        <w:t xml:space="preserve">ry 31, 2021, from 2.3% in the three months ended January 31, 2020. The decrease was primarily attributable to Pandemic-related volume reductions and higher reserves established for client receivables mainly associated with increasing credit risk resulting </w:t>
      </w:r>
      <w:r>
        <w:rPr>
          <w:rFonts w:ascii="Arial" w:eastAsia="Times New Roman" w:hAnsi="Arial" w:cs="Arial"/>
          <w:color w:val="000000"/>
          <w:sz w:val="20"/>
          <w:szCs w:val="20"/>
        </w:rPr>
        <w:t>from the Pandemic. The decrease was partially offset by the management of direct labor and related personnel costs during the Pandemic and by an increase in Pandemic-related cleaning services with higher margins.</w:t>
      </w:r>
    </w:p>
    <w:tbl>
      <w:tblPr>
        <w:tblW w:w="5000" w:type="pct"/>
        <w:tblCellMar>
          <w:top w:w="15" w:type="dxa"/>
          <w:left w:w="15" w:type="dxa"/>
          <w:bottom w:w="15" w:type="dxa"/>
          <w:right w:w="15" w:type="dxa"/>
        </w:tblCellMar>
        <w:tblLook w:val="04A0" w:firstRow="1" w:lastRow="0" w:firstColumn="1" w:lastColumn="0" w:noHBand="0" w:noVBand="1"/>
      </w:tblPr>
      <w:tblGrid>
        <w:gridCol w:w="37"/>
        <w:gridCol w:w="2748"/>
        <w:gridCol w:w="36"/>
        <w:gridCol w:w="121"/>
        <w:gridCol w:w="1141"/>
        <w:gridCol w:w="163"/>
        <w:gridCol w:w="36"/>
        <w:gridCol w:w="36"/>
        <w:gridCol w:w="36"/>
        <w:gridCol w:w="121"/>
        <w:gridCol w:w="1081"/>
        <w:gridCol w:w="163"/>
        <w:gridCol w:w="36"/>
        <w:gridCol w:w="36"/>
        <w:gridCol w:w="36"/>
        <w:gridCol w:w="121"/>
        <w:gridCol w:w="1081"/>
        <w:gridCol w:w="36"/>
        <w:gridCol w:w="36"/>
        <w:gridCol w:w="36"/>
        <w:gridCol w:w="36"/>
        <w:gridCol w:w="43"/>
        <w:gridCol w:w="1054"/>
        <w:gridCol w:w="36"/>
      </w:tblGrid>
      <w:tr w:rsidR="00000000">
        <w:trPr>
          <w:divId w:val="437336048"/>
        </w:trPr>
        <w:tc>
          <w:tcPr>
            <w:tcW w:w="50" w:type="pct"/>
            <w:vAlign w:val="center"/>
            <w:hideMark/>
          </w:tcPr>
          <w:p w:rsidR="00000000" w:rsidRDefault="00A07857">
            <w:pPr>
              <w:ind w:firstLine="720"/>
              <w:jc w:val="both"/>
              <w:rPr>
                <w:rFonts w:eastAsia="Times New Roman"/>
              </w:rPr>
            </w:pPr>
          </w:p>
        </w:tc>
        <w:tc>
          <w:tcPr>
            <w:tcW w:w="17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43733604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i/>
                <w:iCs/>
                <w:color w:val="0046AD"/>
                <w:sz w:val="18"/>
                <w:szCs w:val="18"/>
              </w:rPr>
              <w:t>Technical Solutions</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43733604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43733604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Decrease</w:t>
            </w:r>
          </w:p>
        </w:tc>
      </w:tr>
      <w:tr w:rsidR="00000000">
        <w:trPr>
          <w:divId w:val="437336048"/>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113.4 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142.0 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(28.6)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(20.2)%</w:t>
            </w:r>
          </w:p>
        </w:tc>
      </w:tr>
      <w:tr w:rsidR="00000000">
        <w:trPr>
          <w:divId w:val="437336048"/>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6.0 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(27.7)%</w:t>
            </w:r>
          </w:p>
        </w:tc>
      </w:tr>
      <w:tr w:rsidR="00000000">
        <w:trPr>
          <w:divId w:val="437336048"/>
        </w:trPr>
        <w:tc>
          <w:tcPr>
            <w:tcW w:w="0" w:type="auto"/>
            <w:gridSpan w:val="3"/>
            <w:shd w:val="clear" w:color="auto" w:fill="DCE2EF"/>
            <w:tcMar>
              <w:top w:w="30" w:type="dxa"/>
              <w:left w:w="155"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5.3 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5.9 </w:t>
            </w:r>
          </w:p>
        </w:tc>
        <w:tc>
          <w:tcPr>
            <w:tcW w:w="0" w:type="auto"/>
            <w:shd w:val="clear" w:color="auto" w:fill="DCE2EF"/>
            <w:tcMar>
              <w:top w:w="30" w:type="dxa"/>
              <w:left w:w="0" w:type="dxa"/>
              <w:bottom w:w="30" w:type="dxa"/>
              <w:right w:w="20" w:type="dxa"/>
            </w:tcMar>
            <w:vAlign w:val="bottom"/>
            <w:hideMark/>
          </w:tcPr>
          <w:p w:rsidR="00000000" w:rsidRDefault="00A07857">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A07857">
            <w:pPr>
              <w:jc w:val="right"/>
              <w:rPr>
                <w:rFonts w:eastAsia="Times New Roman"/>
              </w:rPr>
            </w:pPr>
            <w:r>
              <w:rPr>
                <w:rFonts w:ascii="Arial" w:eastAsia="Times New Roman" w:hAnsi="Arial" w:cs="Arial"/>
                <w:i/>
                <w:iCs/>
                <w:color w:val="000000"/>
                <w:sz w:val="16"/>
                <w:szCs w:val="16"/>
              </w:rPr>
              <w:t>(56) bps</w:t>
            </w: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ind w:firstLine="720"/>
        <w:jc w:val="both"/>
        <w:divId w:val="145904356"/>
        <w:rPr>
          <w:rFonts w:eastAsia="Times New Roman"/>
        </w:rPr>
      </w:pPr>
      <w:r>
        <w:rPr>
          <w:rFonts w:ascii="Arial" w:eastAsia="Times New Roman" w:hAnsi="Arial" w:cs="Arial"/>
          <w:color w:val="000000"/>
          <w:sz w:val="20"/>
          <w:szCs w:val="20"/>
        </w:rPr>
        <w:t>Technical Solutions revenues decreased by $28.6 million, or 20.2%, during the three months ended January 31, 2021, as compared to the three months ended January 31, 2020. This decrease was primarily attributable to a slower than expected ability to convert</w:t>
      </w:r>
      <w:r>
        <w:rPr>
          <w:rFonts w:ascii="Arial" w:eastAsia="Times New Roman" w:hAnsi="Arial" w:cs="Arial"/>
          <w:color w:val="000000"/>
          <w:sz w:val="20"/>
          <w:szCs w:val="20"/>
        </w:rPr>
        <w:t xml:space="preserve"> our active projects, otherwise defined as churn rate, due to regional access restrictions in our U.S. business resulting from the Pandemic.</w:t>
      </w:r>
    </w:p>
    <w:p w:rsidR="00000000" w:rsidRDefault="00A07857">
      <w:pPr>
        <w:ind w:firstLine="720"/>
        <w:jc w:val="both"/>
        <w:divId w:val="499857172"/>
        <w:rPr>
          <w:rFonts w:eastAsia="Times New Roman"/>
        </w:rPr>
      </w:pPr>
      <w:r>
        <w:rPr>
          <w:rFonts w:ascii="Arial" w:eastAsia="Times New Roman" w:hAnsi="Arial" w:cs="Arial"/>
          <w:color w:val="000000"/>
          <w:sz w:val="20"/>
          <w:szCs w:val="20"/>
        </w:rPr>
        <w:t>Operating profit decreased by $2.3 million, or 27.7%, during the three months ended January 31, 2021, as compared to the three months ended January 31, 2020. Operating profit margin decreased by 56 bps to 5.3% in the three months ended January 31, 2021, fr</w:t>
      </w:r>
      <w:r>
        <w:rPr>
          <w:rFonts w:ascii="Arial" w:eastAsia="Times New Roman" w:hAnsi="Arial" w:cs="Arial"/>
          <w:color w:val="000000"/>
          <w:sz w:val="20"/>
          <w:szCs w:val="20"/>
        </w:rPr>
        <w:t>om 5.9% in the three months ended January 31, 2020. The decrease in operating profit margin was primarily attributable to revenue compression resulting from Pandemic-related disruptions and higher reserves established for client receivables mainly associat</w:t>
      </w:r>
      <w:r>
        <w:rPr>
          <w:rFonts w:ascii="Arial" w:eastAsia="Times New Roman" w:hAnsi="Arial" w:cs="Arial"/>
          <w:color w:val="000000"/>
          <w:sz w:val="20"/>
          <w:szCs w:val="20"/>
        </w:rPr>
        <w:t>ed with increasing credit risk resulting from the Pandemic. The decrease was partially offset by the management of project related expenses.</w:t>
      </w:r>
    </w:p>
    <w:tbl>
      <w:tblPr>
        <w:tblW w:w="5000" w:type="pct"/>
        <w:tblCellMar>
          <w:top w:w="15" w:type="dxa"/>
          <w:left w:w="15" w:type="dxa"/>
          <w:bottom w:w="15" w:type="dxa"/>
          <w:right w:w="15" w:type="dxa"/>
        </w:tblCellMar>
        <w:tblLook w:val="04A0" w:firstRow="1" w:lastRow="0" w:firstColumn="1" w:lastColumn="0" w:noHBand="0" w:noVBand="1"/>
      </w:tblPr>
      <w:tblGrid>
        <w:gridCol w:w="41"/>
        <w:gridCol w:w="2794"/>
        <w:gridCol w:w="36"/>
        <w:gridCol w:w="121"/>
        <w:gridCol w:w="1166"/>
        <w:gridCol w:w="36"/>
        <w:gridCol w:w="36"/>
        <w:gridCol w:w="36"/>
        <w:gridCol w:w="36"/>
        <w:gridCol w:w="121"/>
        <w:gridCol w:w="1131"/>
        <w:gridCol w:w="36"/>
        <w:gridCol w:w="36"/>
        <w:gridCol w:w="36"/>
        <w:gridCol w:w="36"/>
        <w:gridCol w:w="122"/>
        <w:gridCol w:w="1131"/>
        <w:gridCol w:w="37"/>
        <w:gridCol w:w="37"/>
        <w:gridCol w:w="36"/>
        <w:gridCol w:w="36"/>
        <w:gridCol w:w="37"/>
        <w:gridCol w:w="1136"/>
        <w:gridCol w:w="36"/>
      </w:tblGrid>
      <w:tr w:rsidR="00000000">
        <w:trPr>
          <w:divId w:val="1545747626"/>
        </w:trPr>
        <w:tc>
          <w:tcPr>
            <w:tcW w:w="50" w:type="pct"/>
            <w:vAlign w:val="center"/>
            <w:hideMark/>
          </w:tcPr>
          <w:p w:rsidR="00000000" w:rsidRDefault="00A07857">
            <w:pPr>
              <w:ind w:firstLine="720"/>
              <w:jc w:val="both"/>
              <w:rPr>
                <w:rFonts w:eastAsia="Times New Roman"/>
              </w:rPr>
            </w:pPr>
          </w:p>
        </w:tc>
        <w:tc>
          <w:tcPr>
            <w:tcW w:w="17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2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545747626"/>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b/>
                <w:bCs/>
                <w:i/>
                <w:iCs/>
                <w:color w:val="0046AD"/>
                <w:sz w:val="18"/>
                <w:szCs w:val="18"/>
              </w:rPr>
              <w:t>Corporate</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545747626"/>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divId w:val="1545747626"/>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Decrease</w:t>
            </w:r>
          </w:p>
        </w:tc>
      </w:tr>
      <w:tr w:rsidR="00000000">
        <w:trPr>
          <w:divId w:val="1545747626"/>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32.6 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(0.7)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color w:val="000000"/>
                <w:sz w:val="18"/>
                <w:szCs w:val="18"/>
              </w:rPr>
              <w:t>(2.1)%</w:t>
            </w:r>
          </w:p>
        </w:tc>
      </w:tr>
    </w:tbl>
    <w:p w:rsidR="00000000" w:rsidRDefault="00A07857">
      <w:pPr>
        <w:ind w:firstLine="720"/>
        <w:jc w:val="both"/>
        <w:divId w:val="1875146944"/>
        <w:rPr>
          <w:rFonts w:eastAsia="Times New Roman"/>
        </w:rPr>
      </w:pPr>
      <w:r>
        <w:rPr>
          <w:rFonts w:ascii="Arial" w:eastAsia="Times New Roman" w:hAnsi="Arial" w:cs="Arial"/>
          <w:color w:val="000000"/>
          <w:sz w:val="20"/>
          <w:szCs w:val="20"/>
        </w:rPr>
        <w:t>Corporate expenses decreased by $0.7 million, or 2.1%, during the three months ended January 31, 2021, as compared to the three months ended January 31, 2020. The dec</w:t>
      </w:r>
      <w:r>
        <w:rPr>
          <w:rFonts w:ascii="Arial" w:eastAsia="Times New Roman" w:hAnsi="Arial" w:cs="Arial"/>
          <w:color w:val="000000"/>
          <w:sz w:val="20"/>
          <w:szCs w:val="20"/>
        </w:rPr>
        <w:t>rease in corporate expenses was primarily attributable to:</w:t>
      </w:r>
    </w:p>
    <w:p w:rsidR="00000000" w:rsidRDefault="00A07857">
      <w:pPr>
        <w:ind w:hanging="360"/>
        <w:jc w:val="both"/>
        <w:divId w:val="245892668"/>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xml:space="preserve">a $4.8 million decrease in self-insurance reserves related to prior year claims as a result of the Actuarial Review completed in the three months ended January 31, 2021; and </w:t>
      </w:r>
    </w:p>
    <w:p w:rsidR="00000000" w:rsidRDefault="00A07857">
      <w:pPr>
        <w:ind w:hanging="360"/>
        <w:jc w:val="both"/>
        <w:divId w:val="778573086"/>
        <w:rPr>
          <w:rFonts w:eastAsia="Times New Roman"/>
        </w:rPr>
      </w:pPr>
      <w:r>
        <w:rPr>
          <w:rFonts w:ascii="Arial" w:eastAsia="Times New Roman" w:hAnsi="Arial" w:cs="Arial"/>
          <w:color w:val="000000"/>
          <w:sz w:val="20"/>
          <w:szCs w:val="20"/>
        </w:rPr>
        <w:t>•a $3.1 million decre</w:t>
      </w:r>
      <w:r>
        <w:rPr>
          <w:rFonts w:ascii="Arial" w:eastAsia="Times New Roman" w:hAnsi="Arial" w:cs="Arial"/>
          <w:color w:val="000000"/>
          <w:sz w:val="20"/>
          <w:szCs w:val="20"/>
        </w:rPr>
        <w:t>ase in restructuring and related expenses due to expenses incurred in the prior year related to our technology initiatives.</w:t>
      </w:r>
    </w:p>
    <w:p w:rsidR="00000000" w:rsidRDefault="00A07857">
      <w:pPr>
        <w:jc w:val="both"/>
        <w:divId w:val="801189680"/>
        <w:rPr>
          <w:rFonts w:eastAsia="Times New Roman"/>
        </w:rPr>
      </w:pPr>
      <w:r>
        <w:rPr>
          <w:rFonts w:ascii="Arial" w:eastAsia="Times New Roman" w:hAnsi="Arial" w:cs="Arial"/>
          <w:color w:val="000000"/>
          <w:sz w:val="20"/>
          <w:szCs w:val="20"/>
        </w:rPr>
        <w:t>This decrease was partially offset by:</w:t>
      </w:r>
    </w:p>
    <w:p w:rsidR="00000000" w:rsidRDefault="00A07857">
      <w:pPr>
        <w:ind w:hanging="360"/>
        <w:jc w:val="both"/>
        <w:divId w:val="1437600723"/>
        <w:rPr>
          <w:rFonts w:eastAsia="Times New Roman"/>
        </w:rPr>
      </w:pPr>
      <w:r>
        <w:rPr>
          <w:rFonts w:ascii="Arial" w:eastAsia="Times New Roman" w:hAnsi="Arial" w:cs="Arial"/>
          <w:color w:val="000000"/>
          <w:sz w:val="20"/>
          <w:szCs w:val="20"/>
        </w:rPr>
        <w:t>•a $4.6 million increase in compensation and related expenses; and</w:t>
      </w:r>
    </w:p>
    <w:p w:rsidR="00000000" w:rsidRDefault="00A07857">
      <w:pPr>
        <w:ind w:hanging="360"/>
        <w:jc w:val="both"/>
        <w:divId w:val="377245499"/>
        <w:rPr>
          <w:rFonts w:eastAsia="Times New Roman"/>
        </w:rPr>
      </w:pPr>
      <w:r>
        <w:rPr>
          <w:rFonts w:ascii="Arial" w:eastAsia="Times New Roman" w:hAnsi="Arial" w:cs="Arial"/>
          <w:color w:val="000000"/>
          <w:sz w:val="20"/>
          <w:szCs w:val="20"/>
        </w:rPr>
        <w:t>•a $2.2 million increase i</w:t>
      </w:r>
      <w:r>
        <w:rPr>
          <w:rFonts w:ascii="Arial" w:eastAsia="Times New Roman" w:hAnsi="Arial" w:cs="Arial"/>
          <w:color w:val="000000"/>
          <w:sz w:val="20"/>
          <w:szCs w:val="20"/>
        </w:rPr>
        <w:t>n certain technology projects and related support.</w:t>
      </w:r>
    </w:p>
    <w:p w:rsidR="00000000" w:rsidRDefault="00A07857">
      <w:pPr>
        <w:jc w:val="center"/>
        <w:divId w:val="446235317"/>
        <w:rPr>
          <w:rFonts w:eastAsia="Times New Roman"/>
        </w:rPr>
      </w:pPr>
      <w:r>
        <w:rPr>
          <w:rFonts w:ascii="Arial" w:eastAsia="Times New Roman" w:hAnsi="Arial" w:cs="Arial"/>
          <w:color w:val="000000"/>
          <w:sz w:val="20"/>
          <w:szCs w:val="20"/>
        </w:rPr>
        <w:t>29</w:t>
      </w:r>
    </w:p>
    <w:p w:rsidR="00000000" w:rsidRDefault="00A07857">
      <w:pPr>
        <w:rPr>
          <w:rFonts w:eastAsia="Times New Roman"/>
        </w:rPr>
      </w:pPr>
      <w:r>
        <w:rPr>
          <w:rFonts w:eastAsia="Times New Roman"/>
        </w:rPr>
        <w:pict>
          <v:rect id="_x0000_i1064" style="width:0;height:1.5pt" o:hralign="center" o:hrstd="t" o:hr="t" fillcolor="#a0a0a0" stroked="f"/>
        </w:pict>
      </w:r>
    </w:p>
    <w:p w:rsidR="00000000" w:rsidRDefault="00A07857">
      <w:pPr>
        <w:jc w:val="both"/>
        <w:divId w:val="2065987108"/>
        <w:rPr>
          <w:rFonts w:eastAsia="Times New Roman"/>
        </w:rPr>
      </w:pPr>
    </w:p>
    <w:p w:rsidR="00000000" w:rsidRDefault="00A07857">
      <w:pPr>
        <w:divId w:val="747773146"/>
        <w:rPr>
          <w:rFonts w:eastAsia="Times New Roman"/>
        </w:rPr>
      </w:pPr>
      <w:r>
        <w:rPr>
          <w:rFonts w:ascii="Arial" w:eastAsia="Times New Roman" w:hAnsi="Arial" w:cs="Arial"/>
          <w:b/>
          <w:bCs/>
          <w:color w:val="0046AD"/>
          <w:sz w:val="20"/>
          <w:szCs w:val="20"/>
        </w:rPr>
        <w:t>Liquidity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25899059"/>
        </w:trPr>
        <w:tc>
          <w:tcPr>
            <w:tcW w:w="5" w:type="pct"/>
            <w:vAlign w:val="center"/>
            <w:hideMark/>
          </w:tcPr>
          <w:p w:rsidR="00000000" w:rsidRDefault="00A07857">
            <w:pPr>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25899059"/>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ind w:firstLine="720"/>
        <w:jc w:val="both"/>
        <w:divId w:val="1800830589"/>
        <w:rPr>
          <w:rFonts w:eastAsia="Times New Roman"/>
        </w:rPr>
      </w:pPr>
      <w:r>
        <w:rPr>
          <w:rFonts w:ascii="Arial" w:eastAsia="Times New Roman" w:hAnsi="Arial" w:cs="Arial"/>
          <w:color w:val="000000"/>
          <w:sz w:val="20"/>
          <w:szCs w:val="20"/>
        </w:rPr>
        <w:t>Our primary sources of liquidity are operating cash flows and borrowing capacity under our Credit Facility. We assess our liquidity in terms of our ability to generate cash to fund our short- and long-term cash requirements. As such, we project our anticip</w:t>
      </w:r>
      <w:r>
        <w:rPr>
          <w:rFonts w:ascii="Arial" w:eastAsia="Times New Roman" w:hAnsi="Arial" w:cs="Arial"/>
          <w:color w:val="000000"/>
          <w:sz w:val="20"/>
          <w:szCs w:val="20"/>
        </w:rPr>
        <w:t xml:space="preserve">ated cash requirements as well as cash flows generated from operating activities to meet those needs. </w:t>
      </w:r>
    </w:p>
    <w:p w:rsidR="00000000" w:rsidRDefault="00A07857">
      <w:pPr>
        <w:ind w:firstLine="720"/>
        <w:jc w:val="both"/>
        <w:divId w:val="870607769"/>
        <w:rPr>
          <w:rFonts w:eastAsia="Times New Roman"/>
        </w:rPr>
      </w:pPr>
      <w:r>
        <w:rPr>
          <w:rFonts w:ascii="Arial" w:eastAsia="Times New Roman" w:hAnsi="Arial" w:cs="Arial"/>
          <w:color w:val="000000"/>
          <w:sz w:val="20"/>
          <w:szCs w:val="20"/>
        </w:rPr>
        <w:t>In addition to normal working capital requirements, we anticipate that our short- and long-term cash requirements will include funding legal settlements,</w:t>
      </w:r>
      <w:r>
        <w:rPr>
          <w:rFonts w:ascii="Arial" w:eastAsia="Times New Roman" w:hAnsi="Arial" w:cs="Arial"/>
          <w:color w:val="000000"/>
          <w:sz w:val="20"/>
          <w:szCs w:val="20"/>
        </w:rPr>
        <w:t xml:space="preserve"> insurance claims, dividend payments, capital expenditures, share repurchases, and strategic initiatives, including technology transformation. We anticipate long-term cash uses may also include strategic acquisitions. On a long-term basis, we will continue</w:t>
      </w:r>
      <w:r>
        <w:rPr>
          <w:rFonts w:ascii="Arial" w:eastAsia="Times New Roman" w:hAnsi="Arial" w:cs="Arial"/>
          <w:color w:val="000000"/>
          <w:sz w:val="20"/>
          <w:szCs w:val="20"/>
        </w:rPr>
        <w:t xml:space="preserve"> to rely on our Credit Facility for any long-term funding not provided by operating cash flows.</w:t>
      </w:r>
    </w:p>
    <w:p w:rsidR="00000000" w:rsidRDefault="00A07857">
      <w:pPr>
        <w:ind w:firstLine="720"/>
        <w:jc w:val="both"/>
        <w:divId w:val="1713650756"/>
        <w:rPr>
          <w:rFonts w:eastAsia="Times New Roman"/>
        </w:rPr>
      </w:pPr>
      <w:r>
        <w:rPr>
          <w:rFonts w:ascii="Arial" w:eastAsia="Times New Roman" w:hAnsi="Arial" w:cs="Arial"/>
          <w:color w:val="000000"/>
          <w:sz w:val="20"/>
          <w:szCs w:val="20"/>
        </w:rPr>
        <w:t>We believe that the Pandemic has had, and will likely continue to have, an adverse impact on our consolidated financial position, results of operations, and cas</w:t>
      </w:r>
      <w:r>
        <w:rPr>
          <w:rFonts w:ascii="Arial" w:eastAsia="Times New Roman" w:hAnsi="Arial" w:cs="Arial"/>
          <w:color w:val="000000"/>
          <w:sz w:val="20"/>
          <w:szCs w:val="20"/>
        </w:rPr>
        <w:t>h flows. Since we cannot predict the duration or scope of the Pandemic, we cannot fully anticipate or reasonably estimate all the ways in which the current global health crisis and financial market conditions could adversely impact our business in fiscal 2</w:t>
      </w:r>
      <w:r>
        <w:rPr>
          <w:rFonts w:ascii="Arial" w:eastAsia="Times New Roman" w:hAnsi="Arial" w:cs="Arial"/>
          <w:color w:val="000000"/>
          <w:sz w:val="20"/>
          <w:szCs w:val="20"/>
        </w:rPr>
        <w:t>021 or in the future. It is also possible that our accounts receivable cash collections will be adversely impacted by our clients’ Pandemic related challenges.</w:t>
      </w:r>
    </w:p>
    <w:p w:rsidR="00000000" w:rsidRDefault="00A07857">
      <w:pPr>
        <w:ind w:firstLine="720"/>
        <w:jc w:val="both"/>
        <w:divId w:val="554436964"/>
        <w:rPr>
          <w:rFonts w:eastAsia="Times New Roman"/>
        </w:rPr>
      </w:pPr>
      <w:r>
        <w:rPr>
          <w:rFonts w:ascii="Arial" w:eastAsia="Times New Roman" w:hAnsi="Arial" w:cs="Arial"/>
          <w:color w:val="000000"/>
          <w:sz w:val="20"/>
          <w:szCs w:val="20"/>
        </w:rPr>
        <w:t>We have taken and continue to take certain steps to preserve liquidity. We have also actively ma</w:t>
      </w:r>
      <w:r>
        <w:rPr>
          <w:rFonts w:ascii="Arial" w:eastAsia="Times New Roman" w:hAnsi="Arial" w:cs="Arial"/>
          <w:color w:val="000000"/>
          <w:sz w:val="20"/>
          <w:szCs w:val="20"/>
        </w:rPr>
        <w:t>naged direct labor and related personnel costs, including: imposing furloughs or reduced hours for certain frontline employees in markets significantly impacted by business slowdowns and shutdowns; managing our operating expenditures and certain selling, g</w:t>
      </w:r>
      <w:r>
        <w:rPr>
          <w:rFonts w:ascii="Arial" w:eastAsia="Times New Roman" w:hAnsi="Arial" w:cs="Arial"/>
          <w:color w:val="000000"/>
          <w:sz w:val="20"/>
          <w:szCs w:val="20"/>
        </w:rPr>
        <w:t>eneral and administrative expenses; and suspending share repurchases under our share repurchase program. In addition, we continue focusing on collection of customer receivables, monitoring the adequacy of our reserves, and extending vendor payment terms wh</w:t>
      </w:r>
      <w:r>
        <w:rPr>
          <w:rFonts w:ascii="Arial" w:eastAsia="Times New Roman" w:hAnsi="Arial" w:cs="Arial"/>
          <w:color w:val="000000"/>
          <w:sz w:val="20"/>
          <w:szCs w:val="20"/>
        </w:rPr>
        <w:t>ere possible. We evaluated the business tax provisions of the CARES Act and have deferred remittance of approximately $132 million of payroll tax through December 31, 2020, which the CARES Act requires to be remitted by December 31, 2021 and December 31, 2</w:t>
      </w:r>
      <w:r>
        <w:rPr>
          <w:rFonts w:ascii="Arial" w:eastAsia="Times New Roman" w:hAnsi="Arial" w:cs="Arial"/>
          <w:color w:val="000000"/>
          <w:sz w:val="20"/>
          <w:szCs w:val="20"/>
        </w:rPr>
        <w:t xml:space="preserve">022 in equal parts. </w:t>
      </w:r>
    </w:p>
    <w:p w:rsidR="00000000" w:rsidRDefault="00A07857">
      <w:pPr>
        <w:ind w:firstLine="720"/>
        <w:jc w:val="both"/>
        <w:divId w:val="1505585268"/>
        <w:rPr>
          <w:rFonts w:eastAsia="Times New Roman"/>
        </w:rPr>
      </w:pPr>
      <w:r>
        <w:rPr>
          <w:rFonts w:ascii="Arial" w:eastAsia="Times New Roman" w:hAnsi="Arial" w:cs="Arial"/>
          <w:color w:val="000000"/>
          <w:sz w:val="20"/>
          <w:szCs w:val="20"/>
        </w:rPr>
        <w:t xml:space="preserve">We believe that our operating cash flows and borrowing capacity under our Credit Facility are sufficient to fund our cash requirements for the next twelve months. In the event that our plans change or our cash requirements are greater </w:t>
      </w:r>
      <w:r>
        <w:rPr>
          <w:rFonts w:ascii="Arial" w:eastAsia="Times New Roman" w:hAnsi="Arial" w:cs="Arial"/>
          <w:color w:val="000000"/>
          <w:sz w:val="20"/>
          <w:szCs w:val="20"/>
        </w:rPr>
        <w:t xml:space="preserve">than we anticipate, we may need to access the capital markets to finance future cash requirements. However, there can be no assurance that such financing will be available to us should we need it or, if available, that the terms will be satisfactory to us </w:t>
      </w:r>
      <w:r>
        <w:rPr>
          <w:rFonts w:ascii="Arial" w:eastAsia="Times New Roman" w:hAnsi="Arial" w:cs="Arial"/>
          <w:color w:val="000000"/>
          <w:sz w:val="20"/>
          <w:szCs w:val="20"/>
        </w:rPr>
        <w:t xml:space="preserve">and not dilutive to existing shareholders. </w:t>
      </w:r>
    </w:p>
    <w:p w:rsidR="00000000" w:rsidRDefault="00A07857">
      <w:pPr>
        <w:jc w:val="both"/>
        <w:divId w:val="1522891741"/>
        <w:rPr>
          <w:rFonts w:eastAsia="Times New Roman"/>
        </w:rPr>
      </w:pPr>
      <w:r>
        <w:rPr>
          <w:rFonts w:ascii="Arial" w:eastAsia="Times New Roman" w:hAnsi="Arial" w:cs="Arial"/>
          <w:b/>
          <w:bCs/>
          <w:i/>
          <w:iCs/>
          <w:color w:val="0046AD"/>
          <w:sz w:val="20"/>
          <w:szCs w:val="20"/>
        </w:rPr>
        <w:t>Credit Facility</w:t>
      </w:r>
    </w:p>
    <w:p w:rsidR="00000000" w:rsidRDefault="00A07857">
      <w:pPr>
        <w:ind w:firstLine="720"/>
        <w:jc w:val="both"/>
        <w:divId w:val="1740134016"/>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five-year syndicated credit facility consisting of a $900.0 million rev</w:t>
      </w:r>
      <w:r>
        <w:rPr>
          <w:rFonts w:ascii="Arial" w:eastAsia="Times New Roman" w:hAnsi="Arial" w:cs="Arial"/>
          <w:color w:val="000000"/>
          <w:sz w:val="20"/>
          <w:szCs w:val="20"/>
        </w:rPr>
        <w:t>olving line of credit and an $800.0 million amortizing term loan, both of which are scheduled to mature on September 1, 2022. In accordance with the terms of the Credit Facility, the revolving line of credit was reduced to $800.0 million on September 1, 20</w:t>
      </w:r>
      <w:r>
        <w:rPr>
          <w:rFonts w:ascii="Arial" w:eastAsia="Times New Roman" w:hAnsi="Arial" w:cs="Arial"/>
          <w:color w:val="000000"/>
          <w:sz w:val="20"/>
          <w:szCs w:val="20"/>
        </w:rPr>
        <w:t>18. The Credit Facility also provides for the issuance of up to $300.0 million for standby letters of credit and the issuance of up to $75.0 million in swingline advances. The obligations under the Credit Facility are secured on a first-priority basis by a</w:t>
      </w:r>
      <w:r>
        <w:rPr>
          <w:rFonts w:ascii="Arial" w:eastAsia="Times New Roman" w:hAnsi="Arial" w:cs="Arial"/>
          <w:color w:val="000000"/>
          <w:sz w:val="20"/>
          <w:szCs w:val="20"/>
        </w:rPr>
        <w:t xml:space="preserve"> lien on substantially all of our assets and properties, subject to certain exceptions. To further enhance our financial flexibility as a precautionary measure in response to uncertainty arising from the Pandemic, we amended our Credit Facility on May 28, </w:t>
      </w:r>
      <w:r>
        <w:rPr>
          <w:rFonts w:ascii="Arial" w:eastAsia="Times New Roman" w:hAnsi="Arial" w:cs="Arial"/>
          <w:color w:val="000000"/>
          <w:sz w:val="20"/>
          <w:szCs w:val="20"/>
        </w:rPr>
        <w:t xml:space="preserve">2020. </w:t>
      </w:r>
    </w:p>
    <w:p w:rsidR="00000000" w:rsidRDefault="00A07857">
      <w:pPr>
        <w:ind w:firstLine="720"/>
        <w:jc w:val="both"/>
        <w:divId w:val="77409296"/>
        <w:rPr>
          <w:rFonts w:eastAsia="Times New Roman"/>
        </w:rPr>
      </w:pPr>
      <w:r>
        <w:rPr>
          <w:rFonts w:ascii="Arial" w:eastAsia="Times New Roman" w:hAnsi="Arial" w:cs="Arial"/>
          <w:color w:val="000000"/>
          <w:sz w:val="20"/>
          <w:szCs w:val="20"/>
        </w:rPr>
        <w:t>The Amendment also modified the financial covenants under the Credit Facility, including: (i) replacing a maximum total leverage ratio with a maximum total net leverage ratio (allowing for up to $100 million in cash and cash equivalents to be exclud</w:t>
      </w:r>
      <w:r>
        <w:rPr>
          <w:rFonts w:ascii="Arial" w:eastAsia="Times New Roman" w:hAnsi="Arial" w:cs="Arial"/>
          <w:color w:val="000000"/>
          <w:sz w:val="20"/>
          <w:szCs w:val="20"/>
        </w:rPr>
        <w:t xml:space="preserve">ed from the calculation of total indebtedness) that varies on a quarterly basis and adjusted to 4.00 to 1.00 by the quarter ending October 31, 2022; (ii) modifying the minimum fixed charge coverage ratio on a quarterly basis, which adjusts to 1.25 to 1.00 </w:t>
      </w:r>
      <w:r>
        <w:rPr>
          <w:rFonts w:ascii="Arial" w:eastAsia="Times New Roman" w:hAnsi="Arial" w:cs="Arial"/>
          <w:color w:val="000000"/>
          <w:sz w:val="20"/>
          <w:szCs w:val="20"/>
        </w:rPr>
        <w:t xml:space="preserve">as of the quarter ending April 30, 2022; and (iii) adding a minimum liquidity (defined in the Amendment as domestic cash plus available revolving loans) of $250.0 million. These financial covenants were effective with the quarter ended April 30, 2020. Our </w:t>
      </w:r>
      <w:r>
        <w:rPr>
          <w:rFonts w:ascii="Arial" w:eastAsia="Times New Roman" w:hAnsi="Arial" w:cs="Arial"/>
          <w:color w:val="000000"/>
          <w:sz w:val="20"/>
          <w:szCs w:val="20"/>
        </w:rPr>
        <w:t>borrowing capacity is subject to, and limited by, compliance with these covenants. At January 31, 2021, we were in compliance with these covenants and expect to be in compliance in the foreseeable future.</w:t>
      </w:r>
    </w:p>
    <w:p w:rsidR="00000000" w:rsidRDefault="00A07857">
      <w:pPr>
        <w:ind w:firstLine="720"/>
        <w:jc w:val="both"/>
        <w:divId w:val="1900238403"/>
        <w:rPr>
          <w:rFonts w:eastAsia="Times New Roman"/>
        </w:rPr>
      </w:pPr>
      <w:r>
        <w:rPr>
          <w:rFonts w:ascii="Arial" w:eastAsia="Times New Roman" w:hAnsi="Arial" w:cs="Arial"/>
          <w:color w:val="000000"/>
          <w:sz w:val="20"/>
          <w:szCs w:val="20"/>
        </w:rPr>
        <w:t xml:space="preserve">During the three months ended January 31, 2021, we </w:t>
      </w:r>
      <w:r>
        <w:rPr>
          <w:rFonts w:ascii="Arial" w:eastAsia="Times New Roman" w:hAnsi="Arial" w:cs="Arial"/>
          <w:color w:val="000000"/>
          <w:sz w:val="20"/>
          <w:szCs w:val="20"/>
        </w:rPr>
        <w:t xml:space="preserve">made principal payments of $30.0 million under the term loan. At January 31, 2021, the total outstanding borrowings under our Credit Facility in the form of cash </w:t>
      </w:r>
    </w:p>
    <w:p w:rsidR="00000000" w:rsidRDefault="00A07857">
      <w:pPr>
        <w:jc w:val="center"/>
        <w:divId w:val="1718972732"/>
        <w:rPr>
          <w:rFonts w:eastAsia="Times New Roman"/>
        </w:rPr>
      </w:pPr>
      <w:r>
        <w:rPr>
          <w:rFonts w:ascii="Arial" w:eastAsia="Times New Roman" w:hAnsi="Arial" w:cs="Arial"/>
          <w:color w:val="000000"/>
          <w:sz w:val="20"/>
          <w:szCs w:val="20"/>
        </w:rPr>
        <w:t>30</w:t>
      </w:r>
    </w:p>
    <w:p w:rsidR="00000000" w:rsidRDefault="00A07857">
      <w:pPr>
        <w:rPr>
          <w:rFonts w:eastAsia="Times New Roman"/>
        </w:rPr>
      </w:pPr>
      <w:r>
        <w:rPr>
          <w:rFonts w:eastAsia="Times New Roman"/>
        </w:rPr>
        <w:pict>
          <v:rect id="_x0000_i1065" style="width:0;height:1.5pt" o:hralign="center" o:hrstd="t" o:hr="t" fillcolor="#a0a0a0" stroked="f"/>
        </w:pict>
      </w:r>
    </w:p>
    <w:p w:rsidR="00000000" w:rsidRDefault="00A07857">
      <w:pPr>
        <w:jc w:val="both"/>
        <w:divId w:val="202787843"/>
        <w:rPr>
          <w:rFonts w:eastAsia="Times New Roman"/>
        </w:rPr>
      </w:pPr>
    </w:p>
    <w:p w:rsidR="00000000" w:rsidRDefault="00A07857">
      <w:pPr>
        <w:jc w:val="both"/>
        <w:divId w:val="1094739477"/>
        <w:rPr>
          <w:rFonts w:eastAsia="Times New Roman"/>
        </w:rPr>
      </w:pPr>
      <w:r>
        <w:rPr>
          <w:rFonts w:ascii="Arial" w:eastAsia="Times New Roman" w:hAnsi="Arial" w:cs="Arial"/>
          <w:color w:val="000000"/>
          <w:sz w:val="20"/>
          <w:szCs w:val="20"/>
        </w:rPr>
        <w:t>borrowings and standby letters of credit were $695.3 million. At January 31, 2021, we had up to $599.4 million of borrowing capacity, reflecting covenant restrictions.</w:t>
      </w:r>
    </w:p>
    <w:p w:rsidR="00000000" w:rsidRDefault="00A07857">
      <w:pPr>
        <w:ind w:firstLine="720"/>
        <w:jc w:val="both"/>
        <w:divId w:val="1568881897"/>
        <w:rPr>
          <w:rFonts w:eastAsia="Times New Roman"/>
        </w:rPr>
      </w:pPr>
      <w:r>
        <w:rPr>
          <w:rFonts w:ascii="Arial" w:eastAsia="Times New Roman" w:hAnsi="Arial" w:cs="Arial"/>
          <w:color w:val="000000"/>
          <w:sz w:val="20"/>
          <w:szCs w:val="20"/>
        </w:rPr>
        <w:t>In July 2017, the U.K. Financial Conduct Authority, the regulator of LIBOR, indicated th</w:t>
      </w:r>
      <w:r>
        <w:rPr>
          <w:rFonts w:ascii="Arial" w:eastAsia="Times New Roman" w:hAnsi="Arial" w:cs="Arial"/>
          <w:color w:val="000000"/>
          <w:sz w:val="20"/>
          <w:szCs w:val="20"/>
        </w:rPr>
        <w:t xml:space="preserve">at it will no longer require banks to submit rates to the LIBOR administrator after 2021. This announcement signaled that the calculation of LIBOR and its continued use could not be guaranteed after 2021. A change away from LIBOR after 2021 may impact our </w:t>
      </w:r>
      <w:r>
        <w:rPr>
          <w:rFonts w:ascii="Arial" w:eastAsia="Times New Roman" w:hAnsi="Arial" w:cs="Arial"/>
          <w:color w:val="000000"/>
          <w:sz w:val="20"/>
          <w:szCs w:val="20"/>
        </w:rPr>
        <w:t>Credit Facility and interest rate swaps. Our current credit agreement as well as our International Swaps and Derivatives Association, Inc. agreement provide for any changes away from LIBOR to a successor rate to be based on prevailing or equivalent standar</w:t>
      </w:r>
      <w:r>
        <w:rPr>
          <w:rFonts w:ascii="Arial" w:eastAsia="Times New Roman" w:hAnsi="Arial" w:cs="Arial"/>
          <w:color w:val="000000"/>
          <w:sz w:val="20"/>
          <w:szCs w:val="20"/>
        </w:rPr>
        <w:t>ds. On March 5, 2021, the U.K. Financial Conduct Authority confirmed that certain key LIBOR settings will cease as of December 31, 2021, and June 30, 2023. We continue to monitor developments related to the LIBOR transition and/or identification of an alte</w:t>
      </w:r>
      <w:r>
        <w:rPr>
          <w:rFonts w:ascii="Arial" w:eastAsia="Times New Roman" w:hAnsi="Arial" w:cs="Arial"/>
          <w:color w:val="000000"/>
          <w:sz w:val="20"/>
          <w:szCs w:val="20"/>
        </w:rPr>
        <w:t>rnative, market-accepted rate. The impact related to any changes cannot be predicted at this time.</w:t>
      </w:r>
    </w:p>
    <w:p w:rsidR="00000000" w:rsidRDefault="00A07857">
      <w:pPr>
        <w:jc w:val="both"/>
        <w:divId w:val="1143430030"/>
        <w:rPr>
          <w:rFonts w:eastAsia="Times New Roman"/>
        </w:rPr>
      </w:pPr>
      <w:r>
        <w:rPr>
          <w:rFonts w:ascii="Arial" w:eastAsia="Times New Roman" w:hAnsi="Arial" w:cs="Arial"/>
          <w:b/>
          <w:bCs/>
          <w:i/>
          <w:iCs/>
          <w:color w:val="0046AD"/>
          <w:sz w:val="20"/>
          <w:szCs w:val="20"/>
        </w:rPr>
        <w:t>Reinvestment of Foreign Earnings</w:t>
      </w:r>
    </w:p>
    <w:p w:rsidR="00000000" w:rsidRDefault="00A07857">
      <w:pPr>
        <w:ind w:firstLine="720"/>
        <w:jc w:val="both"/>
        <w:divId w:val="2008748989"/>
        <w:rPr>
          <w:rFonts w:eastAsia="Times New Roman"/>
        </w:rPr>
      </w:pPr>
      <w:r>
        <w:rPr>
          <w:rFonts w:ascii="Arial" w:eastAsia="Times New Roman" w:hAnsi="Arial" w:cs="Arial"/>
          <w:color w:val="000000"/>
          <w:sz w:val="20"/>
          <w:szCs w:val="20"/>
        </w:rPr>
        <w:t>We plan to reinvest our foreign earnings to fund future non-U.S. growth and expansion, and we do not anticipate remitting su</w:t>
      </w:r>
      <w:r>
        <w:rPr>
          <w:rFonts w:ascii="Arial" w:eastAsia="Times New Roman" w:hAnsi="Arial" w:cs="Arial"/>
          <w:color w:val="000000"/>
          <w:sz w:val="20"/>
          <w:szCs w:val="20"/>
        </w:rPr>
        <w:t>ch earnings to the United States. While U.S. federal tax expense has been recognized as a result of the Tax Cuts and Jobs Act of 2017, no deferred tax liabilities with respect to federal and state income taxes or foreign withholding taxes have been recogni</w:t>
      </w:r>
      <w:r>
        <w:rPr>
          <w:rFonts w:ascii="Arial" w:eastAsia="Times New Roman" w:hAnsi="Arial" w:cs="Arial"/>
          <w:color w:val="000000"/>
          <w:sz w:val="20"/>
          <w:szCs w:val="20"/>
        </w:rPr>
        <w:t>zed.</w:t>
      </w:r>
    </w:p>
    <w:p w:rsidR="00000000" w:rsidRDefault="00A07857">
      <w:pPr>
        <w:jc w:val="both"/>
        <w:divId w:val="891424113"/>
        <w:rPr>
          <w:rFonts w:eastAsia="Times New Roman"/>
        </w:rPr>
      </w:pPr>
      <w:r>
        <w:rPr>
          <w:rFonts w:ascii="Arial" w:eastAsia="Times New Roman" w:hAnsi="Arial" w:cs="Arial"/>
          <w:b/>
          <w:bCs/>
          <w:i/>
          <w:iCs/>
          <w:color w:val="0046AD"/>
          <w:sz w:val="20"/>
          <w:szCs w:val="20"/>
        </w:rPr>
        <w:t xml:space="preserve">IFM Insurance Company </w:t>
      </w:r>
    </w:p>
    <w:p w:rsidR="00000000" w:rsidRDefault="00A07857">
      <w:pPr>
        <w:ind w:firstLine="720"/>
        <w:jc w:val="both"/>
        <w:divId w:val="921380443"/>
        <w:rPr>
          <w:rFonts w:eastAsia="Times New Roman"/>
        </w:rPr>
      </w:pPr>
      <w:r>
        <w:rPr>
          <w:rFonts w:ascii="Arial" w:eastAsia="Times New Roman" w:hAnsi="Arial" w:cs="Arial"/>
          <w:color w:val="000000"/>
          <w:sz w:val="20"/>
          <w:szCs w:val="20"/>
        </w:rPr>
        <w:t>IFM Assurance Company (“IFM”) is a wholly-owned captive insurance company that we formed in 2015. IFM is part of our enterprise-wide, multi-year insurance strategy that is intended to better position our risk and safety programs</w:t>
      </w:r>
      <w:r>
        <w:rPr>
          <w:rFonts w:ascii="Arial" w:eastAsia="Times New Roman" w:hAnsi="Arial" w:cs="Arial"/>
          <w:color w:val="000000"/>
          <w:sz w:val="20"/>
          <w:szCs w:val="20"/>
        </w:rPr>
        <w:t xml:space="preserve"> and provide us with increased flexibility in the end-to-end management of our insurance programs. IFM began providing coverage to us as of January 1, 2015. </w:t>
      </w:r>
    </w:p>
    <w:p w:rsidR="00000000" w:rsidRDefault="00A07857">
      <w:pPr>
        <w:jc w:val="both"/>
        <w:divId w:val="2071147190"/>
        <w:rPr>
          <w:rFonts w:eastAsia="Times New Roman"/>
        </w:rPr>
      </w:pPr>
      <w:r>
        <w:rPr>
          <w:rFonts w:ascii="Arial" w:eastAsia="Times New Roman" w:hAnsi="Arial" w:cs="Arial"/>
          <w:b/>
          <w:bCs/>
          <w:i/>
          <w:iCs/>
          <w:color w:val="0046AD"/>
          <w:sz w:val="20"/>
          <w:szCs w:val="20"/>
        </w:rPr>
        <w:t>Share Repurchases</w:t>
      </w:r>
    </w:p>
    <w:p w:rsidR="00000000" w:rsidRDefault="00A07857">
      <w:pPr>
        <w:ind w:firstLine="720"/>
        <w:jc w:val="both"/>
        <w:divId w:val="3022412"/>
        <w:rPr>
          <w:rFonts w:eastAsia="Times New Roman"/>
        </w:rPr>
      </w:pPr>
      <w:r>
        <w:rPr>
          <w:rFonts w:ascii="Arial" w:eastAsia="Times New Roman" w:hAnsi="Arial" w:cs="Arial"/>
          <w:color w:val="000000"/>
          <w:sz w:val="20"/>
          <w:szCs w:val="20"/>
        </w:rPr>
        <w:t>Effective December 18, 2019, our Board of Directors replaced our then-existing s</w:t>
      </w:r>
      <w:r>
        <w:rPr>
          <w:rFonts w:ascii="Arial" w:eastAsia="Times New Roman" w:hAnsi="Arial" w:cs="Arial"/>
          <w:color w:val="000000"/>
          <w:sz w:val="20"/>
          <w:szCs w:val="20"/>
        </w:rPr>
        <w:t>hare repurchase program with a new share repurchase program under which we may repurchase up to $150.0 million of our common stock (the “2019 Share Repurchase Program”). These purchases may take place on the open market or otherwise, and all or part of the</w:t>
      </w:r>
      <w:r>
        <w:rPr>
          <w:rFonts w:ascii="Arial" w:eastAsia="Times New Roman" w:hAnsi="Arial" w:cs="Arial"/>
          <w:color w:val="000000"/>
          <w:sz w:val="20"/>
          <w:szCs w:val="20"/>
        </w:rPr>
        <w:t xml:space="preserve"> repurchases may be made pursuant to Rule 10b5-1 plans or in privately negotiated transactions. The timing of repurchases is at our discretion and will depend upon several factors, including market and business conditions, future cash flows, share price, s</w:t>
      </w:r>
      <w:r>
        <w:rPr>
          <w:rFonts w:ascii="Arial" w:eastAsia="Times New Roman" w:hAnsi="Arial" w:cs="Arial"/>
          <w:color w:val="000000"/>
          <w:sz w:val="20"/>
          <w:szCs w:val="20"/>
        </w:rPr>
        <w:t>hare availability, and other factors at our discretion. Repurchased shares are retired and returned to an authorized but unissued status. The 2019 Share Repurchase Program may be suspended or discontinued at any time without prior notice. Due to the market</w:t>
      </w:r>
      <w:r>
        <w:rPr>
          <w:rFonts w:ascii="Arial" w:eastAsia="Times New Roman" w:hAnsi="Arial" w:cs="Arial"/>
          <w:color w:val="000000"/>
          <w:sz w:val="20"/>
          <w:szCs w:val="20"/>
        </w:rPr>
        <w:t xml:space="preserve"> and business conditions arising from the Pandemic, we have suspended further repurchases of our common stock since March 2020. At January 31, 2021, authorization for $144.9 million of repurchases remained under the 2019 Share Repurchase Program. </w:t>
      </w:r>
    </w:p>
    <w:p w:rsidR="00000000" w:rsidRDefault="00A07857">
      <w:pPr>
        <w:divId w:val="1665477155"/>
        <w:rPr>
          <w:rFonts w:eastAsia="Times New Roman"/>
        </w:rPr>
      </w:pPr>
      <w:r>
        <w:rPr>
          <w:rFonts w:ascii="Arial" w:eastAsia="Times New Roman" w:hAnsi="Arial" w:cs="Arial"/>
          <w:b/>
          <w:bCs/>
          <w:i/>
          <w:iCs/>
          <w:color w:val="0046AD"/>
          <w:sz w:val="20"/>
          <w:szCs w:val="20"/>
        </w:rPr>
        <w:t xml:space="preserve">Cash Flows </w:t>
      </w:r>
    </w:p>
    <w:p w:rsidR="00000000" w:rsidRDefault="00A07857">
      <w:pPr>
        <w:ind w:firstLine="720"/>
        <w:jc w:val="both"/>
        <w:divId w:val="110706727"/>
        <w:rPr>
          <w:rFonts w:eastAsia="Times New Roman"/>
        </w:rPr>
      </w:pPr>
      <w:r>
        <w:rPr>
          <w:rFonts w:ascii="Arial" w:eastAsia="Times New Roman" w:hAnsi="Arial" w:cs="Arial"/>
          <w:color w:val="000000"/>
          <w:sz w:val="20"/>
          <w:szCs w:val="20"/>
        </w:rPr>
        <w:t>In addition to revenues and operating profit, our management views operating cash flows as a good indicator of financial performance because strong operating cash flows provide opportunities for growth both organically and through acquisitions.</w:t>
      </w:r>
      <w:r>
        <w:rPr>
          <w:rFonts w:ascii="Arial" w:eastAsia="Times New Roman" w:hAnsi="Arial" w:cs="Arial"/>
          <w:color w:val="000000"/>
          <w:sz w:val="20"/>
          <w:szCs w:val="20"/>
        </w:rPr>
        <w:t xml:space="preserve"> Net cash provided by operating activities of continuing operations was $45.3 million, which includes the deferral of approximately $31 million of payroll tax under the CARES Act, during the three months ended January 31, 2021. Operating cash flows primari</w:t>
      </w:r>
      <w:r>
        <w:rPr>
          <w:rFonts w:ascii="Arial" w:eastAsia="Times New Roman" w:hAnsi="Arial" w:cs="Arial"/>
          <w:color w:val="000000"/>
          <w:sz w:val="20"/>
          <w:szCs w:val="20"/>
        </w:rPr>
        <w:t>ly depend on: revenue levels; the quality and timing of collections of accounts receivable; the timing of payments to suppliers and other vendors; the timing and amount of income tax payments; and the timing and amount of payments on insurance claims and l</w:t>
      </w:r>
      <w:r>
        <w:rPr>
          <w:rFonts w:ascii="Arial" w:eastAsia="Times New Roman" w:hAnsi="Arial" w:cs="Arial"/>
          <w:color w:val="000000"/>
          <w:sz w:val="20"/>
          <w:szCs w:val="20"/>
        </w:rPr>
        <w:t xml:space="preserve">egal settlements.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5525"/>
        <w:gridCol w:w="37"/>
        <w:gridCol w:w="121"/>
        <w:gridCol w:w="1128"/>
        <w:gridCol w:w="36"/>
        <w:gridCol w:w="36"/>
        <w:gridCol w:w="36"/>
        <w:gridCol w:w="36"/>
        <w:gridCol w:w="121"/>
        <w:gridCol w:w="1154"/>
        <w:gridCol w:w="36"/>
      </w:tblGrid>
      <w:tr w:rsidR="00000000">
        <w:trPr>
          <w:divId w:val="1312752826"/>
        </w:trPr>
        <w:tc>
          <w:tcPr>
            <w:tcW w:w="50" w:type="pct"/>
            <w:vAlign w:val="center"/>
            <w:hideMark/>
          </w:tcPr>
          <w:p w:rsidR="00000000" w:rsidRDefault="00A07857">
            <w:pPr>
              <w:ind w:firstLine="720"/>
              <w:jc w:val="both"/>
              <w:rPr>
                <w:rFonts w:eastAsia="Times New Roman"/>
              </w:rPr>
            </w:pPr>
          </w:p>
        </w:tc>
        <w:tc>
          <w:tcPr>
            <w:tcW w:w="3351"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0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741"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312752826"/>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Three Months Ended January 31,</w:t>
            </w:r>
          </w:p>
        </w:tc>
      </w:tr>
      <w:tr w:rsidR="00000000">
        <w:trPr>
          <w:divId w:val="1312752826"/>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2020</w:t>
            </w:r>
          </w:p>
        </w:tc>
      </w:tr>
      <w:tr w:rsidR="00000000">
        <w:trPr>
          <w:divId w:val="1312752826"/>
        </w:trPr>
        <w:tc>
          <w:tcPr>
            <w:tcW w:w="0" w:type="auto"/>
            <w:gridSpan w:val="3"/>
            <w:vAlign w:val="center"/>
            <w:hideMark/>
          </w:tcPr>
          <w:p w:rsidR="00000000" w:rsidRDefault="00A07857">
            <w:pPr>
              <w:jc w:val="center"/>
              <w:rPr>
                <w:rFonts w:eastAsia="Times New Roman"/>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312752826"/>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312752826"/>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Net cash provided by (used in) operating activities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45.3 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A07857">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(34.3)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312752826"/>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312752826"/>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312752826"/>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312752826"/>
        </w:trPr>
        <w:tc>
          <w:tcPr>
            <w:tcW w:w="0" w:type="auto"/>
            <w:gridSpan w:val="3"/>
            <w:shd w:val="clear" w:color="auto" w:fill="FFFFF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Net cash used in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(5.2)</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A07857">
            <w:pPr>
              <w:jc w:val="right"/>
              <w:rPr>
                <w:rFonts w:eastAsia="Times New Roman"/>
              </w:rPr>
            </w:pPr>
          </w:p>
        </w:tc>
      </w:tr>
      <w:tr w:rsidR="00000000">
        <w:trPr>
          <w:divId w:val="1312752826"/>
        </w:trPr>
        <w:tc>
          <w:tcPr>
            <w:tcW w:w="0" w:type="auto"/>
            <w:gridSpan w:val="3"/>
            <w:vAlign w:val="center"/>
            <w:hideMark/>
          </w:tcPr>
          <w:p w:rsidR="00000000" w:rsidRDefault="00A07857">
            <w:pPr>
              <w:jc w:val="right"/>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divId w:val="1312752826"/>
        </w:trPr>
        <w:tc>
          <w:tcPr>
            <w:tcW w:w="0" w:type="auto"/>
            <w:gridSpan w:val="3"/>
            <w:shd w:val="clear" w:color="auto" w:fill="DCE2EF"/>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Net cash (used in) provided by financing activities</w:t>
            </w: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(57.8)</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A07857">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A07857">
            <w:pPr>
              <w:jc w:val="right"/>
              <w:rPr>
                <w:rFonts w:eastAsia="Times New Roman"/>
              </w:rPr>
            </w:pPr>
            <w:r>
              <w:rPr>
                <w:rFonts w:ascii="Arial" w:eastAsia="Times New Roman" w:hAnsi="Arial" w:cs="Arial"/>
                <w:color w:val="000000"/>
                <w:sz w:val="18"/>
                <w:szCs w:val="18"/>
              </w:rPr>
              <w:t>48.4 </w:t>
            </w:r>
          </w:p>
        </w:tc>
        <w:tc>
          <w:tcPr>
            <w:tcW w:w="0" w:type="auto"/>
            <w:shd w:val="clear" w:color="auto" w:fill="DCE2EF"/>
            <w:tcMar>
              <w:top w:w="30" w:type="dxa"/>
              <w:left w:w="0" w:type="dxa"/>
              <w:bottom w:w="30" w:type="dxa"/>
              <w:right w:w="20" w:type="dxa"/>
            </w:tcMar>
            <w:vAlign w:val="bottom"/>
            <w:hideMark/>
          </w:tcPr>
          <w:p w:rsidR="00000000" w:rsidRDefault="00A07857">
            <w:pPr>
              <w:jc w:val="right"/>
              <w:rPr>
                <w:rFonts w:eastAsia="Times New Roman"/>
              </w:rPr>
            </w:pPr>
          </w:p>
        </w:tc>
      </w:tr>
    </w:tbl>
    <w:p w:rsidR="00000000" w:rsidRDefault="00A07857">
      <w:pPr>
        <w:ind w:firstLine="720"/>
        <w:jc w:val="both"/>
        <w:divId w:val="1843618059"/>
        <w:rPr>
          <w:rFonts w:eastAsia="Times New Roman"/>
        </w:rPr>
      </w:pPr>
      <w:r>
        <w:rPr>
          <w:rFonts w:ascii="Arial" w:eastAsia="Times New Roman" w:hAnsi="Arial" w:cs="Arial"/>
          <w:i/>
          <w:iCs/>
          <w:color w:val="000000"/>
          <w:sz w:val="20"/>
          <w:szCs w:val="20"/>
        </w:rPr>
        <w:t xml:space="preserve">Operating Activities </w:t>
      </w:r>
    </w:p>
    <w:p w:rsidR="00000000" w:rsidRDefault="00A07857">
      <w:pPr>
        <w:ind w:firstLine="720"/>
        <w:jc w:val="both"/>
        <w:divId w:val="306127981"/>
        <w:rPr>
          <w:rFonts w:eastAsia="Times New Roman"/>
        </w:rPr>
      </w:pPr>
      <w:r>
        <w:rPr>
          <w:rFonts w:ascii="Arial" w:eastAsia="Times New Roman" w:hAnsi="Arial" w:cs="Arial"/>
          <w:color w:val="000000"/>
          <w:sz w:val="20"/>
          <w:szCs w:val="20"/>
        </w:rPr>
        <w:t xml:space="preserve">Net cash provided by operating activities was $45.3 million during the three months ended January 31, 2021, as compared to net cash used in operating activities of $34.3 million during the three months ended </w:t>
      </w:r>
    </w:p>
    <w:p w:rsidR="00000000" w:rsidRDefault="00A07857">
      <w:pPr>
        <w:jc w:val="center"/>
        <w:divId w:val="2121952863"/>
        <w:rPr>
          <w:rFonts w:eastAsia="Times New Roman"/>
        </w:rPr>
      </w:pPr>
      <w:r>
        <w:rPr>
          <w:rFonts w:ascii="Arial" w:eastAsia="Times New Roman" w:hAnsi="Arial" w:cs="Arial"/>
          <w:color w:val="000000"/>
          <w:sz w:val="20"/>
          <w:szCs w:val="20"/>
        </w:rPr>
        <w:t>31</w:t>
      </w:r>
    </w:p>
    <w:p w:rsidR="00000000" w:rsidRDefault="00A07857">
      <w:pPr>
        <w:rPr>
          <w:rFonts w:eastAsia="Times New Roman"/>
        </w:rPr>
      </w:pPr>
      <w:r>
        <w:rPr>
          <w:rFonts w:eastAsia="Times New Roman"/>
        </w:rPr>
        <w:pict>
          <v:rect id="_x0000_i1066" style="width:0;height:1.5pt" o:hralign="center" o:hrstd="t" o:hr="t" fillcolor="#a0a0a0" stroked="f"/>
        </w:pict>
      </w:r>
    </w:p>
    <w:p w:rsidR="00000000" w:rsidRDefault="00A07857">
      <w:pPr>
        <w:jc w:val="both"/>
        <w:divId w:val="1911848490"/>
        <w:rPr>
          <w:rFonts w:eastAsia="Times New Roman"/>
        </w:rPr>
      </w:pPr>
    </w:p>
    <w:p w:rsidR="00000000" w:rsidRDefault="00A07857">
      <w:pPr>
        <w:jc w:val="both"/>
        <w:divId w:val="157237401"/>
        <w:rPr>
          <w:rFonts w:eastAsia="Times New Roman"/>
        </w:rPr>
      </w:pPr>
      <w:r>
        <w:rPr>
          <w:rFonts w:ascii="Arial" w:eastAsia="Times New Roman" w:hAnsi="Arial" w:cs="Arial"/>
          <w:color w:val="000000"/>
          <w:sz w:val="20"/>
          <w:szCs w:val="20"/>
        </w:rPr>
        <w:t>Januar</w:t>
      </w:r>
      <w:r>
        <w:rPr>
          <w:rFonts w:ascii="Arial" w:eastAsia="Times New Roman" w:hAnsi="Arial" w:cs="Arial"/>
          <w:color w:val="000000"/>
          <w:sz w:val="20"/>
          <w:szCs w:val="20"/>
        </w:rPr>
        <w:t>y 31, 2020. This change was primarily related to the timing of client receivable collections and vendor payments and partially due to deferred remittance of approximately $31 million of payroll taxes under the CARES Act.</w:t>
      </w:r>
    </w:p>
    <w:p w:rsidR="00000000" w:rsidRDefault="00A07857">
      <w:pPr>
        <w:ind w:firstLine="720"/>
        <w:jc w:val="both"/>
        <w:divId w:val="1415663541"/>
        <w:rPr>
          <w:rFonts w:eastAsia="Times New Roman"/>
        </w:rPr>
      </w:pPr>
      <w:r>
        <w:rPr>
          <w:rFonts w:ascii="Arial" w:eastAsia="Times New Roman" w:hAnsi="Arial" w:cs="Arial"/>
          <w:i/>
          <w:iCs/>
          <w:color w:val="000000"/>
          <w:sz w:val="20"/>
          <w:szCs w:val="20"/>
        </w:rPr>
        <w:t xml:space="preserve">Investing Activities </w:t>
      </w:r>
    </w:p>
    <w:p w:rsidR="00000000" w:rsidRDefault="00A07857">
      <w:pPr>
        <w:ind w:firstLine="720"/>
        <w:jc w:val="both"/>
        <w:divId w:val="1614705604"/>
        <w:rPr>
          <w:rFonts w:eastAsia="Times New Roman"/>
        </w:rPr>
      </w:pPr>
      <w:r>
        <w:rPr>
          <w:rFonts w:ascii="Arial" w:eastAsia="Times New Roman" w:hAnsi="Arial" w:cs="Arial"/>
          <w:color w:val="000000"/>
          <w:sz w:val="20"/>
          <w:szCs w:val="20"/>
        </w:rPr>
        <w:t>Net cash used in investing activities increased by $2.9 million during the three months ended January 31, 2021, as compared to the three months ended January 31, 2020. This increase was primarily related to the absence of proceeds from the redemption of an</w:t>
      </w:r>
      <w:r>
        <w:rPr>
          <w:rFonts w:ascii="Arial" w:eastAsia="Times New Roman" w:hAnsi="Arial" w:cs="Arial"/>
          <w:color w:val="000000"/>
          <w:sz w:val="20"/>
          <w:szCs w:val="20"/>
        </w:rPr>
        <w:t xml:space="preserve"> auction rate security, partially offset by lower additions to property, plant and equipment in the current year.</w:t>
      </w:r>
    </w:p>
    <w:p w:rsidR="00000000" w:rsidRDefault="00A07857">
      <w:pPr>
        <w:ind w:firstLine="720"/>
        <w:jc w:val="both"/>
        <w:divId w:val="1619484365"/>
        <w:rPr>
          <w:rFonts w:eastAsia="Times New Roman"/>
        </w:rPr>
      </w:pPr>
      <w:r>
        <w:rPr>
          <w:rFonts w:ascii="Arial" w:eastAsia="Times New Roman" w:hAnsi="Arial" w:cs="Arial"/>
          <w:i/>
          <w:iCs/>
          <w:color w:val="000000"/>
          <w:sz w:val="20"/>
          <w:szCs w:val="20"/>
        </w:rPr>
        <w:t xml:space="preserve">Financing Activities </w:t>
      </w:r>
    </w:p>
    <w:p w:rsidR="00000000" w:rsidRDefault="00A07857">
      <w:pPr>
        <w:ind w:firstLine="720"/>
        <w:jc w:val="both"/>
        <w:divId w:val="1934438630"/>
        <w:rPr>
          <w:rFonts w:eastAsia="Times New Roman"/>
        </w:rPr>
      </w:pPr>
      <w:r>
        <w:rPr>
          <w:rFonts w:ascii="Arial" w:eastAsia="Times New Roman" w:hAnsi="Arial" w:cs="Arial"/>
          <w:color w:val="000000"/>
          <w:sz w:val="20"/>
          <w:szCs w:val="20"/>
        </w:rPr>
        <w:t>Net cash used in financing activities was $57.8 million during the three months ended January 31, 2021, as compared to n</w:t>
      </w:r>
      <w:r>
        <w:rPr>
          <w:rFonts w:ascii="Arial" w:eastAsia="Times New Roman" w:hAnsi="Arial" w:cs="Arial"/>
          <w:color w:val="000000"/>
          <w:sz w:val="20"/>
          <w:szCs w:val="20"/>
        </w:rPr>
        <w:t>et cash provided by financing activities of $48.4 million during the three months ended January 31, 2020. The change was primarily related to higher net repayments on borrowings in the current year.</w:t>
      </w:r>
    </w:p>
    <w:p w:rsidR="00000000" w:rsidRDefault="00A07857">
      <w:pPr>
        <w:divId w:val="140006358"/>
        <w:rPr>
          <w:rFonts w:eastAsia="Times New Roman"/>
        </w:rPr>
      </w:pPr>
    </w:p>
    <w:p w:rsidR="00000000" w:rsidRDefault="00A07857">
      <w:pPr>
        <w:divId w:val="1662733404"/>
        <w:rPr>
          <w:rFonts w:eastAsia="Times New Roman"/>
        </w:rPr>
      </w:pPr>
      <w:r>
        <w:rPr>
          <w:rFonts w:ascii="Arial" w:eastAsia="Times New Roman" w:hAnsi="Arial" w:cs="Arial"/>
          <w:b/>
          <w:bCs/>
          <w:color w:val="0046AD"/>
          <w:sz w:val="20"/>
          <w:szCs w:val="20"/>
        </w:rPr>
        <w:t>Contingencies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47749948"/>
        </w:trPr>
        <w:tc>
          <w:tcPr>
            <w:tcW w:w="5" w:type="pct"/>
            <w:vAlign w:val="center"/>
            <w:hideMark/>
          </w:tcPr>
          <w:p w:rsidR="00000000" w:rsidRDefault="00A07857">
            <w:pPr>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47749948"/>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ind w:firstLine="720"/>
        <w:jc w:val="both"/>
        <w:divId w:val="929236608"/>
        <w:rPr>
          <w:rFonts w:eastAsia="Times New Roman"/>
        </w:rPr>
      </w:pPr>
      <w:r>
        <w:rPr>
          <w:rFonts w:ascii="Arial" w:eastAsia="Times New Roman" w:hAnsi="Arial" w:cs="Arial"/>
          <w:color w:val="000000"/>
          <w:sz w:val="20"/>
          <w:szCs w:val="20"/>
        </w:rPr>
        <w:t>We are a party to a number of lawsuits, claims, and proceedings incident to the operation of our business, including those pertaining to labor and employment, contracts, personal injury, and other matters, some of which allege substantial monetary damages.</w:t>
      </w:r>
      <w:r>
        <w:rPr>
          <w:rFonts w:ascii="Arial" w:eastAsia="Times New Roman" w:hAnsi="Arial" w:cs="Arial"/>
          <w:color w:val="000000"/>
          <w:sz w:val="20"/>
          <w:szCs w:val="20"/>
        </w:rPr>
        <w:t xml:space="preserve"> Some of these actions may be brought as class actions on behalf of a class or purported class of employees. </w:t>
      </w:r>
    </w:p>
    <w:p w:rsidR="00000000" w:rsidRDefault="00A07857">
      <w:pPr>
        <w:ind w:firstLine="720"/>
        <w:jc w:val="both"/>
        <w:divId w:val="1505394149"/>
        <w:rPr>
          <w:rFonts w:eastAsia="Times New Roman"/>
        </w:rPr>
      </w:pPr>
      <w:r>
        <w:rPr>
          <w:rFonts w:ascii="Arial" w:eastAsia="Times New Roman" w:hAnsi="Arial" w:cs="Arial"/>
          <w:color w:val="000000"/>
          <w:sz w:val="20"/>
          <w:szCs w:val="20"/>
        </w:rPr>
        <w:t xml:space="preserve">At January 31, 2021, the total amount accrued for probable litigation losses where a reasonable estimate of the loss could be made was </w:t>
      </w:r>
      <w:r>
        <w:rPr>
          <w:rFonts w:ascii="Arial" w:eastAsia="Times New Roman" w:hAnsi="Arial" w:cs="Arial"/>
          <w:color w:val="000000"/>
          <w:sz w:val="20"/>
          <w:szCs w:val="20"/>
          <w:shd w:val="clear" w:color="auto" w:fill="FFFFFF"/>
        </w:rPr>
        <w:t>$13.8 milli</w:t>
      </w:r>
      <w:r>
        <w:rPr>
          <w:rFonts w:ascii="Arial" w:eastAsia="Times New Roman" w:hAnsi="Arial" w:cs="Arial"/>
          <w:color w:val="000000"/>
          <w:sz w:val="20"/>
          <w:szCs w:val="20"/>
          <w:shd w:val="clear" w:color="auto" w:fill="FFFFFF"/>
        </w:rPr>
        <w:t>on</w:t>
      </w:r>
      <w:r>
        <w:rPr>
          <w:rFonts w:ascii="Arial" w:eastAsia="Times New Roman" w:hAnsi="Arial" w:cs="Arial"/>
          <w:color w:val="000000"/>
          <w:sz w:val="20"/>
          <w:szCs w:val="20"/>
        </w:rPr>
        <w:t>.</w:t>
      </w:r>
    </w:p>
    <w:p w:rsidR="00000000" w:rsidRDefault="00A07857">
      <w:pPr>
        <w:ind w:firstLine="720"/>
        <w:jc w:val="both"/>
        <w:divId w:val="1835609833"/>
        <w:rPr>
          <w:rFonts w:eastAsia="Times New Roman"/>
        </w:rPr>
      </w:pPr>
      <w:r>
        <w:rPr>
          <w:rFonts w:ascii="Arial" w:eastAsia="Times New Roman" w:hAnsi="Arial" w:cs="Arial"/>
          <w:color w:val="000000"/>
          <w:sz w:val="20"/>
          <w:szCs w:val="20"/>
        </w:rPr>
        <w:t>Litigation outcomes are difficult to predict and the estimation of probable losses requires the analysis of multiple possible outcomes that often depend on judgments about potential actions by third parties. If one or more matters are resolved in a par</w:t>
      </w:r>
      <w:r>
        <w:rPr>
          <w:rFonts w:ascii="Arial" w:eastAsia="Times New Roman" w:hAnsi="Arial" w:cs="Arial"/>
          <w:color w:val="000000"/>
          <w:sz w:val="20"/>
          <w:szCs w:val="20"/>
        </w:rPr>
        <w:t xml:space="preserve">ticular period in an amount in excess of, or in a manner different than, what we anticipated, this could have a material adverse effect on our financial position, results of operations, or cash flows. </w:t>
      </w:r>
    </w:p>
    <w:p w:rsidR="00000000" w:rsidRDefault="00A07857">
      <w:pPr>
        <w:ind w:firstLine="720"/>
        <w:jc w:val="both"/>
        <w:divId w:val="958532074"/>
        <w:rPr>
          <w:rFonts w:eastAsia="Times New Roman"/>
        </w:rPr>
      </w:pPr>
      <w:r>
        <w:rPr>
          <w:rFonts w:ascii="Arial" w:eastAsia="Times New Roman" w:hAnsi="Arial" w:cs="Arial"/>
          <w:color w:val="000000"/>
          <w:sz w:val="20"/>
          <w:szCs w:val="20"/>
        </w:rPr>
        <w:t>We do not accrue for contingent losses that, in our ju</w:t>
      </w:r>
      <w:r>
        <w:rPr>
          <w:rFonts w:ascii="Arial" w:eastAsia="Times New Roman" w:hAnsi="Arial" w:cs="Arial"/>
          <w:color w:val="000000"/>
          <w:sz w:val="20"/>
          <w:szCs w:val="20"/>
        </w:rPr>
        <w:t>dgment, are considered to be reasonably possible but not probable. The estimation of reasonably possible losses also requires the analysis of multiple possible outcomes that often depend on judgments about potential actions by third parties. Our management</w:t>
      </w:r>
      <w:r>
        <w:rPr>
          <w:rFonts w:ascii="Arial" w:eastAsia="Times New Roman" w:hAnsi="Arial" w:cs="Arial"/>
          <w:color w:val="000000"/>
          <w:sz w:val="20"/>
          <w:szCs w:val="20"/>
        </w:rPr>
        <w:t xml:space="preserve"> currently estimates the range of loss for all reasonably possible losses for which a reasonable estimate of the loss can be made is between zero and $5 million. Factors underlying this estimated range of loss may change from time to time, and actual resul</w:t>
      </w:r>
      <w:r>
        <w:rPr>
          <w:rFonts w:ascii="Arial" w:eastAsia="Times New Roman" w:hAnsi="Arial" w:cs="Arial"/>
          <w:color w:val="000000"/>
          <w:sz w:val="20"/>
          <w:szCs w:val="20"/>
        </w:rPr>
        <w:t>ts may vary significantly from this estimate.</w:t>
      </w:r>
    </w:p>
    <w:p w:rsidR="00000000" w:rsidRDefault="00A07857">
      <w:pPr>
        <w:ind w:firstLine="720"/>
        <w:jc w:val="both"/>
        <w:divId w:val="1805392576"/>
        <w:rPr>
          <w:rFonts w:eastAsia="Times New Roman"/>
        </w:rPr>
      </w:pPr>
      <w:r>
        <w:rPr>
          <w:rFonts w:ascii="Arial" w:eastAsia="Times New Roman" w:hAnsi="Arial" w:cs="Arial"/>
          <w:color w:val="000000"/>
          <w:sz w:val="20"/>
          <w:szCs w:val="20"/>
        </w:rPr>
        <w:t>In some cases, although a loss is probable or reasonably possible, we cannot reasonably estimate the maximum potential losses for probable matters or the range of losses for reasonably possible matters. Therefo</w:t>
      </w:r>
      <w:r>
        <w:rPr>
          <w:rFonts w:ascii="Arial" w:eastAsia="Times New Roman" w:hAnsi="Arial" w:cs="Arial"/>
          <w:color w:val="000000"/>
          <w:sz w:val="20"/>
          <w:szCs w:val="20"/>
        </w:rPr>
        <w:t xml:space="preserve">re, our accrual for probable losses and our estimated range of loss for reasonably possible losses do not represent our maximum possible exposure. </w:t>
      </w:r>
    </w:p>
    <w:p w:rsidR="00000000" w:rsidRDefault="00A07857">
      <w:pPr>
        <w:ind w:firstLine="720"/>
        <w:jc w:val="both"/>
        <w:divId w:val="1225486767"/>
        <w:rPr>
          <w:rFonts w:eastAsia="Times New Roman"/>
        </w:rPr>
      </w:pPr>
      <w:r>
        <w:rPr>
          <w:rFonts w:ascii="Arial" w:eastAsia="Times New Roman" w:hAnsi="Arial" w:cs="Arial"/>
          <w:color w:val="000000"/>
          <w:sz w:val="20"/>
          <w:szCs w:val="20"/>
        </w:rPr>
        <w:t>For additional information about our contingencies, see Note 8, “Commitments and Contingencies,” in the Fina</w:t>
      </w:r>
      <w:r>
        <w:rPr>
          <w:rFonts w:ascii="Arial" w:eastAsia="Times New Roman" w:hAnsi="Arial" w:cs="Arial"/>
          <w:color w:val="000000"/>
          <w:sz w:val="20"/>
          <w:szCs w:val="20"/>
        </w:rPr>
        <w:t>ncial Statements.</w:t>
      </w:r>
    </w:p>
    <w:p w:rsidR="00000000" w:rsidRDefault="00A07857">
      <w:pPr>
        <w:jc w:val="center"/>
        <w:divId w:val="1757507264"/>
        <w:rPr>
          <w:rFonts w:eastAsia="Times New Roman"/>
        </w:rPr>
      </w:pPr>
      <w:r>
        <w:rPr>
          <w:rFonts w:ascii="Arial" w:eastAsia="Times New Roman" w:hAnsi="Arial" w:cs="Arial"/>
          <w:color w:val="000000"/>
          <w:sz w:val="20"/>
          <w:szCs w:val="20"/>
        </w:rPr>
        <w:t>32</w:t>
      </w:r>
    </w:p>
    <w:p w:rsidR="00000000" w:rsidRDefault="00A07857">
      <w:pPr>
        <w:rPr>
          <w:rFonts w:eastAsia="Times New Roman"/>
        </w:rPr>
      </w:pPr>
      <w:r>
        <w:rPr>
          <w:rFonts w:eastAsia="Times New Roman"/>
        </w:rPr>
        <w:pict>
          <v:rect id="_x0000_i1067" style="width:0;height:1.5pt" o:hralign="center" o:hrstd="t" o:hr="t" fillcolor="#a0a0a0" stroked="f"/>
        </w:pict>
      </w:r>
    </w:p>
    <w:p w:rsidR="00000000" w:rsidRDefault="00A07857">
      <w:pPr>
        <w:jc w:val="both"/>
        <w:divId w:val="813062420"/>
        <w:rPr>
          <w:rFonts w:eastAsia="Times New Roman"/>
        </w:rPr>
      </w:pPr>
    </w:p>
    <w:p w:rsidR="00000000" w:rsidRDefault="00A07857">
      <w:pPr>
        <w:divId w:val="1073772309"/>
        <w:rPr>
          <w:rFonts w:eastAsia="Times New Roman"/>
        </w:rPr>
      </w:pPr>
      <w:r>
        <w:rPr>
          <w:rFonts w:ascii="Arial" w:eastAsia="Times New Roman" w:hAnsi="Arial" w:cs="Arial"/>
          <w:b/>
          <w:bCs/>
          <w:color w:val="0046AD"/>
          <w:sz w:val="20"/>
          <w:szCs w:val="20"/>
        </w:rPr>
        <w:t>Critical Accounting Policies and Estimates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05469077"/>
        </w:trPr>
        <w:tc>
          <w:tcPr>
            <w:tcW w:w="5" w:type="pct"/>
            <w:vAlign w:val="center"/>
            <w:hideMark/>
          </w:tcPr>
          <w:p w:rsidR="00000000" w:rsidRDefault="00A07857">
            <w:pPr>
              <w:rPr>
                <w:rFonts w:eastAsia="Times New Roman"/>
              </w:rPr>
            </w:pPr>
          </w:p>
        </w:tc>
        <w:tc>
          <w:tcPr>
            <w:tcW w:w="12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80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0546907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A07857">
            <w:pPr>
              <w:rPr>
                <w:rFonts w:eastAsia="Times New Roman"/>
                <w:sz w:val="20"/>
                <w:szCs w:val="20"/>
              </w:rPr>
            </w:pPr>
          </w:p>
        </w:tc>
      </w:tr>
    </w:tbl>
    <w:p w:rsidR="00000000" w:rsidRDefault="00A07857">
      <w:pPr>
        <w:ind w:firstLine="720"/>
        <w:jc w:val="both"/>
        <w:divId w:val="1905412465"/>
        <w:rPr>
          <w:rFonts w:eastAsia="Times New Roman"/>
        </w:rPr>
      </w:pPr>
      <w:r>
        <w:rPr>
          <w:rFonts w:ascii="Arial" w:eastAsia="Times New Roman" w:hAnsi="Arial" w:cs="Arial"/>
          <w:color w:val="000000"/>
          <w:sz w:val="20"/>
          <w:szCs w:val="20"/>
        </w:rPr>
        <w:t>Our Financial Statements are prepared in accordance with U.S. GAAP, which require us to make certain estimates in the application of our accounting policies based on the best assumptions, judgments, and opinions of our management. There have been no signif</w:t>
      </w:r>
      <w:r>
        <w:rPr>
          <w:rFonts w:ascii="Arial" w:eastAsia="Times New Roman" w:hAnsi="Arial" w:cs="Arial"/>
          <w:color w:val="000000"/>
          <w:sz w:val="20"/>
          <w:szCs w:val="20"/>
        </w:rPr>
        <w:t xml:space="preserve">icant changes to our critical accounting policies and estimates. For a description of our critical accounting policies, see Item 7., “Management’s Discussion and Analysis of Financial Condition and Results of Operations,” in our Annual Report on Form 10-K </w:t>
      </w:r>
      <w:r>
        <w:rPr>
          <w:rFonts w:ascii="Arial" w:eastAsia="Times New Roman" w:hAnsi="Arial" w:cs="Arial"/>
          <w:color w:val="000000"/>
          <w:sz w:val="20"/>
          <w:szCs w:val="20"/>
        </w:rPr>
        <w:t xml:space="preserve">for the year ended October 31, 2020. </w:t>
      </w:r>
    </w:p>
    <w:p w:rsidR="00000000" w:rsidRDefault="00A07857">
      <w:pPr>
        <w:jc w:val="both"/>
        <w:divId w:val="62064672"/>
        <w:rPr>
          <w:rFonts w:eastAsia="Times New Roman"/>
        </w:rPr>
      </w:pPr>
      <w:r>
        <w:rPr>
          <w:rFonts w:ascii="Arial" w:eastAsia="Times New Roman" w:hAnsi="Arial" w:cs="Arial"/>
          <w:b/>
          <w:bCs/>
          <w:i/>
          <w:iCs/>
          <w:color w:val="0046AD"/>
          <w:sz w:val="20"/>
          <w:szCs w:val="20"/>
        </w:rPr>
        <w:t>Recently Issued Accounting Pronouncements    </w:t>
      </w:r>
    </w:p>
    <w:tbl>
      <w:tblPr>
        <w:tblW w:w="5000" w:type="pct"/>
        <w:tblCellMar>
          <w:top w:w="15" w:type="dxa"/>
          <w:left w:w="15" w:type="dxa"/>
          <w:bottom w:w="15" w:type="dxa"/>
          <w:right w:w="15" w:type="dxa"/>
        </w:tblCellMar>
        <w:tblLook w:val="04A0" w:firstRow="1" w:lastRow="0" w:firstColumn="1" w:lastColumn="0" w:noHBand="0" w:noVBand="1"/>
      </w:tblPr>
      <w:tblGrid>
        <w:gridCol w:w="97"/>
        <w:gridCol w:w="924"/>
        <w:gridCol w:w="36"/>
        <w:gridCol w:w="36"/>
        <w:gridCol w:w="36"/>
        <w:gridCol w:w="36"/>
        <w:gridCol w:w="57"/>
        <w:gridCol w:w="1561"/>
        <w:gridCol w:w="37"/>
        <w:gridCol w:w="36"/>
        <w:gridCol w:w="36"/>
        <w:gridCol w:w="36"/>
        <w:gridCol w:w="39"/>
        <w:gridCol w:w="3536"/>
        <w:gridCol w:w="37"/>
        <w:gridCol w:w="36"/>
        <w:gridCol w:w="36"/>
        <w:gridCol w:w="36"/>
        <w:gridCol w:w="60"/>
        <w:gridCol w:w="1560"/>
        <w:gridCol w:w="38"/>
      </w:tblGrid>
      <w:tr w:rsidR="00000000">
        <w:trPr>
          <w:divId w:val="737097163"/>
        </w:trPr>
        <w:tc>
          <w:tcPr>
            <w:tcW w:w="50" w:type="pct"/>
            <w:vAlign w:val="center"/>
            <w:hideMark/>
          </w:tcPr>
          <w:p w:rsidR="00000000" w:rsidRDefault="00A07857">
            <w:pPr>
              <w:jc w:val="both"/>
              <w:rPr>
                <w:rFonts w:eastAsia="Times New Roman"/>
              </w:rPr>
            </w:pPr>
          </w:p>
        </w:tc>
        <w:tc>
          <w:tcPr>
            <w:tcW w:w="47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1004"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2181"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100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737097163"/>
        </w:trPr>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Accounting Standard Update(s)</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Topic</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Summary</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A07857">
            <w:pPr>
              <w:jc w:val="center"/>
              <w:rPr>
                <w:rFonts w:eastAsia="Times New Roman"/>
              </w:rPr>
            </w:pPr>
            <w:r>
              <w:rPr>
                <w:rFonts w:ascii="Arial" w:eastAsia="Times New Roman" w:hAnsi="Arial" w:cs="Arial"/>
                <w:b/>
                <w:bCs/>
                <w:color w:val="000000"/>
                <w:sz w:val="18"/>
                <w:szCs w:val="18"/>
              </w:rPr>
              <w:t>Effective Date/</w:t>
            </w:r>
            <w:r>
              <w:rPr>
                <w:rFonts w:ascii="Arial" w:eastAsia="Times New Roman" w:hAnsi="Arial" w:cs="Arial"/>
                <w:b/>
                <w:bCs/>
                <w:color w:val="000000"/>
                <w:sz w:val="18"/>
                <w:szCs w:val="18"/>
              </w:rPr>
              <w:br/>
              <w:t>Method of Adoption</w:t>
            </w:r>
          </w:p>
        </w:tc>
      </w:tr>
      <w:tr w:rsidR="00000000">
        <w:trPr>
          <w:divId w:val="737097163"/>
        </w:trPr>
        <w:tc>
          <w:tcPr>
            <w:tcW w:w="0" w:type="auto"/>
            <w:gridSpan w:val="3"/>
            <w:tcBorders>
              <w:top w:val="single" w:sz="8" w:space="0" w:color="000000"/>
            </w:tcBorders>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2021-01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Reference Rate Reform (Topic 848): Scope</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This ASU, issued in January 2021, clarifies that derivatives affected by the discounting transition are explicitly eligible for certain optional expedients and exceptions under Topic 848.</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 this guidanc</w:t>
            </w:r>
            <w:r>
              <w:rPr>
                <w:rFonts w:ascii="Arial" w:eastAsia="Times New Roman" w:hAnsi="Arial" w:cs="Arial"/>
                <w:color w:val="000000"/>
                <w:sz w:val="18"/>
                <w:szCs w:val="18"/>
              </w:rPr>
              <w:t>e on our financial statements.</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This ASU was effective upon issuance and can be applied to hedging relationships retrospectively or prospectively no later than December 31, 2022.</w:t>
            </w:r>
          </w:p>
        </w:tc>
      </w:tr>
      <w:tr w:rsidR="00000000">
        <w:trPr>
          <w:divId w:val="737097163"/>
        </w:trPr>
        <w:tc>
          <w:tcPr>
            <w:tcW w:w="0" w:type="auto"/>
            <w:gridSpan w:val="3"/>
            <w:tcBorders>
              <w:top w:val="single" w:sz="8" w:space="0" w:color="000000"/>
            </w:tcBorders>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2020-04</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Reference Rate Reform (Topic 848): Facilitation of the E</w:t>
            </w:r>
            <w:r>
              <w:rPr>
                <w:rFonts w:ascii="Arial" w:eastAsia="Times New Roman" w:hAnsi="Arial" w:cs="Arial"/>
                <w:color w:val="000000"/>
                <w:sz w:val="18"/>
                <w:szCs w:val="18"/>
              </w:rPr>
              <w:t>ffects of Reference Rate Reform on Financial Reporting</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This ASU, issued in March 2020, provides optional expedients to assist with the discontinuance of LIBOR. The expedients allow companies to ease the potential accounting burden when modifying contracts and hedging relationships that use LIBOR as a reference</w:t>
            </w:r>
            <w:r>
              <w:rPr>
                <w:rFonts w:ascii="Arial" w:eastAsia="Times New Roman" w:hAnsi="Arial" w:cs="Arial"/>
                <w:color w:val="000000"/>
                <w:sz w:val="18"/>
                <w:szCs w:val="18"/>
              </w:rPr>
              <w:t xml:space="preserve"> rate, if certain criteria are met. </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 this guidance on our financial statements.</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 xml:space="preserve">This update can be adopted prospectively no later than December 1, 2022, with early adoption permitted. </w:t>
            </w:r>
          </w:p>
        </w:tc>
      </w:tr>
      <w:tr w:rsidR="00000000">
        <w:trPr>
          <w:divId w:val="737097163"/>
        </w:trPr>
        <w:tc>
          <w:tcPr>
            <w:tcW w:w="0" w:type="auto"/>
            <w:gridSpan w:val="3"/>
            <w:tcBorders>
              <w:top w:val="single" w:sz="8" w:space="0" w:color="000000"/>
            </w:tcBorders>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2020-01</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Investments—Equity Securities (Topic 321), Investments—Equity Method and Joint Ventures (Topic 323), and Derivatives and Hedging (Topic 815): Clarifying the Interactions between Topic 321, Topic 323, and Topic 815</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This ASU, issued in January 202</w:t>
            </w:r>
            <w:r>
              <w:rPr>
                <w:rFonts w:ascii="Arial" w:eastAsia="Times New Roman" w:hAnsi="Arial" w:cs="Arial"/>
                <w:color w:val="000000"/>
                <w:sz w:val="18"/>
                <w:szCs w:val="18"/>
              </w:rPr>
              <w:t>0, clarifies the interaction between Topic 321, Topic 323, and Topic 815. The new guidance, among other things, states that a company should consider observable transactions that require it to either apply or discontinue the equity method of accounting for</w:t>
            </w:r>
            <w:r>
              <w:rPr>
                <w:rFonts w:ascii="Arial" w:eastAsia="Times New Roman" w:hAnsi="Arial" w:cs="Arial"/>
                <w:color w:val="000000"/>
                <w:sz w:val="18"/>
                <w:szCs w:val="18"/>
              </w:rPr>
              <w:t xml:space="preserve"> the purposes of applying the fair value measurement alternative immediately before applying or upon discontinuing the equity method.</w:t>
            </w:r>
            <w:r>
              <w:rPr>
                <w:rFonts w:ascii="Arial" w:eastAsia="Times New Roman" w:hAnsi="Arial" w:cs="Arial"/>
                <w:color w:val="000000"/>
                <w:sz w:val="18"/>
                <w:szCs w:val="18"/>
              </w:rPr>
              <w:br/>
            </w:r>
            <w:r>
              <w:rPr>
                <w:rFonts w:ascii="Arial" w:eastAsia="Times New Roman" w:hAnsi="Arial" w:cs="Arial"/>
                <w:color w:val="000000"/>
                <w:sz w:val="18"/>
                <w:szCs w:val="18"/>
              </w:rPr>
              <w:br/>
              <w:t xml:space="preserve">While we are currently evaluating the impact of implementing this guidance on our financial statements, we do not expect </w:t>
            </w:r>
            <w:r>
              <w:rPr>
                <w:rFonts w:ascii="Arial" w:eastAsia="Times New Roman" w:hAnsi="Arial" w:cs="Arial"/>
                <w:color w:val="000000"/>
                <w:sz w:val="18"/>
                <w:szCs w:val="18"/>
              </w:rPr>
              <w:t xml:space="preserve">adoption to have a material impact. </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 xml:space="preserve">November 1, 2021 </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This update will be applied prospectively. </w:t>
            </w:r>
          </w:p>
        </w:tc>
      </w:tr>
      <w:tr w:rsidR="00000000">
        <w:trPr>
          <w:divId w:val="737097163"/>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2019-12</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Income Taxes (Topic 740): Simplifying the Accounting for Income Taxes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This ASU, issued in December 2019, removes certain exceptions related to the approach for intraperiod tax allocation, the methodology for calculating income taxes in an interim peri</w:t>
            </w:r>
            <w:r>
              <w:rPr>
                <w:rFonts w:ascii="Arial" w:eastAsia="Times New Roman" w:hAnsi="Arial" w:cs="Arial"/>
                <w:color w:val="000000"/>
                <w:sz w:val="18"/>
                <w:szCs w:val="18"/>
              </w:rPr>
              <w:t xml:space="preserve">od, and the recognition of deferred tax liabilities for outside basis differences. This ASU also amends other aspects of the guidance to help simplify and promote consistent application of Topic 740. </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w:t>
            </w:r>
            <w:r>
              <w:rPr>
                <w:rFonts w:ascii="Arial" w:eastAsia="Times New Roman" w:hAnsi="Arial" w:cs="Arial"/>
                <w:color w:val="000000"/>
                <w:sz w:val="18"/>
                <w:szCs w:val="18"/>
              </w:rPr>
              <w:t xml:space="preserve"> this guidance on our financial statements. </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color w:val="000000"/>
                <w:sz w:val="18"/>
                <w:szCs w:val="18"/>
              </w:rPr>
              <w:t>November 1, 2021</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t>The amendments have differing adoption methods including retrospectively, prospectively, and/or on a modified retrospective basis.</w:t>
            </w:r>
          </w:p>
        </w:tc>
      </w:tr>
    </w:tbl>
    <w:p w:rsidR="00000000" w:rsidRDefault="00A07857">
      <w:pPr>
        <w:divId w:val="1142237739"/>
        <w:rPr>
          <w:rFonts w:eastAsia="Times New Roman"/>
        </w:rPr>
      </w:pPr>
    </w:p>
    <w:p w:rsidR="00000000" w:rsidRDefault="00A07857">
      <w:pPr>
        <w:divId w:val="1241326257"/>
        <w:rPr>
          <w:rFonts w:eastAsia="Times New Roman"/>
        </w:rPr>
      </w:pPr>
    </w:p>
    <w:p w:rsidR="00000000" w:rsidRDefault="00A07857">
      <w:pPr>
        <w:jc w:val="center"/>
        <w:divId w:val="2049253237"/>
        <w:rPr>
          <w:rFonts w:eastAsia="Times New Roman"/>
        </w:rPr>
      </w:pPr>
      <w:r>
        <w:rPr>
          <w:rFonts w:ascii="Arial" w:eastAsia="Times New Roman" w:hAnsi="Arial" w:cs="Arial"/>
          <w:color w:val="000000"/>
          <w:sz w:val="20"/>
          <w:szCs w:val="20"/>
        </w:rPr>
        <w:t>33</w:t>
      </w:r>
    </w:p>
    <w:p w:rsidR="00000000" w:rsidRDefault="00A07857">
      <w:pPr>
        <w:rPr>
          <w:rFonts w:eastAsia="Times New Roman"/>
        </w:rPr>
      </w:pPr>
      <w:r>
        <w:rPr>
          <w:rFonts w:eastAsia="Times New Roman"/>
        </w:rPr>
        <w:pict>
          <v:rect id="_x0000_i1068" style="width:0;height:1.5pt" o:hralign="center" o:hrstd="t" o:hr="t" fillcolor="#a0a0a0" stroked="f"/>
        </w:pict>
      </w:r>
    </w:p>
    <w:p w:rsidR="00000000" w:rsidRDefault="00A07857">
      <w:pPr>
        <w:jc w:val="both"/>
        <w:divId w:val="864754154"/>
        <w:rPr>
          <w:rFonts w:eastAsia="Times New Roman"/>
        </w:rPr>
      </w:pPr>
    </w:p>
    <w:p w:rsidR="00000000" w:rsidRDefault="00A07857">
      <w:pPr>
        <w:divId w:val="808520280"/>
        <w:rPr>
          <w:rFonts w:eastAsia="Times New Roman"/>
        </w:rPr>
      </w:pPr>
      <w:r>
        <w:rPr>
          <w:rFonts w:ascii="Arial" w:eastAsia="Times New Roman" w:hAnsi="Arial" w:cs="Arial"/>
          <w:b/>
          <w:bCs/>
          <w:color w:val="0046AD"/>
          <w:sz w:val="20"/>
          <w:szCs w:val="20"/>
        </w:rPr>
        <w:t>ITEM 3. QUANTITATIVE AND QUALITATIVE DISCLOSURES ABOUT MARKET RISK.</w:t>
      </w:r>
    </w:p>
    <w:p w:rsidR="00000000" w:rsidRDefault="00A07857">
      <w:pPr>
        <w:ind w:firstLine="720"/>
        <w:jc w:val="both"/>
        <w:divId w:val="1565994559"/>
        <w:rPr>
          <w:rFonts w:eastAsia="Times New Roman"/>
        </w:rPr>
      </w:pPr>
      <w:r>
        <w:rPr>
          <w:rFonts w:ascii="Arial" w:eastAsia="Times New Roman" w:hAnsi="Arial" w:cs="Arial"/>
          <w:color w:val="000000"/>
          <w:sz w:val="20"/>
          <w:szCs w:val="20"/>
        </w:rPr>
        <w:t xml:space="preserve">There are no material changes related to market risk from the disclosures in our Annual Report on Form 10-K for the year ended October 31, 2020. </w:t>
      </w:r>
    </w:p>
    <w:p w:rsidR="00000000" w:rsidRDefault="00A07857">
      <w:pPr>
        <w:divId w:val="1332829108"/>
        <w:rPr>
          <w:rFonts w:eastAsia="Times New Roman"/>
        </w:rPr>
      </w:pPr>
      <w:r>
        <w:rPr>
          <w:rFonts w:ascii="Arial" w:eastAsia="Times New Roman" w:hAnsi="Arial" w:cs="Arial"/>
          <w:b/>
          <w:bCs/>
          <w:color w:val="0046AD"/>
          <w:sz w:val="20"/>
          <w:szCs w:val="20"/>
        </w:rPr>
        <w:t>ITEM 4. CONTROLS AND PROCEDURES.</w:t>
      </w:r>
    </w:p>
    <w:p w:rsidR="00000000" w:rsidRDefault="00A07857">
      <w:pPr>
        <w:jc w:val="both"/>
        <w:divId w:val="414592318"/>
        <w:rPr>
          <w:rFonts w:eastAsia="Times New Roman"/>
        </w:rPr>
      </w:pPr>
      <w:r>
        <w:rPr>
          <w:rFonts w:ascii="Arial" w:eastAsia="Times New Roman" w:hAnsi="Arial" w:cs="Arial"/>
          <w:b/>
          <w:bCs/>
          <w:color w:val="0046AD"/>
          <w:sz w:val="20"/>
          <w:szCs w:val="20"/>
        </w:rPr>
        <w:t>a.</w:t>
      </w:r>
      <w:r>
        <w:rPr>
          <w:rFonts w:ascii="Arial" w:eastAsia="Times New Roman" w:hAnsi="Arial" w:cs="Arial"/>
          <w:color w:val="0046AD"/>
          <w:sz w:val="20"/>
          <w:szCs w:val="20"/>
        </w:rPr>
        <w:t xml:space="preserve"> </w:t>
      </w:r>
      <w:r>
        <w:rPr>
          <w:rFonts w:ascii="Arial" w:eastAsia="Times New Roman" w:hAnsi="Arial" w:cs="Arial"/>
          <w:b/>
          <w:bCs/>
          <w:color w:val="0046AD"/>
          <w:sz w:val="20"/>
          <w:szCs w:val="20"/>
        </w:rPr>
        <w:t>Disclosure Controls and Procedures.</w:t>
      </w:r>
      <w:r>
        <w:rPr>
          <w:rFonts w:ascii="Arial" w:eastAsia="Times New Roman" w:hAnsi="Arial" w:cs="Arial"/>
          <w:color w:val="0046AD"/>
          <w:sz w:val="20"/>
          <w:szCs w:val="20"/>
        </w:rPr>
        <w:t xml:space="preserve"> </w:t>
      </w:r>
    </w:p>
    <w:p w:rsidR="00000000" w:rsidRDefault="00A07857">
      <w:pPr>
        <w:ind w:firstLine="720"/>
        <w:jc w:val="both"/>
        <w:divId w:val="1061907906"/>
        <w:rPr>
          <w:rFonts w:eastAsia="Times New Roman"/>
        </w:rPr>
      </w:pPr>
      <w:r>
        <w:rPr>
          <w:rFonts w:ascii="Arial" w:eastAsia="Times New Roman" w:hAnsi="Arial" w:cs="Arial"/>
          <w:color w:val="000000"/>
          <w:sz w:val="20"/>
          <w:szCs w:val="20"/>
        </w:rPr>
        <w:t>As of the end of the period covered by this report, our Principal Executive Officer and Principal Financial Officer evaluated our disclosure controls and procedures, as such term is defined in Rules 13a-15(e) and 15d-15(e) of the Exchange Act. Based upon t</w:t>
      </w:r>
      <w:r>
        <w:rPr>
          <w:rFonts w:ascii="Arial" w:eastAsia="Times New Roman" w:hAnsi="Arial" w:cs="Arial"/>
          <w:color w:val="000000"/>
          <w:sz w:val="20"/>
          <w:szCs w:val="20"/>
        </w:rPr>
        <w:t xml:space="preserve">hat evaluation, our Principal Executive Officer and Principal Financial Officer concluded that as of the end of the period covered by this report, our disclosure controls and procedures were effective to ensure that information required to be disclosed by </w:t>
      </w:r>
      <w:r>
        <w:rPr>
          <w:rFonts w:ascii="Arial" w:eastAsia="Times New Roman" w:hAnsi="Arial" w:cs="Arial"/>
          <w:color w:val="000000"/>
          <w:sz w:val="20"/>
          <w:szCs w:val="20"/>
        </w:rPr>
        <w:t xml:space="preserve">us in reports we file or submit under the Exchange Act is (1) recorded, processed, summarized, and reported within the time periods specified in the rules and forms of the SEC and (2) accumulated and communicated to our management, including our Principal </w:t>
      </w:r>
      <w:r>
        <w:rPr>
          <w:rFonts w:ascii="Arial" w:eastAsia="Times New Roman" w:hAnsi="Arial" w:cs="Arial"/>
          <w:color w:val="000000"/>
          <w:sz w:val="20"/>
          <w:szCs w:val="20"/>
        </w:rPr>
        <w:t xml:space="preserve">Executive Officer and Principal Financial Officer, to allow timely decisions regarding required disclosure. </w:t>
      </w:r>
    </w:p>
    <w:p w:rsidR="00000000" w:rsidRDefault="00A07857">
      <w:pPr>
        <w:jc w:val="both"/>
        <w:divId w:val="1511027744"/>
        <w:rPr>
          <w:rFonts w:eastAsia="Times New Roman"/>
        </w:rPr>
      </w:pPr>
      <w:r>
        <w:rPr>
          <w:rFonts w:ascii="Arial" w:eastAsia="Times New Roman" w:hAnsi="Arial" w:cs="Arial"/>
          <w:b/>
          <w:bCs/>
          <w:color w:val="0046AD"/>
          <w:sz w:val="20"/>
          <w:szCs w:val="20"/>
        </w:rPr>
        <w:t>b. Changes in Internal Control Over Financial Reporting.</w:t>
      </w:r>
    </w:p>
    <w:p w:rsidR="00000000" w:rsidRDefault="00A07857">
      <w:pPr>
        <w:ind w:firstLine="720"/>
        <w:jc w:val="both"/>
        <w:divId w:val="484395190"/>
        <w:rPr>
          <w:rFonts w:eastAsia="Times New Roman"/>
        </w:rPr>
      </w:pPr>
      <w:r>
        <w:rPr>
          <w:rFonts w:ascii="Arial" w:eastAsia="Times New Roman" w:hAnsi="Arial" w:cs="Arial"/>
          <w:color w:val="000000"/>
          <w:sz w:val="20"/>
          <w:szCs w:val="20"/>
        </w:rPr>
        <w:t>To support the growth of our financial shared service capabilities and standardize our fin</w:t>
      </w:r>
      <w:r>
        <w:rPr>
          <w:rFonts w:ascii="Arial" w:eastAsia="Times New Roman" w:hAnsi="Arial" w:cs="Arial"/>
          <w:color w:val="000000"/>
          <w:sz w:val="20"/>
          <w:szCs w:val="20"/>
        </w:rPr>
        <w:t>ancial systems, we continue to update several key platforms, including our human resources information systems, ERP system, and labor management system. The implementation of several key platforms involves changes in the systems that include internal contr</w:t>
      </w:r>
      <w:r>
        <w:rPr>
          <w:rFonts w:ascii="Arial" w:eastAsia="Times New Roman" w:hAnsi="Arial" w:cs="Arial"/>
          <w:color w:val="000000"/>
          <w:sz w:val="20"/>
          <w:szCs w:val="20"/>
        </w:rPr>
        <w:t xml:space="preserve">ols. Although some of the transitions have proceeded to date without material adverse effects, the possibility exists that they could adversely affect our internal controls over financial reporting and procedures. </w:t>
      </w:r>
    </w:p>
    <w:p w:rsidR="00000000" w:rsidRDefault="00A07857">
      <w:pPr>
        <w:ind w:firstLine="720"/>
        <w:jc w:val="both"/>
        <w:divId w:val="496965953"/>
        <w:rPr>
          <w:rFonts w:eastAsia="Times New Roman"/>
        </w:rPr>
      </w:pPr>
      <w:r>
        <w:rPr>
          <w:rFonts w:ascii="Arial" w:eastAsia="Times New Roman" w:hAnsi="Arial" w:cs="Arial"/>
          <w:color w:val="000000"/>
          <w:sz w:val="20"/>
          <w:szCs w:val="20"/>
        </w:rPr>
        <w:t>There were no other changes in our intern</w:t>
      </w:r>
      <w:r>
        <w:rPr>
          <w:rFonts w:ascii="Arial" w:eastAsia="Times New Roman" w:hAnsi="Arial" w:cs="Arial"/>
          <w:color w:val="000000"/>
          <w:sz w:val="20"/>
          <w:szCs w:val="20"/>
        </w:rPr>
        <w:t>al control over financial reporting during the first quarter of 2021 identified in connection with the evaluation required by Rules 13a-15(d) and 15d-15(d) of the Exchange Act that have materially affected, or are reasonably likely to materially affect, ou</w:t>
      </w:r>
      <w:r>
        <w:rPr>
          <w:rFonts w:ascii="Arial" w:eastAsia="Times New Roman" w:hAnsi="Arial" w:cs="Arial"/>
          <w:color w:val="000000"/>
          <w:sz w:val="20"/>
          <w:szCs w:val="20"/>
        </w:rPr>
        <w:t>r internal control over financial reporting. As a result of the Pandemic, many of our office-based employees began working remotely in March 2020. This change to the working environment did not have a material effect on our internal controls over financial</w:t>
      </w:r>
      <w:r>
        <w:rPr>
          <w:rFonts w:ascii="Arial" w:eastAsia="Times New Roman" w:hAnsi="Arial" w:cs="Arial"/>
          <w:color w:val="000000"/>
          <w:sz w:val="20"/>
          <w:szCs w:val="20"/>
        </w:rPr>
        <w:t xml:space="preserve"> reporting during the first quarter of 2021. We are continually monitoring and assessing the impact of the Pandemic and the resulting changes to our working environment on our internal controls over financial reporting.</w:t>
      </w:r>
    </w:p>
    <w:p w:rsidR="00000000" w:rsidRDefault="00A07857">
      <w:pPr>
        <w:divId w:val="1789473703"/>
        <w:rPr>
          <w:rFonts w:eastAsia="Times New Roman"/>
        </w:rPr>
      </w:pPr>
      <w:r>
        <w:rPr>
          <w:rFonts w:ascii="Arial" w:eastAsia="Times New Roman" w:hAnsi="Arial" w:cs="Arial"/>
          <w:b/>
          <w:bCs/>
          <w:color w:val="0046AD"/>
          <w:sz w:val="20"/>
          <w:szCs w:val="20"/>
        </w:rPr>
        <w:t>PART II. OTHER INFORMATION</w:t>
      </w:r>
    </w:p>
    <w:p w:rsidR="00000000" w:rsidRDefault="00A07857">
      <w:pPr>
        <w:divId w:val="525212006"/>
        <w:rPr>
          <w:rFonts w:eastAsia="Times New Roman"/>
        </w:rPr>
      </w:pPr>
      <w:r>
        <w:rPr>
          <w:rFonts w:ascii="Arial" w:eastAsia="Times New Roman" w:hAnsi="Arial" w:cs="Arial"/>
          <w:b/>
          <w:bCs/>
          <w:color w:val="0046AD"/>
          <w:sz w:val="20"/>
          <w:szCs w:val="20"/>
        </w:rPr>
        <w:t>ITEM 1. L</w:t>
      </w:r>
      <w:r>
        <w:rPr>
          <w:rFonts w:ascii="Arial" w:eastAsia="Times New Roman" w:hAnsi="Arial" w:cs="Arial"/>
          <w:b/>
          <w:bCs/>
          <w:color w:val="0046AD"/>
          <w:sz w:val="20"/>
          <w:szCs w:val="20"/>
        </w:rPr>
        <w:t>EGAL PROCEEDINGS.</w:t>
      </w:r>
    </w:p>
    <w:p w:rsidR="00000000" w:rsidRDefault="00A07857">
      <w:pPr>
        <w:ind w:firstLine="720"/>
        <w:jc w:val="both"/>
        <w:divId w:val="1639988671"/>
        <w:rPr>
          <w:rFonts w:eastAsia="Times New Roman"/>
        </w:rPr>
      </w:pPr>
      <w:r>
        <w:rPr>
          <w:rFonts w:ascii="Arial" w:eastAsia="Times New Roman" w:hAnsi="Arial" w:cs="Arial"/>
          <w:color w:val="000000"/>
          <w:sz w:val="20"/>
          <w:szCs w:val="20"/>
        </w:rPr>
        <w:t>A discussion of material developments in our litigation matters occurring in the period covered by this report is found in Note 8, “Commitments and Contingencies,” to the Financial Statements in this Form 10-Q.</w:t>
      </w:r>
    </w:p>
    <w:p w:rsidR="00000000" w:rsidRDefault="00A07857">
      <w:pPr>
        <w:divId w:val="1846242947"/>
        <w:rPr>
          <w:rFonts w:eastAsia="Times New Roman"/>
        </w:rPr>
      </w:pPr>
      <w:r>
        <w:rPr>
          <w:rFonts w:ascii="Arial" w:eastAsia="Times New Roman" w:hAnsi="Arial" w:cs="Arial"/>
          <w:b/>
          <w:bCs/>
          <w:color w:val="0046AD"/>
          <w:sz w:val="20"/>
          <w:szCs w:val="20"/>
        </w:rPr>
        <w:t>ITEM 1A. RISK FACTORS.</w:t>
      </w:r>
    </w:p>
    <w:p w:rsidR="00000000" w:rsidRDefault="00A07857">
      <w:pPr>
        <w:ind w:firstLine="720"/>
        <w:jc w:val="both"/>
        <w:divId w:val="955871338"/>
        <w:rPr>
          <w:rFonts w:eastAsia="Times New Roman"/>
        </w:rPr>
      </w:pPr>
      <w:r>
        <w:rPr>
          <w:rFonts w:ascii="Arial" w:eastAsia="Times New Roman" w:hAnsi="Arial" w:cs="Arial"/>
          <w:color w:val="000000"/>
          <w:sz w:val="20"/>
          <w:szCs w:val="20"/>
        </w:rPr>
        <w:t>Ther</w:t>
      </w:r>
      <w:r>
        <w:rPr>
          <w:rFonts w:ascii="Arial" w:eastAsia="Times New Roman" w:hAnsi="Arial" w:cs="Arial"/>
          <w:color w:val="000000"/>
          <w:sz w:val="20"/>
          <w:szCs w:val="20"/>
        </w:rPr>
        <w:t>e have been no material changes to the risk factors identified in our Annual Report on Form 10-K for the year ended October 31, 2020 in response to Item 1A., “Risk Factors,” of Part I of the Annual Report.</w:t>
      </w:r>
    </w:p>
    <w:p w:rsidR="00000000" w:rsidRDefault="00A07857">
      <w:pPr>
        <w:divId w:val="1088888173"/>
        <w:rPr>
          <w:rFonts w:eastAsia="Times New Roman"/>
        </w:rPr>
      </w:pPr>
      <w:r>
        <w:rPr>
          <w:rFonts w:ascii="Arial" w:eastAsia="Times New Roman" w:hAnsi="Arial" w:cs="Arial"/>
          <w:b/>
          <w:bCs/>
          <w:color w:val="0046AD"/>
          <w:sz w:val="20"/>
          <w:szCs w:val="20"/>
        </w:rPr>
        <w:t>ITEM 2. UNREGISTERED SALES OF EQUITY SECURITIES AN</w:t>
      </w:r>
      <w:r>
        <w:rPr>
          <w:rFonts w:ascii="Arial" w:eastAsia="Times New Roman" w:hAnsi="Arial" w:cs="Arial"/>
          <w:b/>
          <w:bCs/>
          <w:color w:val="0046AD"/>
          <w:sz w:val="20"/>
          <w:szCs w:val="20"/>
        </w:rPr>
        <w:t>D USE OF PROCEEDS.</w:t>
      </w:r>
    </w:p>
    <w:p w:rsidR="00000000" w:rsidRDefault="00A07857">
      <w:pPr>
        <w:ind w:firstLine="720"/>
        <w:jc w:val="both"/>
        <w:divId w:val="1859927567"/>
        <w:rPr>
          <w:rFonts w:eastAsia="Times New Roman"/>
        </w:rPr>
      </w:pPr>
      <w:r>
        <w:rPr>
          <w:rFonts w:ascii="Arial" w:eastAsia="Times New Roman" w:hAnsi="Arial" w:cs="Arial"/>
          <w:color w:val="000000"/>
          <w:sz w:val="20"/>
          <w:szCs w:val="20"/>
        </w:rPr>
        <w:t xml:space="preserve">Effective December 18, 2019, our Board of Directors replaced our then-existing share repurchase program with a new share repurchase program under which we may repurchase up to $150.0 million of our common stock. These purchases may take </w:t>
      </w:r>
      <w:r>
        <w:rPr>
          <w:rFonts w:ascii="Arial" w:eastAsia="Times New Roman" w:hAnsi="Arial" w:cs="Arial"/>
          <w:color w:val="000000"/>
          <w:sz w:val="20"/>
          <w:szCs w:val="20"/>
        </w:rPr>
        <w:t>place on the open market or otherwise, and all or part of the repurchases may be made pursuant to Rule 10b5-1 plans or in privately negotiated transactions. The timing of repurchases is at our discretion and will depend upon several factors, including mark</w:t>
      </w:r>
      <w:r>
        <w:rPr>
          <w:rFonts w:ascii="Arial" w:eastAsia="Times New Roman" w:hAnsi="Arial" w:cs="Arial"/>
          <w:color w:val="000000"/>
          <w:sz w:val="20"/>
          <w:szCs w:val="20"/>
        </w:rPr>
        <w:t>et and business conditions, future cash flows, share price, share availability, and other factors at our discretion. Repurchased shares are retired and returned to an authorized but unissued status. The 2019 Share Repurchase Program may be suspended or dis</w:t>
      </w:r>
      <w:r>
        <w:rPr>
          <w:rFonts w:ascii="Arial" w:eastAsia="Times New Roman" w:hAnsi="Arial" w:cs="Arial"/>
          <w:color w:val="000000"/>
          <w:sz w:val="20"/>
          <w:szCs w:val="20"/>
        </w:rPr>
        <w:t>continued at any time without prior notice. Due to the market and business conditions arising from the Pandemic, we have suspended further repurchases of our common stock since March 2020. At January 31, 2021, authorization for $144.9 million of repurchase</w:t>
      </w:r>
      <w:r>
        <w:rPr>
          <w:rFonts w:ascii="Arial" w:eastAsia="Times New Roman" w:hAnsi="Arial" w:cs="Arial"/>
          <w:color w:val="000000"/>
          <w:sz w:val="20"/>
          <w:szCs w:val="20"/>
        </w:rPr>
        <w:t xml:space="preserve">s remained under the 2019 Share Repurchase Program. </w:t>
      </w:r>
    </w:p>
    <w:p w:rsidR="00000000" w:rsidRDefault="00A07857">
      <w:pPr>
        <w:divId w:val="1650205940"/>
        <w:rPr>
          <w:rFonts w:eastAsia="Times New Roman"/>
        </w:rPr>
      </w:pPr>
      <w:r>
        <w:rPr>
          <w:rFonts w:ascii="Arial" w:eastAsia="Times New Roman" w:hAnsi="Arial" w:cs="Arial"/>
          <w:b/>
          <w:bCs/>
          <w:color w:val="0046AD"/>
          <w:sz w:val="20"/>
          <w:szCs w:val="20"/>
        </w:rPr>
        <w:t>ITEM 3. DEFAULTS UPON SENIOR SECURITIES.</w:t>
      </w:r>
    </w:p>
    <w:p w:rsidR="00000000" w:rsidRDefault="00A07857">
      <w:pPr>
        <w:ind w:firstLine="720"/>
        <w:jc w:val="both"/>
        <w:divId w:val="784034062"/>
        <w:rPr>
          <w:rFonts w:eastAsia="Times New Roman"/>
        </w:rPr>
      </w:pPr>
      <w:r>
        <w:rPr>
          <w:rFonts w:ascii="Arial" w:eastAsia="Times New Roman" w:hAnsi="Arial" w:cs="Arial"/>
          <w:color w:val="000000"/>
          <w:sz w:val="20"/>
          <w:szCs w:val="20"/>
        </w:rPr>
        <w:t>None.</w:t>
      </w:r>
    </w:p>
    <w:p w:rsidR="00000000" w:rsidRDefault="00A07857">
      <w:pPr>
        <w:jc w:val="center"/>
        <w:divId w:val="1541438236"/>
        <w:rPr>
          <w:rFonts w:eastAsia="Times New Roman"/>
        </w:rPr>
      </w:pPr>
      <w:r>
        <w:rPr>
          <w:rFonts w:ascii="Arial" w:eastAsia="Times New Roman" w:hAnsi="Arial" w:cs="Arial"/>
          <w:color w:val="000000"/>
          <w:sz w:val="20"/>
          <w:szCs w:val="20"/>
        </w:rPr>
        <w:t>34</w:t>
      </w:r>
    </w:p>
    <w:p w:rsidR="00000000" w:rsidRDefault="00A07857">
      <w:pPr>
        <w:rPr>
          <w:rFonts w:eastAsia="Times New Roman"/>
        </w:rPr>
      </w:pPr>
      <w:r>
        <w:rPr>
          <w:rFonts w:eastAsia="Times New Roman"/>
        </w:rPr>
        <w:pict>
          <v:rect id="_x0000_i1069" style="width:0;height:1.5pt" o:hralign="center" o:hrstd="t" o:hr="t" fillcolor="#a0a0a0" stroked="f"/>
        </w:pict>
      </w:r>
    </w:p>
    <w:p w:rsidR="00000000" w:rsidRDefault="00A07857">
      <w:pPr>
        <w:jc w:val="both"/>
        <w:divId w:val="920287839"/>
        <w:rPr>
          <w:rFonts w:eastAsia="Times New Roman"/>
        </w:rPr>
      </w:pPr>
    </w:p>
    <w:p w:rsidR="00000000" w:rsidRDefault="00A07857">
      <w:pPr>
        <w:divId w:val="1227371983"/>
        <w:rPr>
          <w:rFonts w:eastAsia="Times New Roman"/>
        </w:rPr>
      </w:pPr>
      <w:r>
        <w:rPr>
          <w:rFonts w:ascii="Arial" w:eastAsia="Times New Roman" w:hAnsi="Arial" w:cs="Arial"/>
          <w:b/>
          <w:bCs/>
          <w:color w:val="0046AD"/>
          <w:sz w:val="20"/>
          <w:szCs w:val="20"/>
        </w:rPr>
        <w:t>ITEM 4. MINE SAFETY DISCLOSURES.</w:t>
      </w:r>
    </w:p>
    <w:p w:rsidR="00000000" w:rsidRDefault="00A07857">
      <w:pPr>
        <w:ind w:firstLine="720"/>
        <w:jc w:val="both"/>
        <w:divId w:val="1382704331"/>
        <w:rPr>
          <w:rFonts w:eastAsia="Times New Roman"/>
        </w:rPr>
      </w:pPr>
      <w:r>
        <w:rPr>
          <w:rFonts w:ascii="Arial" w:eastAsia="Times New Roman" w:hAnsi="Arial" w:cs="Arial"/>
          <w:color w:val="000000"/>
          <w:sz w:val="20"/>
          <w:szCs w:val="20"/>
        </w:rPr>
        <w:t>Not applicable.</w:t>
      </w:r>
    </w:p>
    <w:p w:rsidR="00000000" w:rsidRDefault="00A07857">
      <w:pPr>
        <w:divId w:val="1846822369"/>
        <w:rPr>
          <w:rFonts w:eastAsia="Times New Roman"/>
        </w:rPr>
      </w:pPr>
      <w:r>
        <w:rPr>
          <w:rFonts w:ascii="Arial" w:eastAsia="Times New Roman" w:hAnsi="Arial" w:cs="Arial"/>
          <w:b/>
          <w:bCs/>
          <w:color w:val="0046AD"/>
          <w:sz w:val="20"/>
          <w:szCs w:val="20"/>
        </w:rPr>
        <w:t>ITEM 5. OTHER INFORMATION.</w:t>
      </w:r>
    </w:p>
    <w:p w:rsidR="00000000" w:rsidRDefault="00A07857">
      <w:pPr>
        <w:ind w:firstLine="720"/>
        <w:jc w:val="both"/>
        <w:divId w:val="1876960434"/>
        <w:rPr>
          <w:rFonts w:eastAsia="Times New Roman"/>
        </w:rPr>
      </w:pPr>
      <w:r>
        <w:rPr>
          <w:rFonts w:ascii="Arial" w:eastAsia="Times New Roman" w:hAnsi="Arial" w:cs="Arial"/>
          <w:color w:val="000000"/>
          <w:sz w:val="20"/>
          <w:szCs w:val="20"/>
        </w:rPr>
        <w:t xml:space="preserve">Not applicable. </w:t>
      </w:r>
    </w:p>
    <w:p w:rsidR="00000000" w:rsidRDefault="00A07857">
      <w:pPr>
        <w:jc w:val="center"/>
        <w:divId w:val="1510750641"/>
        <w:rPr>
          <w:rFonts w:eastAsia="Times New Roman"/>
        </w:rPr>
      </w:pPr>
      <w:r>
        <w:rPr>
          <w:rFonts w:ascii="Arial" w:eastAsia="Times New Roman" w:hAnsi="Arial" w:cs="Arial"/>
          <w:color w:val="000000"/>
          <w:sz w:val="20"/>
          <w:szCs w:val="20"/>
        </w:rPr>
        <w:t>35</w:t>
      </w:r>
    </w:p>
    <w:p w:rsidR="00000000" w:rsidRDefault="00A07857">
      <w:pPr>
        <w:rPr>
          <w:rFonts w:eastAsia="Times New Roman"/>
        </w:rPr>
      </w:pPr>
      <w:r>
        <w:rPr>
          <w:rFonts w:eastAsia="Times New Roman"/>
        </w:rPr>
        <w:pict>
          <v:rect id="_x0000_i1070" style="width:0;height:1.5pt" o:hralign="center" o:hrstd="t" o:hr="t" fillcolor="#a0a0a0" stroked="f"/>
        </w:pict>
      </w:r>
    </w:p>
    <w:p w:rsidR="00000000" w:rsidRDefault="00A07857">
      <w:pPr>
        <w:jc w:val="both"/>
        <w:divId w:val="663049148"/>
        <w:rPr>
          <w:rFonts w:eastAsia="Times New Roman"/>
        </w:rPr>
      </w:pPr>
    </w:p>
    <w:p w:rsidR="00000000" w:rsidRDefault="00A07857">
      <w:pPr>
        <w:divId w:val="1067413063"/>
        <w:rPr>
          <w:rFonts w:eastAsia="Times New Roman"/>
        </w:rPr>
      </w:pPr>
      <w:r>
        <w:rPr>
          <w:rFonts w:ascii="Arial" w:eastAsia="Times New Roman" w:hAnsi="Arial" w:cs="Arial"/>
          <w:b/>
          <w:bCs/>
          <w:color w:val="0046AD"/>
          <w:sz w:val="20"/>
          <w:szCs w:val="20"/>
        </w:rPr>
        <w:t>ITEM 6. EXHIBITS.</w:t>
      </w:r>
    </w:p>
    <w:p w:rsidR="00000000" w:rsidRDefault="00A07857">
      <w:pPr>
        <w:ind w:firstLine="720"/>
        <w:divId w:val="994069588"/>
        <w:rPr>
          <w:rFonts w:eastAsia="Times New Roman"/>
        </w:rPr>
      </w:pPr>
      <w:r>
        <w:rPr>
          <w:rFonts w:ascii="Arial" w:eastAsia="Times New Roman" w:hAnsi="Arial" w:cs="Arial"/>
          <w:color w:val="000000"/>
          <w:sz w:val="20"/>
          <w:szCs w:val="20"/>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8"/>
        <w:gridCol w:w="801"/>
        <w:gridCol w:w="38"/>
        <w:gridCol w:w="36"/>
        <w:gridCol w:w="36"/>
        <w:gridCol w:w="36"/>
        <w:gridCol w:w="46"/>
        <w:gridCol w:w="7199"/>
        <w:gridCol w:w="36"/>
      </w:tblGrid>
      <w:tr w:rsidR="00000000">
        <w:trPr>
          <w:divId w:val="582447862"/>
        </w:trPr>
        <w:tc>
          <w:tcPr>
            <w:tcW w:w="50" w:type="pct"/>
            <w:vAlign w:val="center"/>
            <w:hideMark/>
          </w:tcPr>
          <w:p w:rsidR="00000000" w:rsidRDefault="00A07857">
            <w:pPr>
              <w:ind w:firstLine="720"/>
              <w:rPr>
                <w:rFonts w:eastAsia="Times New Roman"/>
              </w:rPr>
            </w:pPr>
          </w:p>
        </w:tc>
        <w:tc>
          <w:tcPr>
            <w:tcW w:w="50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2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345"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582447862"/>
        </w:trPr>
        <w:tc>
          <w:tcPr>
            <w:tcW w:w="0" w:type="auto"/>
            <w:gridSpan w:val="3"/>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b/>
                <w:bCs/>
                <w:color w:val="000000"/>
                <w:sz w:val="18"/>
                <w:szCs w:val="18"/>
              </w:rPr>
              <w:t xml:space="preserve">Exhibit No. </w:t>
            </w:r>
          </w:p>
        </w:tc>
        <w:tc>
          <w:tcPr>
            <w:tcW w:w="0" w:type="auto"/>
            <w:gridSpan w:val="3"/>
            <w:tcMar>
              <w:top w:w="0" w:type="dxa"/>
              <w:left w:w="20" w:type="dxa"/>
              <w:bottom w:w="0" w:type="dxa"/>
              <w:right w:w="20" w:type="dxa"/>
            </w:tcMar>
            <w:vAlign w:val="center"/>
            <w:hideMark/>
          </w:tcPr>
          <w:p w:rsidR="00000000" w:rsidRDefault="00A07857">
            <w:pPr>
              <w:jc w:val="center"/>
              <w:rPr>
                <w:rFonts w:eastAsia="Times New Roman"/>
              </w:rPr>
            </w:pPr>
          </w:p>
        </w:tc>
        <w:tc>
          <w:tcPr>
            <w:tcW w:w="0" w:type="auto"/>
            <w:gridSpan w:val="3"/>
            <w:tcMar>
              <w:top w:w="30" w:type="dxa"/>
              <w:left w:w="20" w:type="dxa"/>
              <w:bottom w:w="30" w:type="dxa"/>
              <w:right w:w="20" w:type="dxa"/>
            </w:tcMar>
            <w:hideMark/>
          </w:tcPr>
          <w:p w:rsidR="00000000" w:rsidRDefault="00A07857">
            <w:pPr>
              <w:jc w:val="center"/>
              <w:rPr>
                <w:rFonts w:eastAsia="Times New Roman"/>
              </w:rPr>
            </w:pPr>
            <w:r>
              <w:rPr>
                <w:rFonts w:ascii="Arial" w:eastAsia="Times New Roman" w:hAnsi="Arial" w:cs="Arial"/>
                <w:b/>
                <w:bCs/>
                <w:color w:val="000000"/>
                <w:sz w:val="18"/>
                <w:szCs w:val="18"/>
              </w:rPr>
              <w:t>Exhibit Description</w:t>
            </w:r>
          </w:p>
        </w:tc>
      </w:tr>
      <w:tr w:rsidR="00000000">
        <w:trPr>
          <w:divId w:val="582447862"/>
        </w:trPr>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31.1†</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A07857">
            <w:pPr>
              <w:jc w:val="both"/>
              <w:rPr>
                <w:rFonts w:eastAsia="Times New Roman"/>
              </w:rPr>
            </w:pPr>
            <w:hyperlink r:id="rId12" w:history="1">
              <w:r>
                <w:rPr>
                  <w:rStyle w:val="a3"/>
                  <w:rFonts w:ascii="Arial" w:eastAsia="Times New Roman" w:hAnsi="Arial" w:cs="Arial"/>
                  <w:sz w:val="18"/>
                  <w:szCs w:val="18"/>
                </w:rPr>
                <w:t>Certification of Principal Executive Officer pursuant to Section 302 of the Sarbanes-Oxley Act of 2002</w:t>
              </w:r>
            </w:hyperlink>
          </w:p>
        </w:tc>
      </w:tr>
      <w:tr w:rsidR="00000000">
        <w:trPr>
          <w:divId w:val="582447862"/>
        </w:trPr>
        <w:tc>
          <w:tcPr>
            <w:tcW w:w="0" w:type="auto"/>
            <w:gridSpan w:val="3"/>
            <w:shd w:val="clear" w:color="auto" w:fill="FFFFFF"/>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31.2†</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07857">
            <w:pPr>
              <w:jc w:val="both"/>
              <w:rPr>
                <w:rFonts w:eastAsia="Times New Roman"/>
              </w:rPr>
            </w:pPr>
            <w:hyperlink r:id="rId13" w:history="1">
              <w:r>
                <w:rPr>
                  <w:rStyle w:val="a3"/>
                  <w:rFonts w:ascii="Arial" w:eastAsia="Times New Roman" w:hAnsi="Arial" w:cs="Arial"/>
                  <w:sz w:val="18"/>
                  <w:szCs w:val="18"/>
                </w:rPr>
                <w:t>Certification of Principal Financial Officer pursuant to Section 302 of the Sarbanes-Oxley Act of 2002</w:t>
              </w:r>
            </w:hyperlink>
          </w:p>
        </w:tc>
      </w:tr>
      <w:tr w:rsidR="00000000">
        <w:trPr>
          <w:divId w:val="582447862"/>
        </w:trPr>
        <w:tc>
          <w:tcPr>
            <w:tcW w:w="0" w:type="auto"/>
            <w:gridSpan w:val="3"/>
            <w:shd w:val="clear" w:color="auto" w:fill="DCE2EF"/>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32‡</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A07857">
            <w:pPr>
              <w:jc w:val="both"/>
              <w:rPr>
                <w:rFonts w:eastAsia="Times New Roman"/>
              </w:rPr>
            </w:pPr>
            <w:hyperlink r:id="rId14" w:history="1">
              <w:r>
                <w:rPr>
                  <w:rStyle w:val="a3"/>
                  <w:rFonts w:ascii="Arial" w:eastAsia="Times New Roman" w:hAnsi="Arial" w:cs="Arial"/>
                  <w:sz w:val="18"/>
                  <w:szCs w:val="18"/>
                </w:rPr>
                <w:t>Certification pursuant to 18 U.S.C. Section 1350, as adopted pursuant to Section 906 of the Sarbanes-Oxley Act of 2002</w:t>
              </w:r>
            </w:hyperlink>
          </w:p>
        </w:tc>
      </w:tr>
      <w:tr w:rsidR="00000000">
        <w:trPr>
          <w:divId w:val="582447862"/>
        </w:trPr>
        <w:tc>
          <w:tcPr>
            <w:tcW w:w="0" w:type="auto"/>
            <w:gridSpan w:val="3"/>
            <w:shd w:val="clear" w:color="auto" w:fill="FFFFFF"/>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101.INS†</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07857">
            <w:pPr>
              <w:jc w:val="both"/>
              <w:rPr>
                <w:rFonts w:eastAsia="Times New Roman"/>
              </w:rPr>
            </w:pPr>
            <w:r>
              <w:rPr>
                <w:rFonts w:ascii="Arial" w:eastAsia="Times New Roman" w:hAnsi="Arial" w:cs="Arial"/>
                <w:color w:val="000000"/>
                <w:sz w:val="18"/>
                <w:szCs w:val="18"/>
              </w:rPr>
              <w:t xml:space="preserve">Inline XBRL Instance Document (the instance document does not appear in the Interactive Data File because its XBRL tags </w:t>
            </w:r>
            <w:r>
              <w:rPr>
                <w:rFonts w:ascii="Arial" w:eastAsia="Times New Roman" w:hAnsi="Arial" w:cs="Arial"/>
                <w:color w:val="000000"/>
                <w:sz w:val="18"/>
                <w:szCs w:val="18"/>
              </w:rPr>
              <w:t>are embedded within the Inline XBRL document)</w:t>
            </w:r>
          </w:p>
        </w:tc>
      </w:tr>
      <w:tr w:rsidR="00000000">
        <w:trPr>
          <w:divId w:val="582447862"/>
        </w:trPr>
        <w:tc>
          <w:tcPr>
            <w:tcW w:w="0" w:type="auto"/>
            <w:gridSpan w:val="3"/>
            <w:shd w:val="clear" w:color="auto" w:fill="DCE2EF"/>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101.SCH†</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A07857">
            <w:pPr>
              <w:jc w:val="both"/>
              <w:rPr>
                <w:rFonts w:eastAsia="Times New Roman"/>
              </w:rPr>
            </w:pPr>
            <w:r>
              <w:rPr>
                <w:rFonts w:ascii="Arial" w:eastAsia="Times New Roman" w:hAnsi="Arial" w:cs="Arial"/>
                <w:color w:val="000000"/>
                <w:sz w:val="18"/>
                <w:szCs w:val="18"/>
              </w:rPr>
              <w:t>Inline XBRL Taxonomy Extension Schema Document</w:t>
            </w:r>
          </w:p>
        </w:tc>
      </w:tr>
      <w:tr w:rsidR="00000000">
        <w:trPr>
          <w:divId w:val="582447862"/>
        </w:trPr>
        <w:tc>
          <w:tcPr>
            <w:tcW w:w="0" w:type="auto"/>
            <w:gridSpan w:val="3"/>
            <w:shd w:val="clear" w:color="auto" w:fill="FFFFFF"/>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101.CAL†</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07857">
            <w:pPr>
              <w:jc w:val="both"/>
              <w:rPr>
                <w:rFonts w:eastAsia="Times New Roman"/>
              </w:rPr>
            </w:pPr>
            <w:r>
              <w:rPr>
                <w:rFonts w:ascii="Arial" w:eastAsia="Times New Roman" w:hAnsi="Arial" w:cs="Arial"/>
                <w:color w:val="000000"/>
                <w:sz w:val="18"/>
                <w:szCs w:val="18"/>
              </w:rPr>
              <w:t>Inline XBRL Taxonomy Calculation Linkbase Document</w:t>
            </w:r>
          </w:p>
        </w:tc>
      </w:tr>
      <w:tr w:rsidR="00000000">
        <w:trPr>
          <w:divId w:val="582447862"/>
        </w:trPr>
        <w:tc>
          <w:tcPr>
            <w:tcW w:w="0" w:type="auto"/>
            <w:gridSpan w:val="3"/>
            <w:shd w:val="clear" w:color="auto" w:fill="DCE2EF"/>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101.DEF†</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A07857">
            <w:pPr>
              <w:jc w:val="both"/>
              <w:rPr>
                <w:rFonts w:eastAsia="Times New Roman"/>
              </w:rPr>
            </w:pPr>
            <w:r>
              <w:rPr>
                <w:rFonts w:ascii="Arial" w:eastAsia="Times New Roman" w:hAnsi="Arial" w:cs="Arial"/>
                <w:color w:val="000000"/>
                <w:sz w:val="18"/>
                <w:szCs w:val="18"/>
              </w:rPr>
              <w:t>Inline XBRL Taxonomy Extension Definition Linkbase Document</w:t>
            </w:r>
          </w:p>
        </w:tc>
      </w:tr>
      <w:tr w:rsidR="00000000">
        <w:trPr>
          <w:divId w:val="582447862"/>
        </w:trPr>
        <w:tc>
          <w:tcPr>
            <w:tcW w:w="0" w:type="auto"/>
            <w:gridSpan w:val="3"/>
            <w:shd w:val="clear" w:color="auto" w:fill="FFFFFF"/>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101.LAB†</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07857">
            <w:pPr>
              <w:jc w:val="both"/>
              <w:rPr>
                <w:rFonts w:eastAsia="Times New Roman"/>
              </w:rPr>
            </w:pPr>
            <w:r>
              <w:rPr>
                <w:rFonts w:ascii="Arial" w:eastAsia="Times New Roman" w:hAnsi="Arial" w:cs="Arial"/>
                <w:color w:val="000000"/>
                <w:sz w:val="18"/>
                <w:szCs w:val="18"/>
              </w:rPr>
              <w:t>Inline XBRL Taxonomy Label Linkbase Document</w:t>
            </w:r>
          </w:p>
        </w:tc>
      </w:tr>
      <w:tr w:rsidR="00000000">
        <w:trPr>
          <w:divId w:val="582447862"/>
        </w:trPr>
        <w:tc>
          <w:tcPr>
            <w:tcW w:w="0" w:type="auto"/>
            <w:gridSpan w:val="3"/>
            <w:shd w:val="clear" w:color="auto" w:fill="DCE2EF"/>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101.PRE†</w:t>
            </w:r>
          </w:p>
        </w:tc>
        <w:tc>
          <w:tcPr>
            <w:tcW w:w="0" w:type="auto"/>
            <w:gridSpan w:val="3"/>
            <w:shd w:val="clear" w:color="auto" w:fill="DCE2E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A07857">
            <w:pPr>
              <w:jc w:val="both"/>
              <w:rPr>
                <w:rFonts w:eastAsia="Times New Roman"/>
              </w:rPr>
            </w:pPr>
            <w:r>
              <w:rPr>
                <w:rFonts w:ascii="Arial" w:eastAsia="Times New Roman" w:hAnsi="Arial" w:cs="Arial"/>
                <w:color w:val="000000"/>
                <w:sz w:val="18"/>
                <w:szCs w:val="18"/>
              </w:rPr>
              <w:t>Inline XBRL Presentation Linkbase Document</w:t>
            </w:r>
          </w:p>
        </w:tc>
      </w:tr>
      <w:tr w:rsidR="00000000">
        <w:trPr>
          <w:divId w:val="582447862"/>
        </w:trPr>
        <w:tc>
          <w:tcPr>
            <w:tcW w:w="0" w:type="auto"/>
            <w:gridSpan w:val="3"/>
            <w:shd w:val="clear" w:color="auto" w:fill="FFFFFF"/>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A07857">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A07857">
            <w:pPr>
              <w:jc w:val="both"/>
              <w:rPr>
                <w:rFonts w:eastAsia="Times New Roman"/>
              </w:rPr>
            </w:pPr>
            <w:r>
              <w:rPr>
                <w:rFonts w:ascii="Arial" w:eastAsia="Times New Roman" w:hAnsi="Arial" w:cs="Arial"/>
                <w:color w:val="000000"/>
                <w:sz w:val="18"/>
                <w:szCs w:val="18"/>
              </w:rPr>
              <w:t>Cover Page Interactive Data File (formatted as Inline XBRL and contained in Exhibit 101)</w:t>
            </w: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81"/>
        <w:gridCol w:w="144"/>
        <w:gridCol w:w="144"/>
        <w:gridCol w:w="7667"/>
        <w:gridCol w:w="144"/>
      </w:tblGrid>
      <w:tr w:rsidR="00000000">
        <w:trPr>
          <w:jc w:val="center"/>
        </w:trPr>
        <w:tc>
          <w:tcPr>
            <w:tcW w:w="50" w:type="pct"/>
            <w:vAlign w:val="center"/>
            <w:hideMark/>
          </w:tcPr>
          <w:p w:rsidR="00000000" w:rsidRDefault="00A07857">
            <w:pPr>
              <w:rPr>
                <w:rFonts w:eastAsia="Times New Roman"/>
              </w:rPr>
            </w:pPr>
          </w:p>
        </w:tc>
        <w:tc>
          <w:tcPr>
            <w:tcW w:w="232"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4657"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jc w:val="center"/>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jc w:val="center"/>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Indicates filed herewith</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Indicates furnished herewith</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r>
      <w:tr w:rsidR="00000000">
        <w:trPr>
          <w:jc w:val="center"/>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r w:rsidR="00000000">
        <w:trPr>
          <w:jc w:val="center"/>
        </w:trPr>
        <w:tc>
          <w:tcPr>
            <w:tcW w:w="0" w:type="auto"/>
            <w:gridSpan w:val="3"/>
            <w:vAlign w:val="center"/>
            <w:hideMark/>
          </w:tcPr>
          <w:p w:rsidR="00000000" w:rsidRDefault="00A07857">
            <w:pPr>
              <w:rPr>
                <w:rFonts w:eastAsia="Times New Roman"/>
                <w:sz w:val="20"/>
                <w:szCs w:val="20"/>
              </w:rPr>
            </w:pPr>
          </w:p>
        </w:tc>
        <w:tc>
          <w:tcPr>
            <w:tcW w:w="0" w:type="auto"/>
            <w:gridSpan w:val="3"/>
            <w:vAlign w:val="center"/>
            <w:hideMark/>
          </w:tcPr>
          <w:p w:rsidR="00000000" w:rsidRDefault="00A07857">
            <w:pPr>
              <w:rPr>
                <w:rFonts w:eastAsia="Times New Roman"/>
                <w:sz w:val="20"/>
                <w:szCs w:val="20"/>
              </w:rPr>
            </w:pPr>
          </w:p>
        </w:tc>
      </w:tr>
    </w:tbl>
    <w:p w:rsidR="00000000" w:rsidRDefault="00A07857">
      <w:pPr>
        <w:jc w:val="center"/>
        <w:divId w:val="1883398160"/>
        <w:rPr>
          <w:rFonts w:eastAsia="Times New Roman"/>
        </w:rPr>
      </w:pPr>
      <w:r>
        <w:rPr>
          <w:rFonts w:ascii="Arial" w:eastAsia="Times New Roman" w:hAnsi="Arial" w:cs="Arial"/>
          <w:color w:val="000000"/>
          <w:sz w:val="20"/>
          <w:szCs w:val="20"/>
        </w:rPr>
        <w:t>36</w:t>
      </w:r>
    </w:p>
    <w:p w:rsidR="00000000" w:rsidRDefault="00A07857">
      <w:pPr>
        <w:rPr>
          <w:rFonts w:eastAsia="Times New Roman"/>
        </w:rPr>
      </w:pPr>
      <w:r>
        <w:rPr>
          <w:rFonts w:eastAsia="Times New Roman"/>
        </w:rPr>
        <w:pict>
          <v:rect id="_x0000_i1071" style="width:0;height:1.5pt" o:hralign="center" o:hrstd="t" o:hr="t" fillcolor="#a0a0a0" stroked="f"/>
        </w:pict>
      </w:r>
    </w:p>
    <w:p w:rsidR="00000000" w:rsidRDefault="00A07857">
      <w:pPr>
        <w:jc w:val="both"/>
        <w:divId w:val="1419250825"/>
        <w:rPr>
          <w:rFonts w:eastAsia="Times New Roman"/>
        </w:rPr>
      </w:pPr>
    </w:p>
    <w:p w:rsidR="00000000" w:rsidRDefault="00A07857">
      <w:pPr>
        <w:jc w:val="center"/>
        <w:divId w:val="1784810693"/>
        <w:rPr>
          <w:rFonts w:eastAsia="Times New Roman"/>
        </w:rPr>
      </w:pPr>
      <w:r>
        <w:rPr>
          <w:rFonts w:ascii="Arial" w:eastAsia="Times New Roman" w:hAnsi="Arial" w:cs="Arial"/>
          <w:b/>
          <w:bCs/>
          <w:color w:val="000000"/>
          <w:sz w:val="20"/>
          <w:szCs w:val="20"/>
        </w:rPr>
        <w:t>SIGNATURES</w:t>
      </w:r>
    </w:p>
    <w:p w:rsidR="00000000" w:rsidRDefault="00A07857">
      <w:pPr>
        <w:jc w:val="both"/>
        <w:divId w:val="1703247622"/>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9"/>
        <w:gridCol w:w="36"/>
        <w:gridCol w:w="70"/>
        <w:gridCol w:w="3452"/>
        <w:gridCol w:w="36"/>
      </w:tblGrid>
      <w:tr w:rsidR="00000000">
        <w:trPr>
          <w:divId w:val="1896774585"/>
          <w:jc w:val="center"/>
        </w:trPr>
        <w:tc>
          <w:tcPr>
            <w:tcW w:w="50" w:type="pct"/>
            <w:vAlign w:val="center"/>
            <w:hideMark/>
          </w:tcPr>
          <w:p w:rsidR="00000000" w:rsidRDefault="00A07857">
            <w:pPr>
              <w:jc w:val="both"/>
              <w:rPr>
                <w:rFonts w:eastAsia="Times New Roman"/>
              </w:rPr>
            </w:pPr>
          </w:p>
        </w:tc>
        <w:tc>
          <w:tcPr>
            <w:tcW w:w="1290"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145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208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896774585"/>
          <w:jc w:val="center"/>
        </w:trPr>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rPr>
              <w:t>ABM Industries Incorporated</w:t>
            </w:r>
          </w:p>
        </w:tc>
      </w:tr>
    </w:tbl>
    <w:p w:rsidR="00000000" w:rsidRDefault="00A07857">
      <w:pPr>
        <w:jc w:val="both"/>
        <w:divId w:val="53774530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trPr>
          <w:divId w:val="337848708"/>
        </w:trPr>
        <w:tc>
          <w:tcPr>
            <w:tcW w:w="50" w:type="pct"/>
            <w:vAlign w:val="center"/>
            <w:hideMark/>
          </w:tcPr>
          <w:p w:rsidR="00000000" w:rsidRDefault="00A07857">
            <w:pPr>
              <w:jc w:val="both"/>
              <w:rPr>
                <w:rFonts w:eastAsia="Times New Roman"/>
              </w:rPr>
            </w:pPr>
          </w:p>
        </w:tc>
        <w:tc>
          <w:tcPr>
            <w:tcW w:w="1290"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145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208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337848708"/>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u w:val="single"/>
              </w:rPr>
              <w:t>March 10, 2021</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u w:val="single"/>
              </w:rPr>
              <w:t>/s/ Earl R. Ellis</w:t>
            </w:r>
          </w:p>
        </w:tc>
      </w:tr>
      <w:tr w:rsidR="00000000">
        <w:trPr>
          <w:divId w:val="337848708"/>
        </w:trPr>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Earl R. Ellis</w:t>
            </w:r>
            <w:r>
              <w:rPr>
                <w:rFonts w:ascii="Arial" w:eastAsia="Times New Roman" w:hAnsi="Arial" w:cs="Arial"/>
                <w:color w:val="000000"/>
                <w:sz w:val="18"/>
                <w:szCs w:val="18"/>
              </w:rPr>
              <w:br/>
              <w:t>Executive Vice President and Chief Financial Officer</w:t>
            </w:r>
            <w:r>
              <w:rPr>
                <w:rFonts w:ascii="Arial" w:eastAsia="Times New Roman" w:hAnsi="Arial" w:cs="Arial"/>
                <w:color w:val="000000"/>
                <w:sz w:val="18"/>
                <w:szCs w:val="18"/>
              </w:rPr>
              <w:br/>
              <w:t>(Duly Authorized Officer)</w:t>
            </w:r>
          </w:p>
        </w:tc>
      </w:tr>
    </w:tbl>
    <w:p w:rsidR="00000000" w:rsidRDefault="00A07857">
      <w:pPr>
        <w:jc w:val="both"/>
        <w:divId w:val="85453826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trPr>
          <w:divId w:val="1205412866"/>
        </w:trPr>
        <w:tc>
          <w:tcPr>
            <w:tcW w:w="50" w:type="pct"/>
            <w:vAlign w:val="center"/>
            <w:hideMark/>
          </w:tcPr>
          <w:p w:rsidR="00000000" w:rsidRDefault="00A07857">
            <w:pPr>
              <w:jc w:val="both"/>
              <w:rPr>
                <w:rFonts w:eastAsia="Times New Roman"/>
              </w:rPr>
            </w:pPr>
          </w:p>
        </w:tc>
        <w:tc>
          <w:tcPr>
            <w:tcW w:w="1290"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1458"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c>
          <w:tcPr>
            <w:tcW w:w="50" w:type="pct"/>
            <w:vAlign w:val="center"/>
            <w:hideMark/>
          </w:tcPr>
          <w:p w:rsidR="00000000" w:rsidRDefault="00A07857">
            <w:pPr>
              <w:rPr>
                <w:rFonts w:eastAsia="Times New Roman"/>
                <w:sz w:val="20"/>
                <w:szCs w:val="20"/>
              </w:rPr>
            </w:pPr>
          </w:p>
        </w:tc>
        <w:tc>
          <w:tcPr>
            <w:tcW w:w="2086" w:type="pct"/>
            <w:vAlign w:val="center"/>
            <w:hideMark/>
          </w:tcPr>
          <w:p w:rsidR="00000000" w:rsidRDefault="00A07857">
            <w:pPr>
              <w:rPr>
                <w:rFonts w:eastAsia="Times New Roman"/>
                <w:sz w:val="20"/>
                <w:szCs w:val="20"/>
              </w:rPr>
            </w:pPr>
          </w:p>
        </w:tc>
        <w:tc>
          <w:tcPr>
            <w:tcW w:w="5" w:type="pct"/>
            <w:vAlign w:val="center"/>
            <w:hideMark/>
          </w:tcPr>
          <w:p w:rsidR="00000000" w:rsidRDefault="00A07857">
            <w:pPr>
              <w:rPr>
                <w:rFonts w:eastAsia="Times New Roman"/>
                <w:sz w:val="20"/>
                <w:szCs w:val="20"/>
              </w:rPr>
            </w:pPr>
          </w:p>
        </w:tc>
      </w:tr>
      <w:tr w:rsidR="00000000">
        <w:trPr>
          <w:divId w:val="1205412866"/>
        </w:trPr>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u w:val="single"/>
              </w:rPr>
              <w:t>March 10, 2021</w:t>
            </w:r>
          </w:p>
        </w:tc>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30" w:type="dxa"/>
              <w:left w:w="20" w:type="dxa"/>
              <w:bottom w:w="30" w:type="dxa"/>
              <w:right w:w="20" w:type="dxa"/>
            </w:tcMar>
            <w:vAlign w:val="bottom"/>
            <w:hideMark/>
          </w:tcPr>
          <w:p w:rsidR="00000000" w:rsidRDefault="00A07857">
            <w:pPr>
              <w:rPr>
                <w:rFonts w:eastAsia="Times New Roman"/>
              </w:rPr>
            </w:pPr>
            <w:r>
              <w:rPr>
                <w:rFonts w:ascii="Arial" w:eastAsia="Times New Roman" w:hAnsi="Arial" w:cs="Arial"/>
                <w:color w:val="000000"/>
                <w:sz w:val="18"/>
                <w:szCs w:val="18"/>
                <w:u w:val="single"/>
              </w:rPr>
              <w:t>/s/ Dean A. Chin</w:t>
            </w:r>
          </w:p>
        </w:tc>
      </w:tr>
      <w:tr w:rsidR="00000000">
        <w:trPr>
          <w:divId w:val="1205412866"/>
        </w:trPr>
        <w:tc>
          <w:tcPr>
            <w:tcW w:w="0" w:type="auto"/>
            <w:gridSpan w:val="3"/>
            <w:tcMar>
              <w:top w:w="0" w:type="dxa"/>
              <w:left w:w="20" w:type="dxa"/>
              <w:bottom w:w="0" w:type="dxa"/>
              <w:right w:w="20" w:type="dxa"/>
            </w:tcMar>
            <w:vAlign w:val="center"/>
            <w:hideMark/>
          </w:tcPr>
          <w:p w:rsidR="00000000" w:rsidRDefault="00A07857">
            <w:pPr>
              <w:rPr>
                <w:rFonts w:eastAsia="Times New Roman"/>
              </w:rPr>
            </w:pPr>
          </w:p>
        </w:tc>
        <w:tc>
          <w:tcPr>
            <w:tcW w:w="0" w:type="auto"/>
            <w:gridSpan w:val="3"/>
            <w:tcMar>
              <w:top w:w="0" w:type="dxa"/>
              <w:left w:w="20" w:type="dxa"/>
              <w:bottom w:w="0" w:type="dxa"/>
              <w:right w:w="20" w:type="dxa"/>
            </w:tcMar>
            <w:vAlign w:val="center"/>
            <w:hideMark/>
          </w:tcPr>
          <w:p w:rsidR="00000000" w:rsidRDefault="00A07857">
            <w:pPr>
              <w:rPr>
                <w:rFonts w:eastAsia="Times New Roman"/>
                <w:sz w:val="20"/>
                <w:szCs w:val="20"/>
              </w:rPr>
            </w:pPr>
          </w:p>
        </w:tc>
        <w:tc>
          <w:tcPr>
            <w:tcW w:w="0" w:type="auto"/>
            <w:gridSpan w:val="3"/>
            <w:tcMar>
              <w:top w:w="30" w:type="dxa"/>
              <w:left w:w="20" w:type="dxa"/>
              <w:bottom w:w="30" w:type="dxa"/>
              <w:right w:w="20" w:type="dxa"/>
            </w:tcMar>
            <w:hideMark/>
          </w:tcPr>
          <w:p w:rsidR="00000000" w:rsidRDefault="00A07857">
            <w:pPr>
              <w:rPr>
                <w:rFonts w:eastAsia="Times New Roman"/>
              </w:rPr>
            </w:pPr>
            <w:r>
              <w:rPr>
                <w:rFonts w:ascii="Arial" w:eastAsia="Times New Roman" w:hAnsi="Arial" w:cs="Arial"/>
                <w:color w:val="000000"/>
                <w:sz w:val="18"/>
                <w:szCs w:val="18"/>
              </w:rPr>
              <w:t>Dean A. Chin</w:t>
            </w:r>
            <w:r>
              <w:rPr>
                <w:rFonts w:ascii="Arial" w:eastAsia="Times New Roman" w:hAnsi="Arial" w:cs="Arial"/>
                <w:color w:val="000000"/>
                <w:sz w:val="18"/>
                <w:szCs w:val="18"/>
              </w:rPr>
              <w:br/>
            </w:r>
            <w:r>
              <w:rPr>
                <w:rFonts w:ascii="Arial" w:eastAsia="Times New Roman" w:hAnsi="Arial" w:cs="Arial"/>
                <w:color w:val="000000"/>
                <w:sz w:val="18"/>
                <w:szCs w:val="18"/>
              </w:rPr>
              <w:t>Senior Vice President, Controller and</w:t>
            </w:r>
            <w:r>
              <w:rPr>
                <w:rFonts w:ascii="Arial" w:eastAsia="Times New Roman" w:hAnsi="Arial" w:cs="Arial"/>
                <w:color w:val="000000"/>
                <w:sz w:val="18"/>
                <w:szCs w:val="18"/>
              </w:rPr>
              <w:br/>
              <w:t xml:space="preserve">Chief Accounting Officer </w:t>
            </w:r>
            <w:r>
              <w:rPr>
                <w:rFonts w:ascii="Arial" w:eastAsia="Times New Roman" w:hAnsi="Arial" w:cs="Arial"/>
                <w:color w:val="000000"/>
                <w:sz w:val="18"/>
                <w:szCs w:val="18"/>
              </w:rPr>
              <w:br/>
              <w:t>(Principal Accounting Officer)</w:t>
            </w:r>
          </w:p>
        </w:tc>
      </w:tr>
    </w:tbl>
    <w:p w:rsidR="00A07857" w:rsidRDefault="00A07857">
      <w:pPr>
        <w:jc w:val="center"/>
        <w:divId w:val="2091080689"/>
        <w:rPr>
          <w:rFonts w:eastAsia="Times New Roman"/>
        </w:rPr>
      </w:pPr>
      <w:r>
        <w:rPr>
          <w:rFonts w:ascii="Arial" w:eastAsia="Times New Roman" w:hAnsi="Arial" w:cs="Arial"/>
          <w:color w:val="000000"/>
          <w:sz w:val="20"/>
          <w:szCs w:val="20"/>
        </w:rPr>
        <w:t>37</w:t>
      </w:r>
    </w:p>
    <w:sectPr w:rsidR="00A0785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07857"/>
    <w:rsid w:val="00A07857"/>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www.xbrl.org/2003/iso4217"/>
  <w:attachedSchema w:val="http://xbrl.sec.gov/dei/2020-01-31"/>
  <w:attachedSchema w:val="http://www.abm.com/20210131"/>
  <w:attachedSchema w:val="http://www.w3.org/1999/xlink"/>
  <w:attachedSchema w:val="http://www.sec.gov/inlineXBRL/transformation/2015-08-31"/>
  <w:attachedSchema w:val="http://www.xbrl.org/inlineXBRL/transformation/2015-02-26"/>
  <w:attachedSchema w:val="http://fasb.org/srt/2020-01-31"/>
  <w:attachedSchema w:val="http://fasb.org/us-gaap/2020-01-31"/>
  <w:attachedSchema w:val="http://xbrl.org/2006/xbrldi"/>
  <w:attachedSchema w:val="http://www.xbrl.org/2003/linkbase"/>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412">
      <w:marLeft w:val="0"/>
      <w:marRight w:val="0"/>
      <w:marTop w:val="180"/>
      <w:marBottom w:val="0"/>
      <w:divBdr>
        <w:top w:val="none" w:sz="0" w:space="0" w:color="auto"/>
        <w:left w:val="none" w:sz="0" w:space="0" w:color="auto"/>
        <w:bottom w:val="none" w:sz="0" w:space="0" w:color="auto"/>
        <w:right w:val="none" w:sz="0" w:space="0" w:color="auto"/>
      </w:divBdr>
    </w:div>
    <w:div w:id="9573102">
      <w:marLeft w:val="0"/>
      <w:marRight w:val="0"/>
      <w:marTop w:val="0"/>
      <w:marBottom w:val="0"/>
      <w:divBdr>
        <w:top w:val="none" w:sz="0" w:space="0" w:color="auto"/>
        <w:left w:val="none" w:sz="0" w:space="0" w:color="auto"/>
        <w:bottom w:val="none" w:sz="0" w:space="0" w:color="auto"/>
        <w:right w:val="none" w:sz="0" w:space="0" w:color="auto"/>
      </w:divBdr>
      <w:divsChild>
        <w:div w:id="1240402057">
          <w:marLeft w:val="0"/>
          <w:marRight w:val="0"/>
          <w:marTop w:val="0"/>
          <w:marBottom w:val="0"/>
          <w:divBdr>
            <w:top w:val="none" w:sz="0" w:space="0" w:color="auto"/>
            <w:left w:val="none" w:sz="0" w:space="0" w:color="auto"/>
            <w:bottom w:val="none" w:sz="0" w:space="0" w:color="auto"/>
            <w:right w:val="none" w:sz="0" w:space="0" w:color="auto"/>
          </w:divBdr>
          <w:divsChild>
            <w:div w:id="20497185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273431">
      <w:marLeft w:val="0"/>
      <w:marRight w:val="0"/>
      <w:marTop w:val="180"/>
      <w:marBottom w:val="0"/>
      <w:divBdr>
        <w:top w:val="none" w:sz="0" w:space="0" w:color="auto"/>
        <w:left w:val="none" w:sz="0" w:space="0" w:color="auto"/>
        <w:bottom w:val="none" w:sz="0" w:space="0" w:color="auto"/>
        <w:right w:val="none" w:sz="0" w:space="0" w:color="auto"/>
      </w:divBdr>
    </w:div>
    <w:div w:id="12608019">
      <w:marLeft w:val="0"/>
      <w:marRight w:val="0"/>
      <w:marTop w:val="0"/>
      <w:marBottom w:val="60"/>
      <w:divBdr>
        <w:top w:val="none" w:sz="0" w:space="0" w:color="auto"/>
        <w:left w:val="none" w:sz="0" w:space="0" w:color="auto"/>
        <w:bottom w:val="none" w:sz="0" w:space="0" w:color="auto"/>
        <w:right w:val="none" w:sz="0" w:space="0" w:color="auto"/>
      </w:divBdr>
    </w:div>
    <w:div w:id="20250792">
      <w:marLeft w:val="0"/>
      <w:marRight w:val="0"/>
      <w:marTop w:val="180"/>
      <w:marBottom w:val="0"/>
      <w:divBdr>
        <w:top w:val="none" w:sz="0" w:space="0" w:color="auto"/>
        <w:left w:val="none" w:sz="0" w:space="0" w:color="auto"/>
        <w:bottom w:val="none" w:sz="0" w:space="0" w:color="auto"/>
        <w:right w:val="none" w:sz="0" w:space="0" w:color="auto"/>
      </w:divBdr>
    </w:div>
    <w:div w:id="23603261">
      <w:marLeft w:val="0"/>
      <w:marRight w:val="0"/>
      <w:marTop w:val="180"/>
      <w:marBottom w:val="0"/>
      <w:divBdr>
        <w:top w:val="none" w:sz="0" w:space="0" w:color="auto"/>
        <w:left w:val="none" w:sz="0" w:space="0" w:color="auto"/>
        <w:bottom w:val="none" w:sz="0" w:space="0" w:color="auto"/>
        <w:right w:val="none" w:sz="0" w:space="0" w:color="auto"/>
      </w:divBdr>
    </w:div>
    <w:div w:id="26180033">
      <w:marLeft w:val="0"/>
      <w:marRight w:val="0"/>
      <w:marTop w:val="0"/>
      <w:marBottom w:val="0"/>
      <w:divBdr>
        <w:top w:val="none" w:sz="0" w:space="0" w:color="auto"/>
        <w:left w:val="none" w:sz="0" w:space="0" w:color="auto"/>
        <w:bottom w:val="none" w:sz="0" w:space="0" w:color="auto"/>
        <w:right w:val="none" w:sz="0" w:space="0" w:color="auto"/>
      </w:divBdr>
      <w:divsChild>
        <w:div w:id="1017199253">
          <w:marLeft w:val="0"/>
          <w:marRight w:val="0"/>
          <w:marTop w:val="0"/>
          <w:marBottom w:val="0"/>
          <w:divBdr>
            <w:top w:val="none" w:sz="0" w:space="0" w:color="auto"/>
            <w:left w:val="none" w:sz="0" w:space="0" w:color="auto"/>
            <w:bottom w:val="none" w:sz="0" w:space="0" w:color="auto"/>
            <w:right w:val="none" w:sz="0" w:space="0" w:color="auto"/>
          </w:divBdr>
          <w:divsChild>
            <w:div w:id="11219207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0152046">
      <w:marLeft w:val="0"/>
      <w:marRight w:val="0"/>
      <w:marTop w:val="180"/>
      <w:marBottom w:val="0"/>
      <w:divBdr>
        <w:top w:val="none" w:sz="0" w:space="0" w:color="auto"/>
        <w:left w:val="none" w:sz="0" w:space="0" w:color="auto"/>
        <w:bottom w:val="none" w:sz="0" w:space="0" w:color="auto"/>
        <w:right w:val="none" w:sz="0" w:space="0" w:color="auto"/>
      </w:divBdr>
    </w:div>
    <w:div w:id="39911970">
      <w:marLeft w:val="0"/>
      <w:marRight w:val="0"/>
      <w:marTop w:val="180"/>
      <w:marBottom w:val="0"/>
      <w:divBdr>
        <w:top w:val="none" w:sz="0" w:space="0" w:color="auto"/>
        <w:left w:val="none" w:sz="0" w:space="0" w:color="auto"/>
        <w:bottom w:val="none" w:sz="0" w:space="0" w:color="auto"/>
        <w:right w:val="none" w:sz="0" w:space="0" w:color="auto"/>
      </w:divBdr>
    </w:div>
    <w:div w:id="45031722">
      <w:marLeft w:val="0"/>
      <w:marRight w:val="0"/>
      <w:marTop w:val="180"/>
      <w:marBottom w:val="0"/>
      <w:divBdr>
        <w:top w:val="none" w:sz="0" w:space="0" w:color="auto"/>
        <w:left w:val="none" w:sz="0" w:space="0" w:color="auto"/>
        <w:bottom w:val="none" w:sz="0" w:space="0" w:color="auto"/>
        <w:right w:val="none" w:sz="0" w:space="0" w:color="auto"/>
      </w:divBdr>
    </w:div>
    <w:div w:id="49235233">
      <w:marLeft w:val="0"/>
      <w:marRight w:val="0"/>
      <w:marTop w:val="180"/>
      <w:marBottom w:val="0"/>
      <w:divBdr>
        <w:top w:val="none" w:sz="0" w:space="0" w:color="auto"/>
        <w:left w:val="none" w:sz="0" w:space="0" w:color="auto"/>
        <w:bottom w:val="none" w:sz="0" w:space="0" w:color="auto"/>
        <w:right w:val="none" w:sz="0" w:space="0" w:color="auto"/>
      </w:divBdr>
    </w:div>
    <w:div w:id="52124857">
      <w:marLeft w:val="0"/>
      <w:marRight w:val="0"/>
      <w:marTop w:val="240"/>
      <w:marBottom w:val="0"/>
      <w:divBdr>
        <w:top w:val="none" w:sz="0" w:space="0" w:color="auto"/>
        <w:left w:val="none" w:sz="0" w:space="0" w:color="auto"/>
        <w:bottom w:val="none" w:sz="0" w:space="0" w:color="auto"/>
        <w:right w:val="none" w:sz="0" w:space="0" w:color="auto"/>
      </w:divBdr>
    </w:div>
    <w:div w:id="53504688">
      <w:marLeft w:val="0"/>
      <w:marRight w:val="0"/>
      <w:marTop w:val="180"/>
      <w:marBottom w:val="0"/>
      <w:divBdr>
        <w:top w:val="none" w:sz="0" w:space="0" w:color="auto"/>
        <w:left w:val="none" w:sz="0" w:space="0" w:color="auto"/>
        <w:bottom w:val="none" w:sz="0" w:space="0" w:color="auto"/>
        <w:right w:val="none" w:sz="0" w:space="0" w:color="auto"/>
      </w:divBdr>
    </w:div>
    <w:div w:id="53742232">
      <w:marLeft w:val="0"/>
      <w:marRight w:val="0"/>
      <w:marTop w:val="180"/>
      <w:marBottom w:val="0"/>
      <w:divBdr>
        <w:top w:val="none" w:sz="0" w:space="0" w:color="auto"/>
        <w:left w:val="none" w:sz="0" w:space="0" w:color="auto"/>
        <w:bottom w:val="none" w:sz="0" w:space="0" w:color="auto"/>
        <w:right w:val="none" w:sz="0" w:space="0" w:color="auto"/>
      </w:divBdr>
    </w:div>
    <w:div w:id="56636340">
      <w:marLeft w:val="0"/>
      <w:marRight w:val="0"/>
      <w:marTop w:val="180"/>
      <w:marBottom w:val="0"/>
      <w:divBdr>
        <w:top w:val="none" w:sz="0" w:space="0" w:color="auto"/>
        <w:left w:val="none" w:sz="0" w:space="0" w:color="auto"/>
        <w:bottom w:val="none" w:sz="0" w:space="0" w:color="auto"/>
        <w:right w:val="none" w:sz="0" w:space="0" w:color="auto"/>
      </w:divBdr>
    </w:div>
    <w:div w:id="58989808">
      <w:marLeft w:val="0"/>
      <w:marRight w:val="0"/>
      <w:marTop w:val="60"/>
      <w:marBottom w:val="0"/>
      <w:divBdr>
        <w:top w:val="none" w:sz="0" w:space="0" w:color="auto"/>
        <w:left w:val="none" w:sz="0" w:space="0" w:color="auto"/>
        <w:bottom w:val="none" w:sz="0" w:space="0" w:color="auto"/>
        <w:right w:val="none" w:sz="0" w:space="0" w:color="auto"/>
      </w:divBdr>
    </w:div>
    <w:div w:id="62064672">
      <w:marLeft w:val="0"/>
      <w:marRight w:val="0"/>
      <w:marTop w:val="180"/>
      <w:marBottom w:val="0"/>
      <w:divBdr>
        <w:top w:val="none" w:sz="0" w:space="0" w:color="auto"/>
        <w:left w:val="none" w:sz="0" w:space="0" w:color="auto"/>
        <w:bottom w:val="none" w:sz="0" w:space="0" w:color="auto"/>
        <w:right w:val="none" w:sz="0" w:space="0" w:color="auto"/>
      </w:divBdr>
    </w:div>
    <w:div w:id="63963180">
      <w:marLeft w:val="0"/>
      <w:marRight w:val="0"/>
      <w:marTop w:val="180"/>
      <w:marBottom w:val="0"/>
      <w:divBdr>
        <w:top w:val="none" w:sz="0" w:space="0" w:color="auto"/>
        <w:left w:val="none" w:sz="0" w:space="0" w:color="auto"/>
        <w:bottom w:val="none" w:sz="0" w:space="0" w:color="auto"/>
        <w:right w:val="none" w:sz="0" w:space="0" w:color="auto"/>
      </w:divBdr>
    </w:div>
    <w:div w:id="65109136">
      <w:marLeft w:val="0"/>
      <w:marRight w:val="0"/>
      <w:marTop w:val="240"/>
      <w:marBottom w:val="60"/>
      <w:divBdr>
        <w:top w:val="none" w:sz="0" w:space="0" w:color="auto"/>
        <w:left w:val="none" w:sz="0" w:space="0" w:color="auto"/>
        <w:bottom w:val="none" w:sz="0" w:space="0" w:color="auto"/>
        <w:right w:val="none" w:sz="0" w:space="0" w:color="auto"/>
      </w:divBdr>
    </w:div>
    <w:div w:id="66995255">
      <w:marLeft w:val="0"/>
      <w:marRight w:val="0"/>
      <w:marTop w:val="240"/>
      <w:marBottom w:val="0"/>
      <w:divBdr>
        <w:top w:val="none" w:sz="0" w:space="0" w:color="auto"/>
        <w:left w:val="none" w:sz="0" w:space="0" w:color="auto"/>
        <w:bottom w:val="none" w:sz="0" w:space="0" w:color="auto"/>
        <w:right w:val="none" w:sz="0" w:space="0" w:color="auto"/>
      </w:divBdr>
    </w:div>
    <w:div w:id="71631918">
      <w:marLeft w:val="0"/>
      <w:marRight w:val="0"/>
      <w:marTop w:val="180"/>
      <w:marBottom w:val="0"/>
      <w:divBdr>
        <w:top w:val="none" w:sz="0" w:space="0" w:color="auto"/>
        <w:left w:val="none" w:sz="0" w:space="0" w:color="auto"/>
        <w:bottom w:val="none" w:sz="0" w:space="0" w:color="auto"/>
        <w:right w:val="none" w:sz="0" w:space="0" w:color="auto"/>
      </w:divBdr>
    </w:div>
    <w:div w:id="77409296">
      <w:marLeft w:val="0"/>
      <w:marRight w:val="0"/>
      <w:marTop w:val="180"/>
      <w:marBottom w:val="0"/>
      <w:divBdr>
        <w:top w:val="none" w:sz="0" w:space="0" w:color="auto"/>
        <w:left w:val="none" w:sz="0" w:space="0" w:color="auto"/>
        <w:bottom w:val="none" w:sz="0" w:space="0" w:color="auto"/>
        <w:right w:val="none" w:sz="0" w:space="0" w:color="auto"/>
      </w:divBdr>
    </w:div>
    <w:div w:id="78185226">
      <w:marLeft w:val="0"/>
      <w:marRight w:val="0"/>
      <w:marTop w:val="60"/>
      <w:marBottom w:val="0"/>
      <w:divBdr>
        <w:top w:val="none" w:sz="0" w:space="0" w:color="auto"/>
        <w:left w:val="none" w:sz="0" w:space="0" w:color="auto"/>
        <w:bottom w:val="none" w:sz="0" w:space="0" w:color="auto"/>
        <w:right w:val="none" w:sz="0" w:space="0" w:color="auto"/>
      </w:divBdr>
    </w:div>
    <w:div w:id="80219224">
      <w:marLeft w:val="0"/>
      <w:marRight w:val="0"/>
      <w:marTop w:val="180"/>
      <w:marBottom w:val="0"/>
      <w:divBdr>
        <w:top w:val="none" w:sz="0" w:space="0" w:color="auto"/>
        <w:left w:val="none" w:sz="0" w:space="0" w:color="auto"/>
        <w:bottom w:val="none" w:sz="0" w:space="0" w:color="auto"/>
        <w:right w:val="none" w:sz="0" w:space="0" w:color="auto"/>
      </w:divBdr>
    </w:div>
    <w:div w:id="85420664">
      <w:marLeft w:val="0"/>
      <w:marRight w:val="0"/>
      <w:marTop w:val="300"/>
      <w:marBottom w:val="0"/>
      <w:divBdr>
        <w:top w:val="none" w:sz="0" w:space="0" w:color="auto"/>
        <w:left w:val="none" w:sz="0" w:space="0" w:color="auto"/>
        <w:bottom w:val="none" w:sz="0" w:space="0" w:color="auto"/>
        <w:right w:val="none" w:sz="0" w:space="0" w:color="auto"/>
      </w:divBdr>
    </w:div>
    <w:div w:id="90322232">
      <w:marLeft w:val="0"/>
      <w:marRight w:val="0"/>
      <w:marTop w:val="0"/>
      <w:marBottom w:val="0"/>
      <w:divBdr>
        <w:top w:val="none" w:sz="0" w:space="0" w:color="auto"/>
        <w:left w:val="none" w:sz="0" w:space="0" w:color="auto"/>
        <w:bottom w:val="none" w:sz="0" w:space="0" w:color="auto"/>
        <w:right w:val="none" w:sz="0" w:space="0" w:color="auto"/>
      </w:divBdr>
      <w:divsChild>
        <w:div w:id="745957270">
          <w:marLeft w:val="0"/>
          <w:marRight w:val="0"/>
          <w:marTop w:val="180"/>
          <w:marBottom w:val="180"/>
          <w:divBdr>
            <w:top w:val="none" w:sz="0" w:space="0" w:color="auto"/>
            <w:left w:val="none" w:sz="0" w:space="0" w:color="auto"/>
            <w:bottom w:val="none" w:sz="0" w:space="0" w:color="auto"/>
            <w:right w:val="none" w:sz="0" w:space="0" w:color="auto"/>
          </w:divBdr>
        </w:div>
      </w:divsChild>
    </w:div>
    <w:div w:id="92550972">
      <w:marLeft w:val="0"/>
      <w:marRight w:val="0"/>
      <w:marTop w:val="120"/>
      <w:marBottom w:val="120"/>
      <w:divBdr>
        <w:top w:val="none" w:sz="0" w:space="0" w:color="auto"/>
        <w:left w:val="none" w:sz="0" w:space="0" w:color="auto"/>
        <w:bottom w:val="none" w:sz="0" w:space="0" w:color="auto"/>
        <w:right w:val="none" w:sz="0" w:space="0" w:color="auto"/>
      </w:divBdr>
      <w:divsChild>
        <w:div w:id="1587223399">
          <w:marLeft w:val="0"/>
          <w:marRight w:val="0"/>
          <w:marTop w:val="120"/>
          <w:marBottom w:val="120"/>
          <w:divBdr>
            <w:top w:val="none" w:sz="0" w:space="0" w:color="auto"/>
            <w:left w:val="none" w:sz="0" w:space="0" w:color="auto"/>
            <w:bottom w:val="none" w:sz="0" w:space="0" w:color="auto"/>
            <w:right w:val="none" w:sz="0" w:space="0" w:color="auto"/>
          </w:divBdr>
        </w:div>
        <w:div w:id="1216894402">
          <w:marLeft w:val="0"/>
          <w:marRight w:val="0"/>
          <w:marTop w:val="120"/>
          <w:marBottom w:val="120"/>
          <w:divBdr>
            <w:top w:val="none" w:sz="0" w:space="0" w:color="auto"/>
            <w:left w:val="none" w:sz="0" w:space="0" w:color="auto"/>
            <w:bottom w:val="none" w:sz="0" w:space="0" w:color="auto"/>
            <w:right w:val="none" w:sz="0" w:space="0" w:color="auto"/>
          </w:divBdr>
        </w:div>
        <w:div w:id="363094793">
          <w:marLeft w:val="0"/>
          <w:marRight w:val="0"/>
          <w:marTop w:val="120"/>
          <w:marBottom w:val="120"/>
          <w:divBdr>
            <w:top w:val="none" w:sz="0" w:space="0" w:color="auto"/>
            <w:left w:val="none" w:sz="0" w:space="0" w:color="auto"/>
            <w:bottom w:val="none" w:sz="0" w:space="0" w:color="auto"/>
            <w:right w:val="none" w:sz="0" w:space="0" w:color="auto"/>
          </w:divBdr>
        </w:div>
        <w:div w:id="2011130232">
          <w:marLeft w:val="0"/>
          <w:marRight w:val="0"/>
          <w:marTop w:val="120"/>
          <w:marBottom w:val="120"/>
          <w:divBdr>
            <w:top w:val="none" w:sz="0" w:space="0" w:color="auto"/>
            <w:left w:val="none" w:sz="0" w:space="0" w:color="auto"/>
            <w:bottom w:val="none" w:sz="0" w:space="0" w:color="auto"/>
            <w:right w:val="none" w:sz="0" w:space="0" w:color="auto"/>
          </w:divBdr>
        </w:div>
        <w:div w:id="1352611673">
          <w:marLeft w:val="0"/>
          <w:marRight w:val="0"/>
          <w:marTop w:val="120"/>
          <w:marBottom w:val="120"/>
          <w:divBdr>
            <w:top w:val="none" w:sz="0" w:space="0" w:color="auto"/>
            <w:left w:val="none" w:sz="0" w:space="0" w:color="auto"/>
            <w:bottom w:val="none" w:sz="0" w:space="0" w:color="auto"/>
            <w:right w:val="none" w:sz="0" w:space="0" w:color="auto"/>
          </w:divBdr>
        </w:div>
        <w:div w:id="1480146178">
          <w:marLeft w:val="0"/>
          <w:marRight w:val="0"/>
          <w:marTop w:val="120"/>
          <w:marBottom w:val="120"/>
          <w:divBdr>
            <w:top w:val="none" w:sz="0" w:space="0" w:color="auto"/>
            <w:left w:val="none" w:sz="0" w:space="0" w:color="auto"/>
            <w:bottom w:val="none" w:sz="0" w:space="0" w:color="auto"/>
            <w:right w:val="none" w:sz="0" w:space="0" w:color="auto"/>
          </w:divBdr>
        </w:div>
        <w:div w:id="164826029">
          <w:marLeft w:val="0"/>
          <w:marRight w:val="0"/>
          <w:marTop w:val="120"/>
          <w:marBottom w:val="120"/>
          <w:divBdr>
            <w:top w:val="none" w:sz="0" w:space="0" w:color="auto"/>
            <w:left w:val="none" w:sz="0" w:space="0" w:color="auto"/>
            <w:bottom w:val="none" w:sz="0" w:space="0" w:color="auto"/>
            <w:right w:val="none" w:sz="0" w:space="0" w:color="auto"/>
          </w:divBdr>
        </w:div>
        <w:div w:id="2135050841">
          <w:marLeft w:val="0"/>
          <w:marRight w:val="0"/>
          <w:marTop w:val="120"/>
          <w:marBottom w:val="120"/>
          <w:divBdr>
            <w:top w:val="none" w:sz="0" w:space="0" w:color="auto"/>
            <w:left w:val="none" w:sz="0" w:space="0" w:color="auto"/>
            <w:bottom w:val="none" w:sz="0" w:space="0" w:color="auto"/>
            <w:right w:val="none" w:sz="0" w:space="0" w:color="auto"/>
          </w:divBdr>
        </w:div>
        <w:div w:id="1460420546">
          <w:marLeft w:val="0"/>
          <w:marRight w:val="0"/>
          <w:marTop w:val="120"/>
          <w:marBottom w:val="120"/>
          <w:divBdr>
            <w:top w:val="none" w:sz="0" w:space="0" w:color="auto"/>
            <w:left w:val="none" w:sz="0" w:space="0" w:color="auto"/>
            <w:bottom w:val="none" w:sz="0" w:space="0" w:color="auto"/>
            <w:right w:val="none" w:sz="0" w:space="0" w:color="auto"/>
          </w:divBdr>
        </w:div>
        <w:div w:id="193081448">
          <w:marLeft w:val="0"/>
          <w:marRight w:val="0"/>
          <w:marTop w:val="120"/>
          <w:marBottom w:val="120"/>
          <w:divBdr>
            <w:top w:val="none" w:sz="0" w:space="0" w:color="auto"/>
            <w:left w:val="none" w:sz="0" w:space="0" w:color="auto"/>
            <w:bottom w:val="none" w:sz="0" w:space="0" w:color="auto"/>
            <w:right w:val="none" w:sz="0" w:space="0" w:color="auto"/>
          </w:divBdr>
        </w:div>
      </w:divsChild>
    </w:div>
    <w:div w:id="95098438">
      <w:marLeft w:val="0"/>
      <w:marRight w:val="0"/>
      <w:marTop w:val="180"/>
      <w:marBottom w:val="0"/>
      <w:divBdr>
        <w:top w:val="none" w:sz="0" w:space="0" w:color="auto"/>
        <w:left w:val="none" w:sz="0" w:space="0" w:color="auto"/>
        <w:bottom w:val="none" w:sz="0" w:space="0" w:color="auto"/>
        <w:right w:val="none" w:sz="0" w:space="0" w:color="auto"/>
      </w:divBdr>
    </w:div>
    <w:div w:id="102574777">
      <w:marLeft w:val="0"/>
      <w:marRight w:val="0"/>
      <w:marTop w:val="60"/>
      <w:marBottom w:val="0"/>
      <w:divBdr>
        <w:top w:val="none" w:sz="0" w:space="0" w:color="auto"/>
        <w:left w:val="none" w:sz="0" w:space="0" w:color="auto"/>
        <w:bottom w:val="none" w:sz="0" w:space="0" w:color="auto"/>
        <w:right w:val="none" w:sz="0" w:space="0" w:color="auto"/>
      </w:divBdr>
    </w:div>
    <w:div w:id="105469077">
      <w:marLeft w:val="0"/>
      <w:marRight w:val="0"/>
      <w:marTop w:val="60"/>
      <w:marBottom w:val="120"/>
      <w:divBdr>
        <w:top w:val="none" w:sz="0" w:space="0" w:color="auto"/>
        <w:left w:val="none" w:sz="0" w:space="0" w:color="auto"/>
        <w:bottom w:val="none" w:sz="0" w:space="0" w:color="auto"/>
        <w:right w:val="none" w:sz="0" w:space="0" w:color="auto"/>
      </w:divBdr>
    </w:div>
    <w:div w:id="110706727">
      <w:marLeft w:val="0"/>
      <w:marRight w:val="0"/>
      <w:marTop w:val="180"/>
      <w:marBottom w:val="0"/>
      <w:divBdr>
        <w:top w:val="none" w:sz="0" w:space="0" w:color="auto"/>
        <w:left w:val="none" w:sz="0" w:space="0" w:color="auto"/>
        <w:bottom w:val="none" w:sz="0" w:space="0" w:color="auto"/>
        <w:right w:val="none" w:sz="0" w:space="0" w:color="auto"/>
      </w:divBdr>
    </w:div>
    <w:div w:id="121074715">
      <w:marLeft w:val="0"/>
      <w:marRight w:val="0"/>
      <w:marTop w:val="0"/>
      <w:marBottom w:val="0"/>
      <w:divBdr>
        <w:top w:val="none" w:sz="0" w:space="0" w:color="auto"/>
        <w:left w:val="none" w:sz="0" w:space="0" w:color="auto"/>
        <w:bottom w:val="none" w:sz="0" w:space="0" w:color="auto"/>
        <w:right w:val="none" w:sz="0" w:space="0" w:color="auto"/>
      </w:divBdr>
      <w:divsChild>
        <w:div w:id="1616870092">
          <w:marLeft w:val="0"/>
          <w:marRight w:val="0"/>
          <w:marTop w:val="0"/>
          <w:marBottom w:val="0"/>
          <w:divBdr>
            <w:top w:val="none" w:sz="0" w:space="0" w:color="auto"/>
            <w:left w:val="none" w:sz="0" w:space="0" w:color="auto"/>
            <w:bottom w:val="none" w:sz="0" w:space="0" w:color="auto"/>
            <w:right w:val="none" w:sz="0" w:space="0" w:color="auto"/>
          </w:divBdr>
          <w:divsChild>
            <w:div w:id="1187694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5899059">
      <w:marLeft w:val="0"/>
      <w:marRight w:val="0"/>
      <w:marTop w:val="60"/>
      <w:marBottom w:val="120"/>
      <w:divBdr>
        <w:top w:val="none" w:sz="0" w:space="0" w:color="auto"/>
        <w:left w:val="none" w:sz="0" w:space="0" w:color="auto"/>
        <w:bottom w:val="none" w:sz="0" w:space="0" w:color="auto"/>
        <w:right w:val="none" w:sz="0" w:space="0" w:color="auto"/>
      </w:divBdr>
    </w:div>
    <w:div w:id="129054349">
      <w:marLeft w:val="0"/>
      <w:marRight w:val="0"/>
      <w:marTop w:val="180"/>
      <w:marBottom w:val="0"/>
      <w:divBdr>
        <w:top w:val="none" w:sz="0" w:space="0" w:color="auto"/>
        <w:left w:val="none" w:sz="0" w:space="0" w:color="auto"/>
        <w:bottom w:val="none" w:sz="0" w:space="0" w:color="auto"/>
        <w:right w:val="none" w:sz="0" w:space="0" w:color="auto"/>
      </w:divBdr>
    </w:div>
    <w:div w:id="130949112">
      <w:marLeft w:val="0"/>
      <w:marRight w:val="0"/>
      <w:marTop w:val="180"/>
      <w:marBottom w:val="0"/>
      <w:divBdr>
        <w:top w:val="none" w:sz="0" w:space="0" w:color="auto"/>
        <w:left w:val="none" w:sz="0" w:space="0" w:color="auto"/>
        <w:bottom w:val="none" w:sz="0" w:space="0" w:color="auto"/>
        <w:right w:val="none" w:sz="0" w:space="0" w:color="auto"/>
      </w:divBdr>
    </w:div>
    <w:div w:id="132213557">
      <w:marLeft w:val="0"/>
      <w:marRight w:val="0"/>
      <w:marTop w:val="60"/>
      <w:marBottom w:val="120"/>
      <w:divBdr>
        <w:top w:val="none" w:sz="0" w:space="0" w:color="auto"/>
        <w:left w:val="none" w:sz="0" w:space="0" w:color="auto"/>
        <w:bottom w:val="none" w:sz="0" w:space="0" w:color="auto"/>
        <w:right w:val="none" w:sz="0" w:space="0" w:color="auto"/>
      </w:divBdr>
    </w:div>
    <w:div w:id="134495840">
      <w:marLeft w:val="0"/>
      <w:marRight w:val="0"/>
      <w:marTop w:val="0"/>
      <w:marBottom w:val="0"/>
      <w:divBdr>
        <w:top w:val="none" w:sz="0" w:space="0" w:color="auto"/>
        <w:left w:val="none" w:sz="0" w:space="0" w:color="auto"/>
        <w:bottom w:val="none" w:sz="0" w:space="0" w:color="auto"/>
        <w:right w:val="none" w:sz="0" w:space="0" w:color="auto"/>
      </w:divBdr>
      <w:divsChild>
        <w:div w:id="1749113692">
          <w:marLeft w:val="0"/>
          <w:marRight w:val="0"/>
          <w:marTop w:val="180"/>
          <w:marBottom w:val="180"/>
          <w:divBdr>
            <w:top w:val="none" w:sz="0" w:space="0" w:color="auto"/>
            <w:left w:val="none" w:sz="0" w:space="0" w:color="auto"/>
            <w:bottom w:val="none" w:sz="0" w:space="0" w:color="auto"/>
            <w:right w:val="none" w:sz="0" w:space="0" w:color="auto"/>
          </w:divBdr>
        </w:div>
      </w:divsChild>
    </w:div>
    <w:div w:id="136387939">
      <w:marLeft w:val="0"/>
      <w:marRight w:val="0"/>
      <w:marTop w:val="120"/>
      <w:marBottom w:val="0"/>
      <w:divBdr>
        <w:top w:val="none" w:sz="0" w:space="0" w:color="auto"/>
        <w:left w:val="none" w:sz="0" w:space="0" w:color="auto"/>
        <w:bottom w:val="none" w:sz="0" w:space="0" w:color="auto"/>
        <w:right w:val="none" w:sz="0" w:space="0" w:color="auto"/>
      </w:divBdr>
    </w:div>
    <w:div w:id="139542587">
      <w:marLeft w:val="0"/>
      <w:marRight w:val="0"/>
      <w:marTop w:val="180"/>
      <w:marBottom w:val="0"/>
      <w:divBdr>
        <w:top w:val="none" w:sz="0" w:space="0" w:color="auto"/>
        <w:left w:val="none" w:sz="0" w:space="0" w:color="auto"/>
        <w:bottom w:val="none" w:sz="0" w:space="0" w:color="auto"/>
        <w:right w:val="none" w:sz="0" w:space="0" w:color="auto"/>
      </w:divBdr>
    </w:div>
    <w:div w:id="140006358">
      <w:marLeft w:val="0"/>
      <w:marRight w:val="0"/>
      <w:marTop w:val="180"/>
      <w:marBottom w:val="0"/>
      <w:divBdr>
        <w:top w:val="none" w:sz="0" w:space="0" w:color="auto"/>
        <w:left w:val="none" w:sz="0" w:space="0" w:color="auto"/>
        <w:bottom w:val="none" w:sz="0" w:space="0" w:color="auto"/>
        <w:right w:val="none" w:sz="0" w:space="0" w:color="auto"/>
      </w:divBdr>
    </w:div>
    <w:div w:id="142815128">
      <w:marLeft w:val="0"/>
      <w:marRight w:val="0"/>
      <w:marTop w:val="0"/>
      <w:marBottom w:val="0"/>
      <w:divBdr>
        <w:top w:val="none" w:sz="0" w:space="0" w:color="auto"/>
        <w:left w:val="none" w:sz="0" w:space="0" w:color="auto"/>
        <w:bottom w:val="none" w:sz="0" w:space="0" w:color="auto"/>
        <w:right w:val="none" w:sz="0" w:space="0" w:color="auto"/>
      </w:divBdr>
      <w:divsChild>
        <w:div w:id="2099212413">
          <w:marLeft w:val="0"/>
          <w:marRight w:val="0"/>
          <w:marTop w:val="180"/>
          <w:marBottom w:val="180"/>
          <w:divBdr>
            <w:top w:val="none" w:sz="0" w:space="0" w:color="auto"/>
            <w:left w:val="none" w:sz="0" w:space="0" w:color="auto"/>
            <w:bottom w:val="none" w:sz="0" w:space="0" w:color="auto"/>
            <w:right w:val="none" w:sz="0" w:space="0" w:color="auto"/>
          </w:divBdr>
        </w:div>
      </w:divsChild>
    </w:div>
    <w:div w:id="145904356">
      <w:marLeft w:val="0"/>
      <w:marRight w:val="0"/>
      <w:marTop w:val="240"/>
      <w:marBottom w:val="0"/>
      <w:divBdr>
        <w:top w:val="none" w:sz="0" w:space="0" w:color="auto"/>
        <w:left w:val="none" w:sz="0" w:space="0" w:color="auto"/>
        <w:bottom w:val="none" w:sz="0" w:space="0" w:color="auto"/>
        <w:right w:val="none" w:sz="0" w:space="0" w:color="auto"/>
      </w:divBdr>
    </w:div>
    <w:div w:id="147749948">
      <w:marLeft w:val="0"/>
      <w:marRight w:val="0"/>
      <w:marTop w:val="60"/>
      <w:marBottom w:val="120"/>
      <w:divBdr>
        <w:top w:val="none" w:sz="0" w:space="0" w:color="auto"/>
        <w:left w:val="none" w:sz="0" w:space="0" w:color="auto"/>
        <w:bottom w:val="none" w:sz="0" w:space="0" w:color="auto"/>
        <w:right w:val="none" w:sz="0" w:space="0" w:color="auto"/>
      </w:divBdr>
    </w:div>
    <w:div w:id="152533712">
      <w:marLeft w:val="0"/>
      <w:marRight w:val="0"/>
      <w:marTop w:val="180"/>
      <w:marBottom w:val="0"/>
      <w:divBdr>
        <w:top w:val="none" w:sz="0" w:space="0" w:color="auto"/>
        <w:left w:val="none" w:sz="0" w:space="0" w:color="auto"/>
        <w:bottom w:val="none" w:sz="0" w:space="0" w:color="auto"/>
        <w:right w:val="none" w:sz="0" w:space="0" w:color="auto"/>
      </w:divBdr>
    </w:div>
    <w:div w:id="157237401">
      <w:marLeft w:val="0"/>
      <w:marRight w:val="0"/>
      <w:marTop w:val="180"/>
      <w:marBottom w:val="0"/>
      <w:divBdr>
        <w:top w:val="none" w:sz="0" w:space="0" w:color="auto"/>
        <w:left w:val="none" w:sz="0" w:space="0" w:color="auto"/>
        <w:bottom w:val="none" w:sz="0" w:space="0" w:color="auto"/>
        <w:right w:val="none" w:sz="0" w:space="0" w:color="auto"/>
      </w:divBdr>
    </w:div>
    <w:div w:id="160125270">
      <w:marLeft w:val="0"/>
      <w:marRight w:val="0"/>
      <w:marTop w:val="180"/>
      <w:marBottom w:val="0"/>
      <w:divBdr>
        <w:top w:val="none" w:sz="0" w:space="0" w:color="auto"/>
        <w:left w:val="none" w:sz="0" w:space="0" w:color="auto"/>
        <w:bottom w:val="none" w:sz="0" w:space="0" w:color="auto"/>
        <w:right w:val="none" w:sz="0" w:space="0" w:color="auto"/>
      </w:divBdr>
    </w:div>
    <w:div w:id="160968169">
      <w:marLeft w:val="0"/>
      <w:marRight w:val="0"/>
      <w:marTop w:val="180"/>
      <w:marBottom w:val="0"/>
      <w:divBdr>
        <w:top w:val="none" w:sz="0" w:space="0" w:color="auto"/>
        <w:left w:val="none" w:sz="0" w:space="0" w:color="auto"/>
        <w:bottom w:val="none" w:sz="0" w:space="0" w:color="auto"/>
        <w:right w:val="none" w:sz="0" w:space="0" w:color="auto"/>
      </w:divBdr>
    </w:div>
    <w:div w:id="162550707">
      <w:marLeft w:val="0"/>
      <w:marRight w:val="0"/>
      <w:marTop w:val="180"/>
      <w:marBottom w:val="0"/>
      <w:divBdr>
        <w:top w:val="none" w:sz="0" w:space="0" w:color="auto"/>
        <w:left w:val="none" w:sz="0" w:space="0" w:color="auto"/>
        <w:bottom w:val="none" w:sz="0" w:space="0" w:color="auto"/>
        <w:right w:val="none" w:sz="0" w:space="0" w:color="auto"/>
      </w:divBdr>
    </w:div>
    <w:div w:id="169486712">
      <w:marLeft w:val="0"/>
      <w:marRight w:val="0"/>
      <w:marTop w:val="60"/>
      <w:marBottom w:val="0"/>
      <w:divBdr>
        <w:top w:val="none" w:sz="0" w:space="0" w:color="auto"/>
        <w:left w:val="none" w:sz="0" w:space="0" w:color="auto"/>
        <w:bottom w:val="none" w:sz="0" w:space="0" w:color="auto"/>
        <w:right w:val="none" w:sz="0" w:space="0" w:color="auto"/>
      </w:divBdr>
    </w:div>
    <w:div w:id="178278305">
      <w:marLeft w:val="0"/>
      <w:marRight w:val="0"/>
      <w:marTop w:val="240"/>
      <w:marBottom w:val="0"/>
      <w:divBdr>
        <w:top w:val="none" w:sz="0" w:space="0" w:color="auto"/>
        <w:left w:val="none" w:sz="0" w:space="0" w:color="auto"/>
        <w:bottom w:val="none" w:sz="0" w:space="0" w:color="auto"/>
        <w:right w:val="none" w:sz="0" w:space="0" w:color="auto"/>
      </w:divBdr>
    </w:div>
    <w:div w:id="185801499">
      <w:marLeft w:val="0"/>
      <w:marRight w:val="0"/>
      <w:marTop w:val="120"/>
      <w:marBottom w:val="120"/>
      <w:divBdr>
        <w:top w:val="none" w:sz="0" w:space="0" w:color="auto"/>
        <w:left w:val="none" w:sz="0" w:space="0" w:color="auto"/>
        <w:bottom w:val="none" w:sz="0" w:space="0" w:color="auto"/>
        <w:right w:val="none" w:sz="0" w:space="0" w:color="auto"/>
      </w:divBdr>
    </w:div>
    <w:div w:id="187068950">
      <w:marLeft w:val="0"/>
      <w:marRight w:val="0"/>
      <w:marTop w:val="60"/>
      <w:marBottom w:val="120"/>
      <w:divBdr>
        <w:top w:val="none" w:sz="0" w:space="0" w:color="auto"/>
        <w:left w:val="none" w:sz="0" w:space="0" w:color="auto"/>
        <w:bottom w:val="none" w:sz="0" w:space="0" w:color="auto"/>
        <w:right w:val="none" w:sz="0" w:space="0" w:color="auto"/>
      </w:divBdr>
    </w:div>
    <w:div w:id="189730440">
      <w:marLeft w:val="0"/>
      <w:marRight w:val="0"/>
      <w:marTop w:val="180"/>
      <w:marBottom w:val="0"/>
      <w:divBdr>
        <w:top w:val="none" w:sz="0" w:space="0" w:color="auto"/>
        <w:left w:val="none" w:sz="0" w:space="0" w:color="auto"/>
        <w:bottom w:val="none" w:sz="0" w:space="0" w:color="auto"/>
        <w:right w:val="none" w:sz="0" w:space="0" w:color="auto"/>
      </w:divBdr>
    </w:div>
    <w:div w:id="190727046">
      <w:marLeft w:val="0"/>
      <w:marRight w:val="0"/>
      <w:marTop w:val="180"/>
      <w:marBottom w:val="120"/>
      <w:divBdr>
        <w:top w:val="none" w:sz="0" w:space="0" w:color="auto"/>
        <w:left w:val="none" w:sz="0" w:space="0" w:color="auto"/>
        <w:bottom w:val="none" w:sz="0" w:space="0" w:color="auto"/>
        <w:right w:val="none" w:sz="0" w:space="0" w:color="auto"/>
      </w:divBdr>
    </w:div>
    <w:div w:id="191260299">
      <w:marLeft w:val="0"/>
      <w:marRight w:val="0"/>
      <w:marTop w:val="0"/>
      <w:marBottom w:val="0"/>
      <w:divBdr>
        <w:top w:val="none" w:sz="0" w:space="0" w:color="auto"/>
        <w:left w:val="none" w:sz="0" w:space="0" w:color="auto"/>
        <w:bottom w:val="none" w:sz="0" w:space="0" w:color="auto"/>
        <w:right w:val="none" w:sz="0" w:space="0" w:color="auto"/>
      </w:divBdr>
      <w:divsChild>
        <w:div w:id="752045152">
          <w:marLeft w:val="0"/>
          <w:marRight w:val="0"/>
          <w:marTop w:val="180"/>
          <w:marBottom w:val="180"/>
          <w:divBdr>
            <w:top w:val="none" w:sz="0" w:space="0" w:color="auto"/>
            <w:left w:val="none" w:sz="0" w:space="0" w:color="auto"/>
            <w:bottom w:val="none" w:sz="0" w:space="0" w:color="auto"/>
            <w:right w:val="none" w:sz="0" w:space="0" w:color="auto"/>
          </w:divBdr>
        </w:div>
      </w:divsChild>
    </w:div>
    <w:div w:id="201409599">
      <w:marLeft w:val="0"/>
      <w:marRight w:val="0"/>
      <w:marTop w:val="60"/>
      <w:marBottom w:val="120"/>
      <w:divBdr>
        <w:top w:val="none" w:sz="0" w:space="0" w:color="auto"/>
        <w:left w:val="none" w:sz="0" w:space="0" w:color="auto"/>
        <w:bottom w:val="none" w:sz="0" w:space="0" w:color="auto"/>
        <w:right w:val="none" w:sz="0" w:space="0" w:color="auto"/>
      </w:divBdr>
    </w:div>
    <w:div w:id="205339953">
      <w:marLeft w:val="0"/>
      <w:marRight w:val="0"/>
      <w:marTop w:val="180"/>
      <w:marBottom w:val="0"/>
      <w:divBdr>
        <w:top w:val="none" w:sz="0" w:space="0" w:color="auto"/>
        <w:left w:val="none" w:sz="0" w:space="0" w:color="auto"/>
        <w:bottom w:val="none" w:sz="0" w:space="0" w:color="auto"/>
        <w:right w:val="none" w:sz="0" w:space="0" w:color="auto"/>
      </w:divBdr>
    </w:div>
    <w:div w:id="207572714">
      <w:marLeft w:val="0"/>
      <w:marRight w:val="0"/>
      <w:marTop w:val="180"/>
      <w:marBottom w:val="0"/>
      <w:divBdr>
        <w:top w:val="none" w:sz="0" w:space="0" w:color="auto"/>
        <w:left w:val="none" w:sz="0" w:space="0" w:color="auto"/>
        <w:bottom w:val="none" w:sz="0" w:space="0" w:color="auto"/>
        <w:right w:val="none" w:sz="0" w:space="0" w:color="auto"/>
      </w:divBdr>
    </w:div>
    <w:div w:id="207644934">
      <w:marLeft w:val="0"/>
      <w:marRight w:val="0"/>
      <w:marTop w:val="180"/>
      <w:marBottom w:val="0"/>
      <w:divBdr>
        <w:top w:val="none" w:sz="0" w:space="0" w:color="auto"/>
        <w:left w:val="none" w:sz="0" w:space="0" w:color="auto"/>
        <w:bottom w:val="none" w:sz="0" w:space="0" w:color="auto"/>
        <w:right w:val="none" w:sz="0" w:space="0" w:color="auto"/>
      </w:divBdr>
    </w:div>
    <w:div w:id="208146981">
      <w:marLeft w:val="0"/>
      <w:marRight w:val="0"/>
      <w:marTop w:val="180"/>
      <w:marBottom w:val="0"/>
      <w:divBdr>
        <w:top w:val="none" w:sz="0" w:space="0" w:color="auto"/>
        <w:left w:val="none" w:sz="0" w:space="0" w:color="auto"/>
        <w:bottom w:val="none" w:sz="0" w:space="0" w:color="auto"/>
        <w:right w:val="none" w:sz="0" w:space="0" w:color="auto"/>
      </w:divBdr>
    </w:div>
    <w:div w:id="209154962">
      <w:marLeft w:val="0"/>
      <w:marRight w:val="0"/>
      <w:marTop w:val="180"/>
      <w:marBottom w:val="0"/>
      <w:divBdr>
        <w:top w:val="none" w:sz="0" w:space="0" w:color="auto"/>
        <w:left w:val="none" w:sz="0" w:space="0" w:color="auto"/>
        <w:bottom w:val="none" w:sz="0" w:space="0" w:color="auto"/>
        <w:right w:val="none" w:sz="0" w:space="0" w:color="auto"/>
      </w:divBdr>
    </w:div>
    <w:div w:id="218253334">
      <w:marLeft w:val="0"/>
      <w:marRight w:val="0"/>
      <w:marTop w:val="0"/>
      <w:marBottom w:val="0"/>
      <w:divBdr>
        <w:top w:val="none" w:sz="0" w:space="0" w:color="auto"/>
        <w:left w:val="none" w:sz="0" w:space="0" w:color="auto"/>
        <w:bottom w:val="none" w:sz="0" w:space="0" w:color="auto"/>
        <w:right w:val="none" w:sz="0" w:space="0" w:color="auto"/>
      </w:divBdr>
      <w:divsChild>
        <w:div w:id="292709717">
          <w:marLeft w:val="0"/>
          <w:marRight w:val="0"/>
          <w:marTop w:val="0"/>
          <w:marBottom w:val="0"/>
          <w:divBdr>
            <w:top w:val="none" w:sz="0" w:space="0" w:color="auto"/>
            <w:left w:val="none" w:sz="0" w:space="0" w:color="auto"/>
            <w:bottom w:val="none" w:sz="0" w:space="0" w:color="auto"/>
            <w:right w:val="none" w:sz="0" w:space="0" w:color="auto"/>
          </w:divBdr>
          <w:divsChild>
            <w:div w:id="13758129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25844138">
      <w:marLeft w:val="0"/>
      <w:marRight w:val="0"/>
      <w:marTop w:val="180"/>
      <w:marBottom w:val="0"/>
      <w:divBdr>
        <w:top w:val="none" w:sz="0" w:space="0" w:color="auto"/>
        <w:left w:val="none" w:sz="0" w:space="0" w:color="auto"/>
        <w:bottom w:val="none" w:sz="0" w:space="0" w:color="auto"/>
        <w:right w:val="none" w:sz="0" w:space="0" w:color="auto"/>
      </w:divBdr>
    </w:div>
    <w:div w:id="225922991">
      <w:marLeft w:val="0"/>
      <w:marRight w:val="0"/>
      <w:marTop w:val="130"/>
      <w:marBottom w:val="120"/>
      <w:divBdr>
        <w:top w:val="none" w:sz="0" w:space="0" w:color="auto"/>
        <w:left w:val="none" w:sz="0" w:space="0" w:color="auto"/>
        <w:bottom w:val="none" w:sz="0" w:space="0" w:color="auto"/>
        <w:right w:val="none" w:sz="0" w:space="0" w:color="auto"/>
      </w:divBdr>
    </w:div>
    <w:div w:id="230117042">
      <w:marLeft w:val="0"/>
      <w:marRight w:val="0"/>
      <w:marTop w:val="60"/>
      <w:marBottom w:val="0"/>
      <w:divBdr>
        <w:top w:val="none" w:sz="0" w:space="0" w:color="auto"/>
        <w:left w:val="none" w:sz="0" w:space="0" w:color="auto"/>
        <w:bottom w:val="none" w:sz="0" w:space="0" w:color="auto"/>
        <w:right w:val="none" w:sz="0" w:space="0" w:color="auto"/>
      </w:divBdr>
    </w:div>
    <w:div w:id="240215060">
      <w:marLeft w:val="0"/>
      <w:marRight w:val="0"/>
      <w:marTop w:val="0"/>
      <w:marBottom w:val="0"/>
      <w:divBdr>
        <w:top w:val="none" w:sz="0" w:space="0" w:color="auto"/>
        <w:left w:val="none" w:sz="0" w:space="0" w:color="auto"/>
        <w:bottom w:val="none" w:sz="0" w:space="0" w:color="auto"/>
        <w:right w:val="none" w:sz="0" w:space="0" w:color="auto"/>
      </w:divBdr>
      <w:divsChild>
        <w:div w:id="1182475150">
          <w:marLeft w:val="0"/>
          <w:marRight w:val="0"/>
          <w:marTop w:val="0"/>
          <w:marBottom w:val="0"/>
          <w:divBdr>
            <w:top w:val="none" w:sz="0" w:space="0" w:color="auto"/>
            <w:left w:val="none" w:sz="0" w:space="0" w:color="auto"/>
            <w:bottom w:val="none" w:sz="0" w:space="0" w:color="auto"/>
            <w:right w:val="none" w:sz="0" w:space="0" w:color="auto"/>
          </w:divBdr>
          <w:divsChild>
            <w:div w:id="1973582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45115827">
      <w:marLeft w:val="0"/>
      <w:marRight w:val="0"/>
      <w:marTop w:val="120"/>
      <w:marBottom w:val="120"/>
      <w:divBdr>
        <w:top w:val="none" w:sz="0" w:space="0" w:color="auto"/>
        <w:left w:val="none" w:sz="0" w:space="0" w:color="auto"/>
        <w:bottom w:val="none" w:sz="0" w:space="0" w:color="auto"/>
        <w:right w:val="none" w:sz="0" w:space="0" w:color="auto"/>
      </w:divBdr>
    </w:div>
    <w:div w:id="245892668">
      <w:marLeft w:val="0"/>
      <w:marRight w:val="0"/>
      <w:marTop w:val="180"/>
      <w:marBottom w:val="0"/>
      <w:divBdr>
        <w:top w:val="none" w:sz="0" w:space="0" w:color="auto"/>
        <w:left w:val="none" w:sz="0" w:space="0" w:color="auto"/>
        <w:bottom w:val="none" w:sz="0" w:space="0" w:color="auto"/>
        <w:right w:val="none" w:sz="0" w:space="0" w:color="auto"/>
      </w:divBdr>
    </w:div>
    <w:div w:id="247230945">
      <w:marLeft w:val="0"/>
      <w:marRight w:val="0"/>
      <w:marTop w:val="0"/>
      <w:marBottom w:val="0"/>
      <w:divBdr>
        <w:top w:val="none" w:sz="0" w:space="0" w:color="auto"/>
        <w:left w:val="none" w:sz="0" w:space="0" w:color="auto"/>
        <w:bottom w:val="none" w:sz="0" w:space="0" w:color="auto"/>
        <w:right w:val="none" w:sz="0" w:space="0" w:color="auto"/>
      </w:divBdr>
      <w:divsChild>
        <w:div w:id="947732848">
          <w:marLeft w:val="0"/>
          <w:marRight w:val="0"/>
          <w:marTop w:val="0"/>
          <w:marBottom w:val="0"/>
          <w:divBdr>
            <w:top w:val="none" w:sz="0" w:space="0" w:color="auto"/>
            <w:left w:val="none" w:sz="0" w:space="0" w:color="auto"/>
            <w:bottom w:val="none" w:sz="0" w:space="0" w:color="auto"/>
            <w:right w:val="none" w:sz="0" w:space="0" w:color="auto"/>
          </w:divBdr>
          <w:divsChild>
            <w:div w:id="88710769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47810054">
      <w:marLeft w:val="0"/>
      <w:marRight w:val="0"/>
      <w:marTop w:val="180"/>
      <w:marBottom w:val="0"/>
      <w:divBdr>
        <w:top w:val="none" w:sz="0" w:space="0" w:color="auto"/>
        <w:left w:val="none" w:sz="0" w:space="0" w:color="auto"/>
        <w:bottom w:val="none" w:sz="0" w:space="0" w:color="auto"/>
        <w:right w:val="none" w:sz="0" w:space="0" w:color="auto"/>
      </w:divBdr>
    </w:div>
    <w:div w:id="248932433">
      <w:marLeft w:val="0"/>
      <w:marRight w:val="0"/>
      <w:marTop w:val="180"/>
      <w:marBottom w:val="0"/>
      <w:divBdr>
        <w:top w:val="none" w:sz="0" w:space="0" w:color="auto"/>
        <w:left w:val="none" w:sz="0" w:space="0" w:color="auto"/>
        <w:bottom w:val="none" w:sz="0" w:space="0" w:color="auto"/>
        <w:right w:val="none" w:sz="0" w:space="0" w:color="auto"/>
      </w:divBdr>
    </w:div>
    <w:div w:id="254560214">
      <w:marLeft w:val="0"/>
      <w:marRight w:val="0"/>
      <w:marTop w:val="240"/>
      <w:marBottom w:val="0"/>
      <w:divBdr>
        <w:top w:val="none" w:sz="0" w:space="0" w:color="auto"/>
        <w:left w:val="none" w:sz="0" w:space="0" w:color="auto"/>
        <w:bottom w:val="none" w:sz="0" w:space="0" w:color="auto"/>
        <w:right w:val="none" w:sz="0" w:space="0" w:color="auto"/>
      </w:divBdr>
    </w:div>
    <w:div w:id="255790622">
      <w:marLeft w:val="0"/>
      <w:marRight w:val="0"/>
      <w:marTop w:val="180"/>
      <w:marBottom w:val="0"/>
      <w:divBdr>
        <w:top w:val="none" w:sz="0" w:space="0" w:color="auto"/>
        <w:left w:val="none" w:sz="0" w:space="0" w:color="auto"/>
        <w:bottom w:val="none" w:sz="0" w:space="0" w:color="auto"/>
        <w:right w:val="none" w:sz="0" w:space="0" w:color="auto"/>
      </w:divBdr>
    </w:div>
    <w:div w:id="255985463">
      <w:marLeft w:val="0"/>
      <w:marRight w:val="0"/>
      <w:marTop w:val="240"/>
      <w:marBottom w:val="0"/>
      <w:divBdr>
        <w:top w:val="none" w:sz="0" w:space="0" w:color="auto"/>
        <w:left w:val="none" w:sz="0" w:space="0" w:color="auto"/>
        <w:bottom w:val="none" w:sz="0" w:space="0" w:color="auto"/>
        <w:right w:val="none" w:sz="0" w:space="0" w:color="auto"/>
      </w:divBdr>
    </w:div>
    <w:div w:id="266353304">
      <w:marLeft w:val="0"/>
      <w:marRight w:val="0"/>
      <w:marTop w:val="120"/>
      <w:marBottom w:val="120"/>
      <w:divBdr>
        <w:top w:val="none" w:sz="0" w:space="0" w:color="auto"/>
        <w:left w:val="none" w:sz="0" w:space="0" w:color="auto"/>
        <w:bottom w:val="none" w:sz="0" w:space="0" w:color="auto"/>
        <w:right w:val="none" w:sz="0" w:space="0" w:color="auto"/>
      </w:divBdr>
    </w:div>
    <w:div w:id="268464898">
      <w:marLeft w:val="0"/>
      <w:marRight w:val="0"/>
      <w:marTop w:val="180"/>
      <w:marBottom w:val="0"/>
      <w:divBdr>
        <w:top w:val="none" w:sz="0" w:space="0" w:color="auto"/>
        <w:left w:val="none" w:sz="0" w:space="0" w:color="auto"/>
        <w:bottom w:val="none" w:sz="0" w:space="0" w:color="auto"/>
        <w:right w:val="none" w:sz="0" w:space="0" w:color="auto"/>
      </w:divBdr>
    </w:div>
    <w:div w:id="278605691">
      <w:marLeft w:val="0"/>
      <w:marRight w:val="0"/>
      <w:marTop w:val="180"/>
      <w:marBottom w:val="120"/>
      <w:divBdr>
        <w:top w:val="none" w:sz="0" w:space="0" w:color="auto"/>
        <w:left w:val="none" w:sz="0" w:space="0" w:color="auto"/>
        <w:bottom w:val="none" w:sz="0" w:space="0" w:color="auto"/>
        <w:right w:val="none" w:sz="0" w:space="0" w:color="auto"/>
      </w:divBdr>
    </w:div>
    <w:div w:id="302466172">
      <w:marLeft w:val="0"/>
      <w:marRight w:val="0"/>
      <w:marTop w:val="60"/>
      <w:marBottom w:val="120"/>
      <w:divBdr>
        <w:top w:val="none" w:sz="0" w:space="0" w:color="auto"/>
        <w:left w:val="none" w:sz="0" w:space="0" w:color="auto"/>
        <w:bottom w:val="none" w:sz="0" w:space="0" w:color="auto"/>
        <w:right w:val="none" w:sz="0" w:space="0" w:color="auto"/>
      </w:divBdr>
    </w:div>
    <w:div w:id="306127981">
      <w:marLeft w:val="0"/>
      <w:marRight w:val="0"/>
      <w:marTop w:val="180"/>
      <w:marBottom w:val="0"/>
      <w:divBdr>
        <w:top w:val="none" w:sz="0" w:space="0" w:color="auto"/>
        <w:left w:val="none" w:sz="0" w:space="0" w:color="auto"/>
        <w:bottom w:val="none" w:sz="0" w:space="0" w:color="auto"/>
        <w:right w:val="none" w:sz="0" w:space="0" w:color="auto"/>
      </w:divBdr>
    </w:div>
    <w:div w:id="309410543">
      <w:marLeft w:val="0"/>
      <w:marRight w:val="0"/>
      <w:marTop w:val="0"/>
      <w:marBottom w:val="0"/>
      <w:divBdr>
        <w:top w:val="none" w:sz="0" w:space="0" w:color="auto"/>
        <w:left w:val="none" w:sz="0" w:space="0" w:color="auto"/>
        <w:bottom w:val="none" w:sz="0" w:space="0" w:color="auto"/>
        <w:right w:val="none" w:sz="0" w:space="0" w:color="auto"/>
      </w:divBdr>
      <w:divsChild>
        <w:div w:id="1585987455">
          <w:marLeft w:val="0"/>
          <w:marRight w:val="0"/>
          <w:marTop w:val="180"/>
          <w:marBottom w:val="180"/>
          <w:divBdr>
            <w:top w:val="none" w:sz="0" w:space="0" w:color="auto"/>
            <w:left w:val="none" w:sz="0" w:space="0" w:color="auto"/>
            <w:bottom w:val="none" w:sz="0" w:space="0" w:color="auto"/>
            <w:right w:val="none" w:sz="0" w:space="0" w:color="auto"/>
          </w:divBdr>
        </w:div>
      </w:divsChild>
    </w:div>
    <w:div w:id="319046316">
      <w:marLeft w:val="0"/>
      <w:marRight w:val="0"/>
      <w:marTop w:val="180"/>
      <w:marBottom w:val="120"/>
      <w:divBdr>
        <w:top w:val="none" w:sz="0" w:space="0" w:color="auto"/>
        <w:left w:val="none" w:sz="0" w:space="0" w:color="auto"/>
        <w:bottom w:val="none" w:sz="0" w:space="0" w:color="auto"/>
        <w:right w:val="none" w:sz="0" w:space="0" w:color="auto"/>
      </w:divBdr>
    </w:div>
    <w:div w:id="324088662">
      <w:marLeft w:val="0"/>
      <w:marRight w:val="0"/>
      <w:marTop w:val="180"/>
      <w:marBottom w:val="0"/>
      <w:divBdr>
        <w:top w:val="none" w:sz="0" w:space="0" w:color="auto"/>
        <w:left w:val="none" w:sz="0" w:space="0" w:color="auto"/>
        <w:bottom w:val="none" w:sz="0" w:space="0" w:color="auto"/>
        <w:right w:val="none" w:sz="0" w:space="0" w:color="auto"/>
      </w:divBdr>
    </w:div>
    <w:div w:id="327445878">
      <w:marLeft w:val="0"/>
      <w:marRight w:val="0"/>
      <w:marTop w:val="240"/>
      <w:marBottom w:val="0"/>
      <w:divBdr>
        <w:top w:val="none" w:sz="0" w:space="0" w:color="auto"/>
        <w:left w:val="none" w:sz="0" w:space="0" w:color="auto"/>
        <w:bottom w:val="none" w:sz="0" w:space="0" w:color="auto"/>
        <w:right w:val="none" w:sz="0" w:space="0" w:color="auto"/>
      </w:divBdr>
    </w:div>
    <w:div w:id="329068986">
      <w:marLeft w:val="0"/>
      <w:marRight w:val="0"/>
      <w:marTop w:val="240"/>
      <w:marBottom w:val="0"/>
      <w:divBdr>
        <w:top w:val="none" w:sz="0" w:space="0" w:color="auto"/>
        <w:left w:val="none" w:sz="0" w:space="0" w:color="auto"/>
        <w:bottom w:val="none" w:sz="0" w:space="0" w:color="auto"/>
        <w:right w:val="none" w:sz="0" w:space="0" w:color="auto"/>
      </w:divBdr>
    </w:div>
    <w:div w:id="333147544">
      <w:marLeft w:val="0"/>
      <w:marRight w:val="0"/>
      <w:marTop w:val="180"/>
      <w:marBottom w:val="0"/>
      <w:divBdr>
        <w:top w:val="none" w:sz="0" w:space="0" w:color="auto"/>
        <w:left w:val="none" w:sz="0" w:space="0" w:color="auto"/>
        <w:bottom w:val="none" w:sz="0" w:space="0" w:color="auto"/>
        <w:right w:val="none" w:sz="0" w:space="0" w:color="auto"/>
      </w:divBdr>
    </w:div>
    <w:div w:id="337848708">
      <w:marLeft w:val="0"/>
      <w:marRight w:val="0"/>
      <w:marTop w:val="180"/>
      <w:marBottom w:val="120"/>
      <w:divBdr>
        <w:top w:val="none" w:sz="0" w:space="0" w:color="auto"/>
        <w:left w:val="none" w:sz="0" w:space="0" w:color="auto"/>
        <w:bottom w:val="none" w:sz="0" w:space="0" w:color="auto"/>
        <w:right w:val="none" w:sz="0" w:space="0" w:color="auto"/>
      </w:divBdr>
    </w:div>
    <w:div w:id="345181461">
      <w:marLeft w:val="0"/>
      <w:marRight w:val="0"/>
      <w:marTop w:val="180"/>
      <w:marBottom w:val="0"/>
      <w:divBdr>
        <w:top w:val="none" w:sz="0" w:space="0" w:color="auto"/>
        <w:left w:val="none" w:sz="0" w:space="0" w:color="auto"/>
        <w:bottom w:val="none" w:sz="0" w:space="0" w:color="auto"/>
        <w:right w:val="none" w:sz="0" w:space="0" w:color="auto"/>
      </w:divBdr>
    </w:div>
    <w:div w:id="348139176">
      <w:marLeft w:val="0"/>
      <w:marRight w:val="0"/>
      <w:marTop w:val="180"/>
      <w:marBottom w:val="0"/>
      <w:divBdr>
        <w:top w:val="none" w:sz="0" w:space="0" w:color="auto"/>
        <w:left w:val="none" w:sz="0" w:space="0" w:color="auto"/>
        <w:bottom w:val="none" w:sz="0" w:space="0" w:color="auto"/>
        <w:right w:val="none" w:sz="0" w:space="0" w:color="auto"/>
      </w:divBdr>
    </w:div>
    <w:div w:id="371613814">
      <w:marLeft w:val="0"/>
      <w:marRight w:val="0"/>
      <w:marTop w:val="180"/>
      <w:marBottom w:val="0"/>
      <w:divBdr>
        <w:top w:val="none" w:sz="0" w:space="0" w:color="auto"/>
        <w:left w:val="none" w:sz="0" w:space="0" w:color="auto"/>
        <w:bottom w:val="none" w:sz="0" w:space="0" w:color="auto"/>
        <w:right w:val="none" w:sz="0" w:space="0" w:color="auto"/>
      </w:divBdr>
    </w:div>
    <w:div w:id="372576998">
      <w:marLeft w:val="0"/>
      <w:marRight w:val="0"/>
      <w:marTop w:val="0"/>
      <w:marBottom w:val="0"/>
      <w:divBdr>
        <w:top w:val="none" w:sz="0" w:space="0" w:color="auto"/>
        <w:left w:val="none" w:sz="0" w:space="0" w:color="auto"/>
        <w:bottom w:val="none" w:sz="0" w:space="0" w:color="auto"/>
        <w:right w:val="none" w:sz="0" w:space="0" w:color="auto"/>
      </w:divBdr>
      <w:divsChild>
        <w:div w:id="1971130990">
          <w:marLeft w:val="0"/>
          <w:marRight w:val="0"/>
          <w:marTop w:val="180"/>
          <w:marBottom w:val="180"/>
          <w:divBdr>
            <w:top w:val="none" w:sz="0" w:space="0" w:color="auto"/>
            <w:left w:val="none" w:sz="0" w:space="0" w:color="auto"/>
            <w:bottom w:val="none" w:sz="0" w:space="0" w:color="auto"/>
            <w:right w:val="none" w:sz="0" w:space="0" w:color="auto"/>
          </w:divBdr>
        </w:div>
      </w:divsChild>
    </w:div>
    <w:div w:id="376468437">
      <w:marLeft w:val="0"/>
      <w:marRight w:val="0"/>
      <w:marTop w:val="180"/>
      <w:marBottom w:val="0"/>
      <w:divBdr>
        <w:top w:val="none" w:sz="0" w:space="0" w:color="auto"/>
        <w:left w:val="none" w:sz="0" w:space="0" w:color="auto"/>
        <w:bottom w:val="none" w:sz="0" w:space="0" w:color="auto"/>
        <w:right w:val="none" w:sz="0" w:space="0" w:color="auto"/>
      </w:divBdr>
    </w:div>
    <w:div w:id="377245499">
      <w:marLeft w:val="0"/>
      <w:marRight w:val="0"/>
      <w:marTop w:val="180"/>
      <w:marBottom w:val="0"/>
      <w:divBdr>
        <w:top w:val="none" w:sz="0" w:space="0" w:color="auto"/>
        <w:left w:val="none" w:sz="0" w:space="0" w:color="auto"/>
        <w:bottom w:val="none" w:sz="0" w:space="0" w:color="auto"/>
        <w:right w:val="none" w:sz="0" w:space="0" w:color="auto"/>
      </w:divBdr>
    </w:div>
    <w:div w:id="385228819">
      <w:marLeft w:val="0"/>
      <w:marRight w:val="0"/>
      <w:marTop w:val="180"/>
      <w:marBottom w:val="0"/>
      <w:divBdr>
        <w:top w:val="none" w:sz="0" w:space="0" w:color="auto"/>
        <w:left w:val="none" w:sz="0" w:space="0" w:color="auto"/>
        <w:bottom w:val="none" w:sz="0" w:space="0" w:color="auto"/>
        <w:right w:val="none" w:sz="0" w:space="0" w:color="auto"/>
      </w:divBdr>
    </w:div>
    <w:div w:id="405880241">
      <w:marLeft w:val="0"/>
      <w:marRight w:val="0"/>
      <w:marTop w:val="0"/>
      <w:marBottom w:val="0"/>
      <w:divBdr>
        <w:top w:val="none" w:sz="0" w:space="0" w:color="auto"/>
        <w:left w:val="none" w:sz="0" w:space="0" w:color="auto"/>
        <w:bottom w:val="none" w:sz="0" w:space="0" w:color="auto"/>
        <w:right w:val="none" w:sz="0" w:space="0" w:color="auto"/>
      </w:divBdr>
    </w:div>
    <w:div w:id="409736729">
      <w:marLeft w:val="0"/>
      <w:marRight w:val="0"/>
      <w:marTop w:val="180"/>
      <w:marBottom w:val="0"/>
      <w:divBdr>
        <w:top w:val="none" w:sz="0" w:space="0" w:color="auto"/>
        <w:left w:val="none" w:sz="0" w:space="0" w:color="auto"/>
        <w:bottom w:val="none" w:sz="0" w:space="0" w:color="auto"/>
        <w:right w:val="none" w:sz="0" w:space="0" w:color="auto"/>
      </w:divBdr>
    </w:div>
    <w:div w:id="414592318">
      <w:marLeft w:val="0"/>
      <w:marRight w:val="0"/>
      <w:marTop w:val="180"/>
      <w:marBottom w:val="0"/>
      <w:divBdr>
        <w:top w:val="none" w:sz="0" w:space="0" w:color="auto"/>
        <w:left w:val="none" w:sz="0" w:space="0" w:color="auto"/>
        <w:bottom w:val="none" w:sz="0" w:space="0" w:color="auto"/>
        <w:right w:val="none" w:sz="0" w:space="0" w:color="auto"/>
      </w:divBdr>
    </w:div>
    <w:div w:id="428548020">
      <w:marLeft w:val="0"/>
      <w:marRight w:val="0"/>
      <w:marTop w:val="240"/>
      <w:marBottom w:val="0"/>
      <w:divBdr>
        <w:top w:val="none" w:sz="0" w:space="0" w:color="auto"/>
        <w:left w:val="none" w:sz="0" w:space="0" w:color="auto"/>
        <w:bottom w:val="none" w:sz="0" w:space="0" w:color="auto"/>
        <w:right w:val="none" w:sz="0" w:space="0" w:color="auto"/>
      </w:divBdr>
    </w:div>
    <w:div w:id="434789139">
      <w:marLeft w:val="0"/>
      <w:marRight w:val="0"/>
      <w:marTop w:val="180"/>
      <w:marBottom w:val="0"/>
      <w:divBdr>
        <w:top w:val="none" w:sz="0" w:space="0" w:color="auto"/>
        <w:left w:val="none" w:sz="0" w:space="0" w:color="auto"/>
        <w:bottom w:val="none" w:sz="0" w:space="0" w:color="auto"/>
        <w:right w:val="none" w:sz="0" w:space="0" w:color="auto"/>
      </w:divBdr>
    </w:div>
    <w:div w:id="437336048">
      <w:marLeft w:val="0"/>
      <w:marRight w:val="0"/>
      <w:marTop w:val="180"/>
      <w:marBottom w:val="120"/>
      <w:divBdr>
        <w:top w:val="none" w:sz="0" w:space="0" w:color="auto"/>
        <w:left w:val="none" w:sz="0" w:space="0" w:color="auto"/>
        <w:bottom w:val="none" w:sz="0" w:space="0" w:color="auto"/>
        <w:right w:val="none" w:sz="0" w:space="0" w:color="auto"/>
      </w:divBdr>
    </w:div>
    <w:div w:id="437987458">
      <w:marLeft w:val="0"/>
      <w:marRight w:val="0"/>
      <w:marTop w:val="180"/>
      <w:marBottom w:val="0"/>
      <w:divBdr>
        <w:top w:val="none" w:sz="0" w:space="0" w:color="auto"/>
        <w:left w:val="none" w:sz="0" w:space="0" w:color="auto"/>
        <w:bottom w:val="none" w:sz="0" w:space="0" w:color="auto"/>
        <w:right w:val="none" w:sz="0" w:space="0" w:color="auto"/>
      </w:divBdr>
    </w:div>
    <w:div w:id="441412557">
      <w:marLeft w:val="0"/>
      <w:marRight w:val="0"/>
      <w:marTop w:val="300"/>
      <w:marBottom w:val="0"/>
      <w:divBdr>
        <w:top w:val="none" w:sz="0" w:space="0" w:color="auto"/>
        <w:left w:val="none" w:sz="0" w:space="0" w:color="auto"/>
        <w:bottom w:val="none" w:sz="0" w:space="0" w:color="auto"/>
        <w:right w:val="none" w:sz="0" w:space="0" w:color="auto"/>
      </w:divBdr>
    </w:div>
    <w:div w:id="441457087">
      <w:marLeft w:val="0"/>
      <w:marRight w:val="0"/>
      <w:marTop w:val="0"/>
      <w:marBottom w:val="0"/>
      <w:divBdr>
        <w:top w:val="none" w:sz="0" w:space="0" w:color="auto"/>
        <w:left w:val="none" w:sz="0" w:space="0" w:color="auto"/>
        <w:bottom w:val="none" w:sz="0" w:space="0" w:color="auto"/>
        <w:right w:val="none" w:sz="0" w:space="0" w:color="auto"/>
      </w:divBdr>
      <w:divsChild>
        <w:div w:id="2093164487">
          <w:marLeft w:val="0"/>
          <w:marRight w:val="0"/>
          <w:marTop w:val="180"/>
          <w:marBottom w:val="180"/>
          <w:divBdr>
            <w:top w:val="none" w:sz="0" w:space="0" w:color="auto"/>
            <w:left w:val="none" w:sz="0" w:space="0" w:color="auto"/>
            <w:bottom w:val="none" w:sz="0" w:space="0" w:color="auto"/>
            <w:right w:val="none" w:sz="0" w:space="0" w:color="auto"/>
          </w:divBdr>
        </w:div>
      </w:divsChild>
    </w:div>
    <w:div w:id="443840577">
      <w:marLeft w:val="0"/>
      <w:marRight w:val="0"/>
      <w:marTop w:val="180"/>
      <w:marBottom w:val="120"/>
      <w:divBdr>
        <w:top w:val="none" w:sz="0" w:space="0" w:color="auto"/>
        <w:left w:val="none" w:sz="0" w:space="0" w:color="auto"/>
        <w:bottom w:val="none" w:sz="0" w:space="0" w:color="auto"/>
        <w:right w:val="none" w:sz="0" w:space="0" w:color="auto"/>
      </w:divBdr>
    </w:div>
    <w:div w:id="445320515">
      <w:marLeft w:val="0"/>
      <w:marRight w:val="0"/>
      <w:marTop w:val="180"/>
      <w:marBottom w:val="0"/>
      <w:divBdr>
        <w:top w:val="none" w:sz="0" w:space="0" w:color="auto"/>
        <w:left w:val="none" w:sz="0" w:space="0" w:color="auto"/>
        <w:bottom w:val="none" w:sz="0" w:space="0" w:color="auto"/>
        <w:right w:val="none" w:sz="0" w:space="0" w:color="auto"/>
      </w:divBdr>
    </w:div>
    <w:div w:id="469321794">
      <w:marLeft w:val="0"/>
      <w:marRight w:val="0"/>
      <w:marTop w:val="180"/>
      <w:marBottom w:val="0"/>
      <w:divBdr>
        <w:top w:val="none" w:sz="0" w:space="0" w:color="auto"/>
        <w:left w:val="none" w:sz="0" w:space="0" w:color="auto"/>
        <w:bottom w:val="none" w:sz="0" w:space="0" w:color="auto"/>
        <w:right w:val="none" w:sz="0" w:space="0" w:color="auto"/>
      </w:divBdr>
    </w:div>
    <w:div w:id="473328686">
      <w:marLeft w:val="0"/>
      <w:marRight w:val="0"/>
      <w:marTop w:val="180"/>
      <w:marBottom w:val="0"/>
      <w:divBdr>
        <w:top w:val="none" w:sz="0" w:space="0" w:color="auto"/>
        <w:left w:val="none" w:sz="0" w:space="0" w:color="auto"/>
        <w:bottom w:val="none" w:sz="0" w:space="0" w:color="auto"/>
        <w:right w:val="none" w:sz="0" w:space="0" w:color="auto"/>
      </w:divBdr>
    </w:div>
    <w:div w:id="475074448">
      <w:marLeft w:val="0"/>
      <w:marRight w:val="0"/>
      <w:marTop w:val="60"/>
      <w:marBottom w:val="0"/>
      <w:divBdr>
        <w:top w:val="none" w:sz="0" w:space="0" w:color="auto"/>
        <w:left w:val="none" w:sz="0" w:space="0" w:color="auto"/>
        <w:bottom w:val="none" w:sz="0" w:space="0" w:color="auto"/>
        <w:right w:val="none" w:sz="0" w:space="0" w:color="auto"/>
      </w:divBdr>
    </w:div>
    <w:div w:id="479344075">
      <w:marLeft w:val="0"/>
      <w:marRight w:val="0"/>
      <w:marTop w:val="120"/>
      <w:marBottom w:val="120"/>
      <w:divBdr>
        <w:top w:val="none" w:sz="0" w:space="0" w:color="auto"/>
        <w:left w:val="none" w:sz="0" w:space="0" w:color="auto"/>
        <w:bottom w:val="none" w:sz="0" w:space="0" w:color="auto"/>
        <w:right w:val="none" w:sz="0" w:space="0" w:color="auto"/>
      </w:divBdr>
    </w:div>
    <w:div w:id="480344976">
      <w:marLeft w:val="0"/>
      <w:marRight w:val="0"/>
      <w:marTop w:val="180"/>
      <w:marBottom w:val="0"/>
      <w:divBdr>
        <w:top w:val="none" w:sz="0" w:space="0" w:color="auto"/>
        <w:left w:val="none" w:sz="0" w:space="0" w:color="auto"/>
        <w:bottom w:val="none" w:sz="0" w:space="0" w:color="auto"/>
        <w:right w:val="none" w:sz="0" w:space="0" w:color="auto"/>
      </w:divBdr>
    </w:div>
    <w:div w:id="484395190">
      <w:marLeft w:val="0"/>
      <w:marRight w:val="0"/>
      <w:marTop w:val="180"/>
      <w:marBottom w:val="0"/>
      <w:divBdr>
        <w:top w:val="none" w:sz="0" w:space="0" w:color="auto"/>
        <w:left w:val="none" w:sz="0" w:space="0" w:color="auto"/>
        <w:bottom w:val="none" w:sz="0" w:space="0" w:color="auto"/>
        <w:right w:val="none" w:sz="0" w:space="0" w:color="auto"/>
      </w:divBdr>
    </w:div>
    <w:div w:id="485514503">
      <w:marLeft w:val="0"/>
      <w:marRight w:val="0"/>
      <w:marTop w:val="60"/>
      <w:marBottom w:val="0"/>
      <w:divBdr>
        <w:top w:val="none" w:sz="0" w:space="0" w:color="auto"/>
        <w:left w:val="none" w:sz="0" w:space="0" w:color="auto"/>
        <w:bottom w:val="none" w:sz="0" w:space="0" w:color="auto"/>
        <w:right w:val="none" w:sz="0" w:space="0" w:color="auto"/>
      </w:divBdr>
    </w:div>
    <w:div w:id="485558529">
      <w:marLeft w:val="0"/>
      <w:marRight w:val="0"/>
      <w:marTop w:val="0"/>
      <w:marBottom w:val="0"/>
      <w:divBdr>
        <w:top w:val="none" w:sz="0" w:space="0" w:color="auto"/>
        <w:left w:val="none" w:sz="0" w:space="0" w:color="auto"/>
        <w:bottom w:val="none" w:sz="0" w:space="0" w:color="auto"/>
        <w:right w:val="none" w:sz="0" w:space="0" w:color="auto"/>
      </w:divBdr>
      <w:divsChild>
        <w:div w:id="883181654">
          <w:marLeft w:val="0"/>
          <w:marRight w:val="0"/>
          <w:marTop w:val="0"/>
          <w:marBottom w:val="0"/>
          <w:divBdr>
            <w:top w:val="none" w:sz="0" w:space="0" w:color="auto"/>
            <w:left w:val="none" w:sz="0" w:space="0" w:color="auto"/>
            <w:bottom w:val="none" w:sz="0" w:space="0" w:color="auto"/>
            <w:right w:val="none" w:sz="0" w:space="0" w:color="auto"/>
          </w:divBdr>
          <w:divsChild>
            <w:div w:id="17052522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96965953">
      <w:marLeft w:val="0"/>
      <w:marRight w:val="0"/>
      <w:marTop w:val="180"/>
      <w:marBottom w:val="0"/>
      <w:divBdr>
        <w:top w:val="none" w:sz="0" w:space="0" w:color="auto"/>
        <w:left w:val="none" w:sz="0" w:space="0" w:color="auto"/>
        <w:bottom w:val="none" w:sz="0" w:space="0" w:color="auto"/>
        <w:right w:val="none" w:sz="0" w:space="0" w:color="auto"/>
      </w:divBdr>
    </w:div>
    <w:div w:id="497157508">
      <w:marLeft w:val="0"/>
      <w:marRight w:val="0"/>
      <w:marTop w:val="130"/>
      <w:marBottom w:val="120"/>
      <w:divBdr>
        <w:top w:val="none" w:sz="0" w:space="0" w:color="auto"/>
        <w:left w:val="none" w:sz="0" w:space="0" w:color="auto"/>
        <w:bottom w:val="none" w:sz="0" w:space="0" w:color="auto"/>
        <w:right w:val="none" w:sz="0" w:space="0" w:color="auto"/>
      </w:divBdr>
      <w:divsChild>
        <w:div w:id="444470615">
          <w:marLeft w:val="0"/>
          <w:marRight w:val="0"/>
          <w:marTop w:val="0"/>
          <w:marBottom w:val="0"/>
          <w:divBdr>
            <w:top w:val="none" w:sz="0" w:space="0" w:color="auto"/>
            <w:left w:val="none" w:sz="0" w:space="0" w:color="auto"/>
            <w:bottom w:val="none" w:sz="0" w:space="0" w:color="auto"/>
            <w:right w:val="none" w:sz="0" w:space="0" w:color="auto"/>
          </w:divBdr>
        </w:div>
        <w:div w:id="813177322">
          <w:marLeft w:val="0"/>
          <w:marRight w:val="0"/>
          <w:marTop w:val="0"/>
          <w:marBottom w:val="0"/>
          <w:divBdr>
            <w:top w:val="none" w:sz="0" w:space="0" w:color="auto"/>
            <w:left w:val="none" w:sz="0" w:space="0" w:color="auto"/>
            <w:bottom w:val="none" w:sz="0" w:space="0" w:color="auto"/>
            <w:right w:val="none" w:sz="0" w:space="0" w:color="auto"/>
          </w:divBdr>
        </w:div>
        <w:div w:id="717902727">
          <w:marLeft w:val="0"/>
          <w:marRight w:val="0"/>
          <w:marTop w:val="0"/>
          <w:marBottom w:val="0"/>
          <w:divBdr>
            <w:top w:val="none" w:sz="0" w:space="0" w:color="auto"/>
            <w:left w:val="none" w:sz="0" w:space="0" w:color="auto"/>
            <w:bottom w:val="none" w:sz="0" w:space="0" w:color="auto"/>
            <w:right w:val="none" w:sz="0" w:space="0" w:color="auto"/>
          </w:divBdr>
        </w:div>
        <w:div w:id="2052606511">
          <w:marLeft w:val="0"/>
          <w:marRight w:val="0"/>
          <w:marTop w:val="0"/>
          <w:marBottom w:val="0"/>
          <w:divBdr>
            <w:top w:val="none" w:sz="0" w:space="0" w:color="auto"/>
            <w:left w:val="none" w:sz="0" w:space="0" w:color="auto"/>
            <w:bottom w:val="none" w:sz="0" w:space="0" w:color="auto"/>
            <w:right w:val="none" w:sz="0" w:space="0" w:color="auto"/>
          </w:divBdr>
        </w:div>
        <w:div w:id="172696287">
          <w:marLeft w:val="0"/>
          <w:marRight w:val="0"/>
          <w:marTop w:val="0"/>
          <w:marBottom w:val="0"/>
          <w:divBdr>
            <w:top w:val="none" w:sz="0" w:space="0" w:color="auto"/>
            <w:left w:val="none" w:sz="0" w:space="0" w:color="auto"/>
            <w:bottom w:val="none" w:sz="0" w:space="0" w:color="auto"/>
            <w:right w:val="none" w:sz="0" w:space="0" w:color="auto"/>
          </w:divBdr>
        </w:div>
        <w:div w:id="1521510673">
          <w:marLeft w:val="0"/>
          <w:marRight w:val="0"/>
          <w:marTop w:val="0"/>
          <w:marBottom w:val="0"/>
          <w:divBdr>
            <w:top w:val="none" w:sz="0" w:space="0" w:color="auto"/>
            <w:left w:val="none" w:sz="0" w:space="0" w:color="auto"/>
            <w:bottom w:val="none" w:sz="0" w:space="0" w:color="auto"/>
            <w:right w:val="none" w:sz="0" w:space="0" w:color="auto"/>
          </w:divBdr>
        </w:div>
        <w:div w:id="1683894056">
          <w:marLeft w:val="0"/>
          <w:marRight w:val="0"/>
          <w:marTop w:val="0"/>
          <w:marBottom w:val="0"/>
          <w:divBdr>
            <w:top w:val="none" w:sz="0" w:space="0" w:color="auto"/>
            <w:left w:val="none" w:sz="0" w:space="0" w:color="auto"/>
            <w:bottom w:val="none" w:sz="0" w:space="0" w:color="auto"/>
            <w:right w:val="none" w:sz="0" w:space="0" w:color="auto"/>
          </w:divBdr>
        </w:div>
        <w:div w:id="473910607">
          <w:marLeft w:val="0"/>
          <w:marRight w:val="0"/>
          <w:marTop w:val="0"/>
          <w:marBottom w:val="0"/>
          <w:divBdr>
            <w:top w:val="none" w:sz="0" w:space="0" w:color="auto"/>
            <w:left w:val="none" w:sz="0" w:space="0" w:color="auto"/>
            <w:bottom w:val="none" w:sz="0" w:space="0" w:color="auto"/>
            <w:right w:val="none" w:sz="0" w:space="0" w:color="auto"/>
          </w:divBdr>
        </w:div>
        <w:div w:id="1799762612">
          <w:marLeft w:val="0"/>
          <w:marRight w:val="0"/>
          <w:marTop w:val="0"/>
          <w:marBottom w:val="0"/>
          <w:divBdr>
            <w:top w:val="none" w:sz="0" w:space="0" w:color="auto"/>
            <w:left w:val="none" w:sz="0" w:space="0" w:color="auto"/>
            <w:bottom w:val="none" w:sz="0" w:space="0" w:color="auto"/>
            <w:right w:val="none" w:sz="0" w:space="0" w:color="auto"/>
          </w:divBdr>
        </w:div>
        <w:div w:id="831991636">
          <w:marLeft w:val="0"/>
          <w:marRight w:val="0"/>
          <w:marTop w:val="0"/>
          <w:marBottom w:val="0"/>
          <w:divBdr>
            <w:top w:val="none" w:sz="0" w:space="0" w:color="auto"/>
            <w:left w:val="none" w:sz="0" w:space="0" w:color="auto"/>
            <w:bottom w:val="none" w:sz="0" w:space="0" w:color="auto"/>
            <w:right w:val="none" w:sz="0" w:space="0" w:color="auto"/>
          </w:divBdr>
        </w:div>
      </w:divsChild>
    </w:div>
    <w:div w:id="499857172">
      <w:marLeft w:val="0"/>
      <w:marRight w:val="0"/>
      <w:marTop w:val="180"/>
      <w:marBottom w:val="0"/>
      <w:divBdr>
        <w:top w:val="none" w:sz="0" w:space="0" w:color="auto"/>
        <w:left w:val="none" w:sz="0" w:space="0" w:color="auto"/>
        <w:bottom w:val="none" w:sz="0" w:space="0" w:color="auto"/>
        <w:right w:val="none" w:sz="0" w:space="0" w:color="auto"/>
      </w:divBdr>
    </w:div>
    <w:div w:id="503665157">
      <w:marLeft w:val="0"/>
      <w:marRight w:val="0"/>
      <w:marTop w:val="60"/>
      <w:marBottom w:val="0"/>
      <w:divBdr>
        <w:top w:val="none" w:sz="0" w:space="0" w:color="auto"/>
        <w:left w:val="none" w:sz="0" w:space="0" w:color="auto"/>
        <w:bottom w:val="none" w:sz="0" w:space="0" w:color="auto"/>
        <w:right w:val="none" w:sz="0" w:space="0" w:color="auto"/>
      </w:divBdr>
    </w:div>
    <w:div w:id="505827524">
      <w:marLeft w:val="0"/>
      <w:marRight w:val="0"/>
      <w:marTop w:val="60"/>
      <w:marBottom w:val="0"/>
      <w:divBdr>
        <w:top w:val="none" w:sz="0" w:space="0" w:color="auto"/>
        <w:left w:val="none" w:sz="0" w:space="0" w:color="auto"/>
        <w:bottom w:val="none" w:sz="0" w:space="0" w:color="auto"/>
        <w:right w:val="none" w:sz="0" w:space="0" w:color="auto"/>
      </w:divBdr>
    </w:div>
    <w:div w:id="510029128">
      <w:marLeft w:val="0"/>
      <w:marRight w:val="0"/>
      <w:marTop w:val="180"/>
      <w:marBottom w:val="120"/>
      <w:divBdr>
        <w:top w:val="none" w:sz="0" w:space="0" w:color="auto"/>
        <w:left w:val="none" w:sz="0" w:space="0" w:color="auto"/>
        <w:bottom w:val="none" w:sz="0" w:space="0" w:color="auto"/>
        <w:right w:val="none" w:sz="0" w:space="0" w:color="auto"/>
      </w:divBdr>
    </w:div>
    <w:div w:id="510141847">
      <w:marLeft w:val="0"/>
      <w:marRight w:val="0"/>
      <w:marTop w:val="180"/>
      <w:marBottom w:val="0"/>
      <w:divBdr>
        <w:top w:val="none" w:sz="0" w:space="0" w:color="auto"/>
        <w:left w:val="none" w:sz="0" w:space="0" w:color="auto"/>
        <w:bottom w:val="none" w:sz="0" w:space="0" w:color="auto"/>
        <w:right w:val="none" w:sz="0" w:space="0" w:color="auto"/>
      </w:divBdr>
    </w:div>
    <w:div w:id="512576330">
      <w:marLeft w:val="0"/>
      <w:marRight w:val="0"/>
      <w:marTop w:val="180"/>
      <w:marBottom w:val="0"/>
      <w:divBdr>
        <w:top w:val="none" w:sz="0" w:space="0" w:color="auto"/>
        <w:left w:val="none" w:sz="0" w:space="0" w:color="auto"/>
        <w:bottom w:val="none" w:sz="0" w:space="0" w:color="auto"/>
        <w:right w:val="none" w:sz="0" w:space="0" w:color="auto"/>
      </w:divBdr>
    </w:div>
    <w:div w:id="523789457">
      <w:marLeft w:val="0"/>
      <w:marRight w:val="0"/>
      <w:marTop w:val="180"/>
      <w:marBottom w:val="0"/>
      <w:divBdr>
        <w:top w:val="none" w:sz="0" w:space="0" w:color="auto"/>
        <w:left w:val="none" w:sz="0" w:space="0" w:color="auto"/>
        <w:bottom w:val="none" w:sz="0" w:space="0" w:color="auto"/>
        <w:right w:val="none" w:sz="0" w:space="0" w:color="auto"/>
      </w:divBdr>
    </w:div>
    <w:div w:id="525212006">
      <w:marLeft w:val="0"/>
      <w:marRight w:val="0"/>
      <w:marTop w:val="180"/>
      <w:marBottom w:val="0"/>
      <w:divBdr>
        <w:top w:val="none" w:sz="0" w:space="0" w:color="auto"/>
        <w:left w:val="none" w:sz="0" w:space="0" w:color="auto"/>
        <w:bottom w:val="none" w:sz="0" w:space="0" w:color="auto"/>
        <w:right w:val="none" w:sz="0" w:space="0" w:color="auto"/>
      </w:divBdr>
    </w:div>
    <w:div w:id="527990349">
      <w:marLeft w:val="0"/>
      <w:marRight w:val="0"/>
      <w:marTop w:val="300"/>
      <w:marBottom w:val="0"/>
      <w:divBdr>
        <w:top w:val="none" w:sz="0" w:space="0" w:color="auto"/>
        <w:left w:val="none" w:sz="0" w:space="0" w:color="auto"/>
        <w:bottom w:val="none" w:sz="0" w:space="0" w:color="auto"/>
        <w:right w:val="none" w:sz="0" w:space="0" w:color="auto"/>
      </w:divBdr>
    </w:div>
    <w:div w:id="535385311">
      <w:marLeft w:val="0"/>
      <w:marRight w:val="0"/>
      <w:marTop w:val="60"/>
      <w:marBottom w:val="0"/>
      <w:divBdr>
        <w:top w:val="none" w:sz="0" w:space="0" w:color="auto"/>
        <w:left w:val="none" w:sz="0" w:space="0" w:color="auto"/>
        <w:bottom w:val="none" w:sz="0" w:space="0" w:color="auto"/>
        <w:right w:val="none" w:sz="0" w:space="0" w:color="auto"/>
      </w:divBdr>
    </w:div>
    <w:div w:id="536939932">
      <w:marLeft w:val="0"/>
      <w:marRight w:val="0"/>
      <w:marTop w:val="60"/>
      <w:marBottom w:val="0"/>
      <w:divBdr>
        <w:top w:val="none" w:sz="0" w:space="0" w:color="auto"/>
        <w:left w:val="none" w:sz="0" w:space="0" w:color="auto"/>
        <w:bottom w:val="none" w:sz="0" w:space="0" w:color="auto"/>
        <w:right w:val="none" w:sz="0" w:space="0" w:color="auto"/>
      </w:divBdr>
    </w:div>
    <w:div w:id="537745301">
      <w:marLeft w:val="0"/>
      <w:marRight w:val="0"/>
      <w:marTop w:val="160"/>
      <w:marBottom w:val="0"/>
      <w:divBdr>
        <w:top w:val="none" w:sz="0" w:space="0" w:color="auto"/>
        <w:left w:val="none" w:sz="0" w:space="0" w:color="auto"/>
        <w:bottom w:val="none" w:sz="0" w:space="0" w:color="auto"/>
        <w:right w:val="none" w:sz="0" w:space="0" w:color="auto"/>
      </w:divBdr>
    </w:div>
    <w:div w:id="539905868">
      <w:marLeft w:val="0"/>
      <w:marRight w:val="0"/>
      <w:marTop w:val="180"/>
      <w:marBottom w:val="0"/>
      <w:divBdr>
        <w:top w:val="none" w:sz="0" w:space="0" w:color="auto"/>
        <w:left w:val="none" w:sz="0" w:space="0" w:color="auto"/>
        <w:bottom w:val="none" w:sz="0" w:space="0" w:color="auto"/>
        <w:right w:val="none" w:sz="0" w:space="0" w:color="auto"/>
      </w:divBdr>
    </w:div>
    <w:div w:id="554000996">
      <w:marLeft w:val="0"/>
      <w:marRight w:val="0"/>
      <w:marTop w:val="0"/>
      <w:marBottom w:val="0"/>
      <w:divBdr>
        <w:top w:val="none" w:sz="0" w:space="0" w:color="auto"/>
        <w:left w:val="none" w:sz="0" w:space="0" w:color="auto"/>
        <w:bottom w:val="none" w:sz="0" w:space="0" w:color="auto"/>
        <w:right w:val="none" w:sz="0" w:space="0" w:color="auto"/>
      </w:divBdr>
      <w:divsChild>
        <w:div w:id="1424909310">
          <w:marLeft w:val="0"/>
          <w:marRight w:val="0"/>
          <w:marTop w:val="0"/>
          <w:marBottom w:val="0"/>
          <w:divBdr>
            <w:top w:val="none" w:sz="0" w:space="0" w:color="auto"/>
            <w:left w:val="none" w:sz="0" w:space="0" w:color="auto"/>
            <w:bottom w:val="none" w:sz="0" w:space="0" w:color="auto"/>
            <w:right w:val="none" w:sz="0" w:space="0" w:color="auto"/>
          </w:divBdr>
          <w:divsChild>
            <w:div w:id="37678555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54436964">
      <w:marLeft w:val="0"/>
      <w:marRight w:val="0"/>
      <w:marTop w:val="180"/>
      <w:marBottom w:val="0"/>
      <w:divBdr>
        <w:top w:val="none" w:sz="0" w:space="0" w:color="auto"/>
        <w:left w:val="none" w:sz="0" w:space="0" w:color="auto"/>
        <w:bottom w:val="none" w:sz="0" w:space="0" w:color="auto"/>
        <w:right w:val="none" w:sz="0" w:space="0" w:color="auto"/>
      </w:divBdr>
    </w:div>
    <w:div w:id="557669214">
      <w:marLeft w:val="0"/>
      <w:marRight w:val="0"/>
      <w:marTop w:val="180"/>
      <w:marBottom w:val="0"/>
      <w:divBdr>
        <w:top w:val="none" w:sz="0" w:space="0" w:color="auto"/>
        <w:left w:val="none" w:sz="0" w:space="0" w:color="auto"/>
        <w:bottom w:val="none" w:sz="0" w:space="0" w:color="auto"/>
        <w:right w:val="none" w:sz="0" w:space="0" w:color="auto"/>
      </w:divBdr>
    </w:div>
    <w:div w:id="568342112">
      <w:marLeft w:val="0"/>
      <w:marRight w:val="0"/>
      <w:marTop w:val="180"/>
      <w:marBottom w:val="0"/>
      <w:divBdr>
        <w:top w:val="none" w:sz="0" w:space="0" w:color="auto"/>
        <w:left w:val="none" w:sz="0" w:space="0" w:color="auto"/>
        <w:bottom w:val="none" w:sz="0" w:space="0" w:color="auto"/>
        <w:right w:val="none" w:sz="0" w:space="0" w:color="auto"/>
      </w:divBdr>
    </w:div>
    <w:div w:id="573129266">
      <w:marLeft w:val="0"/>
      <w:marRight w:val="0"/>
      <w:marTop w:val="180"/>
      <w:marBottom w:val="0"/>
      <w:divBdr>
        <w:top w:val="none" w:sz="0" w:space="0" w:color="auto"/>
        <w:left w:val="none" w:sz="0" w:space="0" w:color="auto"/>
        <w:bottom w:val="none" w:sz="0" w:space="0" w:color="auto"/>
        <w:right w:val="none" w:sz="0" w:space="0" w:color="auto"/>
      </w:divBdr>
    </w:div>
    <w:div w:id="573472071">
      <w:marLeft w:val="0"/>
      <w:marRight w:val="0"/>
      <w:marTop w:val="180"/>
      <w:marBottom w:val="60"/>
      <w:divBdr>
        <w:top w:val="none" w:sz="0" w:space="0" w:color="auto"/>
        <w:left w:val="none" w:sz="0" w:space="0" w:color="auto"/>
        <w:bottom w:val="none" w:sz="0" w:space="0" w:color="auto"/>
        <w:right w:val="none" w:sz="0" w:space="0" w:color="auto"/>
      </w:divBdr>
    </w:div>
    <w:div w:id="574053827">
      <w:marLeft w:val="0"/>
      <w:marRight w:val="0"/>
      <w:marTop w:val="180"/>
      <w:marBottom w:val="0"/>
      <w:divBdr>
        <w:top w:val="none" w:sz="0" w:space="0" w:color="auto"/>
        <w:left w:val="none" w:sz="0" w:space="0" w:color="auto"/>
        <w:bottom w:val="none" w:sz="0" w:space="0" w:color="auto"/>
        <w:right w:val="none" w:sz="0" w:space="0" w:color="auto"/>
      </w:divBdr>
    </w:div>
    <w:div w:id="576744010">
      <w:marLeft w:val="0"/>
      <w:marRight w:val="0"/>
      <w:marTop w:val="240"/>
      <w:marBottom w:val="0"/>
      <w:divBdr>
        <w:top w:val="none" w:sz="0" w:space="0" w:color="auto"/>
        <w:left w:val="none" w:sz="0" w:space="0" w:color="auto"/>
        <w:bottom w:val="none" w:sz="0" w:space="0" w:color="auto"/>
        <w:right w:val="none" w:sz="0" w:space="0" w:color="auto"/>
      </w:divBdr>
    </w:div>
    <w:div w:id="577639228">
      <w:marLeft w:val="0"/>
      <w:marRight w:val="0"/>
      <w:marTop w:val="120"/>
      <w:marBottom w:val="0"/>
      <w:divBdr>
        <w:top w:val="none" w:sz="0" w:space="0" w:color="auto"/>
        <w:left w:val="none" w:sz="0" w:space="0" w:color="auto"/>
        <w:bottom w:val="none" w:sz="0" w:space="0" w:color="auto"/>
        <w:right w:val="none" w:sz="0" w:space="0" w:color="auto"/>
      </w:divBdr>
    </w:div>
    <w:div w:id="582447862">
      <w:marLeft w:val="0"/>
      <w:marRight w:val="0"/>
      <w:marTop w:val="180"/>
      <w:marBottom w:val="120"/>
      <w:divBdr>
        <w:top w:val="none" w:sz="0" w:space="0" w:color="auto"/>
        <w:left w:val="none" w:sz="0" w:space="0" w:color="auto"/>
        <w:bottom w:val="none" w:sz="0" w:space="0" w:color="auto"/>
        <w:right w:val="none" w:sz="0" w:space="0" w:color="auto"/>
      </w:divBdr>
    </w:div>
    <w:div w:id="594750736">
      <w:marLeft w:val="0"/>
      <w:marRight w:val="0"/>
      <w:marTop w:val="180"/>
      <w:marBottom w:val="120"/>
      <w:divBdr>
        <w:top w:val="none" w:sz="0" w:space="0" w:color="auto"/>
        <w:left w:val="none" w:sz="0" w:space="0" w:color="auto"/>
        <w:bottom w:val="none" w:sz="0" w:space="0" w:color="auto"/>
        <w:right w:val="none" w:sz="0" w:space="0" w:color="auto"/>
      </w:divBdr>
    </w:div>
    <w:div w:id="595018503">
      <w:marLeft w:val="0"/>
      <w:marRight w:val="0"/>
      <w:marTop w:val="180"/>
      <w:marBottom w:val="0"/>
      <w:divBdr>
        <w:top w:val="none" w:sz="0" w:space="0" w:color="auto"/>
        <w:left w:val="none" w:sz="0" w:space="0" w:color="auto"/>
        <w:bottom w:val="none" w:sz="0" w:space="0" w:color="auto"/>
        <w:right w:val="none" w:sz="0" w:space="0" w:color="auto"/>
      </w:divBdr>
    </w:div>
    <w:div w:id="603922915">
      <w:marLeft w:val="0"/>
      <w:marRight w:val="0"/>
      <w:marTop w:val="180"/>
      <w:marBottom w:val="0"/>
      <w:divBdr>
        <w:top w:val="none" w:sz="0" w:space="0" w:color="auto"/>
        <w:left w:val="none" w:sz="0" w:space="0" w:color="auto"/>
        <w:bottom w:val="none" w:sz="0" w:space="0" w:color="auto"/>
        <w:right w:val="none" w:sz="0" w:space="0" w:color="auto"/>
      </w:divBdr>
    </w:div>
    <w:div w:id="607391719">
      <w:marLeft w:val="0"/>
      <w:marRight w:val="0"/>
      <w:marTop w:val="0"/>
      <w:marBottom w:val="0"/>
      <w:divBdr>
        <w:top w:val="none" w:sz="0" w:space="0" w:color="auto"/>
        <w:left w:val="none" w:sz="0" w:space="0" w:color="auto"/>
        <w:bottom w:val="none" w:sz="0" w:space="0" w:color="auto"/>
        <w:right w:val="none" w:sz="0" w:space="0" w:color="auto"/>
      </w:divBdr>
      <w:divsChild>
        <w:div w:id="226839725">
          <w:marLeft w:val="0"/>
          <w:marRight w:val="0"/>
          <w:marTop w:val="180"/>
          <w:marBottom w:val="180"/>
          <w:divBdr>
            <w:top w:val="none" w:sz="0" w:space="0" w:color="auto"/>
            <w:left w:val="none" w:sz="0" w:space="0" w:color="auto"/>
            <w:bottom w:val="none" w:sz="0" w:space="0" w:color="auto"/>
            <w:right w:val="none" w:sz="0" w:space="0" w:color="auto"/>
          </w:divBdr>
        </w:div>
      </w:divsChild>
    </w:div>
    <w:div w:id="610626420">
      <w:marLeft w:val="0"/>
      <w:marRight w:val="0"/>
      <w:marTop w:val="180"/>
      <w:marBottom w:val="0"/>
      <w:divBdr>
        <w:top w:val="none" w:sz="0" w:space="0" w:color="auto"/>
        <w:left w:val="none" w:sz="0" w:space="0" w:color="auto"/>
        <w:bottom w:val="none" w:sz="0" w:space="0" w:color="auto"/>
        <w:right w:val="none" w:sz="0" w:space="0" w:color="auto"/>
      </w:divBdr>
    </w:div>
    <w:div w:id="617109171">
      <w:marLeft w:val="0"/>
      <w:marRight w:val="0"/>
      <w:marTop w:val="180"/>
      <w:marBottom w:val="0"/>
      <w:divBdr>
        <w:top w:val="none" w:sz="0" w:space="0" w:color="auto"/>
        <w:left w:val="none" w:sz="0" w:space="0" w:color="auto"/>
        <w:bottom w:val="none" w:sz="0" w:space="0" w:color="auto"/>
        <w:right w:val="none" w:sz="0" w:space="0" w:color="auto"/>
      </w:divBdr>
    </w:div>
    <w:div w:id="628898148">
      <w:marLeft w:val="0"/>
      <w:marRight w:val="0"/>
      <w:marTop w:val="180"/>
      <w:marBottom w:val="0"/>
      <w:divBdr>
        <w:top w:val="none" w:sz="0" w:space="0" w:color="auto"/>
        <w:left w:val="none" w:sz="0" w:space="0" w:color="auto"/>
        <w:bottom w:val="none" w:sz="0" w:space="0" w:color="auto"/>
        <w:right w:val="none" w:sz="0" w:space="0" w:color="auto"/>
      </w:divBdr>
    </w:div>
    <w:div w:id="629556789">
      <w:marLeft w:val="0"/>
      <w:marRight w:val="0"/>
      <w:marTop w:val="180"/>
      <w:marBottom w:val="0"/>
      <w:divBdr>
        <w:top w:val="none" w:sz="0" w:space="0" w:color="auto"/>
        <w:left w:val="none" w:sz="0" w:space="0" w:color="auto"/>
        <w:bottom w:val="none" w:sz="0" w:space="0" w:color="auto"/>
        <w:right w:val="none" w:sz="0" w:space="0" w:color="auto"/>
      </w:divBdr>
    </w:div>
    <w:div w:id="631012417">
      <w:marLeft w:val="0"/>
      <w:marRight w:val="0"/>
      <w:marTop w:val="60"/>
      <w:marBottom w:val="120"/>
      <w:divBdr>
        <w:top w:val="none" w:sz="0" w:space="0" w:color="auto"/>
        <w:left w:val="none" w:sz="0" w:space="0" w:color="auto"/>
        <w:bottom w:val="none" w:sz="0" w:space="0" w:color="auto"/>
        <w:right w:val="none" w:sz="0" w:space="0" w:color="auto"/>
      </w:divBdr>
    </w:div>
    <w:div w:id="631136324">
      <w:marLeft w:val="0"/>
      <w:marRight w:val="0"/>
      <w:marTop w:val="0"/>
      <w:marBottom w:val="0"/>
      <w:divBdr>
        <w:top w:val="none" w:sz="0" w:space="0" w:color="auto"/>
        <w:left w:val="none" w:sz="0" w:space="0" w:color="auto"/>
        <w:bottom w:val="none" w:sz="0" w:space="0" w:color="auto"/>
        <w:right w:val="none" w:sz="0" w:space="0" w:color="auto"/>
      </w:divBdr>
      <w:divsChild>
        <w:div w:id="1683433963">
          <w:marLeft w:val="0"/>
          <w:marRight w:val="0"/>
          <w:marTop w:val="0"/>
          <w:marBottom w:val="0"/>
          <w:divBdr>
            <w:top w:val="none" w:sz="0" w:space="0" w:color="auto"/>
            <w:left w:val="none" w:sz="0" w:space="0" w:color="auto"/>
            <w:bottom w:val="none" w:sz="0" w:space="0" w:color="auto"/>
            <w:right w:val="none" w:sz="0" w:space="0" w:color="auto"/>
          </w:divBdr>
          <w:divsChild>
            <w:div w:id="20492532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47973210">
      <w:marLeft w:val="0"/>
      <w:marRight w:val="0"/>
      <w:marTop w:val="180"/>
      <w:marBottom w:val="0"/>
      <w:divBdr>
        <w:top w:val="none" w:sz="0" w:space="0" w:color="auto"/>
        <w:left w:val="none" w:sz="0" w:space="0" w:color="auto"/>
        <w:bottom w:val="none" w:sz="0" w:space="0" w:color="auto"/>
        <w:right w:val="none" w:sz="0" w:space="0" w:color="auto"/>
      </w:divBdr>
    </w:div>
    <w:div w:id="658770139">
      <w:marLeft w:val="0"/>
      <w:marRight w:val="0"/>
      <w:marTop w:val="180"/>
      <w:marBottom w:val="0"/>
      <w:divBdr>
        <w:top w:val="none" w:sz="0" w:space="0" w:color="auto"/>
        <w:left w:val="none" w:sz="0" w:space="0" w:color="auto"/>
        <w:bottom w:val="none" w:sz="0" w:space="0" w:color="auto"/>
        <w:right w:val="none" w:sz="0" w:space="0" w:color="auto"/>
      </w:divBdr>
    </w:div>
    <w:div w:id="662002775">
      <w:marLeft w:val="0"/>
      <w:marRight w:val="0"/>
      <w:marTop w:val="0"/>
      <w:marBottom w:val="0"/>
      <w:divBdr>
        <w:top w:val="none" w:sz="0" w:space="0" w:color="auto"/>
        <w:left w:val="none" w:sz="0" w:space="0" w:color="auto"/>
        <w:bottom w:val="none" w:sz="0" w:space="0" w:color="auto"/>
        <w:right w:val="none" w:sz="0" w:space="0" w:color="auto"/>
      </w:divBdr>
      <w:divsChild>
        <w:div w:id="876553700">
          <w:marLeft w:val="0"/>
          <w:marRight w:val="0"/>
          <w:marTop w:val="0"/>
          <w:marBottom w:val="0"/>
          <w:divBdr>
            <w:top w:val="none" w:sz="0" w:space="0" w:color="auto"/>
            <w:left w:val="none" w:sz="0" w:space="0" w:color="auto"/>
            <w:bottom w:val="none" w:sz="0" w:space="0" w:color="auto"/>
            <w:right w:val="none" w:sz="0" w:space="0" w:color="auto"/>
          </w:divBdr>
          <w:divsChild>
            <w:div w:id="203145099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66130105">
      <w:marLeft w:val="0"/>
      <w:marRight w:val="0"/>
      <w:marTop w:val="60"/>
      <w:marBottom w:val="0"/>
      <w:divBdr>
        <w:top w:val="none" w:sz="0" w:space="0" w:color="auto"/>
        <w:left w:val="none" w:sz="0" w:space="0" w:color="auto"/>
        <w:bottom w:val="none" w:sz="0" w:space="0" w:color="auto"/>
        <w:right w:val="none" w:sz="0" w:space="0" w:color="auto"/>
      </w:divBdr>
    </w:div>
    <w:div w:id="674186373">
      <w:marLeft w:val="0"/>
      <w:marRight w:val="0"/>
      <w:marTop w:val="0"/>
      <w:marBottom w:val="0"/>
      <w:divBdr>
        <w:top w:val="none" w:sz="0" w:space="0" w:color="auto"/>
        <w:left w:val="none" w:sz="0" w:space="0" w:color="auto"/>
        <w:bottom w:val="none" w:sz="0" w:space="0" w:color="auto"/>
        <w:right w:val="none" w:sz="0" w:space="0" w:color="auto"/>
      </w:divBdr>
      <w:divsChild>
        <w:div w:id="1456605566">
          <w:marLeft w:val="0"/>
          <w:marRight w:val="0"/>
          <w:marTop w:val="0"/>
          <w:marBottom w:val="0"/>
          <w:divBdr>
            <w:top w:val="none" w:sz="0" w:space="0" w:color="auto"/>
            <w:left w:val="none" w:sz="0" w:space="0" w:color="auto"/>
            <w:bottom w:val="none" w:sz="0" w:space="0" w:color="auto"/>
            <w:right w:val="none" w:sz="0" w:space="0" w:color="auto"/>
          </w:divBdr>
          <w:divsChild>
            <w:div w:id="175750726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74310936">
      <w:marLeft w:val="0"/>
      <w:marRight w:val="0"/>
      <w:marTop w:val="180"/>
      <w:marBottom w:val="0"/>
      <w:divBdr>
        <w:top w:val="none" w:sz="0" w:space="0" w:color="auto"/>
        <w:left w:val="none" w:sz="0" w:space="0" w:color="auto"/>
        <w:bottom w:val="none" w:sz="0" w:space="0" w:color="auto"/>
        <w:right w:val="none" w:sz="0" w:space="0" w:color="auto"/>
      </w:divBdr>
    </w:div>
    <w:div w:id="681051794">
      <w:marLeft w:val="0"/>
      <w:marRight w:val="0"/>
      <w:marTop w:val="180"/>
      <w:marBottom w:val="180"/>
      <w:divBdr>
        <w:top w:val="none" w:sz="0" w:space="0" w:color="auto"/>
        <w:left w:val="none" w:sz="0" w:space="0" w:color="auto"/>
        <w:bottom w:val="none" w:sz="0" w:space="0" w:color="auto"/>
        <w:right w:val="none" w:sz="0" w:space="0" w:color="auto"/>
      </w:divBdr>
    </w:div>
    <w:div w:id="682629476">
      <w:marLeft w:val="0"/>
      <w:marRight w:val="0"/>
      <w:marTop w:val="180"/>
      <w:marBottom w:val="0"/>
      <w:divBdr>
        <w:top w:val="none" w:sz="0" w:space="0" w:color="auto"/>
        <w:left w:val="none" w:sz="0" w:space="0" w:color="auto"/>
        <w:bottom w:val="none" w:sz="0" w:space="0" w:color="auto"/>
        <w:right w:val="none" w:sz="0" w:space="0" w:color="auto"/>
      </w:divBdr>
    </w:div>
    <w:div w:id="686520378">
      <w:marLeft w:val="0"/>
      <w:marRight w:val="0"/>
      <w:marTop w:val="0"/>
      <w:marBottom w:val="0"/>
      <w:divBdr>
        <w:top w:val="none" w:sz="0" w:space="0" w:color="auto"/>
        <w:left w:val="none" w:sz="0" w:space="0" w:color="auto"/>
        <w:bottom w:val="none" w:sz="0" w:space="0" w:color="auto"/>
        <w:right w:val="none" w:sz="0" w:space="0" w:color="auto"/>
      </w:divBdr>
      <w:divsChild>
        <w:div w:id="300038686">
          <w:marLeft w:val="0"/>
          <w:marRight w:val="0"/>
          <w:marTop w:val="180"/>
          <w:marBottom w:val="180"/>
          <w:divBdr>
            <w:top w:val="none" w:sz="0" w:space="0" w:color="auto"/>
            <w:left w:val="none" w:sz="0" w:space="0" w:color="auto"/>
            <w:bottom w:val="none" w:sz="0" w:space="0" w:color="auto"/>
            <w:right w:val="none" w:sz="0" w:space="0" w:color="auto"/>
          </w:divBdr>
        </w:div>
      </w:divsChild>
    </w:div>
    <w:div w:id="690256368">
      <w:marLeft w:val="0"/>
      <w:marRight w:val="0"/>
      <w:marTop w:val="180"/>
      <w:marBottom w:val="0"/>
      <w:divBdr>
        <w:top w:val="none" w:sz="0" w:space="0" w:color="auto"/>
        <w:left w:val="none" w:sz="0" w:space="0" w:color="auto"/>
        <w:bottom w:val="none" w:sz="0" w:space="0" w:color="auto"/>
        <w:right w:val="none" w:sz="0" w:space="0" w:color="auto"/>
      </w:divBdr>
    </w:div>
    <w:div w:id="694187442">
      <w:marLeft w:val="0"/>
      <w:marRight w:val="0"/>
      <w:marTop w:val="180"/>
      <w:marBottom w:val="0"/>
      <w:divBdr>
        <w:top w:val="none" w:sz="0" w:space="0" w:color="auto"/>
        <w:left w:val="none" w:sz="0" w:space="0" w:color="auto"/>
        <w:bottom w:val="none" w:sz="0" w:space="0" w:color="auto"/>
        <w:right w:val="none" w:sz="0" w:space="0" w:color="auto"/>
      </w:divBdr>
    </w:div>
    <w:div w:id="696975374">
      <w:marLeft w:val="0"/>
      <w:marRight w:val="0"/>
      <w:marTop w:val="0"/>
      <w:marBottom w:val="0"/>
      <w:divBdr>
        <w:top w:val="none" w:sz="0" w:space="0" w:color="auto"/>
        <w:left w:val="none" w:sz="0" w:space="0" w:color="auto"/>
        <w:bottom w:val="none" w:sz="0" w:space="0" w:color="auto"/>
        <w:right w:val="none" w:sz="0" w:space="0" w:color="auto"/>
      </w:divBdr>
      <w:divsChild>
        <w:div w:id="864754154">
          <w:marLeft w:val="0"/>
          <w:marRight w:val="0"/>
          <w:marTop w:val="180"/>
          <w:marBottom w:val="180"/>
          <w:divBdr>
            <w:top w:val="none" w:sz="0" w:space="0" w:color="auto"/>
            <w:left w:val="none" w:sz="0" w:space="0" w:color="auto"/>
            <w:bottom w:val="none" w:sz="0" w:space="0" w:color="auto"/>
            <w:right w:val="none" w:sz="0" w:space="0" w:color="auto"/>
          </w:divBdr>
        </w:div>
      </w:divsChild>
    </w:div>
    <w:div w:id="703604671">
      <w:marLeft w:val="0"/>
      <w:marRight w:val="0"/>
      <w:marTop w:val="0"/>
      <w:marBottom w:val="0"/>
      <w:divBdr>
        <w:top w:val="none" w:sz="0" w:space="0" w:color="auto"/>
        <w:left w:val="none" w:sz="0" w:space="0" w:color="auto"/>
        <w:bottom w:val="none" w:sz="0" w:space="0" w:color="auto"/>
        <w:right w:val="none" w:sz="0" w:space="0" w:color="auto"/>
      </w:divBdr>
      <w:divsChild>
        <w:div w:id="1983148394">
          <w:marLeft w:val="0"/>
          <w:marRight w:val="0"/>
          <w:marTop w:val="180"/>
          <w:marBottom w:val="180"/>
          <w:divBdr>
            <w:top w:val="none" w:sz="0" w:space="0" w:color="auto"/>
            <w:left w:val="none" w:sz="0" w:space="0" w:color="auto"/>
            <w:bottom w:val="none" w:sz="0" w:space="0" w:color="auto"/>
            <w:right w:val="none" w:sz="0" w:space="0" w:color="auto"/>
          </w:divBdr>
        </w:div>
      </w:divsChild>
    </w:div>
    <w:div w:id="706950196">
      <w:marLeft w:val="0"/>
      <w:marRight w:val="0"/>
      <w:marTop w:val="120"/>
      <w:marBottom w:val="0"/>
      <w:divBdr>
        <w:top w:val="none" w:sz="0" w:space="0" w:color="auto"/>
        <w:left w:val="none" w:sz="0" w:space="0" w:color="auto"/>
        <w:bottom w:val="none" w:sz="0" w:space="0" w:color="auto"/>
        <w:right w:val="none" w:sz="0" w:space="0" w:color="auto"/>
      </w:divBdr>
    </w:div>
    <w:div w:id="708454813">
      <w:marLeft w:val="0"/>
      <w:marRight w:val="0"/>
      <w:marTop w:val="180"/>
      <w:marBottom w:val="0"/>
      <w:divBdr>
        <w:top w:val="none" w:sz="0" w:space="0" w:color="auto"/>
        <w:left w:val="none" w:sz="0" w:space="0" w:color="auto"/>
        <w:bottom w:val="none" w:sz="0" w:space="0" w:color="auto"/>
        <w:right w:val="none" w:sz="0" w:space="0" w:color="auto"/>
      </w:divBdr>
    </w:div>
    <w:div w:id="711660474">
      <w:marLeft w:val="0"/>
      <w:marRight w:val="0"/>
      <w:marTop w:val="0"/>
      <w:marBottom w:val="0"/>
      <w:divBdr>
        <w:top w:val="none" w:sz="0" w:space="0" w:color="auto"/>
        <w:left w:val="none" w:sz="0" w:space="0" w:color="auto"/>
        <w:bottom w:val="none" w:sz="0" w:space="0" w:color="auto"/>
        <w:right w:val="none" w:sz="0" w:space="0" w:color="auto"/>
      </w:divBdr>
      <w:divsChild>
        <w:div w:id="2065641813">
          <w:marLeft w:val="0"/>
          <w:marRight w:val="0"/>
          <w:marTop w:val="0"/>
          <w:marBottom w:val="0"/>
          <w:divBdr>
            <w:top w:val="none" w:sz="0" w:space="0" w:color="auto"/>
            <w:left w:val="none" w:sz="0" w:space="0" w:color="auto"/>
            <w:bottom w:val="none" w:sz="0" w:space="0" w:color="auto"/>
            <w:right w:val="none" w:sz="0" w:space="0" w:color="auto"/>
          </w:divBdr>
          <w:divsChild>
            <w:div w:id="12011705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19324835">
      <w:marLeft w:val="0"/>
      <w:marRight w:val="0"/>
      <w:marTop w:val="180"/>
      <w:marBottom w:val="0"/>
      <w:divBdr>
        <w:top w:val="none" w:sz="0" w:space="0" w:color="auto"/>
        <w:left w:val="none" w:sz="0" w:space="0" w:color="auto"/>
        <w:bottom w:val="none" w:sz="0" w:space="0" w:color="auto"/>
        <w:right w:val="none" w:sz="0" w:space="0" w:color="auto"/>
      </w:divBdr>
    </w:div>
    <w:div w:id="721634904">
      <w:marLeft w:val="0"/>
      <w:marRight w:val="0"/>
      <w:marTop w:val="0"/>
      <w:marBottom w:val="0"/>
      <w:divBdr>
        <w:top w:val="none" w:sz="0" w:space="0" w:color="auto"/>
        <w:left w:val="none" w:sz="0" w:space="0" w:color="auto"/>
        <w:bottom w:val="none" w:sz="0" w:space="0" w:color="auto"/>
        <w:right w:val="none" w:sz="0" w:space="0" w:color="auto"/>
      </w:divBdr>
      <w:divsChild>
        <w:div w:id="1130514882">
          <w:marLeft w:val="0"/>
          <w:marRight w:val="0"/>
          <w:marTop w:val="0"/>
          <w:marBottom w:val="0"/>
          <w:divBdr>
            <w:top w:val="none" w:sz="0" w:space="0" w:color="auto"/>
            <w:left w:val="none" w:sz="0" w:space="0" w:color="auto"/>
            <w:bottom w:val="none" w:sz="0" w:space="0" w:color="auto"/>
            <w:right w:val="none" w:sz="0" w:space="0" w:color="auto"/>
          </w:divBdr>
          <w:divsChild>
            <w:div w:id="2437329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21713022">
      <w:marLeft w:val="0"/>
      <w:marRight w:val="0"/>
      <w:marTop w:val="0"/>
      <w:marBottom w:val="0"/>
      <w:divBdr>
        <w:top w:val="none" w:sz="0" w:space="0" w:color="auto"/>
        <w:left w:val="none" w:sz="0" w:space="0" w:color="auto"/>
        <w:bottom w:val="none" w:sz="0" w:space="0" w:color="auto"/>
        <w:right w:val="none" w:sz="0" w:space="0" w:color="auto"/>
      </w:divBdr>
      <w:divsChild>
        <w:div w:id="202787843">
          <w:marLeft w:val="0"/>
          <w:marRight w:val="0"/>
          <w:marTop w:val="180"/>
          <w:marBottom w:val="180"/>
          <w:divBdr>
            <w:top w:val="none" w:sz="0" w:space="0" w:color="auto"/>
            <w:left w:val="none" w:sz="0" w:space="0" w:color="auto"/>
            <w:bottom w:val="none" w:sz="0" w:space="0" w:color="auto"/>
            <w:right w:val="none" w:sz="0" w:space="0" w:color="auto"/>
          </w:divBdr>
        </w:div>
      </w:divsChild>
    </w:div>
    <w:div w:id="728453186">
      <w:marLeft w:val="0"/>
      <w:marRight w:val="0"/>
      <w:marTop w:val="180"/>
      <w:marBottom w:val="0"/>
      <w:divBdr>
        <w:top w:val="none" w:sz="0" w:space="0" w:color="auto"/>
        <w:left w:val="none" w:sz="0" w:space="0" w:color="auto"/>
        <w:bottom w:val="none" w:sz="0" w:space="0" w:color="auto"/>
        <w:right w:val="none" w:sz="0" w:space="0" w:color="auto"/>
      </w:divBdr>
    </w:div>
    <w:div w:id="728530678">
      <w:marLeft w:val="0"/>
      <w:marRight w:val="0"/>
      <w:marTop w:val="180"/>
      <w:marBottom w:val="0"/>
      <w:divBdr>
        <w:top w:val="none" w:sz="0" w:space="0" w:color="auto"/>
        <w:left w:val="none" w:sz="0" w:space="0" w:color="auto"/>
        <w:bottom w:val="none" w:sz="0" w:space="0" w:color="auto"/>
        <w:right w:val="none" w:sz="0" w:space="0" w:color="auto"/>
      </w:divBdr>
    </w:div>
    <w:div w:id="729810492">
      <w:marLeft w:val="0"/>
      <w:marRight w:val="0"/>
      <w:marTop w:val="180"/>
      <w:marBottom w:val="0"/>
      <w:divBdr>
        <w:top w:val="none" w:sz="0" w:space="0" w:color="auto"/>
        <w:left w:val="none" w:sz="0" w:space="0" w:color="auto"/>
        <w:bottom w:val="none" w:sz="0" w:space="0" w:color="auto"/>
        <w:right w:val="none" w:sz="0" w:space="0" w:color="auto"/>
      </w:divBdr>
    </w:div>
    <w:div w:id="734275284">
      <w:marLeft w:val="0"/>
      <w:marRight w:val="0"/>
      <w:marTop w:val="180"/>
      <w:marBottom w:val="0"/>
      <w:divBdr>
        <w:top w:val="none" w:sz="0" w:space="0" w:color="auto"/>
        <w:left w:val="none" w:sz="0" w:space="0" w:color="auto"/>
        <w:bottom w:val="none" w:sz="0" w:space="0" w:color="auto"/>
        <w:right w:val="none" w:sz="0" w:space="0" w:color="auto"/>
      </w:divBdr>
    </w:div>
    <w:div w:id="735857846">
      <w:marLeft w:val="0"/>
      <w:marRight w:val="0"/>
      <w:marTop w:val="120"/>
      <w:marBottom w:val="120"/>
      <w:divBdr>
        <w:top w:val="none" w:sz="0" w:space="0" w:color="auto"/>
        <w:left w:val="none" w:sz="0" w:space="0" w:color="auto"/>
        <w:bottom w:val="none" w:sz="0" w:space="0" w:color="auto"/>
        <w:right w:val="none" w:sz="0" w:space="0" w:color="auto"/>
      </w:divBdr>
    </w:div>
    <w:div w:id="737097163">
      <w:marLeft w:val="0"/>
      <w:marRight w:val="0"/>
      <w:marTop w:val="180"/>
      <w:marBottom w:val="120"/>
      <w:divBdr>
        <w:top w:val="none" w:sz="0" w:space="0" w:color="auto"/>
        <w:left w:val="none" w:sz="0" w:space="0" w:color="auto"/>
        <w:bottom w:val="none" w:sz="0" w:space="0" w:color="auto"/>
        <w:right w:val="none" w:sz="0" w:space="0" w:color="auto"/>
      </w:divBdr>
    </w:div>
    <w:div w:id="747773146">
      <w:marLeft w:val="0"/>
      <w:marRight w:val="0"/>
      <w:marTop w:val="180"/>
      <w:marBottom w:val="0"/>
      <w:divBdr>
        <w:top w:val="none" w:sz="0" w:space="0" w:color="auto"/>
        <w:left w:val="none" w:sz="0" w:space="0" w:color="auto"/>
        <w:bottom w:val="none" w:sz="0" w:space="0" w:color="auto"/>
        <w:right w:val="none" w:sz="0" w:space="0" w:color="auto"/>
      </w:divBdr>
    </w:div>
    <w:div w:id="761953033">
      <w:marLeft w:val="0"/>
      <w:marRight w:val="0"/>
      <w:marTop w:val="0"/>
      <w:marBottom w:val="0"/>
      <w:divBdr>
        <w:top w:val="none" w:sz="0" w:space="0" w:color="auto"/>
        <w:left w:val="none" w:sz="0" w:space="0" w:color="auto"/>
        <w:bottom w:val="none" w:sz="0" w:space="0" w:color="auto"/>
        <w:right w:val="none" w:sz="0" w:space="0" w:color="auto"/>
      </w:divBdr>
      <w:divsChild>
        <w:div w:id="1348825707">
          <w:marLeft w:val="0"/>
          <w:marRight w:val="0"/>
          <w:marTop w:val="0"/>
          <w:marBottom w:val="0"/>
          <w:divBdr>
            <w:top w:val="none" w:sz="0" w:space="0" w:color="auto"/>
            <w:left w:val="none" w:sz="0" w:space="0" w:color="auto"/>
            <w:bottom w:val="none" w:sz="0" w:space="0" w:color="auto"/>
            <w:right w:val="none" w:sz="0" w:space="0" w:color="auto"/>
          </w:divBdr>
          <w:divsChild>
            <w:div w:id="18994324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64153604">
      <w:marLeft w:val="0"/>
      <w:marRight w:val="0"/>
      <w:marTop w:val="0"/>
      <w:marBottom w:val="0"/>
      <w:divBdr>
        <w:top w:val="none" w:sz="0" w:space="0" w:color="auto"/>
        <w:left w:val="none" w:sz="0" w:space="0" w:color="auto"/>
        <w:bottom w:val="none" w:sz="0" w:space="0" w:color="auto"/>
        <w:right w:val="none" w:sz="0" w:space="0" w:color="auto"/>
      </w:divBdr>
      <w:divsChild>
        <w:div w:id="9838268">
          <w:marLeft w:val="0"/>
          <w:marRight w:val="0"/>
          <w:marTop w:val="0"/>
          <w:marBottom w:val="0"/>
          <w:divBdr>
            <w:top w:val="none" w:sz="0" w:space="0" w:color="auto"/>
            <w:left w:val="none" w:sz="0" w:space="0" w:color="auto"/>
            <w:bottom w:val="none" w:sz="0" w:space="0" w:color="auto"/>
            <w:right w:val="none" w:sz="0" w:space="0" w:color="auto"/>
          </w:divBdr>
          <w:divsChild>
            <w:div w:id="15440526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66198618">
      <w:marLeft w:val="0"/>
      <w:marRight w:val="0"/>
      <w:marTop w:val="60"/>
      <w:marBottom w:val="120"/>
      <w:divBdr>
        <w:top w:val="none" w:sz="0" w:space="0" w:color="auto"/>
        <w:left w:val="none" w:sz="0" w:space="0" w:color="auto"/>
        <w:bottom w:val="none" w:sz="0" w:space="0" w:color="auto"/>
        <w:right w:val="none" w:sz="0" w:space="0" w:color="auto"/>
      </w:divBdr>
    </w:div>
    <w:div w:id="767115202">
      <w:marLeft w:val="0"/>
      <w:marRight w:val="0"/>
      <w:marTop w:val="0"/>
      <w:marBottom w:val="0"/>
      <w:divBdr>
        <w:top w:val="none" w:sz="0" w:space="0" w:color="auto"/>
        <w:left w:val="none" w:sz="0" w:space="0" w:color="auto"/>
        <w:bottom w:val="none" w:sz="0" w:space="0" w:color="auto"/>
        <w:right w:val="none" w:sz="0" w:space="0" w:color="auto"/>
      </w:divBdr>
      <w:divsChild>
        <w:div w:id="618146833">
          <w:marLeft w:val="0"/>
          <w:marRight w:val="0"/>
          <w:marTop w:val="180"/>
          <w:marBottom w:val="180"/>
          <w:divBdr>
            <w:top w:val="none" w:sz="0" w:space="0" w:color="auto"/>
            <w:left w:val="none" w:sz="0" w:space="0" w:color="auto"/>
            <w:bottom w:val="none" w:sz="0" w:space="0" w:color="auto"/>
            <w:right w:val="none" w:sz="0" w:space="0" w:color="auto"/>
          </w:divBdr>
        </w:div>
      </w:divsChild>
    </w:div>
    <w:div w:id="778573086">
      <w:marLeft w:val="0"/>
      <w:marRight w:val="0"/>
      <w:marTop w:val="180"/>
      <w:marBottom w:val="0"/>
      <w:divBdr>
        <w:top w:val="none" w:sz="0" w:space="0" w:color="auto"/>
        <w:left w:val="none" w:sz="0" w:space="0" w:color="auto"/>
        <w:bottom w:val="none" w:sz="0" w:space="0" w:color="auto"/>
        <w:right w:val="none" w:sz="0" w:space="0" w:color="auto"/>
      </w:divBdr>
    </w:div>
    <w:div w:id="784034062">
      <w:marLeft w:val="0"/>
      <w:marRight w:val="0"/>
      <w:marTop w:val="180"/>
      <w:marBottom w:val="0"/>
      <w:divBdr>
        <w:top w:val="none" w:sz="0" w:space="0" w:color="auto"/>
        <w:left w:val="none" w:sz="0" w:space="0" w:color="auto"/>
        <w:bottom w:val="none" w:sz="0" w:space="0" w:color="auto"/>
        <w:right w:val="none" w:sz="0" w:space="0" w:color="auto"/>
      </w:divBdr>
    </w:div>
    <w:div w:id="793641083">
      <w:marLeft w:val="0"/>
      <w:marRight w:val="0"/>
      <w:marTop w:val="130"/>
      <w:marBottom w:val="120"/>
      <w:divBdr>
        <w:top w:val="none" w:sz="0" w:space="0" w:color="auto"/>
        <w:left w:val="none" w:sz="0" w:space="0" w:color="auto"/>
        <w:bottom w:val="none" w:sz="0" w:space="0" w:color="auto"/>
        <w:right w:val="none" w:sz="0" w:space="0" w:color="auto"/>
      </w:divBdr>
    </w:div>
    <w:div w:id="797534464">
      <w:marLeft w:val="0"/>
      <w:marRight w:val="0"/>
      <w:marTop w:val="240"/>
      <w:marBottom w:val="0"/>
      <w:divBdr>
        <w:top w:val="none" w:sz="0" w:space="0" w:color="auto"/>
        <w:left w:val="none" w:sz="0" w:space="0" w:color="auto"/>
        <w:bottom w:val="none" w:sz="0" w:space="0" w:color="auto"/>
        <w:right w:val="none" w:sz="0" w:space="0" w:color="auto"/>
      </w:divBdr>
    </w:div>
    <w:div w:id="801189680">
      <w:marLeft w:val="0"/>
      <w:marRight w:val="0"/>
      <w:marTop w:val="240"/>
      <w:marBottom w:val="0"/>
      <w:divBdr>
        <w:top w:val="none" w:sz="0" w:space="0" w:color="auto"/>
        <w:left w:val="none" w:sz="0" w:space="0" w:color="auto"/>
        <w:bottom w:val="none" w:sz="0" w:space="0" w:color="auto"/>
        <w:right w:val="none" w:sz="0" w:space="0" w:color="auto"/>
      </w:divBdr>
    </w:div>
    <w:div w:id="802699817">
      <w:marLeft w:val="0"/>
      <w:marRight w:val="0"/>
      <w:marTop w:val="60"/>
      <w:marBottom w:val="120"/>
      <w:divBdr>
        <w:top w:val="none" w:sz="0" w:space="0" w:color="auto"/>
        <w:left w:val="none" w:sz="0" w:space="0" w:color="auto"/>
        <w:bottom w:val="none" w:sz="0" w:space="0" w:color="auto"/>
        <w:right w:val="none" w:sz="0" w:space="0" w:color="auto"/>
      </w:divBdr>
    </w:div>
    <w:div w:id="803810084">
      <w:marLeft w:val="0"/>
      <w:marRight w:val="0"/>
      <w:marTop w:val="180"/>
      <w:marBottom w:val="0"/>
      <w:divBdr>
        <w:top w:val="none" w:sz="0" w:space="0" w:color="auto"/>
        <w:left w:val="none" w:sz="0" w:space="0" w:color="auto"/>
        <w:bottom w:val="none" w:sz="0" w:space="0" w:color="auto"/>
        <w:right w:val="none" w:sz="0" w:space="0" w:color="auto"/>
      </w:divBdr>
    </w:div>
    <w:div w:id="806968516">
      <w:marLeft w:val="0"/>
      <w:marRight w:val="0"/>
      <w:marTop w:val="180"/>
      <w:marBottom w:val="0"/>
      <w:divBdr>
        <w:top w:val="none" w:sz="0" w:space="0" w:color="auto"/>
        <w:left w:val="none" w:sz="0" w:space="0" w:color="auto"/>
        <w:bottom w:val="none" w:sz="0" w:space="0" w:color="auto"/>
        <w:right w:val="none" w:sz="0" w:space="0" w:color="auto"/>
      </w:divBdr>
    </w:div>
    <w:div w:id="808520280">
      <w:marLeft w:val="0"/>
      <w:marRight w:val="0"/>
      <w:marTop w:val="180"/>
      <w:marBottom w:val="0"/>
      <w:divBdr>
        <w:top w:val="none" w:sz="0" w:space="0" w:color="auto"/>
        <w:left w:val="none" w:sz="0" w:space="0" w:color="auto"/>
        <w:bottom w:val="none" w:sz="0" w:space="0" w:color="auto"/>
        <w:right w:val="none" w:sz="0" w:space="0" w:color="auto"/>
      </w:divBdr>
    </w:div>
    <w:div w:id="810485093">
      <w:marLeft w:val="0"/>
      <w:marRight w:val="0"/>
      <w:marTop w:val="60"/>
      <w:marBottom w:val="0"/>
      <w:divBdr>
        <w:top w:val="none" w:sz="0" w:space="0" w:color="auto"/>
        <w:left w:val="none" w:sz="0" w:space="0" w:color="auto"/>
        <w:bottom w:val="none" w:sz="0" w:space="0" w:color="auto"/>
        <w:right w:val="none" w:sz="0" w:space="0" w:color="auto"/>
      </w:divBdr>
    </w:div>
    <w:div w:id="821847509">
      <w:marLeft w:val="0"/>
      <w:marRight w:val="0"/>
      <w:marTop w:val="180"/>
      <w:marBottom w:val="0"/>
      <w:divBdr>
        <w:top w:val="none" w:sz="0" w:space="0" w:color="auto"/>
        <w:left w:val="none" w:sz="0" w:space="0" w:color="auto"/>
        <w:bottom w:val="none" w:sz="0" w:space="0" w:color="auto"/>
        <w:right w:val="none" w:sz="0" w:space="0" w:color="auto"/>
      </w:divBdr>
    </w:div>
    <w:div w:id="824977661">
      <w:marLeft w:val="0"/>
      <w:marRight w:val="0"/>
      <w:marTop w:val="0"/>
      <w:marBottom w:val="0"/>
      <w:divBdr>
        <w:top w:val="none" w:sz="0" w:space="0" w:color="auto"/>
        <w:left w:val="none" w:sz="0" w:space="0" w:color="auto"/>
        <w:bottom w:val="none" w:sz="0" w:space="0" w:color="auto"/>
        <w:right w:val="none" w:sz="0" w:space="0" w:color="auto"/>
      </w:divBdr>
      <w:divsChild>
        <w:div w:id="1911848490">
          <w:marLeft w:val="0"/>
          <w:marRight w:val="0"/>
          <w:marTop w:val="180"/>
          <w:marBottom w:val="180"/>
          <w:divBdr>
            <w:top w:val="none" w:sz="0" w:space="0" w:color="auto"/>
            <w:left w:val="none" w:sz="0" w:space="0" w:color="auto"/>
            <w:bottom w:val="none" w:sz="0" w:space="0" w:color="auto"/>
            <w:right w:val="none" w:sz="0" w:space="0" w:color="auto"/>
          </w:divBdr>
        </w:div>
      </w:divsChild>
    </w:div>
    <w:div w:id="825628409">
      <w:marLeft w:val="0"/>
      <w:marRight w:val="0"/>
      <w:marTop w:val="0"/>
      <w:marBottom w:val="0"/>
      <w:divBdr>
        <w:top w:val="none" w:sz="0" w:space="0" w:color="auto"/>
        <w:left w:val="none" w:sz="0" w:space="0" w:color="auto"/>
        <w:bottom w:val="none" w:sz="0" w:space="0" w:color="auto"/>
        <w:right w:val="none" w:sz="0" w:space="0" w:color="auto"/>
      </w:divBdr>
      <w:divsChild>
        <w:div w:id="220406361">
          <w:marLeft w:val="0"/>
          <w:marRight w:val="0"/>
          <w:marTop w:val="180"/>
          <w:marBottom w:val="180"/>
          <w:divBdr>
            <w:top w:val="none" w:sz="0" w:space="0" w:color="auto"/>
            <w:left w:val="none" w:sz="0" w:space="0" w:color="auto"/>
            <w:bottom w:val="none" w:sz="0" w:space="0" w:color="auto"/>
            <w:right w:val="none" w:sz="0" w:space="0" w:color="auto"/>
          </w:divBdr>
        </w:div>
      </w:divsChild>
    </w:div>
    <w:div w:id="831407951">
      <w:marLeft w:val="0"/>
      <w:marRight w:val="0"/>
      <w:marTop w:val="180"/>
      <w:marBottom w:val="0"/>
      <w:divBdr>
        <w:top w:val="none" w:sz="0" w:space="0" w:color="auto"/>
        <w:left w:val="none" w:sz="0" w:space="0" w:color="auto"/>
        <w:bottom w:val="none" w:sz="0" w:space="0" w:color="auto"/>
        <w:right w:val="none" w:sz="0" w:space="0" w:color="auto"/>
      </w:divBdr>
    </w:div>
    <w:div w:id="836114994">
      <w:marLeft w:val="0"/>
      <w:marRight w:val="0"/>
      <w:marTop w:val="60"/>
      <w:marBottom w:val="0"/>
      <w:divBdr>
        <w:top w:val="none" w:sz="0" w:space="0" w:color="auto"/>
        <w:left w:val="none" w:sz="0" w:space="0" w:color="auto"/>
        <w:bottom w:val="none" w:sz="0" w:space="0" w:color="auto"/>
        <w:right w:val="none" w:sz="0" w:space="0" w:color="auto"/>
      </w:divBdr>
    </w:div>
    <w:div w:id="843013417">
      <w:marLeft w:val="0"/>
      <w:marRight w:val="0"/>
      <w:marTop w:val="60"/>
      <w:marBottom w:val="0"/>
      <w:divBdr>
        <w:top w:val="none" w:sz="0" w:space="0" w:color="auto"/>
        <w:left w:val="none" w:sz="0" w:space="0" w:color="auto"/>
        <w:bottom w:val="none" w:sz="0" w:space="0" w:color="auto"/>
        <w:right w:val="none" w:sz="0" w:space="0" w:color="auto"/>
      </w:divBdr>
    </w:div>
    <w:div w:id="846090580">
      <w:marLeft w:val="0"/>
      <w:marRight w:val="0"/>
      <w:marTop w:val="180"/>
      <w:marBottom w:val="120"/>
      <w:divBdr>
        <w:top w:val="none" w:sz="0" w:space="0" w:color="auto"/>
        <w:left w:val="none" w:sz="0" w:space="0" w:color="auto"/>
        <w:bottom w:val="none" w:sz="0" w:space="0" w:color="auto"/>
        <w:right w:val="none" w:sz="0" w:space="0" w:color="auto"/>
      </w:divBdr>
    </w:div>
    <w:div w:id="848640221">
      <w:marLeft w:val="0"/>
      <w:marRight w:val="0"/>
      <w:marTop w:val="120"/>
      <w:marBottom w:val="0"/>
      <w:divBdr>
        <w:top w:val="none" w:sz="0" w:space="0" w:color="auto"/>
        <w:left w:val="none" w:sz="0" w:space="0" w:color="auto"/>
        <w:bottom w:val="none" w:sz="0" w:space="0" w:color="auto"/>
        <w:right w:val="none" w:sz="0" w:space="0" w:color="auto"/>
      </w:divBdr>
    </w:div>
    <w:div w:id="854538262">
      <w:marLeft w:val="0"/>
      <w:marRight w:val="0"/>
      <w:marTop w:val="160"/>
      <w:marBottom w:val="0"/>
      <w:divBdr>
        <w:top w:val="none" w:sz="0" w:space="0" w:color="auto"/>
        <w:left w:val="none" w:sz="0" w:space="0" w:color="auto"/>
        <w:bottom w:val="none" w:sz="0" w:space="0" w:color="auto"/>
        <w:right w:val="none" w:sz="0" w:space="0" w:color="auto"/>
      </w:divBdr>
    </w:div>
    <w:div w:id="855467050">
      <w:marLeft w:val="0"/>
      <w:marRight w:val="0"/>
      <w:marTop w:val="180"/>
      <w:marBottom w:val="0"/>
      <w:divBdr>
        <w:top w:val="none" w:sz="0" w:space="0" w:color="auto"/>
        <w:left w:val="none" w:sz="0" w:space="0" w:color="auto"/>
        <w:bottom w:val="none" w:sz="0" w:space="0" w:color="auto"/>
        <w:right w:val="none" w:sz="0" w:space="0" w:color="auto"/>
      </w:divBdr>
    </w:div>
    <w:div w:id="856500716">
      <w:marLeft w:val="0"/>
      <w:marRight w:val="0"/>
      <w:marTop w:val="0"/>
      <w:marBottom w:val="0"/>
      <w:divBdr>
        <w:top w:val="none" w:sz="0" w:space="0" w:color="auto"/>
        <w:left w:val="none" w:sz="0" w:space="0" w:color="auto"/>
        <w:bottom w:val="none" w:sz="0" w:space="0" w:color="auto"/>
        <w:right w:val="none" w:sz="0" w:space="0" w:color="auto"/>
      </w:divBdr>
      <w:divsChild>
        <w:div w:id="271058786">
          <w:marLeft w:val="0"/>
          <w:marRight w:val="0"/>
          <w:marTop w:val="0"/>
          <w:marBottom w:val="0"/>
          <w:divBdr>
            <w:top w:val="none" w:sz="0" w:space="0" w:color="auto"/>
            <w:left w:val="none" w:sz="0" w:space="0" w:color="auto"/>
            <w:bottom w:val="none" w:sz="0" w:space="0" w:color="auto"/>
            <w:right w:val="none" w:sz="0" w:space="0" w:color="auto"/>
          </w:divBdr>
          <w:divsChild>
            <w:div w:id="1239513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61667780">
      <w:marLeft w:val="0"/>
      <w:marRight w:val="0"/>
      <w:marTop w:val="120"/>
      <w:marBottom w:val="0"/>
      <w:divBdr>
        <w:top w:val="none" w:sz="0" w:space="0" w:color="auto"/>
        <w:left w:val="none" w:sz="0" w:space="0" w:color="auto"/>
        <w:bottom w:val="none" w:sz="0" w:space="0" w:color="auto"/>
        <w:right w:val="none" w:sz="0" w:space="0" w:color="auto"/>
      </w:divBdr>
    </w:div>
    <w:div w:id="870607769">
      <w:marLeft w:val="0"/>
      <w:marRight w:val="0"/>
      <w:marTop w:val="180"/>
      <w:marBottom w:val="0"/>
      <w:divBdr>
        <w:top w:val="none" w:sz="0" w:space="0" w:color="auto"/>
        <w:left w:val="none" w:sz="0" w:space="0" w:color="auto"/>
        <w:bottom w:val="none" w:sz="0" w:space="0" w:color="auto"/>
        <w:right w:val="none" w:sz="0" w:space="0" w:color="auto"/>
      </w:divBdr>
    </w:div>
    <w:div w:id="873075105">
      <w:marLeft w:val="0"/>
      <w:marRight w:val="0"/>
      <w:marTop w:val="180"/>
      <w:marBottom w:val="0"/>
      <w:divBdr>
        <w:top w:val="none" w:sz="0" w:space="0" w:color="auto"/>
        <w:left w:val="none" w:sz="0" w:space="0" w:color="auto"/>
        <w:bottom w:val="none" w:sz="0" w:space="0" w:color="auto"/>
        <w:right w:val="none" w:sz="0" w:space="0" w:color="auto"/>
      </w:divBdr>
    </w:div>
    <w:div w:id="886599347">
      <w:marLeft w:val="0"/>
      <w:marRight w:val="0"/>
      <w:marTop w:val="0"/>
      <w:marBottom w:val="0"/>
      <w:divBdr>
        <w:top w:val="none" w:sz="0" w:space="0" w:color="auto"/>
        <w:left w:val="none" w:sz="0" w:space="0" w:color="auto"/>
        <w:bottom w:val="none" w:sz="0" w:space="0" w:color="auto"/>
        <w:right w:val="none" w:sz="0" w:space="0" w:color="auto"/>
      </w:divBdr>
      <w:divsChild>
        <w:div w:id="1514301462">
          <w:marLeft w:val="0"/>
          <w:marRight w:val="0"/>
          <w:marTop w:val="0"/>
          <w:marBottom w:val="0"/>
          <w:divBdr>
            <w:top w:val="none" w:sz="0" w:space="0" w:color="auto"/>
            <w:left w:val="none" w:sz="0" w:space="0" w:color="auto"/>
            <w:bottom w:val="none" w:sz="0" w:space="0" w:color="auto"/>
            <w:right w:val="none" w:sz="0" w:space="0" w:color="auto"/>
          </w:divBdr>
          <w:divsChild>
            <w:div w:id="21219528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90115604">
      <w:marLeft w:val="0"/>
      <w:marRight w:val="0"/>
      <w:marTop w:val="240"/>
      <w:marBottom w:val="0"/>
      <w:divBdr>
        <w:top w:val="none" w:sz="0" w:space="0" w:color="auto"/>
        <w:left w:val="none" w:sz="0" w:space="0" w:color="auto"/>
        <w:bottom w:val="none" w:sz="0" w:space="0" w:color="auto"/>
        <w:right w:val="none" w:sz="0" w:space="0" w:color="auto"/>
      </w:divBdr>
    </w:div>
    <w:div w:id="891118801">
      <w:marLeft w:val="0"/>
      <w:marRight w:val="0"/>
      <w:marTop w:val="180"/>
      <w:marBottom w:val="0"/>
      <w:divBdr>
        <w:top w:val="none" w:sz="0" w:space="0" w:color="auto"/>
        <w:left w:val="none" w:sz="0" w:space="0" w:color="auto"/>
        <w:bottom w:val="none" w:sz="0" w:space="0" w:color="auto"/>
        <w:right w:val="none" w:sz="0" w:space="0" w:color="auto"/>
      </w:divBdr>
    </w:div>
    <w:div w:id="891424113">
      <w:marLeft w:val="0"/>
      <w:marRight w:val="0"/>
      <w:marTop w:val="180"/>
      <w:marBottom w:val="0"/>
      <w:divBdr>
        <w:top w:val="none" w:sz="0" w:space="0" w:color="auto"/>
        <w:left w:val="none" w:sz="0" w:space="0" w:color="auto"/>
        <w:bottom w:val="none" w:sz="0" w:space="0" w:color="auto"/>
        <w:right w:val="none" w:sz="0" w:space="0" w:color="auto"/>
      </w:divBdr>
    </w:div>
    <w:div w:id="918248447">
      <w:marLeft w:val="0"/>
      <w:marRight w:val="0"/>
      <w:marTop w:val="160"/>
      <w:marBottom w:val="0"/>
      <w:divBdr>
        <w:top w:val="none" w:sz="0" w:space="0" w:color="auto"/>
        <w:left w:val="none" w:sz="0" w:space="0" w:color="auto"/>
        <w:bottom w:val="none" w:sz="0" w:space="0" w:color="auto"/>
        <w:right w:val="none" w:sz="0" w:space="0" w:color="auto"/>
      </w:divBdr>
    </w:div>
    <w:div w:id="921380443">
      <w:marLeft w:val="0"/>
      <w:marRight w:val="0"/>
      <w:marTop w:val="180"/>
      <w:marBottom w:val="0"/>
      <w:divBdr>
        <w:top w:val="none" w:sz="0" w:space="0" w:color="auto"/>
        <w:left w:val="none" w:sz="0" w:space="0" w:color="auto"/>
        <w:bottom w:val="none" w:sz="0" w:space="0" w:color="auto"/>
        <w:right w:val="none" w:sz="0" w:space="0" w:color="auto"/>
      </w:divBdr>
    </w:div>
    <w:div w:id="922226417">
      <w:marLeft w:val="0"/>
      <w:marRight w:val="0"/>
      <w:marTop w:val="180"/>
      <w:marBottom w:val="0"/>
      <w:divBdr>
        <w:top w:val="none" w:sz="0" w:space="0" w:color="auto"/>
        <w:left w:val="none" w:sz="0" w:space="0" w:color="auto"/>
        <w:bottom w:val="none" w:sz="0" w:space="0" w:color="auto"/>
        <w:right w:val="none" w:sz="0" w:space="0" w:color="auto"/>
      </w:divBdr>
    </w:div>
    <w:div w:id="929236608">
      <w:marLeft w:val="0"/>
      <w:marRight w:val="0"/>
      <w:marTop w:val="180"/>
      <w:marBottom w:val="0"/>
      <w:divBdr>
        <w:top w:val="none" w:sz="0" w:space="0" w:color="auto"/>
        <w:left w:val="none" w:sz="0" w:space="0" w:color="auto"/>
        <w:bottom w:val="none" w:sz="0" w:space="0" w:color="auto"/>
        <w:right w:val="none" w:sz="0" w:space="0" w:color="auto"/>
      </w:divBdr>
    </w:div>
    <w:div w:id="936408420">
      <w:marLeft w:val="0"/>
      <w:marRight w:val="0"/>
      <w:marTop w:val="120"/>
      <w:marBottom w:val="0"/>
      <w:divBdr>
        <w:top w:val="none" w:sz="0" w:space="0" w:color="auto"/>
        <w:left w:val="none" w:sz="0" w:space="0" w:color="auto"/>
        <w:bottom w:val="none" w:sz="0" w:space="0" w:color="auto"/>
        <w:right w:val="none" w:sz="0" w:space="0" w:color="auto"/>
      </w:divBdr>
    </w:div>
    <w:div w:id="946893263">
      <w:marLeft w:val="0"/>
      <w:marRight w:val="0"/>
      <w:marTop w:val="60"/>
      <w:marBottom w:val="0"/>
      <w:divBdr>
        <w:top w:val="none" w:sz="0" w:space="0" w:color="auto"/>
        <w:left w:val="none" w:sz="0" w:space="0" w:color="auto"/>
        <w:bottom w:val="none" w:sz="0" w:space="0" w:color="auto"/>
        <w:right w:val="none" w:sz="0" w:space="0" w:color="auto"/>
      </w:divBdr>
    </w:div>
    <w:div w:id="955871338">
      <w:marLeft w:val="0"/>
      <w:marRight w:val="0"/>
      <w:marTop w:val="180"/>
      <w:marBottom w:val="0"/>
      <w:divBdr>
        <w:top w:val="none" w:sz="0" w:space="0" w:color="auto"/>
        <w:left w:val="none" w:sz="0" w:space="0" w:color="auto"/>
        <w:bottom w:val="none" w:sz="0" w:space="0" w:color="auto"/>
        <w:right w:val="none" w:sz="0" w:space="0" w:color="auto"/>
      </w:divBdr>
    </w:div>
    <w:div w:id="956988127">
      <w:marLeft w:val="0"/>
      <w:marRight w:val="0"/>
      <w:marTop w:val="180"/>
      <w:marBottom w:val="0"/>
      <w:divBdr>
        <w:top w:val="none" w:sz="0" w:space="0" w:color="auto"/>
        <w:left w:val="none" w:sz="0" w:space="0" w:color="auto"/>
        <w:bottom w:val="none" w:sz="0" w:space="0" w:color="auto"/>
        <w:right w:val="none" w:sz="0" w:space="0" w:color="auto"/>
      </w:divBdr>
    </w:div>
    <w:div w:id="957179116">
      <w:marLeft w:val="0"/>
      <w:marRight w:val="0"/>
      <w:marTop w:val="120"/>
      <w:marBottom w:val="120"/>
      <w:divBdr>
        <w:top w:val="none" w:sz="0" w:space="0" w:color="auto"/>
        <w:left w:val="none" w:sz="0" w:space="0" w:color="auto"/>
        <w:bottom w:val="none" w:sz="0" w:space="0" w:color="auto"/>
        <w:right w:val="none" w:sz="0" w:space="0" w:color="auto"/>
      </w:divBdr>
    </w:div>
    <w:div w:id="958532074">
      <w:marLeft w:val="0"/>
      <w:marRight w:val="0"/>
      <w:marTop w:val="180"/>
      <w:marBottom w:val="0"/>
      <w:divBdr>
        <w:top w:val="none" w:sz="0" w:space="0" w:color="auto"/>
        <w:left w:val="none" w:sz="0" w:space="0" w:color="auto"/>
        <w:bottom w:val="none" w:sz="0" w:space="0" w:color="auto"/>
        <w:right w:val="none" w:sz="0" w:space="0" w:color="auto"/>
      </w:divBdr>
    </w:div>
    <w:div w:id="959413818">
      <w:marLeft w:val="0"/>
      <w:marRight w:val="0"/>
      <w:marTop w:val="120"/>
      <w:marBottom w:val="0"/>
      <w:divBdr>
        <w:top w:val="none" w:sz="0" w:space="0" w:color="auto"/>
        <w:left w:val="none" w:sz="0" w:space="0" w:color="auto"/>
        <w:bottom w:val="none" w:sz="0" w:space="0" w:color="auto"/>
        <w:right w:val="none" w:sz="0" w:space="0" w:color="auto"/>
      </w:divBdr>
    </w:div>
    <w:div w:id="965349884">
      <w:marLeft w:val="0"/>
      <w:marRight w:val="0"/>
      <w:marTop w:val="0"/>
      <w:marBottom w:val="0"/>
      <w:divBdr>
        <w:top w:val="none" w:sz="0" w:space="0" w:color="auto"/>
        <w:left w:val="none" w:sz="0" w:space="0" w:color="auto"/>
        <w:bottom w:val="none" w:sz="0" w:space="0" w:color="auto"/>
        <w:right w:val="none" w:sz="0" w:space="0" w:color="auto"/>
      </w:divBdr>
      <w:divsChild>
        <w:div w:id="1482886653">
          <w:marLeft w:val="0"/>
          <w:marRight w:val="0"/>
          <w:marTop w:val="0"/>
          <w:marBottom w:val="0"/>
          <w:divBdr>
            <w:top w:val="none" w:sz="0" w:space="0" w:color="auto"/>
            <w:left w:val="none" w:sz="0" w:space="0" w:color="auto"/>
            <w:bottom w:val="none" w:sz="0" w:space="0" w:color="auto"/>
            <w:right w:val="none" w:sz="0" w:space="0" w:color="auto"/>
          </w:divBdr>
          <w:divsChild>
            <w:div w:id="5911603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66854019">
      <w:marLeft w:val="0"/>
      <w:marRight w:val="0"/>
      <w:marTop w:val="0"/>
      <w:marBottom w:val="0"/>
      <w:divBdr>
        <w:top w:val="none" w:sz="0" w:space="0" w:color="auto"/>
        <w:left w:val="none" w:sz="0" w:space="0" w:color="auto"/>
        <w:bottom w:val="none" w:sz="0" w:space="0" w:color="auto"/>
        <w:right w:val="none" w:sz="0" w:space="0" w:color="auto"/>
      </w:divBdr>
      <w:divsChild>
        <w:div w:id="1261404054">
          <w:marLeft w:val="0"/>
          <w:marRight w:val="0"/>
          <w:marTop w:val="0"/>
          <w:marBottom w:val="0"/>
          <w:divBdr>
            <w:top w:val="none" w:sz="0" w:space="0" w:color="auto"/>
            <w:left w:val="none" w:sz="0" w:space="0" w:color="auto"/>
            <w:bottom w:val="none" w:sz="0" w:space="0" w:color="auto"/>
            <w:right w:val="none" w:sz="0" w:space="0" w:color="auto"/>
          </w:divBdr>
          <w:divsChild>
            <w:div w:id="9197542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72177514">
      <w:marLeft w:val="0"/>
      <w:marRight w:val="0"/>
      <w:marTop w:val="120"/>
      <w:marBottom w:val="0"/>
      <w:divBdr>
        <w:top w:val="none" w:sz="0" w:space="0" w:color="auto"/>
        <w:left w:val="none" w:sz="0" w:space="0" w:color="auto"/>
        <w:bottom w:val="none" w:sz="0" w:space="0" w:color="auto"/>
        <w:right w:val="none" w:sz="0" w:space="0" w:color="auto"/>
      </w:divBdr>
    </w:div>
    <w:div w:id="984967722">
      <w:marLeft w:val="0"/>
      <w:marRight w:val="0"/>
      <w:marTop w:val="120"/>
      <w:marBottom w:val="0"/>
      <w:divBdr>
        <w:top w:val="none" w:sz="0" w:space="0" w:color="auto"/>
        <w:left w:val="none" w:sz="0" w:space="0" w:color="auto"/>
        <w:bottom w:val="none" w:sz="0" w:space="0" w:color="auto"/>
        <w:right w:val="none" w:sz="0" w:space="0" w:color="auto"/>
      </w:divBdr>
    </w:div>
    <w:div w:id="988636242">
      <w:marLeft w:val="0"/>
      <w:marRight w:val="0"/>
      <w:marTop w:val="120"/>
      <w:marBottom w:val="120"/>
      <w:divBdr>
        <w:top w:val="none" w:sz="0" w:space="0" w:color="auto"/>
        <w:left w:val="none" w:sz="0" w:space="0" w:color="auto"/>
        <w:bottom w:val="none" w:sz="0" w:space="0" w:color="auto"/>
        <w:right w:val="none" w:sz="0" w:space="0" w:color="auto"/>
      </w:divBdr>
      <w:divsChild>
        <w:div w:id="1991981369">
          <w:marLeft w:val="0"/>
          <w:marRight w:val="0"/>
          <w:marTop w:val="0"/>
          <w:marBottom w:val="0"/>
          <w:divBdr>
            <w:top w:val="none" w:sz="0" w:space="0" w:color="auto"/>
            <w:left w:val="none" w:sz="0" w:space="0" w:color="auto"/>
            <w:bottom w:val="none" w:sz="0" w:space="0" w:color="auto"/>
            <w:right w:val="none" w:sz="0" w:space="0" w:color="auto"/>
          </w:divBdr>
        </w:div>
      </w:divsChild>
    </w:div>
    <w:div w:id="989209189">
      <w:marLeft w:val="0"/>
      <w:marRight w:val="0"/>
      <w:marTop w:val="0"/>
      <w:marBottom w:val="0"/>
      <w:divBdr>
        <w:top w:val="none" w:sz="0" w:space="0" w:color="auto"/>
        <w:left w:val="none" w:sz="0" w:space="0" w:color="auto"/>
        <w:bottom w:val="none" w:sz="0" w:space="0" w:color="auto"/>
        <w:right w:val="none" w:sz="0" w:space="0" w:color="auto"/>
      </w:divBdr>
      <w:divsChild>
        <w:div w:id="956178275">
          <w:marLeft w:val="0"/>
          <w:marRight w:val="0"/>
          <w:marTop w:val="0"/>
          <w:marBottom w:val="0"/>
          <w:divBdr>
            <w:top w:val="none" w:sz="0" w:space="0" w:color="auto"/>
            <w:left w:val="none" w:sz="0" w:space="0" w:color="auto"/>
            <w:bottom w:val="none" w:sz="0" w:space="0" w:color="auto"/>
            <w:right w:val="none" w:sz="0" w:space="0" w:color="auto"/>
          </w:divBdr>
          <w:divsChild>
            <w:div w:id="5753567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94069588">
      <w:marLeft w:val="0"/>
      <w:marRight w:val="0"/>
      <w:marTop w:val="180"/>
      <w:marBottom w:val="180"/>
      <w:divBdr>
        <w:top w:val="none" w:sz="0" w:space="0" w:color="auto"/>
        <w:left w:val="none" w:sz="0" w:space="0" w:color="auto"/>
        <w:bottom w:val="none" w:sz="0" w:space="0" w:color="auto"/>
        <w:right w:val="none" w:sz="0" w:space="0" w:color="auto"/>
      </w:divBdr>
    </w:div>
    <w:div w:id="1000625002">
      <w:marLeft w:val="0"/>
      <w:marRight w:val="0"/>
      <w:marTop w:val="180"/>
      <w:marBottom w:val="0"/>
      <w:divBdr>
        <w:top w:val="none" w:sz="0" w:space="0" w:color="auto"/>
        <w:left w:val="none" w:sz="0" w:space="0" w:color="auto"/>
        <w:bottom w:val="none" w:sz="0" w:space="0" w:color="auto"/>
        <w:right w:val="none" w:sz="0" w:space="0" w:color="auto"/>
      </w:divBdr>
    </w:div>
    <w:div w:id="1012728484">
      <w:marLeft w:val="0"/>
      <w:marRight w:val="0"/>
      <w:marTop w:val="0"/>
      <w:marBottom w:val="0"/>
      <w:divBdr>
        <w:top w:val="none" w:sz="0" w:space="0" w:color="auto"/>
        <w:left w:val="none" w:sz="0" w:space="0" w:color="auto"/>
        <w:bottom w:val="none" w:sz="0" w:space="0" w:color="auto"/>
        <w:right w:val="none" w:sz="0" w:space="0" w:color="auto"/>
      </w:divBdr>
      <w:divsChild>
        <w:div w:id="502824240">
          <w:marLeft w:val="0"/>
          <w:marRight w:val="0"/>
          <w:marTop w:val="180"/>
          <w:marBottom w:val="180"/>
          <w:divBdr>
            <w:top w:val="none" w:sz="0" w:space="0" w:color="auto"/>
            <w:left w:val="none" w:sz="0" w:space="0" w:color="auto"/>
            <w:bottom w:val="none" w:sz="0" w:space="0" w:color="auto"/>
            <w:right w:val="none" w:sz="0" w:space="0" w:color="auto"/>
          </w:divBdr>
        </w:div>
      </w:divsChild>
    </w:div>
    <w:div w:id="1016004932">
      <w:marLeft w:val="0"/>
      <w:marRight w:val="0"/>
      <w:marTop w:val="180"/>
      <w:marBottom w:val="0"/>
      <w:divBdr>
        <w:top w:val="none" w:sz="0" w:space="0" w:color="auto"/>
        <w:left w:val="none" w:sz="0" w:space="0" w:color="auto"/>
        <w:bottom w:val="none" w:sz="0" w:space="0" w:color="auto"/>
        <w:right w:val="none" w:sz="0" w:space="0" w:color="auto"/>
      </w:divBdr>
    </w:div>
    <w:div w:id="1020933086">
      <w:marLeft w:val="0"/>
      <w:marRight w:val="0"/>
      <w:marTop w:val="180"/>
      <w:marBottom w:val="0"/>
      <w:divBdr>
        <w:top w:val="none" w:sz="0" w:space="0" w:color="auto"/>
        <w:left w:val="none" w:sz="0" w:space="0" w:color="auto"/>
        <w:bottom w:val="none" w:sz="0" w:space="0" w:color="auto"/>
        <w:right w:val="none" w:sz="0" w:space="0" w:color="auto"/>
      </w:divBdr>
    </w:div>
    <w:div w:id="1026566349">
      <w:marLeft w:val="0"/>
      <w:marRight w:val="0"/>
      <w:marTop w:val="0"/>
      <w:marBottom w:val="0"/>
      <w:divBdr>
        <w:top w:val="none" w:sz="0" w:space="0" w:color="auto"/>
        <w:left w:val="none" w:sz="0" w:space="0" w:color="auto"/>
        <w:bottom w:val="none" w:sz="0" w:space="0" w:color="auto"/>
        <w:right w:val="none" w:sz="0" w:space="0" w:color="auto"/>
      </w:divBdr>
    </w:div>
    <w:div w:id="1026951555">
      <w:marLeft w:val="0"/>
      <w:marRight w:val="0"/>
      <w:marTop w:val="180"/>
      <w:marBottom w:val="0"/>
      <w:divBdr>
        <w:top w:val="none" w:sz="0" w:space="0" w:color="auto"/>
        <w:left w:val="none" w:sz="0" w:space="0" w:color="auto"/>
        <w:bottom w:val="none" w:sz="0" w:space="0" w:color="auto"/>
        <w:right w:val="none" w:sz="0" w:space="0" w:color="auto"/>
      </w:divBdr>
    </w:div>
    <w:div w:id="1038505006">
      <w:marLeft w:val="0"/>
      <w:marRight w:val="0"/>
      <w:marTop w:val="180"/>
      <w:marBottom w:val="0"/>
      <w:divBdr>
        <w:top w:val="none" w:sz="0" w:space="0" w:color="auto"/>
        <w:left w:val="none" w:sz="0" w:space="0" w:color="auto"/>
        <w:bottom w:val="none" w:sz="0" w:space="0" w:color="auto"/>
        <w:right w:val="none" w:sz="0" w:space="0" w:color="auto"/>
      </w:divBdr>
    </w:div>
    <w:div w:id="1040515790">
      <w:marLeft w:val="0"/>
      <w:marRight w:val="0"/>
      <w:marTop w:val="240"/>
      <w:marBottom w:val="0"/>
      <w:divBdr>
        <w:top w:val="none" w:sz="0" w:space="0" w:color="auto"/>
        <w:left w:val="none" w:sz="0" w:space="0" w:color="auto"/>
        <w:bottom w:val="none" w:sz="0" w:space="0" w:color="auto"/>
        <w:right w:val="none" w:sz="0" w:space="0" w:color="auto"/>
      </w:divBdr>
    </w:div>
    <w:div w:id="1041904597">
      <w:marLeft w:val="0"/>
      <w:marRight w:val="0"/>
      <w:marTop w:val="180"/>
      <w:marBottom w:val="0"/>
      <w:divBdr>
        <w:top w:val="none" w:sz="0" w:space="0" w:color="auto"/>
        <w:left w:val="none" w:sz="0" w:space="0" w:color="auto"/>
        <w:bottom w:val="none" w:sz="0" w:space="0" w:color="auto"/>
        <w:right w:val="none" w:sz="0" w:space="0" w:color="auto"/>
      </w:divBdr>
    </w:div>
    <w:div w:id="1044914076">
      <w:marLeft w:val="0"/>
      <w:marRight w:val="0"/>
      <w:marTop w:val="0"/>
      <w:marBottom w:val="0"/>
      <w:divBdr>
        <w:top w:val="none" w:sz="0" w:space="0" w:color="auto"/>
        <w:left w:val="none" w:sz="0" w:space="0" w:color="auto"/>
        <w:bottom w:val="none" w:sz="0" w:space="0" w:color="auto"/>
        <w:right w:val="none" w:sz="0" w:space="0" w:color="auto"/>
      </w:divBdr>
      <w:divsChild>
        <w:div w:id="1448310337">
          <w:marLeft w:val="0"/>
          <w:marRight w:val="0"/>
          <w:marTop w:val="180"/>
          <w:marBottom w:val="180"/>
          <w:divBdr>
            <w:top w:val="none" w:sz="0" w:space="0" w:color="auto"/>
            <w:left w:val="none" w:sz="0" w:space="0" w:color="auto"/>
            <w:bottom w:val="none" w:sz="0" w:space="0" w:color="auto"/>
            <w:right w:val="none" w:sz="0" w:space="0" w:color="auto"/>
          </w:divBdr>
        </w:div>
      </w:divsChild>
    </w:div>
    <w:div w:id="1047728729">
      <w:marLeft w:val="0"/>
      <w:marRight w:val="0"/>
      <w:marTop w:val="120"/>
      <w:marBottom w:val="0"/>
      <w:divBdr>
        <w:top w:val="none" w:sz="0" w:space="0" w:color="auto"/>
        <w:left w:val="none" w:sz="0" w:space="0" w:color="auto"/>
        <w:bottom w:val="none" w:sz="0" w:space="0" w:color="auto"/>
        <w:right w:val="none" w:sz="0" w:space="0" w:color="auto"/>
      </w:divBdr>
    </w:div>
    <w:div w:id="1049693972">
      <w:marLeft w:val="0"/>
      <w:marRight w:val="0"/>
      <w:marTop w:val="0"/>
      <w:marBottom w:val="0"/>
      <w:divBdr>
        <w:top w:val="none" w:sz="0" w:space="0" w:color="auto"/>
        <w:left w:val="none" w:sz="0" w:space="0" w:color="auto"/>
        <w:bottom w:val="none" w:sz="0" w:space="0" w:color="auto"/>
        <w:right w:val="none" w:sz="0" w:space="0" w:color="auto"/>
      </w:divBdr>
      <w:divsChild>
        <w:div w:id="854732361">
          <w:marLeft w:val="0"/>
          <w:marRight w:val="0"/>
          <w:marTop w:val="0"/>
          <w:marBottom w:val="0"/>
          <w:divBdr>
            <w:top w:val="none" w:sz="0" w:space="0" w:color="auto"/>
            <w:left w:val="none" w:sz="0" w:space="0" w:color="auto"/>
            <w:bottom w:val="none" w:sz="0" w:space="0" w:color="auto"/>
            <w:right w:val="none" w:sz="0" w:space="0" w:color="auto"/>
          </w:divBdr>
          <w:divsChild>
            <w:div w:id="17189727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57389938">
      <w:marLeft w:val="0"/>
      <w:marRight w:val="0"/>
      <w:marTop w:val="0"/>
      <w:marBottom w:val="0"/>
      <w:divBdr>
        <w:top w:val="none" w:sz="0" w:space="0" w:color="auto"/>
        <w:left w:val="none" w:sz="0" w:space="0" w:color="auto"/>
        <w:bottom w:val="none" w:sz="0" w:space="0" w:color="auto"/>
        <w:right w:val="none" w:sz="0" w:space="0" w:color="auto"/>
      </w:divBdr>
      <w:divsChild>
        <w:div w:id="1336153394">
          <w:marLeft w:val="0"/>
          <w:marRight w:val="0"/>
          <w:marTop w:val="180"/>
          <w:marBottom w:val="180"/>
          <w:divBdr>
            <w:top w:val="none" w:sz="0" w:space="0" w:color="auto"/>
            <w:left w:val="none" w:sz="0" w:space="0" w:color="auto"/>
            <w:bottom w:val="none" w:sz="0" w:space="0" w:color="auto"/>
            <w:right w:val="none" w:sz="0" w:space="0" w:color="auto"/>
          </w:divBdr>
        </w:div>
      </w:divsChild>
    </w:div>
    <w:div w:id="1061907906">
      <w:marLeft w:val="0"/>
      <w:marRight w:val="0"/>
      <w:marTop w:val="180"/>
      <w:marBottom w:val="0"/>
      <w:divBdr>
        <w:top w:val="none" w:sz="0" w:space="0" w:color="auto"/>
        <w:left w:val="none" w:sz="0" w:space="0" w:color="auto"/>
        <w:bottom w:val="none" w:sz="0" w:space="0" w:color="auto"/>
        <w:right w:val="none" w:sz="0" w:space="0" w:color="auto"/>
      </w:divBdr>
    </w:div>
    <w:div w:id="1065177073">
      <w:marLeft w:val="0"/>
      <w:marRight w:val="0"/>
      <w:marTop w:val="60"/>
      <w:marBottom w:val="120"/>
      <w:divBdr>
        <w:top w:val="none" w:sz="0" w:space="0" w:color="auto"/>
        <w:left w:val="none" w:sz="0" w:space="0" w:color="auto"/>
        <w:bottom w:val="none" w:sz="0" w:space="0" w:color="auto"/>
        <w:right w:val="none" w:sz="0" w:space="0" w:color="auto"/>
      </w:divBdr>
    </w:div>
    <w:div w:id="1066686365">
      <w:marLeft w:val="0"/>
      <w:marRight w:val="0"/>
      <w:marTop w:val="120"/>
      <w:marBottom w:val="0"/>
      <w:divBdr>
        <w:top w:val="none" w:sz="0" w:space="0" w:color="auto"/>
        <w:left w:val="none" w:sz="0" w:space="0" w:color="auto"/>
        <w:bottom w:val="none" w:sz="0" w:space="0" w:color="auto"/>
        <w:right w:val="none" w:sz="0" w:space="0" w:color="auto"/>
      </w:divBdr>
    </w:div>
    <w:div w:id="1067413063">
      <w:marLeft w:val="0"/>
      <w:marRight w:val="0"/>
      <w:marTop w:val="180"/>
      <w:marBottom w:val="0"/>
      <w:divBdr>
        <w:top w:val="none" w:sz="0" w:space="0" w:color="auto"/>
        <w:left w:val="none" w:sz="0" w:space="0" w:color="auto"/>
        <w:bottom w:val="none" w:sz="0" w:space="0" w:color="auto"/>
        <w:right w:val="none" w:sz="0" w:space="0" w:color="auto"/>
      </w:divBdr>
    </w:div>
    <w:div w:id="1070079984">
      <w:marLeft w:val="0"/>
      <w:marRight w:val="0"/>
      <w:marTop w:val="180"/>
      <w:marBottom w:val="0"/>
      <w:divBdr>
        <w:top w:val="none" w:sz="0" w:space="0" w:color="auto"/>
        <w:left w:val="none" w:sz="0" w:space="0" w:color="auto"/>
        <w:bottom w:val="none" w:sz="0" w:space="0" w:color="auto"/>
        <w:right w:val="none" w:sz="0" w:space="0" w:color="auto"/>
      </w:divBdr>
    </w:div>
    <w:div w:id="1073772309">
      <w:marLeft w:val="0"/>
      <w:marRight w:val="0"/>
      <w:marTop w:val="180"/>
      <w:marBottom w:val="0"/>
      <w:divBdr>
        <w:top w:val="none" w:sz="0" w:space="0" w:color="auto"/>
        <w:left w:val="none" w:sz="0" w:space="0" w:color="auto"/>
        <w:bottom w:val="none" w:sz="0" w:space="0" w:color="auto"/>
        <w:right w:val="none" w:sz="0" w:space="0" w:color="auto"/>
      </w:divBdr>
    </w:div>
    <w:div w:id="1080101435">
      <w:marLeft w:val="0"/>
      <w:marRight w:val="0"/>
      <w:marTop w:val="120"/>
      <w:marBottom w:val="0"/>
      <w:divBdr>
        <w:top w:val="none" w:sz="0" w:space="0" w:color="auto"/>
        <w:left w:val="none" w:sz="0" w:space="0" w:color="auto"/>
        <w:bottom w:val="none" w:sz="0" w:space="0" w:color="auto"/>
        <w:right w:val="none" w:sz="0" w:space="0" w:color="auto"/>
      </w:divBdr>
    </w:div>
    <w:div w:id="1084834602">
      <w:marLeft w:val="0"/>
      <w:marRight w:val="0"/>
      <w:marTop w:val="180"/>
      <w:marBottom w:val="180"/>
      <w:divBdr>
        <w:top w:val="none" w:sz="0" w:space="0" w:color="auto"/>
        <w:left w:val="none" w:sz="0" w:space="0" w:color="auto"/>
        <w:bottom w:val="none" w:sz="0" w:space="0" w:color="auto"/>
        <w:right w:val="none" w:sz="0" w:space="0" w:color="auto"/>
      </w:divBdr>
    </w:div>
    <w:div w:id="1085611559">
      <w:marLeft w:val="0"/>
      <w:marRight w:val="0"/>
      <w:marTop w:val="180"/>
      <w:marBottom w:val="120"/>
      <w:divBdr>
        <w:top w:val="none" w:sz="0" w:space="0" w:color="auto"/>
        <w:left w:val="none" w:sz="0" w:space="0" w:color="auto"/>
        <w:bottom w:val="none" w:sz="0" w:space="0" w:color="auto"/>
        <w:right w:val="none" w:sz="0" w:space="0" w:color="auto"/>
      </w:divBdr>
    </w:div>
    <w:div w:id="1088888173">
      <w:marLeft w:val="0"/>
      <w:marRight w:val="0"/>
      <w:marTop w:val="180"/>
      <w:marBottom w:val="0"/>
      <w:divBdr>
        <w:top w:val="none" w:sz="0" w:space="0" w:color="auto"/>
        <w:left w:val="none" w:sz="0" w:space="0" w:color="auto"/>
        <w:bottom w:val="none" w:sz="0" w:space="0" w:color="auto"/>
        <w:right w:val="none" w:sz="0" w:space="0" w:color="auto"/>
      </w:divBdr>
    </w:div>
    <w:div w:id="1094739477">
      <w:marLeft w:val="0"/>
      <w:marRight w:val="0"/>
      <w:marTop w:val="180"/>
      <w:marBottom w:val="0"/>
      <w:divBdr>
        <w:top w:val="none" w:sz="0" w:space="0" w:color="auto"/>
        <w:left w:val="none" w:sz="0" w:space="0" w:color="auto"/>
        <w:bottom w:val="none" w:sz="0" w:space="0" w:color="auto"/>
        <w:right w:val="none" w:sz="0" w:space="0" w:color="auto"/>
      </w:divBdr>
    </w:div>
    <w:div w:id="1110780013">
      <w:marLeft w:val="0"/>
      <w:marRight w:val="0"/>
      <w:marTop w:val="180"/>
      <w:marBottom w:val="0"/>
      <w:divBdr>
        <w:top w:val="none" w:sz="0" w:space="0" w:color="auto"/>
        <w:left w:val="none" w:sz="0" w:space="0" w:color="auto"/>
        <w:bottom w:val="none" w:sz="0" w:space="0" w:color="auto"/>
        <w:right w:val="none" w:sz="0" w:space="0" w:color="auto"/>
      </w:divBdr>
    </w:div>
    <w:div w:id="1114903603">
      <w:marLeft w:val="0"/>
      <w:marRight w:val="0"/>
      <w:marTop w:val="180"/>
      <w:marBottom w:val="0"/>
      <w:divBdr>
        <w:top w:val="none" w:sz="0" w:space="0" w:color="auto"/>
        <w:left w:val="none" w:sz="0" w:space="0" w:color="auto"/>
        <w:bottom w:val="none" w:sz="0" w:space="0" w:color="auto"/>
        <w:right w:val="none" w:sz="0" w:space="0" w:color="auto"/>
      </w:divBdr>
    </w:div>
    <w:div w:id="1120684604">
      <w:marLeft w:val="0"/>
      <w:marRight w:val="0"/>
      <w:marTop w:val="0"/>
      <w:marBottom w:val="0"/>
      <w:divBdr>
        <w:top w:val="none" w:sz="0" w:space="0" w:color="auto"/>
        <w:left w:val="none" w:sz="0" w:space="0" w:color="auto"/>
        <w:bottom w:val="none" w:sz="0" w:space="0" w:color="auto"/>
        <w:right w:val="none" w:sz="0" w:space="0" w:color="auto"/>
      </w:divBdr>
      <w:divsChild>
        <w:div w:id="1698383061">
          <w:marLeft w:val="0"/>
          <w:marRight w:val="0"/>
          <w:marTop w:val="180"/>
          <w:marBottom w:val="0"/>
          <w:divBdr>
            <w:top w:val="none" w:sz="0" w:space="0" w:color="auto"/>
            <w:left w:val="none" w:sz="0" w:space="0" w:color="auto"/>
            <w:bottom w:val="none" w:sz="0" w:space="0" w:color="auto"/>
            <w:right w:val="none" w:sz="0" w:space="0" w:color="auto"/>
          </w:divBdr>
        </w:div>
      </w:divsChild>
    </w:div>
    <w:div w:id="1120688221">
      <w:marLeft w:val="0"/>
      <w:marRight w:val="0"/>
      <w:marTop w:val="0"/>
      <w:marBottom w:val="0"/>
      <w:divBdr>
        <w:top w:val="none" w:sz="0" w:space="0" w:color="auto"/>
        <w:left w:val="none" w:sz="0" w:space="0" w:color="auto"/>
        <w:bottom w:val="none" w:sz="0" w:space="0" w:color="auto"/>
        <w:right w:val="none" w:sz="0" w:space="0" w:color="auto"/>
      </w:divBdr>
      <w:divsChild>
        <w:div w:id="1964380513">
          <w:marLeft w:val="0"/>
          <w:marRight w:val="0"/>
          <w:marTop w:val="0"/>
          <w:marBottom w:val="0"/>
          <w:divBdr>
            <w:top w:val="none" w:sz="0" w:space="0" w:color="auto"/>
            <w:left w:val="none" w:sz="0" w:space="0" w:color="auto"/>
            <w:bottom w:val="none" w:sz="0" w:space="0" w:color="auto"/>
            <w:right w:val="none" w:sz="0" w:space="0" w:color="auto"/>
          </w:divBdr>
          <w:divsChild>
            <w:div w:id="60608787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28157506">
      <w:marLeft w:val="0"/>
      <w:marRight w:val="0"/>
      <w:marTop w:val="0"/>
      <w:marBottom w:val="0"/>
      <w:divBdr>
        <w:top w:val="none" w:sz="0" w:space="0" w:color="auto"/>
        <w:left w:val="none" w:sz="0" w:space="0" w:color="auto"/>
        <w:bottom w:val="none" w:sz="0" w:space="0" w:color="auto"/>
        <w:right w:val="none" w:sz="0" w:space="0" w:color="auto"/>
      </w:divBdr>
      <w:divsChild>
        <w:div w:id="1225409546">
          <w:marLeft w:val="0"/>
          <w:marRight w:val="0"/>
          <w:marTop w:val="180"/>
          <w:marBottom w:val="180"/>
          <w:divBdr>
            <w:top w:val="none" w:sz="0" w:space="0" w:color="auto"/>
            <w:left w:val="none" w:sz="0" w:space="0" w:color="auto"/>
            <w:bottom w:val="none" w:sz="0" w:space="0" w:color="auto"/>
            <w:right w:val="none" w:sz="0" w:space="0" w:color="auto"/>
          </w:divBdr>
        </w:div>
      </w:divsChild>
    </w:div>
    <w:div w:id="1132017711">
      <w:marLeft w:val="0"/>
      <w:marRight w:val="0"/>
      <w:marTop w:val="180"/>
      <w:marBottom w:val="0"/>
      <w:divBdr>
        <w:top w:val="none" w:sz="0" w:space="0" w:color="auto"/>
        <w:left w:val="none" w:sz="0" w:space="0" w:color="auto"/>
        <w:bottom w:val="none" w:sz="0" w:space="0" w:color="auto"/>
        <w:right w:val="none" w:sz="0" w:space="0" w:color="auto"/>
      </w:divBdr>
    </w:div>
    <w:div w:id="1142237739">
      <w:marLeft w:val="0"/>
      <w:marRight w:val="0"/>
      <w:marTop w:val="180"/>
      <w:marBottom w:val="0"/>
      <w:divBdr>
        <w:top w:val="none" w:sz="0" w:space="0" w:color="auto"/>
        <w:left w:val="none" w:sz="0" w:space="0" w:color="auto"/>
        <w:bottom w:val="none" w:sz="0" w:space="0" w:color="auto"/>
        <w:right w:val="none" w:sz="0" w:space="0" w:color="auto"/>
      </w:divBdr>
    </w:div>
    <w:div w:id="1143430030">
      <w:marLeft w:val="0"/>
      <w:marRight w:val="0"/>
      <w:marTop w:val="180"/>
      <w:marBottom w:val="0"/>
      <w:divBdr>
        <w:top w:val="none" w:sz="0" w:space="0" w:color="auto"/>
        <w:left w:val="none" w:sz="0" w:space="0" w:color="auto"/>
        <w:bottom w:val="none" w:sz="0" w:space="0" w:color="auto"/>
        <w:right w:val="none" w:sz="0" w:space="0" w:color="auto"/>
      </w:divBdr>
    </w:div>
    <w:div w:id="1147043294">
      <w:marLeft w:val="0"/>
      <w:marRight w:val="0"/>
      <w:marTop w:val="180"/>
      <w:marBottom w:val="0"/>
      <w:divBdr>
        <w:top w:val="none" w:sz="0" w:space="0" w:color="auto"/>
        <w:left w:val="none" w:sz="0" w:space="0" w:color="auto"/>
        <w:bottom w:val="none" w:sz="0" w:space="0" w:color="auto"/>
        <w:right w:val="none" w:sz="0" w:space="0" w:color="auto"/>
      </w:divBdr>
    </w:div>
    <w:div w:id="1166825204">
      <w:marLeft w:val="0"/>
      <w:marRight w:val="0"/>
      <w:marTop w:val="300"/>
      <w:marBottom w:val="0"/>
      <w:divBdr>
        <w:top w:val="none" w:sz="0" w:space="0" w:color="auto"/>
        <w:left w:val="none" w:sz="0" w:space="0" w:color="auto"/>
        <w:bottom w:val="none" w:sz="0" w:space="0" w:color="auto"/>
        <w:right w:val="none" w:sz="0" w:space="0" w:color="auto"/>
      </w:divBdr>
    </w:div>
    <w:div w:id="1171487915">
      <w:marLeft w:val="0"/>
      <w:marRight w:val="0"/>
      <w:marTop w:val="0"/>
      <w:marBottom w:val="0"/>
      <w:divBdr>
        <w:top w:val="none" w:sz="0" w:space="0" w:color="auto"/>
        <w:left w:val="none" w:sz="0" w:space="0" w:color="auto"/>
        <w:bottom w:val="none" w:sz="0" w:space="0" w:color="auto"/>
        <w:right w:val="none" w:sz="0" w:space="0" w:color="auto"/>
      </w:divBdr>
      <w:divsChild>
        <w:div w:id="1992561984">
          <w:marLeft w:val="0"/>
          <w:marRight w:val="0"/>
          <w:marTop w:val="0"/>
          <w:marBottom w:val="0"/>
          <w:divBdr>
            <w:top w:val="none" w:sz="0" w:space="0" w:color="auto"/>
            <w:left w:val="none" w:sz="0" w:space="0" w:color="auto"/>
            <w:bottom w:val="none" w:sz="0" w:space="0" w:color="auto"/>
            <w:right w:val="none" w:sz="0" w:space="0" w:color="auto"/>
          </w:divBdr>
          <w:divsChild>
            <w:div w:id="92222759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73300777">
      <w:marLeft w:val="0"/>
      <w:marRight w:val="0"/>
      <w:marTop w:val="180"/>
      <w:marBottom w:val="0"/>
      <w:divBdr>
        <w:top w:val="none" w:sz="0" w:space="0" w:color="auto"/>
        <w:left w:val="none" w:sz="0" w:space="0" w:color="auto"/>
        <w:bottom w:val="none" w:sz="0" w:space="0" w:color="auto"/>
        <w:right w:val="none" w:sz="0" w:space="0" w:color="auto"/>
      </w:divBdr>
    </w:div>
    <w:div w:id="1174563629">
      <w:marLeft w:val="0"/>
      <w:marRight w:val="0"/>
      <w:marTop w:val="240"/>
      <w:marBottom w:val="0"/>
      <w:divBdr>
        <w:top w:val="none" w:sz="0" w:space="0" w:color="auto"/>
        <w:left w:val="none" w:sz="0" w:space="0" w:color="auto"/>
        <w:bottom w:val="none" w:sz="0" w:space="0" w:color="auto"/>
        <w:right w:val="none" w:sz="0" w:space="0" w:color="auto"/>
      </w:divBdr>
    </w:div>
    <w:div w:id="1175073427">
      <w:marLeft w:val="0"/>
      <w:marRight w:val="0"/>
      <w:marTop w:val="180"/>
      <w:marBottom w:val="0"/>
      <w:divBdr>
        <w:top w:val="none" w:sz="0" w:space="0" w:color="auto"/>
        <w:left w:val="none" w:sz="0" w:space="0" w:color="auto"/>
        <w:bottom w:val="none" w:sz="0" w:space="0" w:color="auto"/>
        <w:right w:val="none" w:sz="0" w:space="0" w:color="auto"/>
      </w:divBdr>
    </w:div>
    <w:div w:id="1176506122">
      <w:marLeft w:val="0"/>
      <w:marRight w:val="0"/>
      <w:marTop w:val="180"/>
      <w:marBottom w:val="60"/>
      <w:divBdr>
        <w:top w:val="none" w:sz="0" w:space="0" w:color="auto"/>
        <w:left w:val="none" w:sz="0" w:space="0" w:color="auto"/>
        <w:bottom w:val="none" w:sz="0" w:space="0" w:color="auto"/>
        <w:right w:val="none" w:sz="0" w:space="0" w:color="auto"/>
      </w:divBdr>
    </w:div>
    <w:div w:id="1184051500">
      <w:marLeft w:val="0"/>
      <w:marRight w:val="0"/>
      <w:marTop w:val="120"/>
      <w:marBottom w:val="120"/>
      <w:divBdr>
        <w:top w:val="none" w:sz="0" w:space="0" w:color="auto"/>
        <w:left w:val="none" w:sz="0" w:space="0" w:color="auto"/>
        <w:bottom w:val="none" w:sz="0" w:space="0" w:color="auto"/>
        <w:right w:val="none" w:sz="0" w:space="0" w:color="auto"/>
      </w:divBdr>
      <w:divsChild>
        <w:div w:id="1515457377">
          <w:marLeft w:val="0"/>
          <w:marRight w:val="0"/>
          <w:marTop w:val="0"/>
          <w:marBottom w:val="0"/>
          <w:divBdr>
            <w:top w:val="none" w:sz="0" w:space="0" w:color="auto"/>
            <w:left w:val="none" w:sz="0" w:space="0" w:color="auto"/>
            <w:bottom w:val="none" w:sz="0" w:space="0" w:color="auto"/>
            <w:right w:val="none" w:sz="0" w:space="0" w:color="auto"/>
          </w:divBdr>
        </w:div>
        <w:div w:id="630088606">
          <w:marLeft w:val="0"/>
          <w:marRight w:val="0"/>
          <w:marTop w:val="0"/>
          <w:marBottom w:val="0"/>
          <w:divBdr>
            <w:top w:val="none" w:sz="0" w:space="0" w:color="auto"/>
            <w:left w:val="none" w:sz="0" w:space="0" w:color="auto"/>
            <w:bottom w:val="none" w:sz="0" w:space="0" w:color="auto"/>
            <w:right w:val="none" w:sz="0" w:space="0" w:color="auto"/>
          </w:divBdr>
        </w:div>
        <w:div w:id="1509520681">
          <w:marLeft w:val="0"/>
          <w:marRight w:val="0"/>
          <w:marTop w:val="0"/>
          <w:marBottom w:val="0"/>
          <w:divBdr>
            <w:top w:val="none" w:sz="0" w:space="0" w:color="auto"/>
            <w:left w:val="none" w:sz="0" w:space="0" w:color="auto"/>
            <w:bottom w:val="none" w:sz="0" w:space="0" w:color="auto"/>
            <w:right w:val="none" w:sz="0" w:space="0" w:color="auto"/>
          </w:divBdr>
        </w:div>
        <w:div w:id="1321734647">
          <w:marLeft w:val="0"/>
          <w:marRight w:val="0"/>
          <w:marTop w:val="0"/>
          <w:marBottom w:val="0"/>
          <w:divBdr>
            <w:top w:val="none" w:sz="0" w:space="0" w:color="auto"/>
            <w:left w:val="none" w:sz="0" w:space="0" w:color="auto"/>
            <w:bottom w:val="none" w:sz="0" w:space="0" w:color="auto"/>
            <w:right w:val="none" w:sz="0" w:space="0" w:color="auto"/>
          </w:divBdr>
        </w:div>
      </w:divsChild>
    </w:div>
    <w:div w:id="1205100404">
      <w:marLeft w:val="0"/>
      <w:marRight w:val="0"/>
      <w:marTop w:val="180"/>
      <w:marBottom w:val="120"/>
      <w:divBdr>
        <w:top w:val="none" w:sz="0" w:space="0" w:color="auto"/>
        <w:left w:val="none" w:sz="0" w:space="0" w:color="auto"/>
        <w:bottom w:val="none" w:sz="0" w:space="0" w:color="auto"/>
        <w:right w:val="none" w:sz="0" w:space="0" w:color="auto"/>
      </w:divBdr>
    </w:div>
    <w:div w:id="1205412866">
      <w:marLeft w:val="0"/>
      <w:marRight w:val="0"/>
      <w:marTop w:val="160"/>
      <w:marBottom w:val="120"/>
      <w:divBdr>
        <w:top w:val="none" w:sz="0" w:space="0" w:color="auto"/>
        <w:left w:val="none" w:sz="0" w:space="0" w:color="auto"/>
        <w:bottom w:val="none" w:sz="0" w:space="0" w:color="auto"/>
        <w:right w:val="none" w:sz="0" w:space="0" w:color="auto"/>
      </w:divBdr>
    </w:div>
    <w:div w:id="1206212942">
      <w:marLeft w:val="0"/>
      <w:marRight w:val="0"/>
      <w:marTop w:val="120"/>
      <w:marBottom w:val="0"/>
      <w:divBdr>
        <w:top w:val="none" w:sz="0" w:space="0" w:color="auto"/>
        <w:left w:val="none" w:sz="0" w:space="0" w:color="auto"/>
        <w:bottom w:val="none" w:sz="0" w:space="0" w:color="auto"/>
        <w:right w:val="none" w:sz="0" w:space="0" w:color="auto"/>
      </w:divBdr>
    </w:div>
    <w:div w:id="1213494328">
      <w:marLeft w:val="0"/>
      <w:marRight w:val="0"/>
      <w:marTop w:val="60"/>
      <w:marBottom w:val="120"/>
      <w:divBdr>
        <w:top w:val="none" w:sz="0" w:space="0" w:color="auto"/>
        <w:left w:val="none" w:sz="0" w:space="0" w:color="auto"/>
        <w:bottom w:val="none" w:sz="0" w:space="0" w:color="auto"/>
        <w:right w:val="none" w:sz="0" w:space="0" w:color="auto"/>
      </w:divBdr>
    </w:div>
    <w:div w:id="1214197965">
      <w:marLeft w:val="0"/>
      <w:marRight w:val="0"/>
      <w:marTop w:val="180"/>
      <w:marBottom w:val="0"/>
      <w:divBdr>
        <w:top w:val="none" w:sz="0" w:space="0" w:color="auto"/>
        <w:left w:val="none" w:sz="0" w:space="0" w:color="auto"/>
        <w:bottom w:val="none" w:sz="0" w:space="0" w:color="auto"/>
        <w:right w:val="none" w:sz="0" w:space="0" w:color="auto"/>
      </w:divBdr>
    </w:div>
    <w:div w:id="1215777968">
      <w:marLeft w:val="0"/>
      <w:marRight w:val="0"/>
      <w:marTop w:val="60"/>
      <w:marBottom w:val="0"/>
      <w:divBdr>
        <w:top w:val="none" w:sz="0" w:space="0" w:color="auto"/>
        <w:left w:val="none" w:sz="0" w:space="0" w:color="auto"/>
        <w:bottom w:val="none" w:sz="0" w:space="0" w:color="auto"/>
        <w:right w:val="none" w:sz="0" w:space="0" w:color="auto"/>
      </w:divBdr>
    </w:div>
    <w:div w:id="1216309023">
      <w:marLeft w:val="0"/>
      <w:marRight w:val="0"/>
      <w:marTop w:val="180"/>
      <w:marBottom w:val="0"/>
      <w:divBdr>
        <w:top w:val="none" w:sz="0" w:space="0" w:color="auto"/>
        <w:left w:val="none" w:sz="0" w:space="0" w:color="auto"/>
        <w:bottom w:val="none" w:sz="0" w:space="0" w:color="auto"/>
        <w:right w:val="none" w:sz="0" w:space="0" w:color="auto"/>
      </w:divBdr>
    </w:div>
    <w:div w:id="1216694047">
      <w:marLeft w:val="0"/>
      <w:marRight w:val="0"/>
      <w:marTop w:val="180"/>
      <w:marBottom w:val="0"/>
      <w:divBdr>
        <w:top w:val="none" w:sz="0" w:space="0" w:color="auto"/>
        <w:left w:val="none" w:sz="0" w:space="0" w:color="auto"/>
        <w:bottom w:val="none" w:sz="0" w:space="0" w:color="auto"/>
        <w:right w:val="none" w:sz="0" w:space="0" w:color="auto"/>
      </w:divBdr>
    </w:div>
    <w:div w:id="1225486767">
      <w:marLeft w:val="0"/>
      <w:marRight w:val="0"/>
      <w:marTop w:val="180"/>
      <w:marBottom w:val="0"/>
      <w:divBdr>
        <w:top w:val="none" w:sz="0" w:space="0" w:color="auto"/>
        <w:left w:val="none" w:sz="0" w:space="0" w:color="auto"/>
        <w:bottom w:val="none" w:sz="0" w:space="0" w:color="auto"/>
        <w:right w:val="none" w:sz="0" w:space="0" w:color="auto"/>
      </w:divBdr>
    </w:div>
    <w:div w:id="1226333356">
      <w:marLeft w:val="0"/>
      <w:marRight w:val="0"/>
      <w:marTop w:val="0"/>
      <w:marBottom w:val="0"/>
      <w:divBdr>
        <w:top w:val="none" w:sz="0" w:space="0" w:color="auto"/>
        <w:left w:val="none" w:sz="0" w:space="0" w:color="auto"/>
        <w:bottom w:val="none" w:sz="0" w:space="0" w:color="auto"/>
        <w:right w:val="none" w:sz="0" w:space="0" w:color="auto"/>
      </w:divBdr>
      <w:divsChild>
        <w:div w:id="1739668369">
          <w:marLeft w:val="0"/>
          <w:marRight w:val="0"/>
          <w:marTop w:val="180"/>
          <w:marBottom w:val="180"/>
          <w:divBdr>
            <w:top w:val="none" w:sz="0" w:space="0" w:color="auto"/>
            <w:left w:val="none" w:sz="0" w:space="0" w:color="auto"/>
            <w:bottom w:val="none" w:sz="0" w:space="0" w:color="auto"/>
            <w:right w:val="none" w:sz="0" w:space="0" w:color="auto"/>
          </w:divBdr>
        </w:div>
      </w:divsChild>
    </w:div>
    <w:div w:id="1227371983">
      <w:marLeft w:val="0"/>
      <w:marRight w:val="0"/>
      <w:marTop w:val="120"/>
      <w:marBottom w:val="0"/>
      <w:divBdr>
        <w:top w:val="none" w:sz="0" w:space="0" w:color="auto"/>
        <w:left w:val="none" w:sz="0" w:space="0" w:color="auto"/>
        <w:bottom w:val="none" w:sz="0" w:space="0" w:color="auto"/>
        <w:right w:val="none" w:sz="0" w:space="0" w:color="auto"/>
      </w:divBdr>
    </w:div>
    <w:div w:id="1230531861">
      <w:marLeft w:val="0"/>
      <w:marRight w:val="0"/>
      <w:marTop w:val="240"/>
      <w:marBottom w:val="0"/>
      <w:divBdr>
        <w:top w:val="none" w:sz="0" w:space="0" w:color="auto"/>
        <w:left w:val="none" w:sz="0" w:space="0" w:color="auto"/>
        <w:bottom w:val="none" w:sz="0" w:space="0" w:color="auto"/>
        <w:right w:val="none" w:sz="0" w:space="0" w:color="auto"/>
      </w:divBdr>
    </w:div>
    <w:div w:id="1231383476">
      <w:marLeft w:val="0"/>
      <w:marRight w:val="0"/>
      <w:marTop w:val="180"/>
      <w:marBottom w:val="0"/>
      <w:divBdr>
        <w:top w:val="none" w:sz="0" w:space="0" w:color="auto"/>
        <w:left w:val="none" w:sz="0" w:space="0" w:color="auto"/>
        <w:bottom w:val="none" w:sz="0" w:space="0" w:color="auto"/>
        <w:right w:val="none" w:sz="0" w:space="0" w:color="auto"/>
      </w:divBdr>
    </w:div>
    <w:div w:id="1236354022">
      <w:marLeft w:val="0"/>
      <w:marRight w:val="0"/>
      <w:marTop w:val="60"/>
      <w:marBottom w:val="120"/>
      <w:divBdr>
        <w:top w:val="none" w:sz="0" w:space="0" w:color="auto"/>
        <w:left w:val="none" w:sz="0" w:space="0" w:color="auto"/>
        <w:bottom w:val="none" w:sz="0" w:space="0" w:color="auto"/>
        <w:right w:val="none" w:sz="0" w:space="0" w:color="auto"/>
      </w:divBdr>
    </w:div>
    <w:div w:id="1241326257">
      <w:marLeft w:val="0"/>
      <w:marRight w:val="0"/>
      <w:marTop w:val="180"/>
      <w:marBottom w:val="0"/>
      <w:divBdr>
        <w:top w:val="none" w:sz="0" w:space="0" w:color="auto"/>
        <w:left w:val="none" w:sz="0" w:space="0" w:color="auto"/>
        <w:bottom w:val="none" w:sz="0" w:space="0" w:color="auto"/>
        <w:right w:val="none" w:sz="0" w:space="0" w:color="auto"/>
      </w:divBdr>
    </w:div>
    <w:div w:id="1243101249">
      <w:marLeft w:val="0"/>
      <w:marRight w:val="0"/>
      <w:marTop w:val="60"/>
      <w:marBottom w:val="0"/>
      <w:divBdr>
        <w:top w:val="none" w:sz="0" w:space="0" w:color="auto"/>
        <w:left w:val="none" w:sz="0" w:space="0" w:color="auto"/>
        <w:bottom w:val="none" w:sz="0" w:space="0" w:color="auto"/>
        <w:right w:val="none" w:sz="0" w:space="0" w:color="auto"/>
      </w:divBdr>
    </w:div>
    <w:div w:id="1251351634">
      <w:marLeft w:val="0"/>
      <w:marRight w:val="0"/>
      <w:marTop w:val="180"/>
      <w:marBottom w:val="0"/>
      <w:divBdr>
        <w:top w:val="none" w:sz="0" w:space="0" w:color="auto"/>
        <w:left w:val="none" w:sz="0" w:space="0" w:color="auto"/>
        <w:bottom w:val="none" w:sz="0" w:space="0" w:color="auto"/>
        <w:right w:val="none" w:sz="0" w:space="0" w:color="auto"/>
      </w:divBdr>
    </w:div>
    <w:div w:id="1256137693">
      <w:marLeft w:val="0"/>
      <w:marRight w:val="0"/>
      <w:marTop w:val="180"/>
      <w:marBottom w:val="0"/>
      <w:divBdr>
        <w:top w:val="none" w:sz="0" w:space="0" w:color="auto"/>
        <w:left w:val="none" w:sz="0" w:space="0" w:color="auto"/>
        <w:bottom w:val="none" w:sz="0" w:space="0" w:color="auto"/>
        <w:right w:val="none" w:sz="0" w:space="0" w:color="auto"/>
      </w:divBdr>
    </w:div>
    <w:div w:id="1256329393">
      <w:marLeft w:val="0"/>
      <w:marRight w:val="0"/>
      <w:marTop w:val="180"/>
      <w:marBottom w:val="120"/>
      <w:divBdr>
        <w:top w:val="none" w:sz="0" w:space="0" w:color="auto"/>
        <w:left w:val="none" w:sz="0" w:space="0" w:color="auto"/>
        <w:bottom w:val="none" w:sz="0" w:space="0" w:color="auto"/>
        <w:right w:val="none" w:sz="0" w:space="0" w:color="auto"/>
      </w:divBdr>
    </w:div>
    <w:div w:id="1264340895">
      <w:marLeft w:val="0"/>
      <w:marRight w:val="0"/>
      <w:marTop w:val="240"/>
      <w:marBottom w:val="0"/>
      <w:divBdr>
        <w:top w:val="none" w:sz="0" w:space="0" w:color="auto"/>
        <w:left w:val="none" w:sz="0" w:space="0" w:color="auto"/>
        <w:bottom w:val="none" w:sz="0" w:space="0" w:color="auto"/>
        <w:right w:val="none" w:sz="0" w:space="0" w:color="auto"/>
      </w:divBdr>
    </w:div>
    <w:div w:id="1269973778">
      <w:marLeft w:val="0"/>
      <w:marRight w:val="0"/>
      <w:marTop w:val="240"/>
      <w:marBottom w:val="0"/>
      <w:divBdr>
        <w:top w:val="none" w:sz="0" w:space="0" w:color="auto"/>
        <w:left w:val="none" w:sz="0" w:space="0" w:color="auto"/>
        <w:bottom w:val="none" w:sz="0" w:space="0" w:color="auto"/>
        <w:right w:val="none" w:sz="0" w:space="0" w:color="auto"/>
      </w:divBdr>
    </w:div>
    <w:div w:id="1276446406">
      <w:marLeft w:val="0"/>
      <w:marRight w:val="0"/>
      <w:marTop w:val="180"/>
      <w:marBottom w:val="0"/>
      <w:divBdr>
        <w:top w:val="none" w:sz="0" w:space="0" w:color="auto"/>
        <w:left w:val="none" w:sz="0" w:space="0" w:color="auto"/>
        <w:bottom w:val="none" w:sz="0" w:space="0" w:color="auto"/>
        <w:right w:val="none" w:sz="0" w:space="0" w:color="auto"/>
      </w:divBdr>
    </w:div>
    <w:div w:id="1278097716">
      <w:marLeft w:val="0"/>
      <w:marRight w:val="0"/>
      <w:marTop w:val="180"/>
      <w:marBottom w:val="120"/>
      <w:divBdr>
        <w:top w:val="none" w:sz="0" w:space="0" w:color="auto"/>
        <w:left w:val="none" w:sz="0" w:space="0" w:color="auto"/>
        <w:bottom w:val="none" w:sz="0" w:space="0" w:color="auto"/>
        <w:right w:val="none" w:sz="0" w:space="0" w:color="auto"/>
      </w:divBdr>
    </w:div>
    <w:div w:id="1279991079">
      <w:marLeft w:val="0"/>
      <w:marRight w:val="0"/>
      <w:marTop w:val="0"/>
      <w:marBottom w:val="0"/>
      <w:divBdr>
        <w:top w:val="none" w:sz="0" w:space="0" w:color="auto"/>
        <w:left w:val="none" w:sz="0" w:space="0" w:color="auto"/>
        <w:bottom w:val="none" w:sz="0" w:space="0" w:color="auto"/>
        <w:right w:val="none" w:sz="0" w:space="0" w:color="auto"/>
      </w:divBdr>
      <w:divsChild>
        <w:div w:id="1459953391">
          <w:marLeft w:val="0"/>
          <w:marRight w:val="0"/>
          <w:marTop w:val="0"/>
          <w:marBottom w:val="0"/>
          <w:divBdr>
            <w:top w:val="none" w:sz="0" w:space="0" w:color="auto"/>
            <w:left w:val="none" w:sz="0" w:space="0" w:color="auto"/>
            <w:bottom w:val="none" w:sz="0" w:space="0" w:color="auto"/>
            <w:right w:val="none" w:sz="0" w:space="0" w:color="auto"/>
          </w:divBdr>
          <w:divsChild>
            <w:div w:id="4462353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83464220">
      <w:marLeft w:val="0"/>
      <w:marRight w:val="0"/>
      <w:marTop w:val="180"/>
      <w:marBottom w:val="0"/>
      <w:divBdr>
        <w:top w:val="none" w:sz="0" w:space="0" w:color="auto"/>
        <w:left w:val="none" w:sz="0" w:space="0" w:color="auto"/>
        <w:bottom w:val="none" w:sz="0" w:space="0" w:color="auto"/>
        <w:right w:val="none" w:sz="0" w:space="0" w:color="auto"/>
      </w:divBdr>
    </w:div>
    <w:div w:id="1284114750">
      <w:marLeft w:val="0"/>
      <w:marRight w:val="0"/>
      <w:marTop w:val="180"/>
      <w:marBottom w:val="0"/>
      <w:divBdr>
        <w:top w:val="none" w:sz="0" w:space="0" w:color="auto"/>
        <w:left w:val="none" w:sz="0" w:space="0" w:color="auto"/>
        <w:bottom w:val="none" w:sz="0" w:space="0" w:color="auto"/>
        <w:right w:val="none" w:sz="0" w:space="0" w:color="auto"/>
      </w:divBdr>
    </w:div>
    <w:div w:id="1284115695">
      <w:marLeft w:val="0"/>
      <w:marRight w:val="0"/>
      <w:marTop w:val="180"/>
      <w:marBottom w:val="0"/>
      <w:divBdr>
        <w:top w:val="none" w:sz="0" w:space="0" w:color="auto"/>
        <w:left w:val="none" w:sz="0" w:space="0" w:color="auto"/>
        <w:bottom w:val="none" w:sz="0" w:space="0" w:color="auto"/>
        <w:right w:val="none" w:sz="0" w:space="0" w:color="auto"/>
      </w:divBdr>
    </w:div>
    <w:div w:id="1288585724">
      <w:marLeft w:val="0"/>
      <w:marRight w:val="0"/>
      <w:marTop w:val="180"/>
      <w:marBottom w:val="60"/>
      <w:divBdr>
        <w:top w:val="none" w:sz="0" w:space="0" w:color="auto"/>
        <w:left w:val="none" w:sz="0" w:space="0" w:color="auto"/>
        <w:bottom w:val="none" w:sz="0" w:space="0" w:color="auto"/>
        <w:right w:val="none" w:sz="0" w:space="0" w:color="auto"/>
      </w:divBdr>
    </w:div>
    <w:div w:id="1288659744">
      <w:marLeft w:val="0"/>
      <w:marRight w:val="0"/>
      <w:marTop w:val="60"/>
      <w:marBottom w:val="180"/>
      <w:divBdr>
        <w:top w:val="none" w:sz="0" w:space="0" w:color="auto"/>
        <w:left w:val="none" w:sz="0" w:space="0" w:color="auto"/>
        <w:bottom w:val="none" w:sz="0" w:space="0" w:color="auto"/>
        <w:right w:val="none" w:sz="0" w:space="0" w:color="auto"/>
      </w:divBdr>
    </w:div>
    <w:div w:id="1297101962">
      <w:marLeft w:val="0"/>
      <w:marRight w:val="0"/>
      <w:marTop w:val="180"/>
      <w:marBottom w:val="0"/>
      <w:divBdr>
        <w:top w:val="none" w:sz="0" w:space="0" w:color="auto"/>
        <w:left w:val="none" w:sz="0" w:space="0" w:color="auto"/>
        <w:bottom w:val="none" w:sz="0" w:space="0" w:color="auto"/>
        <w:right w:val="none" w:sz="0" w:space="0" w:color="auto"/>
      </w:divBdr>
    </w:div>
    <w:div w:id="1301497004">
      <w:marLeft w:val="0"/>
      <w:marRight w:val="0"/>
      <w:marTop w:val="240"/>
      <w:marBottom w:val="0"/>
      <w:divBdr>
        <w:top w:val="none" w:sz="0" w:space="0" w:color="auto"/>
        <w:left w:val="none" w:sz="0" w:space="0" w:color="auto"/>
        <w:bottom w:val="none" w:sz="0" w:space="0" w:color="auto"/>
        <w:right w:val="none" w:sz="0" w:space="0" w:color="auto"/>
      </w:divBdr>
    </w:div>
    <w:div w:id="1302417279">
      <w:marLeft w:val="0"/>
      <w:marRight w:val="0"/>
      <w:marTop w:val="0"/>
      <w:marBottom w:val="0"/>
      <w:divBdr>
        <w:top w:val="none" w:sz="0" w:space="0" w:color="auto"/>
        <w:left w:val="none" w:sz="0" w:space="0" w:color="auto"/>
        <w:bottom w:val="none" w:sz="0" w:space="0" w:color="auto"/>
        <w:right w:val="none" w:sz="0" w:space="0" w:color="auto"/>
      </w:divBdr>
      <w:divsChild>
        <w:div w:id="920287839">
          <w:marLeft w:val="0"/>
          <w:marRight w:val="0"/>
          <w:marTop w:val="180"/>
          <w:marBottom w:val="180"/>
          <w:divBdr>
            <w:top w:val="none" w:sz="0" w:space="0" w:color="auto"/>
            <w:left w:val="none" w:sz="0" w:space="0" w:color="auto"/>
            <w:bottom w:val="none" w:sz="0" w:space="0" w:color="auto"/>
            <w:right w:val="none" w:sz="0" w:space="0" w:color="auto"/>
          </w:divBdr>
        </w:div>
      </w:divsChild>
    </w:div>
    <w:div w:id="1302953904">
      <w:marLeft w:val="0"/>
      <w:marRight w:val="0"/>
      <w:marTop w:val="60"/>
      <w:marBottom w:val="120"/>
      <w:divBdr>
        <w:top w:val="none" w:sz="0" w:space="0" w:color="auto"/>
        <w:left w:val="none" w:sz="0" w:space="0" w:color="auto"/>
        <w:bottom w:val="none" w:sz="0" w:space="0" w:color="auto"/>
        <w:right w:val="none" w:sz="0" w:space="0" w:color="auto"/>
      </w:divBdr>
    </w:div>
    <w:div w:id="1312752826">
      <w:marLeft w:val="0"/>
      <w:marRight w:val="0"/>
      <w:marTop w:val="180"/>
      <w:marBottom w:val="120"/>
      <w:divBdr>
        <w:top w:val="none" w:sz="0" w:space="0" w:color="auto"/>
        <w:left w:val="none" w:sz="0" w:space="0" w:color="auto"/>
        <w:bottom w:val="none" w:sz="0" w:space="0" w:color="auto"/>
        <w:right w:val="none" w:sz="0" w:space="0" w:color="auto"/>
      </w:divBdr>
    </w:div>
    <w:div w:id="1313942914">
      <w:marLeft w:val="0"/>
      <w:marRight w:val="0"/>
      <w:marTop w:val="180"/>
      <w:marBottom w:val="120"/>
      <w:divBdr>
        <w:top w:val="none" w:sz="0" w:space="0" w:color="auto"/>
        <w:left w:val="none" w:sz="0" w:space="0" w:color="auto"/>
        <w:bottom w:val="none" w:sz="0" w:space="0" w:color="auto"/>
        <w:right w:val="none" w:sz="0" w:space="0" w:color="auto"/>
      </w:divBdr>
    </w:div>
    <w:div w:id="1316253641">
      <w:marLeft w:val="0"/>
      <w:marRight w:val="0"/>
      <w:marTop w:val="180"/>
      <w:marBottom w:val="0"/>
      <w:divBdr>
        <w:top w:val="none" w:sz="0" w:space="0" w:color="auto"/>
        <w:left w:val="none" w:sz="0" w:space="0" w:color="auto"/>
        <w:bottom w:val="none" w:sz="0" w:space="0" w:color="auto"/>
        <w:right w:val="none" w:sz="0" w:space="0" w:color="auto"/>
      </w:divBdr>
    </w:div>
    <w:div w:id="1320888086">
      <w:marLeft w:val="0"/>
      <w:marRight w:val="0"/>
      <w:marTop w:val="0"/>
      <w:marBottom w:val="0"/>
      <w:divBdr>
        <w:top w:val="none" w:sz="0" w:space="0" w:color="auto"/>
        <w:left w:val="none" w:sz="0" w:space="0" w:color="auto"/>
        <w:bottom w:val="none" w:sz="0" w:space="0" w:color="auto"/>
        <w:right w:val="none" w:sz="0" w:space="0" w:color="auto"/>
      </w:divBdr>
      <w:divsChild>
        <w:div w:id="432675183">
          <w:marLeft w:val="0"/>
          <w:marRight w:val="0"/>
          <w:marTop w:val="180"/>
          <w:marBottom w:val="0"/>
          <w:divBdr>
            <w:top w:val="none" w:sz="0" w:space="0" w:color="auto"/>
            <w:left w:val="none" w:sz="0" w:space="0" w:color="auto"/>
            <w:bottom w:val="none" w:sz="0" w:space="0" w:color="auto"/>
            <w:right w:val="none" w:sz="0" w:space="0" w:color="auto"/>
          </w:divBdr>
        </w:div>
      </w:divsChild>
    </w:div>
    <w:div w:id="1324896530">
      <w:marLeft w:val="0"/>
      <w:marRight w:val="0"/>
      <w:marTop w:val="180"/>
      <w:marBottom w:val="0"/>
      <w:divBdr>
        <w:top w:val="none" w:sz="0" w:space="0" w:color="auto"/>
        <w:left w:val="none" w:sz="0" w:space="0" w:color="auto"/>
        <w:bottom w:val="none" w:sz="0" w:space="0" w:color="auto"/>
        <w:right w:val="none" w:sz="0" w:space="0" w:color="auto"/>
      </w:divBdr>
    </w:div>
    <w:div w:id="1325477381">
      <w:marLeft w:val="0"/>
      <w:marRight w:val="0"/>
      <w:marTop w:val="240"/>
      <w:marBottom w:val="0"/>
      <w:divBdr>
        <w:top w:val="none" w:sz="0" w:space="0" w:color="auto"/>
        <w:left w:val="none" w:sz="0" w:space="0" w:color="auto"/>
        <w:bottom w:val="none" w:sz="0" w:space="0" w:color="auto"/>
        <w:right w:val="none" w:sz="0" w:space="0" w:color="auto"/>
      </w:divBdr>
    </w:div>
    <w:div w:id="1332829108">
      <w:marLeft w:val="0"/>
      <w:marRight w:val="0"/>
      <w:marTop w:val="180"/>
      <w:marBottom w:val="0"/>
      <w:divBdr>
        <w:top w:val="none" w:sz="0" w:space="0" w:color="auto"/>
        <w:left w:val="none" w:sz="0" w:space="0" w:color="auto"/>
        <w:bottom w:val="none" w:sz="0" w:space="0" w:color="auto"/>
        <w:right w:val="none" w:sz="0" w:space="0" w:color="auto"/>
      </w:divBdr>
    </w:div>
    <w:div w:id="1342003933">
      <w:marLeft w:val="0"/>
      <w:marRight w:val="0"/>
      <w:marTop w:val="0"/>
      <w:marBottom w:val="0"/>
      <w:divBdr>
        <w:top w:val="none" w:sz="0" w:space="0" w:color="auto"/>
        <w:left w:val="none" w:sz="0" w:space="0" w:color="auto"/>
        <w:bottom w:val="none" w:sz="0" w:space="0" w:color="auto"/>
        <w:right w:val="none" w:sz="0" w:space="0" w:color="auto"/>
      </w:divBdr>
      <w:divsChild>
        <w:div w:id="1450855441">
          <w:marLeft w:val="0"/>
          <w:marRight w:val="0"/>
          <w:marTop w:val="0"/>
          <w:marBottom w:val="0"/>
          <w:divBdr>
            <w:top w:val="none" w:sz="0" w:space="0" w:color="auto"/>
            <w:left w:val="none" w:sz="0" w:space="0" w:color="auto"/>
            <w:bottom w:val="none" w:sz="0" w:space="0" w:color="auto"/>
            <w:right w:val="none" w:sz="0" w:space="0" w:color="auto"/>
          </w:divBdr>
          <w:divsChild>
            <w:div w:id="12473749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45131047">
      <w:marLeft w:val="0"/>
      <w:marRight w:val="0"/>
      <w:marTop w:val="180"/>
      <w:marBottom w:val="0"/>
      <w:divBdr>
        <w:top w:val="none" w:sz="0" w:space="0" w:color="auto"/>
        <w:left w:val="none" w:sz="0" w:space="0" w:color="auto"/>
        <w:bottom w:val="none" w:sz="0" w:space="0" w:color="auto"/>
        <w:right w:val="none" w:sz="0" w:space="0" w:color="auto"/>
      </w:divBdr>
    </w:div>
    <w:div w:id="1353846333">
      <w:marLeft w:val="0"/>
      <w:marRight w:val="0"/>
      <w:marTop w:val="240"/>
      <w:marBottom w:val="180"/>
      <w:divBdr>
        <w:top w:val="none" w:sz="0" w:space="0" w:color="auto"/>
        <w:left w:val="none" w:sz="0" w:space="0" w:color="auto"/>
        <w:bottom w:val="none" w:sz="0" w:space="0" w:color="auto"/>
        <w:right w:val="none" w:sz="0" w:space="0" w:color="auto"/>
      </w:divBdr>
    </w:div>
    <w:div w:id="1354454692">
      <w:marLeft w:val="0"/>
      <w:marRight w:val="0"/>
      <w:marTop w:val="180"/>
      <w:marBottom w:val="0"/>
      <w:divBdr>
        <w:top w:val="none" w:sz="0" w:space="0" w:color="auto"/>
        <w:left w:val="none" w:sz="0" w:space="0" w:color="auto"/>
        <w:bottom w:val="none" w:sz="0" w:space="0" w:color="auto"/>
        <w:right w:val="none" w:sz="0" w:space="0" w:color="auto"/>
      </w:divBdr>
    </w:div>
    <w:div w:id="1355380945">
      <w:marLeft w:val="0"/>
      <w:marRight w:val="0"/>
      <w:marTop w:val="180"/>
      <w:marBottom w:val="0"/>
      <w:divBdr>
        <w:top w:val="none" w:sz="0" w:space="0" w:color="auto"/>
        <w:left w:val="none" w:sz="0" w:space="0" w:color="auto"/>
        <w:bottom w:val="none" w:sz="0" w:space="0" w:color="auto"/>
        <w:right w:val="none" w:sz="0" w:space="0" w:color="auto"/>
      </w:divBdr>
    </w:div>
    <w:div w:id="1356612683">
      <w:marLeft w:val="0"/>
      <w:marRight w:val="0"/>
      <w:marTop w:val="180"/>
      <w:marBottom w:val="60"/>
      <w:divBdr>
        <w:top w:val="none" w:sz="0" w:space="0" w:color="auto"/>
        <w:left w:val="none" w:sz="0" w:space="0" w:color="auto"/>
        <w:bottom w:val="none" w:sz="0" w:space="0" w:color="auto"/>
        <w:right w:val="none" w:sz="0" w:space="0" w:color="auto"/>
      </w:divBdr>
    </w:div>
    <w:div w:id="1363551011">
      <w:marLeft w:val="0"/>
      <w:marRight w:val="0"/>
      <w:marTop w:val="240"/>
      <w:marBottom w:val="0"/>
      <w:divBdr>
        <w:top w:val="none" w:sz="0" w:space="0" w:color="auto"/>
        <w:left w:val="none" w:sz="0" w:space="0" w:color="auto"/>
        <w:bottom w:val="none" w:sz="0" w:space="0" w:color="auto"/>
        <w:right w:val="none" w:sz="0" w:space="0" w:color="auto"/>
      </w:divBdr>
    </w:div>
    <w:div w:id="1373725929">
      <w:marLeft w:val="0"/>
      <w:marRight w:val="0"/>
      <w:marTop w:val="180"/>
      <w:marBottom w:val="0"/>
      <w:divBdr>
        <w:top w:val="none" w:sz="0" w:space="0" w:color="auto"/>
        <w:left w:val="none" w:sz="0" w:space="0" w:color="auto"/>
        <w:bottom w:val="none" w:sz="0" w:space="0" w:color="auto"/>
        <w:right w:val="none" w:sz="0" w:space="0" w:color="auto"/>
      </w:divBdr>
    </w:div>
    <w:div w:id="1382704331">
      <w:marLeft w:val="0"/>
      <w:marRight w:val="0"/>
      <w:marTop w:val="180"/>
      <w:marBottom w:val="0"/>
      <w:divBdr>
        <w:top w:val="none" w:sz="0" w:space="0" w:color="auto"/>
        <w:left w:val="none" w:sz="0" w:space="0" w:color="auto"/>
        <w:bottom w:val="none" w:sz="0" w:space="0" w:color="auto"/>
        <w:right w:val="none" w:sz="0" w:space="0" w:color="auto"/>
      </w:divBdr>
    </w:div>
    <w:div w:id="1390031231">
      <w:marLeft w:val="0"/>
      <w:marRight w:val="0"/>
      <w:marTop w:val="0"/>
      <w:marBottom w:val="0"/>
      <w:divBdr>
        <w:top w:val="none" w:sz="0" w:space="0" w:color="auto"/>
        <w:left w:val="none" w:sz="0" w:space="0" w:color="auto"/>
        <w:bottom w:val="none" w:sz="0" w:space="0" w:color="auto"/>
        <w:right w:val="none" w:sz="0" w:space="0" w:color="auto"/>
      </w:divBdr>
      <w:divsChild>
        <w:div w:id="1259101623">
          <w:marLeft w:val="0"/>
          <w:marRight w:val="0"/>
          <w:marTop w:val="0"/>
          <w:marBottom w:val="0"/>
          <w:divBdr>
            <w:top w:val="none" w:sz="0" w:space="0" w:color="auto"/>
            <w:left w:val="none" w:sz="0" w:space="0" w:color="auto"/>
            <w:bottom w:val="none" w:sz="0" w:space="0" w:color="auto"/>
            <w:right w:val="none" w:sz="0" w:space="0" w:color="auto"/>
          </w:divBdr>
          <w:divsChild>
            <w:div w:id="7599851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05444910">
      <w:marLeft w:val="0"/>
      <w:marRight w:val="0"/>
      <w:marTop w:val="0"/>
      <w:marBottom w:val="0"/>
      <w:divBdr>
        <w:top w:val="none" w:sz="0" w:space="0" w:color="auto"/>
        <w:left w:val="none" w:sz="0" w:space="0" w:color="auto"/>
        <w:bottom w:val="none" w:sz="0" w:space="0" w:color="auto"/>
        <w:right w:val="none" w:sz="0" w:space="0" w:color="auto"/>
      </w:divBdr>
      <w:divsChild>
        <w:div w:id="1334453172">
          <w:marLeft w:val="0"/>
          <w:marRight w:val="0"/>
          <w:marTop w:val="180"/>
          <w:marBottom w:val="180"/>
          <w:divBdr>
            <w:top w:val="none" w:sz="0" w:space="0" w:color="auto"/>
            <w:left w:val="none" w:sz="0" w:space="0" w:color="auto"/>
            <w:bottom w:val="none" w:sz="0" w:space="0" w:color="auto"/>
            <w:right w:val="none" w:sz="0" w:space="0" w:color="auto"/>
          </w:divBdr>
        </w:div>
      </w:divsChild>
    </w:div>
    <w:div w:id="1415663541">
      <w:marLeft w:val="0"/>
      <w:marRight w:val="0"/>
      <w:marTop w:val="180"/>
      <w:marBottom w:val="0"/>
      <w:divBdr>
        <w:top w:val="none" w:sz="0" w:space="0" w:color="auto"/>
        <w:left w:val="none" w:sz="0" w:space="0" w:color="auto"/>
        <w:bottom w:val="none" w:sz="0" w:space="0" w:color="auto"/>
        <w:right w:val="none" w:sz="0" w:space="0" w:color="auto"/>
      </w:divBdr>
    </w:div>
    <w:div w:id="1419256835">
      <w:marLeft w:val="0"/>
      <w:marRight w:val="0"/>
      <w:marTop w:val="60"/>
      <w:marBottom w:val="120"/>
      <w:divBdr>
        <w:top w:val="none" w:sz="0" w:space="0" w:color="auto"/>
        <w:left w:val="none" w:sz="0" w:space="0" w:color="auto"/>
        <w:bottom w:val="none" w:sz="0" w:space="0" w:color="auto"/>
        <w:right w:val="none" w:sz="0" w:space="0" w:color="auto"/>
      </w:divBdr>
      <w:divsChild>
        <w:div w:id="132524714">
          <w:marLeft w:val="0"/>
          <w:marRight w:val="0"/>
          <w:marTop w:val="0"/>
          <w:marBottom w:val="0"/>
          <w:divBdr>
            <w:top w:val="none" w:sz="0" w:space="0" w:color="auto"/>
            <w:left w:val="none" w:sz="0" w:space="0" w:color="auto"/>
            <w:bottom w:val="none" w:sz="0" w:space="0" w:color="auto"/>
            <w:right w:val="none" w:sz="0" w:space="0" w:color="auto"/>
          </w:divBdr>
        </w:div>
        <w:div w:id="1450659810">
          <w:marLeft w:val="0"/>
          <w:marRight w:val="0"/>
          <w:marTop w:val="0"/>
          <w:marBottom w:val="0"/>
          <w:divBdr>
            <w:top w:val="none" w:sz="0" w:space="0" w:color="auto"/>
            <w:left w:val="none" w:sz="0" w:space="0" w:color="auto"/>
            <w:bottom w:val="none" w:sz="0" w:space="0" w:color="auto"/>
            <w:right w:val="none" w:sz="0" w:space="0" w:color="auto"/>
          </w:divBdr>
        </w:div>
        <w:div w:id="653027039">
          <w:marLeft w:val="0"/>
          <w:marRight w:val="0"/>
          <w:marTop w:val="0"/>
          <w:marBottom w:val="0"/>
          <w:divBdr>
            <w:top w:val="none" w:sz="0" w:space="0" w:color="auto"/>
            <w:left w:val="none" w:sz="0" w:space="0" w:color="auto"/>
            <w:bottom w:val="none" w:sz="0" w:space="0" w:color="auto"/>
            <w:right w:val="none" w:sz="0" w:space="0" w:color="auto"/>
          </w:divBdr>
        </w:div>
        <w:div w:id="273556302">
          <w:marLeft w:val="0"/>
          <w:marRight w:val="0"/>
          <w:marTop w:val="0"/>
          <w:marBottom w:val="0"/>
          <w:divBdr>
            <w:top w:val="none" w:sz="0" w:space="0" w:color="auto"/>
            <w:left w:val="none" w:sz="0" w:space="0" w:color="auto"/>
            <w:bottom w:val="none" w:sz="0" w:space="0" w:color="auto"/>
            <w:right w:val="none" w:sz="0" w:space="0" w:color="auto"/>
          </w:divBdr>
        </w:div>
        <w:div w:id="65226723">
          <w:marLeft w:val="0"/>
          <w:marRight w:val="0"/>
          <w:marTop w:val="0"/>
          <w:marBottom w:val="0"/>
          <w:divBdr>
            <w:top w:val="none" w:sz="0" w:space="0" w:color="auto"/>
            <w:left w:val="none" w:sz="0" w:space="0" w:color="auto"/>
            <w:bottom w:val="none" w:sz="0" w:space="0" w:color="auto"/>
            <w:right w:val="none" w:sz="0" w:space="0" w:color="auto"/>
          </w:divBdr>
        </w:div>
      </w:divsChild>
    </w:div>
    <w:div w:id="1428695681">
      <w:marLeft w:val="0"/>
      <w:marRight w:val="0"/>
      <w:marTop w:val="180"/>
      <w:marBottom w:val="120"/>
      <w:divBdr>
        <w:top w:val="none" w:sz="0" w:space="0" w:color="auto"/>
        <w:left w:val="none" w:sz="0" w:space="0" w:color="auto"/>
        <w:bottom w:val="none" w:sz="0" w:space="0" w:color="auto"/>
        <w:right w:val="none" w:sz="0" w:space="0" w:color="auto"/>
      </w:divBdr>
      <w:divsChild>
        <w:div w:id="643893829">
          <w:marLeft w:val="0"/>
          <w:marRight w:val="0"/>
          <w:marTop w:val="0"/>
          <w:marBottom w:val="0"/>
          <w:divBdr>
            <w:top w:val="none" w:sz="0" w:space="0" w:color="auto"/>
            <w:left w:val="none" w:sz="0" w:space="0" w:color="auto"/>
            <w:bottom w:val="none" w:sz="0" w:space="0" w:color="auto"/>
            <w:right w:val="none" w:sz="0" w:space="0" w:color="auto"/>
          </w:divBdr>
        </w:div>
        <w:div w:id="1955016640">
          <w:marLeft w:val="0"/>
          <w:marRight w:val="0"/>
          <w:marTop w:val="0"/>
          <w:marBottom w:val="0"/>
          <w:divBdr>
            <w:top w:val="none" w:sz="0" w:space="0" w:color="auto"/>
            <w:left w:val="none" w:sz="0" w:space="0" w:color="auto"/>
            <w:bottom w:val="none" w:sz="0" w:space="0" w:color="auto"/>
            <w:right w:val="none" w:sz="0" w:space="0" w:color="auto"/>
          </w:divBdr>
        </w:div>
        <w:div w:id="2070179004">
          <w:marLeft w:val="0"/>
          <w:marRight w:val="0"/>
          <w:marTop w:val="0"/>
          <w:marBottom w:val="0"/>
          <w:divBdr>
            <w:top w:val="none" w:sz="0" w:space="0" w:color="auto"/>
            <w:left w:val="none" w:sz="0" w:space="0" w:color="auto"/>
            <w:bottom w:val="none" w:sz="0" w:space="0" w:color="auto"/>
            <w:right w:val="none" w:sz="0" w:space="0" w:color="auto"/>
          </w:divBdr>
        </w:div>
        <w:div w:id="557014293">
          <w:marLeft w:val="0"/>
          <w:marRight w:val="0"/>
          <w:marTop w:val="0"/>
          <w:marBottom w:val="0"/>
          <w:divBdr>
            <w:top w:val="none" w:sz="0" w:space="0" w:color="auto"/>
            <w:left w:val="none" w:sz="0" w:space="0" w:color="auto"/>
            <w:bottom w:val="none" w:sz="0" w:space="0" w:color="auto"/>
            <w:right w:val="none" w:sz="0" w:space="0" w:color="auto"/>
          </w:divBdr>
        </w:div>
        <w:div w:id="223225997">
          <w:marLeft w:val="0"/>
          <w:marRight w:val="0"/>
          <w:marTop w:val="0"/>
          <w:marBottom w:val="0"/>
          <w:divBdr>
            <w:top w:val="none" w:sz="0" w:space="0" w:color="auto"/>
            <w:left w:val="none" w:sz="0" w:space="0" w:color="auto"/>
            <w:bottom w:val="none" w:sz="0" w:space="0" w:color="auto"/>
            <w:right w:val="none" w:sz="0" w:space="0" w:color="auto"/>
          </w:divBdr>
        </w:div>
      </w:divsChild>
    </w:div>
    <w:div w:id="1429883910">
      <w:marLeft w:val="0"/>
      <w:marRight w:val="0"/>
      <w:marTop w:val="0"/>
      <w:marBottom w:val="0"/>
      <w:divBdr>
        <w:top w:val="none" w:sz="0" w:space="0" w:color="auto"/>
        <w:left w:val="none" w:sz="0" w:space="0" w:color="auto"/>
        <w:bottom w:val="none" w:sz="0" w:space="0" w:color="auto"/>
        <w:right w:val="none" w:sz="0" w:space="0" w:color="auto"/>
      </w:divBdr>
      <w:divsChild>
        <w:div w:id="1104493841">
          <w:marLeft w:val="0"/>
          <w:marRight w:val="0"/>
          <w:marTop w:val="0"/>
          <w:marBottom w:val="0"/>
          <w:divBdr>
            <w:top w:val="none" w:sz="0" w:space="0" w:color="auto"/>
            <w:left w:val="none" w:sz="0" w:space="0" w:color="auto"/>
            <w:bottom w:val="none" w:sz="0" w:space="0" w:color="auto"/>
            <w:right w:val="none" w:sz="0" w:space="0" w:color="auto"/>
          </w:divBdr>
          <w:divsChild>
            <w:div w:id="14125835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30081507">
      <w:marLeft w:val="0"/>
      <w:marRight w:val="0"/>
      <w:marTop w:val="0"/>
      <w:marBottom w:val="0"/>
      <w:divBdr>
        <w:top w:val="none" w:sz="0" w:space="0" w:color="auto"/>
        <w:left w:val="none" w:sz="0" w:space="0" w:color="auto"/>
        <w:bottom w:val="none" w:sz="0" w:space="0" w:color="auto"/>
        <w:right w:val="none" w:sz="0" w:space="0" w:color="auto"/>
      </w:divBdr>
      <w:divsChild>
        <w:div w:id="1839735479">
          <w:marLeft w:val="0"/>
          <w:marRight w:val="0"/>
          <w:marTop w:val="0"/>
          <w:marBottom w:val="0"/>
          <w:divBdr>
            <w:top w:val="none" w:sz="0" w:space="0" w:color="auto"/>
            <w:left w:val="none" w:sz="0" w:space="0" w:color="auto"/>
            <w:bottom w:val="none" w:sz="0" w:space="0" w:color="auto"/>
            <w:right w:val="none" w:sz="0" w:space="0" w:color="auto"/>
          </w:divBdr>
          <w:divsChild>
            <w:div w:id="9285854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34395440">
      <w:marLeft w:val="0"/>
      <w:marRight w:val="0"/>
      <w:marTop w:val="180"/>
      <w:marBottom w:val="0"/>
      <w:divBdr>
        <w:top w:val="none" w:sz="0" w:space="0" w:color="auto"/>
        <w:left w:val="none" w:sz="0" w:space="0" w:color="auto"/>
        <w:bottom w:val="none" w:sz="0" w:space="0" w:color="auto"/>
        <w:right w:val="none" w:sz="0" w:space="0" w:color="auto"/>
      </w:divBdr>
    </w:div>
    <w:div w:id="1437600723">
      <w:marLeft w:val="0"/>
      <w:marRight w:val="0"/>
      <w:marTop w:val="180"/>
      <w:marBottom w:val="0"/>
      <w:divBdr>
        <w:top w:val="none" w:sz="0" w:space="0" w:color="auto"/>
        <w:left w:val="none" w:sz="0" w:space="0" w:color="auto"/>
        <w:bottom w:val="none" w:sz="0" w:space="0" w:color="auto"/>
        <w:right w:val="none" w:sz="0" w:space="0" w:color="auto"/>
      </w:divBdr>
    </w:div>
    <w:div w:id="1441099310">
      <w:marLeft w:val="0"/>
      <w:marRight w:val="0"/>
      <w:marTop w:val="180"/>
      <w:marBottom w:val="0"/>
      <w:divBdr>
        <w:top w:val="none" w:sz="0" w:space="0" w:color="auto"/>
        <w:left w:val="none" w:sz="0" w:space="0" w:color="auto"/>
        <w:bottom w:val="none" w:sz="0" w:space="0" w:color="auto"/>
        <w:right w:val="none" w:sz="0" w:space="0" w:color="auto"/>
      </w:divBdr>
    </w:div>
    <w:div w:id="1441729118">
      <w:marLeft w:val="0"/>
      <w:marRight w:val="0"/>
      <w:marTop w:val="180"/>
      <w:marBottom w:val="120"/>
      <w:divBdr>
        <w:top w:val="none" w:sz="0" w:space="0" w:color="auto"/>
        <w:left w:val="none" w:sz="0" w:space="0" w:color="auto"/>
        <w:bottom w:val="none" w:sz="0" w:space="0" w:color="auto"/>
        <w:right w:val="none" w:sz="0" w:space="0" w:color="auto"/>
      </w:divBdr>
    </w:div>
    <w:div w:id="1443770606">
      <w:marLeft w:val="0"/>
      <w:marRight w:val="0"/>
      <w:marTop w:val="240"/>
      <w:marBottom w:val="0"/>
      <w:divBdr>
        <w:top w:val="none" w:sz="0" w:space="0" w:color="auto"/>
        <w:left w:val="none" w:sz="0" w:space="0" w:color="auto"/>
        <w:bottom w:val="none" w:sz="0" w:space="0" w:color="auto"/>
        <w:right w:val="none" w:sz="0" w:space="0" w:color="auto"/>
      </w:divBdr>
    </w:div>
    <w:div w:id="1445345835">
      <w:marLeft w:val="0"/>
      <w:marRight w:val="0"/>
      <w:marTop w:val="120"/>
      <w:marBottom w:val="60"/>
      <w:divBdr>
        <w:top w:val="none" w:sz="0" w:space="0" w:color="auto"/>
        <w:left w:val="none" w:sz="0" w:space="0" w:color="auto"/>
        <w:bottom w:val="none" w:sz="0" w:space="0" w:color="auto"/>
        <w:right w:val="none" w:sz="0" w:space="0" w:color="auto"/>
      </w:divBdr>
    </w:div>
    <w:div w:id="1447626971">
      <w:marLeft w:val="0"/>
      <w:marRight w:val="0"/>
      <w:marTop w:val="180"/>
      <w:marBottom w:val="0"/>
      <w:divBdr>
        <w:top w:val="none" w:sz="0" w:space="0" w:color="auto"/>
        <w:left w:val="none" w:sz="0" w:space="0" w:color="auto"/>
        <w:bottom w:val="none" w:sz="0" w:space="0" w:color="auto"/>
        <w:right w:val="none" w:sz="0" w:space="0" w:color="auto"/>
      </w:divBdr>
    </w:div>
    <w:div w:id="1448309365">
      <w:marLeft w:val="0"/>
      <w:marRight w:val="0"/>
      <w:marTop w:val="180"/>
      <w:marBottom w:val="0"/>
      <w:divBdr>
        <w:top w:val="none" w:sz="0" w:space="0" w:color="auto"/>
        <w:left w:val="none" w:sz="0" w:space="0" w:color="auto"/>
        <w:bottom w:val="none" w:sz="0" w:space="0" w:color="auto"/>
        <w:right w:val="none" w:sz="0" w:space="0" w:color="auto"/>
      </w:divBdr>
    </w:div>
    <w:div w:id="1457025203">
      <w:marLeft w:val="0"/>
      <w:marRight w:val="0"/>
      <w:marTop w:val="180"/>
      <w:marBottom w:val="0"/>
      <w:divBdr>
        <w:top w:val="none" w:sz="0" w:space="0" w:color="auto"/>
        <w:left w:val="none" w:sz="0" w:space="0" w:color="auto"/>
        <w:bottom w:val="none" w:sz="0" w:space="0" w:color="auto"/>
        <w:right w:val="none" w:sz="0" w:space="0" w:color="auto"/>
      </w:divBdr>
    </w:div>
    <w:div w:id="1461538452">
      <w:marLeft w:val="0"/>
      <w:marRight w:val="0"/>
      <w:marTop w:val="180"/>
      <w:marBottom w:val="0"/>
      <w:divBdr>
        <w:top w:val="none" w:sz="0" w:space="0" w:color="auto"/>
        <w:left w:val="none" w:sz="0" w:space="0" w:color="auto"/>
        <w:bottom w:val="none" w:sz="0" w:space="0" w:color="auto"/>
        <w:right w:val="none" w:sz="0" w:space="0" w:color="auto"/>
      </w:divBdr>
    </w:div>
    <w:div w:id="1467158383">
      <w:marLeft w:val="0"/>
      <w:marRight w:val="0"/>
      <w:marTop w:val="0"/>
      <w:marBottom w:val="0"/>
      <w:divBdr>
        <w:top w:val="none" w:sz="0" w:space="0" w:color="auto"/>
        <w:left w:val="none" w:sz="0" w:space="0" w:color="auto"/>
        <w:bottom w:val="none" w:sz="0" w:space="0" w:color="auto"/>
        <w:right w:val="none" w:sz="0" w:space="0" w:color="auto"/>
      </w:divBdr>
      <w:divsChild>
        <w:div w:id="1551961895">
          <w:marLeft w:val="0"/>
          <w:marRight w:val="0"/>
          <w:marTop w:val="0"/>
          <w:marBottom w:val="0"/>
          <w:divBdr>
            <w:top w:val="none" w:sz="0" w:space="0" w:color="auto"/>
            <w:left w:val="none" w:sz="0" w:space="0" w:color="auto"/>
            <w:bottom w:val="none" w:sz="0" w:space="0" w:color="auto"/>
            <w:right w:val="none" w:sz="0" w:space="0" w:color="auto"/>
          </w:divBdr>
          <w:divsChild>
            <w:div w:id="15107506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69667315">
      <w:marLeft w:val="0"/>
      <w:marRight w:val="0"/>
      <w:marTop w:val="180"/>
      <w:marBottom w:val="0"/>
      <w:divBdr>
        <w:top w:val="none" w:sz="0" w:space="0" w:color="auto"/>
        <w:left w:val="none" w:sz="0" w:space="0" w:color="auto"/>
        <w:bottom w:val="none" w:sz="0" w:space="0" w:color="auto"/>
        <w:right w:val="none" w:sz="0" w:space="0" w:color="auto"/>
      </w:divBdr>
    </w:div>
    <w:div w:id="1499227763">
      <w:marLeft w:val="0"/>
      <w:marRight w:val="0"/>
      <w:marTop w:val="60"/>
      <w:marBottom w:val="120"/>
      <w:divBdr>
        <w:top w:val="none" w:sz="0" w:space="0" w:color="auto"/>
        <w:left w:val="none" w:sz="0" w:space="0" w:color="auto"/>
        <w:bottom w:val="none" w:sz="0" w:space="0" w:color="auto"/>
        <w:right w:val="none" w:sz="0" w:space="0" w:color="auto"/>
      </w:divBdr>
    </w:div>
    <w:div w:id="1505394149">
      <w:marLeft w:val="0"/>
      <w:marRight w:val="0"/>
      <w:marTop w:val="180"/>
      <w:marBottom w:val="0"/>
      <w:divBdr>
        <w:top w:val="none" w:sz="0" w:space="0" w:color="auto"/>
        <w:left w:val="none" w:sz="0" w:space="0" w:color="auto"/>
        <w:bottom w:val="none" w:sz="0" w:space="0" w:color="auto"/>
        <w:right w:val="none" w:sz="0" w:space="0" w:color="auto"/>
      </w:divBdr>
    </w:div>
    <w:div w:id="1505585268">
      <w:marLeft w:val="0"/>
      <w:marRight w:val="0"/>
      <w:marTop w:val="180"/>
      <w:marBottom w:val="0"/>
      <w:divBdr>
        <w:top w:val="none" w:sz="0" w:space="0" w:color="auto"/>
        <w:left w:val="none" w:sz="0" w:space="0" w:color="auto"/>
        <w:bottom w:val="none" w:sz="0" w:space="0" w:color="auto"/>
        <w:right w:val="none" w:sz="0" w:space="0" w:color="auto"/>
      </w:divBdr>
    </w:div>
    <w:div w:id="1507328130">
      <w:marLeft w:val="0"/>
      <w:marRight w:val="0"/>
      <w:marTop w:val="240"/>
      <w:marBottom w:val="0"/>
      <w:divBdr>
        <w:top w:val="none" w:sz="0" w:space="0" w:color="auto"/>
        <w:left w:val="none" w:sz="0" w:space="0" w:color="auto"/>
        <w:bottom w:val="none" w:sz="0" w:space="0" w:color="auto"/>
        <w:right w:val="none" w:sz="0" w:space="0" w:color="auto"/>
      </w:divBdr>
    </w:div>
    <w:div w:id="1511027744">
      <w:marLeft w:val="0"/>
      <w:marRight w:val="0"/>
      <w:marTop w:val="180"/>
      <w:marBottom w:val="0"/>
      <w:divBdr>
        <w:top w:val="none" w:sz="0" w:space="0" w:color="auto"/>
        <w:left w:val="none" w:sz="0" w:space="0" w:color="auto"/>
        <w:bottom w:val="none" w:sz="0" w:space="0" w:color="auto"/>
        <w:right w:val="none" w:sz="0" w:space="0" w:color="auto"/>
      </w:divBdr>
    </w:div>
    <w:div w:id="1512254219">
      <w:marLeft w:val="0"/>
      <w:marRight w:val="0"/>
      <w:marTop w:val="160"/>
      <w:marBottom w:val="0"/>
      <w:divBdr>
        <w:top w:val="none" w:sz="0" w:space="0" w:color="auto"/>
        <w:left w:val="none" w:sz="0" w:space="0" w:color="auto"/>
        <w:bottom w:val="none" w:sz="0" w:space="0" w:color="auto"/>
        <w:right w:val="none" w:sz="0" w:space="0" w:color="auto"/>
      </w:divBdr>
    </w:div>
    <w:div w:id="1519277005">
      <w:marLeft w:val="0"/>
      <w:marRight w:val="0"/>
      <w:marTop w:val="60"/>
      <w:marBottom w:val="0"/>
      <w:divBdr>
        <w:top w:val="none" w:sz="0" w:space="0" w:color="auto"/>
        <w:left w:val="none" w:sz="0" w:space="0" w:color="auto"/>
        <w:bottom w:val="none" w:sz="0" w:space="0" w:color="auto"/>
        <w:right w:val="none" w:sz="0" w:space="0" w:color="auto"/>
      </w:divBdr>
    </w:div>
    <w:div w:id="1519466945">
      <w:marLeft w:val="0"/>
      <w:marRight w:val="0"/>
      <w:marTop w:val="120"/>
      <w:marBottom w:val="0"/>
      <w:divBdr>
        <w:top w:val="none" w:sz="0" w:space="0" w:color="auto"/>
        <w:left w:val="none" w:sz="0" w:space="0" w:color="auto"/>
        <w:bottom w:val="none" w:sz="0" w:space="0" w:color="auto"/>
        <w:right w:val="none" w:sz="0" w:space="0" w:color="auto"/>
      </w:divBdr>
    </w:div>
    <w:div w:id="1522891741">
      <w:marLeft w:val="0"/>
      <w:marRight w:val="0"/>
      <w:marTop w:val="180"/>
      <w:marBottom w:val="0"/>
      <w:divBdr>
        <w:top w:val="none" w:sz="0" w:space="0" w:color="auto"/>
        <w:left w:val="none" w:sz="0" w:space="0" w:color="auto"/>
        <w:bottom w:val="none" w:sz="0" w:space="0" w:color="auto"/>
        <w:right w:val="none" w:sz="0" w:space="0" w:color="auto"/>
      </w:divBdr>
    </w:div>
    <w:div w:id="1545747626">
      <w:marLeft w:val="0"/>
      <w:marRight w:val="0"/>
      <w:marTop w:val="180"/>
      <w:marBottom w:val="120"/>
      <w:divBdr>
        <w:top w:val="none" w:sz="0" w:space="0" w:color="auto"/>
        <w:left w:val="none" w:sz="0" w:space="0" w:color="auto"/>
        <w:bottom w:val="none" w:sz="0" w:space="0" w:color="auto"/>
        <w:right w:val="none" w:sz="0" w:space="0" w:color="auto"/>
      </w:divBdr>
    </w:div>
    <w:div w:id="1550915578">
      <w:marLeft w:val="0"/>
      <w:marRight w:val="0"/>
      <w:marTop w:val="0"/>
      <w:marBottom w:val="0"/>
      <w:divBdr>
        <w:top w:val="none" w:sz="0" w:space="0" w:color="auto"/>
        <w:left w:val="none" w:sz="0" w:space="0" w:color="auto"/>
        <w:bottom w:val="none" w:sz="0" w:space="0" w:color="auto"/>
        <w:right w:val="none" w:sz="0" w:space="0" w:color="auto"/>
      </w:divBdr>
      <w:divsChild>
        <w:div w:id="1226183450">
          <w:marLeft w:val="0"/>
          <w:marRight w:val="0"/>
          <w:marTop w:val="180"/>
          <w:marBottom w:val="180"/>
          <w:divBdr>
            <w:top w:val="none" w:sz="0" w:space="0" w:color="auto"/>
            <w:left w:val="none" w:sz="0" w:space="0" w:color="auto"/>
            <w:bottom w:val="none" w:sz="0" w:space="0" w:color="auto"/>
            <w:right w:val="none" w:sz="0" w:space="0" w:color="auto"/>
          </w:divBdr>
        </w:div>
      </w:divsChild>
    </w:div>
    <w:div w:id="1555390562">
      <w:marLeft w:val="0"/>
      <w:marRight w:val="0"/>
      <w:marTop w:val="180"/>
      <w:marBottom w:val="0"/>
      <w:divBdr>
        <w:top w:val="none" w:sz="0" w:space="0" w:color="auto"/>
        <w:left w:val="none" w:sz="0" w:space="0" w:color="auto"/>
        <w:bottom w:val="none" w:sz="0" w:space="0" w:color="auto"/>
        <w:right w:val="none" w:sz="0" w:space="0" w:color="auto"/>
      </w:divBdr>
    </w:div>
    <w:div w:id="1557205047">
      <w:marLeft w:val="0"/>
      <w:marRight w:val="0"/>
      <w:marTop w:val="0"/>
      <w:marBottom w:val="0"/>
      <w:divBdr>
        <w:top w:val="none" w:sz="0" w:space="0" w:color="auto"/>
        <w:left w:val="none" w:sz="0" w:space="0" w:color="auto"/>
        <w:bottom w:val="none" w:sz="0" w:space="0" w:color="auto"/>
        <w:right w:val="none" w:sz="0" w:space="0" w:color="auto"/>
      </w:divBdr>
      <w:divsChild>
        <w:div w:id="1671759835">
          <w:marLeft w:val="0"/>
          <w:marRight w:val="0"/>
          <w:marTop w:val="180"/>
          <w:marBottom w:val="180"/>
          <w:divBdr>
            <w:top w:val="none" w:sz="0" w:space="0" w:color="auto"/>
            <w:left w:val="none" w:sz="0" w:space="0" w:color="auto"/>
            <w:bottom w:val="none" w:sz="0" w:space="0" w:color="auto"/>
            <w:right w:val="none" w:sz="0" w:space="0" w:color="auto"/>
          </w:divBdr>
        </w:div>
      </w:divsChild>
    </w:div>
    <w:div w:id="1565994559">
      <w:marLeft w:val="0"/>
      <w:marRight w:val="0"/>
      <w:marTop w:val="180"/>
      <w:marBottom w:val="0"/>
      <w:divBdr>
        <w:top w:val="none" w:sz="0" w:space="0" w:color="auto"/>
        <w:left w:val="none" w:sz="0" w:space="0" w:color="auto"/>
        <w:bottom w:val="none" w:sz="0" w:space="0" w:color="auto"/>
        <w:right w:val="none" w:sz="0" w:space="0" w:color="auto"/>
      </w:divBdr>
    </w:div>
    <w:div w:id="1568881897">
      <w:marLeft w:val="0"/>
      <w:marRight w:val="0"/>
      <w:marTop w:val="180"/>
      <w:marBottom w:val="0"/>
      <w:divBdr>
        <w:top w:val="none" w:sz="0" w:space="0" w:color="auto"/>
        <w:left w:val="none" w:sz="0" w:space="0" w:color="auto"/>
        <w:bottom w:val="none" w:sz="0" w:space="0" w:color="auto"/>
        <w:right w:val="none" w:sz="0" w:space="0" w:color="auto"/>
      </w:divBdr>
    </w:div>
    <w:div w:id="1572228976">
      <w:marLeft w:val="0"/>
      <w:marRight w:val="0"/>
      <w:marTop w:val="180"/>
      <w:marBottom w:val="0"/>
      <w:divBdr>
        <w:top w:val="none" w:sz="0" w:space="0" w:color="auto"/>
        <w:left w:val="none" w:sz="0" w:space="0" w:color="auto"/>
        <w:bottom w:val="none" w:sz="0" w:space="0" w:color="auto"/>
        <w:right w:val="none" w:sz="0" w:space="0" w:color="auto"/>
      </w:divBdr>
    </w:div>
    <w:div w:id="1575965711">
      <w:marLeft w:val="0"/>
      <w:marRight w:val="0"/>
      <w:marTop w:val="180"/>
      <w:marBottom w:val="60"/>
      <w:divBdr>
        <w:top w:val="none" w:sz="0" w:space="0" w:color="auto"/>
        <w:left w:val="none" w:sz="0" w:space="0" w:color="auto"/>
        <w:bottom w:val="none" w:sz="0" w:space="0" w:color="auto"/>
        <w:right w:val="none" w:sz="0" w:space="0" w:color="auto"/>
      </w:divBdr>
    </w:div>
    <w:div w:id="1580360648">
      <w:marLeft w:val="0"/>
      <w:marRight w:val="0"/>
      <w:marTop w:val="120"/>
      <w:marBottom w:val="120"/>
      <w:divBdr>
        <w:top w:val="none" w:sz="0" w:space="0" w:color="auto"/>
        <w:left w:val="none" w:sz="0" w:space="0" w:color="auto"/>
        <w:bottom w:val="none" w:sz="0" w:space="0" w:color="auto"/>
        <w:right w:val="none" w:sz="0" w:space="0" w:color="auto"/>
      </w:divBdr>
    </w:div>
    <w:div w:id="1596523125">
      <w:marLeft w:val="0"/>
      <w:marRight w:val="0"/>
      <w:marTop w:val="180"/>
      <w:marBottom w:val="0"/>
      <w:divBdr>
        <w:top w:val="none" w:sz="0" w:space="0" w:color="auto"/>
        <w:left w:val="none" w:sz="0" w:space="0" w:color="auto"/>
        <w:bottom w:val="none" w:sz="0" w:space="0" w:color="auto"/>
        <w:right w:val="none" w:sz="0" w:space="0" w:color="auto"/>
      </w:divBdr>
    </w:div>
    <w:div w:id="1596864047">
      <w:marLeft w:val="0"/>
      <w:marRight w:val="0"/>
      <w:marTop w:val="180"/>
      <w:marBottom w:val="0"/>
      <w:divBdr>
        <w:top w:val="none" w:sz="0" w:space="0" w:color="auto"/>
        <w:left w:val="none" w:sz="0" w:space="0" w:color="auto"/>
        <w:bottom w:val="none" w:sz="0" w:space="0" w:color="auto"/>
        <w:right w:val="none" w:sz="0" w:space="0" w:color="auto"/>
      </w:divBdr>
    </w:div>
    <w:div w:id="1597521501">
      <w:marLeft w:val="0"/>
      <w:marRight w:val="0"/>
      <w:marTop w:val="180"/>
      <w:marBottom w:val="0"/>
      <w:divBdr>
        <w:top w:val="none" w:sz="0" w:space="0" w:color="auto"/>
        <w:left w:val="none" w:sz="0" w:space="0" w:color="auto"/>
        <w:bottom w:val="none" w:sz="0" w:space="0" w:color="auto"/>
        <w:right w:val="none" w:sz="0" w:space="0" w:color="auto"/>
      </w:divBdr>
    </w:div>
    <w:div w:id="1601718180">
      <w:marLeft w:val="0"/>
      <w:marRight w:val="0"/>
      <w:marTop w:val="0"/>
      <w:marBottom w:val="0"/>
      <w:divBdr>
        <w:top w:val="none" w:sz="0" w:space="0" w:color="auto"/>
        <w:left w:val="none" w:sz="0" w:space="0" w:color="auto"/>
        <w:bottom w:val="none" w:sz="0" w:space="0" w:color="auto"/>
        <w:right w:val="none" w:sz="0" w:space="0" w:color="auto"/>
      </w:divBdr>
      <w:divsChild>
        <w:div w:id="689449119">
          <w:marLeft w:val="0"/>
          <w:marRight w:val="0"/>
          <w:marTop w:val="180"/>
          <w:marBottom w:val="180"/>
          <w:divBdr>
            <w:top w:val="none" w:sz="0" w:space="0" w:color="auto"/>
            <w:left w:val="none" w:sz="0" w:space="0" w:color="auto"/>
            <w:bottom w:val="none" w:sz="0" w:space="0" w:color="auto"/>
            <w:right w:val="none" w:sz="0" w:space="0" w:color="auto"/>
          </w:divBdr>
        </w:div>
      </w:divsChild>
    </w:div>
    <w:div w:id="1607032285">
      <w:marLeft w:val="0"/>
      <w:marRight w:val="0"/>
      <w:marTop w:val="180"/>
      <w:marBottom w:val="120"/>
      <w:divBdr>
        <w:top w:val="none" w:sz="0" w:space="0" w:color="auto"/>
        <w:left w:val="none" w:sz="0" w:space="0" w:color="auto"/>
        <w:bottom w:val="none" w:sz="0" w:space="0" w:color="auto"/>
        <w:right w:val="none" w:sz="0" w:space="0" w:color="auto"/>
      </w:divBdr>
    </w:div>
    <w:div w:id="1613201135">
      <w:marLeft w:val="0"/>
      <w:marRight w:val="0"/>
      <w:marTop w:val="180"/>
      <w:marBottom w:val="0"/>
      <w:divBdr>
        <w:top w:val="none" w:sz="0" w:space="0" w:color="auto"/>
        <w:left w:val="none" w:sz="0" w:space="0" w:color="auto"/>
        <w:bottom w:val="none" w:sz="0" w:space="0" w:color="auto"/>
        <w:right w:val="none" w:sz="0" w:space="0" w:color="auto"/>
      </w:divBdr>
    </w:div>
    <w:div w:id="1613777776">
      <w:marLeft w:val="0"/>
      <w:marRight w:val="0"/>
      <w:marTop w:val="180"/>
      <w:marBottom w:val="0"/>
      <w:divBdr>
        <w:top w:val="none" w:sz="0" w:space="0" w:color="auto"/>
        <w:left w:val="none" w:sz="0" w:space="0" w:color="auto"/>
        <w:bottom w:val="none" w:sz="0" w:space="0" w:color="auto"/>
        <w:right w:val="none" w:sz="0" w:space="0" w:color="auto"/>
      </w:divBdr>
    </w:div>
    <w:div w:id="1614705604">
      <w:marLeft w:val="0"/>
      <w:marRight w:val="0"/>
      <w:marTop w:val="180"/>
      <w:marBottom w:val="0"/>
      <w:divBdr>
        <w:top w:val="none" w:sz="0" w:space="0" w:color="auto"/>
        <w:left w:val="none" w:sz="0" w:space="0" w:color="auto"/>
        <w:bottom w:val="none" w:sz="0" w:space="0" w:color="auto"/>
        <w:right w:val="none" w:sz="0" w:space="0" w:color="auto"/>
      </w:divBdr>
    </w:div>
    <w:div w:id="1619484365">
      <w:marLeft w:val="0"/>
      <w:marRight w:val="0"/>
      <w:marTop w:val="180"/>
      <w:marBottom w:val="0"/>
      <w:divBdr>
        <w:top w:val="none" w:sz="0" w:space="0" w:color="auto"/>
        <w:left w:val="none" w:sz="0" w:space="0" w:color="auto"/>
        <w:bottom w:val="none" w:sz="0" w:space="0" w:color="auto"/>
        <w:right w:val="none" w:sz="0" w:space="0" w:color="auto"/>
      </w:divBdr>
    </w:div>
    <w:div w:id="1621062473">
      <w:marLeft w:val="0"/>
      <w:marRight w:val="0"/>
      <w:marTop w:val="180"/>
      <w:marBottom w:val="0"/>
      <w:divBdr>
        <w:top w:val="none" w:sz="0" w:space="0" w:color="auto"/>
        <w:left w:val="none" w:sz="0" w:space="0" w:color="auto"/>
        <w:bottom w:val="none" w:sz="0" w:space="0" w:color="auto"/>
        <w:right w:val="none" w:sz="0" w:space="0" w:color="auto"/>
      </w:divBdr>
    </w:div>
    <w:div w:id="1634795817">
      <w:marLeft w:val="0"/>
      <w:marRight w:val="0"/>
      <w:marTop w:val="0"/>
      <w:marBottom w:val="0"/>
      <w:divBdr>
        <w:top w:val="none" w:sz="0" w:space="0" w:color="auto"/>
        <w:left w:val="none" w:sz="0" w:space="0" w:color="auto"/>
        <w:bottom w:val="none" w:sz="0" w:space="0" w:color="auto"/>
        <w:right w:val="none" w:sz="0" w:space="0" w:color="auto"/>
      </w:divBdr>
      <w:divsChild>
        <w:div w:id="210774215">
          <w:marLeft w:val="0"/>
          <w:marRight w:val="0"/>
          <w:marTop w:val="180"/>
          <w:marBottom w:val="180"/>
          <w:divBdr>
            <w:top w:val="none" w:sz="0" w:space="0" w:color="auto"/>
            <w:left w:val="none" w:sz="0" w:space="0" w:color="auto"/>
            <w:bottom w:val="none" w:sz="0" w:space="0" w:color="auto"/>
            <w:right w:val="none" w:sz="0" w:space="0" w:color="auto"/>
          </w:divBdr>
        </w:div>
      </w:divsChild>
    </w:div>
    <w:div w:id="1639988671">
      <w:marLeft w:val="0"/>
      <w:marRight w:val="0"/>
      <w:marTop w:val="180"/>
      <w:marBottom w:val="0"/>
      <w:divBdr>
        <w:top w:val="none" w:sz="0" w:space="0" w:color="auto"/>
        <w:left w:val="none" w:sz="0" w:space="0" w:color="auto"/>
        <w:bottom w:val="none" w:sz="0" w:space="0" w:color="auto"/>
        <w:right w:val="none" w:sz="0" w:space="0" w:color="auto"/>
      </w:divBdr>
    </w:div>
    <w:div w:id="1643804552">
      <w:marLeft w:val="0"/>
      <w:marRight w:val="0"/>
      <w:marTop w:val="180"/>
      <w:marBottom w:val="0"/>
      <w:divBdr>
        <w:top w:val="none" w:sz="0" w:space="0" w:color="auto"/>
        <w:left w:val="none" w:sz="0" w:space="0" w:color="auto"/>
        <w:bottom w:val="none" w:sz="0" w:space="0" w:color="auto"/>
        <w:right w:val="none" w:sz="0" w:space="0" w:color="auto"/>
      </w:divBdr>
      <w:divsChild>
        <w:div w:id="1348100086">
          <w:marLeft w:val="0"/>
          <w:marRight w:val="0"/>
          <w:marTop w:val="0"/>
          <w:marBottom w:val="0"/>
          <w:divBdr>
            <w:top w:val="none" w:sz="0" w:space="0" w:color="auto"/>
            <w:left w:val="none" w:sz="0" w:space="0" w:color="auto"/>
            <w:bottom w:val="none" w:sz="0" w:space="0" w:color="auto"/>
            <w:right w:val="none" w:sz="0" w:space="0" w:color="auto"/>
          </w:divBdr>
        </w:div>
        <w:div w:id="153880864">
          <w:marLeft w:val="0"/>
          <w:marRight w:val="0"/>
          <w:marTop w:val="0"/>
          <w:marBottom w:val="0"/>
          <w:divBdr>
            <w:top w:val="none" w:sz="0" w:space="0" w:color="auto"/>
            <w:left w:val="none" w:sz="0" w:space="0" w:color="auto"/>
            <w:bottom w:val="none" w:sz="0" w:space="0" w:color="auto"/>
            <w:right w:val="none" w:sz="0" w:space="0" w:color="auto"/>
          </w:divBdr>
        </w:div>
        <w:div w:id="404256233">
          <w:marLeft w:val="0"/>
          <w:marRight w:val="0"/>
          <w:marTop w:val="0"/>
          <w:marBottom w:val="0"/>
          <w:divBdr>
            <w:top w:val="none" w:sz="0" w:space="0" w:color="auto"/>
            <w:left w:val="none" w:sz="0" w:space="0" w:color="auto"/>
            <w:bottom w:val="none" w:sz="0" w:space="0" w:color="auto"/>
            <w:right w:val="none" w:sz="0" w:space="0" w:color="auto"/>
          </w:divBdr>
        </w:div>
        <w:div w:id="238559861">
          <w:marLeft w:val="0"/>
          <w:marRight w:val="0"/>
          <w:marTop w:val="0"/>
          <w:marBottom w:val="0"/>
          <w:divBdr>
            <w:top w:val="none" w:sz="0" w:space="0" w:color="auto"/>
            <w:left w:val="none" w:sz="0" w:space="0" w:color="auto"/>
            <w:bottom w:val="none" w:sz="0" w:space="0" w:color="auto"/>
            <w:right w:val="none" w:sz="0" w:space="0" w:color="auto"/>
          </w:divBdr>
        </w:div>
        <w:div w:id="44717246">
          <w:marLeft w:val="0"/>
          <w:marRight w:val="0"/>
          <w:marTop w:val="0"/>
          <w:marBottom w:val="0"/>
          <w:divBdr>
            <w:top w:val="none" w:sz="0" w:space="0" w:color="auto"/>
            <w:left w:val="none" w:sz="0" w:space="0" w:color="auto"/>
            <w:bottom w:val="none" w:sz="0" w:space="0" w:color="auto"/>
            <w:right w:val="none" w:sz="0" w:space="0" w:color="auto"/>
          </w:divBdr>
        </w:div>
      </w:divsChild>
    </w:div>
    <w:div w:id="1646929087">
      <w:marLeft w:val="0"/>
      <w:marRight w:val="0"/>
      <w:marTop w:val="0"/>
      <w:marBottom w:val="0"/>
      <w:divBdr>
        <w:top w:val="none" w:sz="0" w:space="0" w:color="auto"/>
        <w:left w:val="none" w:sz="0" w:space="0" w:color="auto"/>
        <w:bottom w:val="none" w:sz="0" w:space="0" w:color="auto"/>
        <w:right w:val="none" w:sz="0" w:space="0" w:color="auto"/>
      </w:divBdr>
      <w:divsChild>
        <w:div w:id="127746265">
          <w:marLeft w:val="0"/>
          <w:marRight w:val="0"/>
          <w:marTop w:val="180"/>
          <w:marBottom w:val="180"/>
          <w:divBdr>
            <w:top w:val="none" w:sz="0" w:space="0" w:color="auto"/>
            <w:left w:val="none" w:sz="0" w:space="0" w:color="auto"/>
            <w:bottom w:val="none" w:sz="0" w:space="0" w:color="auto"/>
            <w:right w:val="none" w:sz="0" w:space="0" w:color="auto"/>
          </w:divBdr>
        </w:div>
      </w:divsChild>
    </w:div>
    <w:div w:id="1648044562">
      <w:marLeft w:val="0"/>
      <w:marRight w:val="0"/>
      <w:marTop w:val="180"/>
      <w:marBottom w:val="0"/>
      <w:divBdr>
        <w:top w:val="none" w:sz="0" w:space="0" w:color="auto"/>
        <w:left w:val="none" w:sz="0" w:space="0" w:color="auto"/>
        <w:bottom w:val="none" w:sz="0" w:space="0" w:color="auto"/>
        <w:right w:val="none" w:sz="0" w:space="0" w:color="auto"/>
      </w:divBdr>
    </w:div>
    <w:div w:id="1650205940">
      <w:marLeft w:val="0"/>
      <w:marRight w:val="0"/>
      <w:marTop w:val="180"/>
      <w:marBottom w:val="0"/>
      <w:divBdr>
        <w:top w:val="none" w:sz="0" w:space="0" w:color="auto"/>
        <w:left w:val="none" w:sz="0" w:space="0" w:color="auto"/>
        <w:bottom w:val="none" w:sz="0" w:space="0" w:color="auto"/>
        <w:right w:val="none" w:sz="0" w:space="0" w:color="auto"/>
      </w:divBdr>
    </w:div>
    <w:div w:id="1655404044">
      <w:marLeft w:val="0"/>
      <w:marRight w:val="0"/>
      <w:marTop w:val="180"/>
      <w:marBottom w:val="0"/>
      <w:divBdr>
        <w:top w:val="none" w:sz="0" w:space="0" w:color="auto"/>
        <w:left w:val="none" w:sz="0" w:space="0" w:color="auto"/>
        <w:bottom w:val="none" w:sz="0" w:space="0" w:color="auto"/>
        <w:right w:val="none" w:sz="0" w:space="0" w:color="auto"/>
      </w:divBdr>
    </w:div>
    <w:div w:id="1655571585">
      <w:marLeft w:val="0"/>
      <w:marRight w:val="0"/>
      <w:marTop w:val="0"/>
      <w:marBottom w:val="0"/>
      <w:divBdr>
        <w:top w:val="none" w:sz="0" w:space="0" w:color="auto"/>
        <w:left w:val="none" w:sz="0" w:space="0" w:color="auto"/>
        <w:bottom w:val="none" w:sz="0" w:space="0" w:color="auto"/>
        <w:right w:val="none" w:sz="0" w:space="0" w:color="auto"/>
      </w:divBdr>
      <w:divsChild>
        <w:div w:id="420378061">
          <w:marLeft w:val="0"/>
          <w:marRight w:val="0"/>
          <w:marTop w:val="0"/>
          <w:marBottom w:val="0"/>
          <w:divBdr>
            <w:top w:val="none" w:sz="0" w:space="0" w:color="auto"/>
            <w:left w:val="none" w:sz="0" w:space="0" w:color="auto"/>
            <w:bottom w:val="none" w:sz="0" w:space="0" w:color="auto"/>
            <w:right w:val="none" w:sz="0" w:space="0" w:color="auto"/>
          </w:divBdr>
          <w:divsChild>
            <w:div w:id="74449755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62733404">
      <w:marLeft w:val="0"/>
      <w:marRight w:val="0"/>
      <w:marTop w:val="180"/>
      <w:marBottom w:val="0"/>
      <w:divBdr>
        <w:top w:val="none" w:sz="0" w:space="0" w:color="auto"/>
        <w:left w:val="none" w:sz="0" w:space="0" w:color="auto"/>
        <w:bottom w:val="none" w:sz="0" w:space="0" w:color="auto"/>
        <w:right w:val="none" w:sz="0" w:space="0" w:color="auto"/>
      </w:divBdr>
    </w:div>
    <w:div w:id="1665477155">
      <w:marLeft w:val="0"/>
      <w:marRight w:val="0"/>
      <w:marTop w:val="180"/>
      <w:marBottom w:val="0"/>
      <w:divBdr>
        <w:top w:val="none" w:sz="0" w:space="0" w:color="auto"/>
        <w:left w:val="none" w:sz="0" w:space="0" w:color="auto"/>
        <w:bottom w:val="none" w:sz="0" w:space="0" w:color="auto"/>
        <w:right w:val="none" w:sz="0" w:space="0" w:color="auto"/>
      </w:divBdr>
    </w:div>
    <w:div w:id="1682703869">
      <w:marLeft w:val="0"/>
      <w:marRight w:val="0"/>
      <w:marTop w:val="180"/>
      <w:marBottom w:val="0"/>
      <w:divBdr>
        <w:top w:val="none" w:sz="0" w:space="0" w:color="auto"/>
        <w:left w:val="none" w:sz="0" w:space="0" w:color="auto"/>
        <w:bottom w:val="none" w:sz="0" w:space="0" w:color="auto"/>
        <w:right w:val="none" w:sz="0" w:space="0" w:color="auto"/>
      </w:divBdr>
    </w:div>
    <w:div w:id="1683358875">
      <w:marLeft w:val="0"/>
      <w:marRight w:val="0"/>
      <w:marTop w:val="0"/>
      <w:marBottom w:val="0"/>
      <w:divBdr>
        <w:top w:val="none" w:sz="0" w:space="0" w:color="auto"/>
        <w:left w:val="none" w:sz="0" w:space="0" w:color="auto"/>
        <w:bottom w:val="none" w:sz="0" w:space="0" w:color="auto"/>
        <w:right w:val="none" w:sz="0" w:space="0" w:color="auto"/>
      </w:divBdr>
      <w:divsChild>
        <w:div w:id="214585946">
          <w:marLeft w:val="0"/>
          <w:marRight w:val="0"/>
          <w:marTop w:val="180"/>
          <w:marBottom w:val="0"/>
          <w:divBdr>
            <w:top w:val="none" w:sz="0" w:space="0" w:color="auto"/>
            <w:left w:val="none" w:sz="0" w:space="0" w:color="auto"/>
            <w:bottom w:val="none" w:sz="0" w:space="0" w:color="auto"/>
            <w:right w:val="none" w:sz="0" w:space="0" w:color="auto"/>
          </w:divBdr>
        </w:div>
      </w:divsChild>
    </w:div>
    <w:div w:id="1695038722">
      <w:marLeft w:val="0"/>
      <w:marRight w:val="0"/>
      <w:marTop w:val="180"/>
      <w:marBottom w:val="0"/>
      <w:divBdr>
        <w:top w:val="none" w:sz="0" w:space="0" w:color="auto"/>
        <w:left w:val="none" w:sz="0" w:space="0" w:color="auto"/>
        <w:bottom w:val="none" w:sz="0" w:space="0" w:color="auto"/>
        <w:right w:val="none" w:sz="0" w:space="0" w:color="auto"/>
      </w:divBdr>
    </w:div>
    <w:div w:id="1698312677">
      <w:marLeft w:val="0"/>
      <w:marRight w:val="0"/>
      <w:marTop w:val="180"/>
      <w:marBottom w:val="0"/>
      <w:divBdr>
        <w:top w:val="none" w:sz="0" w:space="0" w:color="auto"/>
        <w:left w:val="none" w:sz="0" w:space="0" w:color="auto"/>
        <w:bottom w:val="none" w:sz="0" w:space="0" w:color="auto"/>
        <w:right w:val="none" w:sz="0" w:space="0" w:color="auto"/>
      </w:divBdr>
    </w:div>
    <w:div w:id="1703247622">
      <w:marLeft w:val="0"/>
      <w:marRight w:val="0"/>
      <w:marTop w:val="180"/>
      <w:marBottom w:val="0"/>
      <w:divBdr>
        <w:top w:val="none" w:sz="0" w:space="0" w:color="auto"/>
        <w:left w:val="none" w:sz="0" w:space="0" w:color="auto"/>
        <w:bottom w:val="none" w:sz="0" w:space="0" w:color="auto"/>
        <w:right w:val="none" w:sz="0" w:space="0" w:color="auto"/>
      </w:divBdr>
    </w:div>
    <w:div w:id="1708483813">
      <w:marLeft w:val="0"/>
      <w:marRight w:val="0"/>
      <w:marTop w:val="180"/>
      <w:marBottom w:val="0"/>
      <w:divBdr>
        <w:top w:val="none" w:sz="0" w:space="0" w:color="auto"/>
        <w:left w:val="none" w:sz="0" w:space="0" w:color="auto"/>
        <w:bottom w:val="none" w:sz="0" w:space="0" w:color="auto"/>
        <w:right w:val="none" w:sz="0" w:space="0" w:color="auto"/>
      </w:divBdr>
    </w:div>
    <w:div w:id="1708990126">
      <w:marLeft w:val="0"/>
      <w:marRight w:val="0"/>
      <w:marTop w:val="130"/>
      <w:marBottom w:val="120"/>
      <w:divBdr>
        <w:top w:val="none" w:sz="0" w:space="0" w:color="auto"/>
        <w:left w:val="none" w:sz="0" w:space="0" w:color="auto"/>
        <w:bottom w:val="none" w:sz="0" w:space="0" w:color="auto"/>
        <w:right w:val="none" w:sz="0" w:space="0" w:color="auto"/>
      </w:divBdr>
    </w:div>
    <w:div w:id="1713650756">
      <w:marLeft w:val="0"/>
      <w:marRight w:val="0"/>
      <w:marTop w:val="180"/>
      <w:marBottom w:val="0"/>
      <w:divBdr>
        <w:top w:val="none" w:sz="0" w:space="0" w:color="auto"/>
        <w:left w:val="none" w:sz="0" w:space="0" w:color="auto"/>
        <w:bottom w:val="none" w:sz="0" w:space="0" w:color="auto"/>
        <w:right w:val="none" w:sz="0" w:space="0" w:color="auto"/>
      </w:divBdr>
    </w:div>
    <w:div w:id="1715042436">
      <w:marLeft w:val="0"/>
      <w:marRight w:val="0"/>
      <w:marTop w:val="120"/>
      <w:marBottom w:val="120"/>
      <w:divBdr>
        <w:top w:val="none" w:sz="0" w:space="0" w:color="auto"/>
        <w:left w:val="none" w:sz="0" w:space="0" w:color="auto"/>
        <w:bottom w:val="none" w:sz="0" w:space="0" w:color="auto"/>
        <w:right w:val="none" w:sz="0" w:space="0" w:color="auto"/>
      </w:divBdr>
      <w:divsChild>
        <w:div w:id="225262284">
          <w:marLeft w:val="0"/>
          <w:marRight w:val="0"/>
          <w:marTop w:val="0"/>
          <w:marBottom w:val="0"/>
          <w:divBdr>
            <w:top w:val="none" w:sz="0" w:space="0" w:color="auto"/>
            <w:left w:val="none" w:sz="0" w:space="0" w:color="auto"/>
            <w:bottom w:val="none" w:sz="0" w:space="0" w:color="auto"/>
            <w:right w:val="none" w:sz="0" w:space="0" w:color="auto"/>
          </w:divBdr>
        </w:div>
      </w:divsChild>
    </w:div>
    <w:div w:id="1717243428">
      <w:marLeft w:val="0"/>
      <w:marRight w:val="0"/>
      <w:marTop w:val="0"/>
      <w:marBottom w:val="0"/>
      <w:divBdr>
        <w:top w:val="none" w:sz="0" w:space="0" w:color="auto"/>
        <w:left w:val="none" w:sz="0" w:space="0" w:color="auto"/>
        <w:bottom w:val="none" w:sz="0" w:space="0" w:color="auto"/>
        <w:right w:val="none" w:sz="0" w:space="0" w:color="auto"/>
      </w:divBdr>
      <w:divsChild>
        <w:div w:id="1155145095">
          <w:marLeft w:val="0"/>
          <w:marRight w:val="0"/>
          <w:marTop w:val="0"/>
          <w:marBottom w:val="0"/>
          <w:divBdr>
            <w:top w:val="none" w:sz="0" w:space="0" w:color="auto"/>
            <w:left w:val="none" w:sz="0" w:space="0" w:color="auto"/>
            <w:bottom w:val="none" w:sz="0" w:space="0" w:color="auto"/>
            <w:right w:val="none" w:sz="0" w:space="0" w:color="auto"/>
          </w:divBdr>
          <w:divsChild>
            <w:div w:id="16761534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18896045">
      <w:marLeft w:val="0"/>
      <w:marRight w:val="0"/>
      <w:marTop w:val="180"/>
      <w:marBottom w:val="0"/>
      <w:divBdr>
        <w:top w:val="none" w:sz="0" w:space="0" w:color="auto"/>
        <w:left w:val="none" w:sz="0" w:space="0" w:color="auto"/>
        <w:bottom w:val="none" w:sz="0" w:space="0" w:color="auto"/>
        <w:right w:val="none" w:sz="0" w:space="0" w:color="auto"/>
      </w:divBdr>
    </w:div>
    <w:div w:id="1720593814">
      <w:marLeft w:val="0"/>
      <w:marRight w:val="0"/>
      <w:marTop w:val="180"/>
      <w:marBottom w:val="0"/>
      <w:divBdr>
        <w:top w:val="none" w:sz="0" w:space="0" w:color="auto"/>
        <w:left w:val="none" w:sz="0" w:space="0" w:color="auto"/>
        <w:bottom w:val="none" w:sz="0" w:space="0" w:color="auto"/>
        <w:right w:val="none" w:sz="0" w:space="0" w:color="auto"/>
      </w:divBdr>
    </w:div>
    <w:div w:id="1725520138">
      <w:marLeft w:val="0"/>
      <w:marRight w:val="0"/>
      <w:marTop w:val="180"/>
      <w:marBottom w:val="0"/>
      <w:divBdr>
        <w:top w:val="none" w:sz="0" w:space="0" w:color="auto"/>
        <w:left w:val="none" w:sz="0" w:space="0" w:color="auto"/>
        <w:bottom w:val="none" w:sz="0" w:space="0" w:color="auto"/>
        <w:right w:val="none" w:sz="0" w:space="0" w:color="auto"/>
      </w:divBdr>
    </w:div>
    <w:div w:id="1734698791">
      <w:marLeft w:val="0"/>
      <w:marRight w:val="0"/>
      <w:marTop w:val="60"/>
      <w:marBottom w:val="0"/>
      <w:divBdr>
        <w:top w:val="none" w:sz="0" w:space="0" w:color="auto"/>
        <w:left w:val="none" w:sz="0" w:space="0" w:color="auto"/>
        <w:bottom w:val="none" w:sz="0" w:space="0" w:color="auto"/>
        <w:right w:val="none" w:sz="0" w:space="0" w:color="auto"/>
      </w:divBdr>
      <w:divsChild>
        <w:div w:id="1548908749">
          <w:marLeft w:val="0"/>
          <w:marRight w:val="0"/>
          <w:marTop w:val="0"/>
          <w:marBottom w:val="0"/>
          <w:divBdr>
            <w:top w:val="none" w:sz="0" w:space="0" w:color="auto"/>
            <w:left w:val="none" w:sz="0" w:space="0" w:color="auto"/>
            <w:bottom w:val="none" w:sz="0" w:space="0" w:color="auto"/>
            <w:right w:val="none" w:sz="0" w:space="0" w:color="auto"/>
          </w:divBdr>
        </w:div>
      </w:divsChild>
    </w:div>
    <w:div w:id="1736472266">
      <w:marLeft w:val="0"/>
      <w:marRight w:val="0"/>
      <w:marTop w:val="180"/>
      <w:marBottom w:val="0"/>
      <w:divBdr>
        <w:top w:val="none" w:sz="0" w:space="0" w:color="auto"/>
        <w:left w:val="none" w:sz="0" w:space="0" w:color="auto"/>
        <w:bottom w:val="none" w:sz="0" w:space="0" w:color="auto"/>
        <w:right w:val="none" w:sz="0" w:space="0" w:color="auto"/>
      </w:divBdr>
    </w:div>
    <w:div w:id="1738433949">
      <w:marLeft w:val="0"/>
      <w:marRight w:val="0"/>
      <w:marTop w:val="180"/>
      <w:marBottom w:val="0"/>
      <w:divBdr>
        <w:top w:val="none" w:sz="0" w:space="0" w:color="auto"/>
        <w:left w:val="none" w:sz="0" w:space="0" w:color="auto"/>
        <w:bottom w:val="none" w:sz="0" w:space="0" w:color="auto"/>
        <w:right w:val="none" w:sz="0" w:space="0" w:color="auto"/>
      </w:divBdr>
    </w:div>
    <w:div w:id="1739209261">
      <w:marLeft w:val="0"/>
      <w:marRight w:val="0"/>
      <w:marTop w:val="180"/>
      <w:marBottom w:val="0"/>
      <w:divBdr>
        <w:top w:val="none" w:sz="0" w:space="0" w:color="auto"/>
        <w:left w:val="none" w:sz="0" w:space="0" w:color="auto"/>
        <w:bottom w:val="none" w:sz="0" w:space="0" w:color="auto"/>
        <w:right w:val="none" w:sz="0" w:space="0" w:color="auto"/>
      </w:divBdr>
    </w:div>
    <w:div w:id="1740134016">
      <w:marLeft w:val="0"/>
      <w:marRight w:val="0"/>
      <w:marTop w:val="180"/>
      <w:marBottom w:val="0"/>
      <w:divBdr>
        <w:top w:val="none" w:sz="0" w:space="0" w:color="auto"/>
        <w:left w:val="none" w:sz="0" w:space="0" w:color="auto"/>
        <w:bottom w:val="none" w:sz="0" w:space="0" w:color="auto"/>
        <w:right w:val="none" w:sz="0" w:space="0" w:color="auto"/>
      </w:divBdr>
    </w:div>
    <w:div w:id="1748571226">
      <w:marLeft w:val="0"/>
      <w:marRight w:val="0"/>
      <w:marTop w:val="60"/>
      <w:marBottom w:val="0"/>
      <w:divBdr>
        <w:top w:val="none" w:sz="0" w:space="0" w:color="auto"/>
        <w:left w:val="none" w:sz="0" w:space="0" w:color="auto"/>
        <w:bottom w:val="none" w:sz="0" w:space="0" w:color="auto"/>
        <w:right w:val="none" w:sz="0" w:space="0" w:color="auto"/>
      </w:divBdr>
    </w:div>
    <w:div w:id="1751997135">
      <w:marLeft w:val="0"/>
      <w:marRight w:val="0"/>
      <w:marTop w:val="180"/>
      <w:marBottom w:val="0"/>
      <w:divBdr>
        <w:top w:val="none" w:sz="0" w:space="0" w:color="auto"/>
        <w:left w:val="none" w:sz="0" w:space="0" w:color="auto"/>
        <w:bottom w:val="none" w:sz="0" w:space="0" w:color="auto"/>
        <w:right w:val="none" w:sz="0" w:space="0" w:color="auto"/>
      </w:divBdr>
    </w:div>
    <w:div w:id="1752775661">
      <w:marLeft w:val="0"/>
      <w:marRight w:val="0"/>
      <w:marTop w:val="180"/>
      <w:marBottom w:val="0"/>
      <w:divBdr>
        <w:top w:val="none" w:sz="0" w:space="0" w:color="auto"/>
        <w:left w:val="none" w:sz="0" w:space="0" w:color="auto"/>
        <w:bottom w:val="none" w:sz="0" w:space="0" w:color="auto"/>
        <w:right w:val="none" w:sz="0" w:space="0" w:color="auto"/>
      </w:divBdr>
    </w:div>
    <w:div w:id="1754618548">
      <w:marLeft w:val="0"/>
      <w:marRight w:val="0"/>
      <w:marTop w:val="180"/>
      <w:marBottom w:val="0"/>
      <w:divBdr>
        <w:top w:val="none" w:sz="0" w:space="0" w:color="auto"/>
        <w:left w:val="none" w:sz="0" w:space="0" w:color="auto"/>
        <w:bottom w:val="none" w:sz="0" w:space="0" w:color="auto"/>
        <w:right w:val="none" w:sz="0" w:space="0" w:color="auto"/>
      </w:divBdr>
    </w:div>
    <w:div w:id="1765875827">
      <w:marLeft w:val="0"/>
      <w:marRight w:val="0"/>
      <w:marTop w:val="0"/>
      <w:marBottom w:val="0"/>
      <w:divBdr>
        <w:top w:val="none" w:sz="0" w:space="0" w:color="auto"/>
        <w:left w:val="none" w:sz="0" w:space="0" w:color="auto"/>
        <w:bottom w:val="none" w:sz="0" w:space="0" w:color="auto"/>
        <w:right w:val="none" w:sz="0" w:space="0" w:color="auto"/>
      </w:divBdr>
      <w:divsChild>
        <w:div w:id="652180208">
          <w:marLeft w:val="0"/>
          <w:marRight w:val="0"/>
          <w:marTop w:val="0"/>
          <w:marBottom w:val="0"/>
          <w:divBdr>
            <w:top w:val="none" w:sz="0" w:space="0" w:color="auto"/>
            <w:left w:val="none" w:sz="0" w:space="0" w:color="auto"/>
            <w:bottom w:val="none" w:sz="0" w:space="0" w:color="auto"/>
            <w:right w:val="none" w:sz="0" w:space="0" w:color="auto"/>
          </w:divBdr>
          <w:divsChild>
            <w:div w:id="13687224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67534871">
      <w:marLeft w:val="0"/>
      <w:marRight w:val="0"/>
      <w:marTop w:val="0"/>
      <w:marBottom w:val="0"/>
      <w:divBdr>
        <w:top w:val="none" w:sz="0" w:space="0" w:color="auto"/>
        <w:left w:val="none" w:sz="0" w:space="0" w:color="auto"/>
        <w:bottom w:val="none" w:sz="0" w:space="0" w:color="auto"/>
        <w:right w:val="none" w:sz="0" w:space="0" w:color="auto"/>
      </w:divBdr>
      <w:divsChild>
        <w:div w:id="2065987108">
          <w:marLeft w:val="0"/>
          <w:marRight w:val="0"/>
          <w:marTop w:val="180"/>
          <w:marBottom w:val="180"/>
          <w:divBdr>
            <w:top w:val="none" w:sz="0" w:space="0" w:color="auto"/>
            <w:left w:val="none" w:sz="0" w:space="0" w:color="auto"/>
            <w:bottom w:val="none" w:sz="0" w:space="0" w:color="auto"/>
            <w:right w:val="none" w:sz="0" w:space="0" w:color="auto"/>
          </w:divBdr>
        </w:div>
      </w:divsChild>
    </w:div>
    <w:div w:id="1768423948">
      <w:marLeft w:val="0"/>
      <w:marRight w:val="0"/>
      <w:marTop w:val="0"/>
      <w:marBottom w:val="0"/>
      <w:divBdr>
        <w:top w:val="none" w:sz="0" w:space="0" w:color="auto"/>
        <w:left w:val="none" w:sz="0" w:space="0" w:color="auto"/>
        <w:bottom w:val="none" w:sz="0" w:space="0" w:color="auto"/>
        <w:right w:val="none" w:sz="0" w:space="0" w:color="auto"/>
      </w:divBdr>
      <w:divsChild>
        <w:div w:id="693506622">
          <w:marLeft w:val="0"/>
          <w:marRight w:val="0"/>
          <w:marTop w:val="0"/>
          <w:marBottom w:val="0"/>
          <w:divBdr>
            <w:top w:val="none" w:sz="0" w:space="0" w:color="auto"/>
            <w:left w:val="none" w:sz="0" w:space="0" w:color="auto"/>
            <w:bottom w:val="none" w:sz="0" w:space="0" w:color="auto"/>
            <w:right w:val="none" w:sz="0" w:space="0" w:color="auto"/>
          </w:divBdr>
          <w:divsChild>
            <w:div w:id="4672806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75830102">
      <w:marLeft w:val="0"/>
      <w:marRight w:val="0"/>
      <w:marTop w:val="180"/>
      <w:marBottom w:val="0"/>
      <w:divBdr>
        <w:top w:val="none" w:sz="0" w:space="0" w:color="auto"/>
        <w:left w:val="none" w:sz="0" w:space="0" w:color="auto"/>
        <w:bottom w:val="none" w:sz="0" w:space="0" w:color="auto"/>
        <w:right w:val="none" w:sz="0" w:space="0" w:color="auto"/>
      </w:divBdr>
    </w:div>
    <w:div w:id="1778598292">
      <w:marLeft w:val="0"/>
      <w:marRight w:val="0"/>
      <w:marTop w:val="0"/>
      <w:marBottom w:val="0"/>
      <w:divBdr>
        <w:top w:val="none" w:sz="0" w:space="0" w:color="auto"/>
        <w:left w:val="none" w:sz="0" w:space="0" w:color="auto"/>
        <w:bottom w:val="none" w:sz="0" w:space="0" w:color="auto"/>
        <w:right w:val="none" w:sz="0" w:space="0" w:color="auto"/>
      </w:divBdr>
      <w:divsChild>
        <w:div w:id="942033291">
          <w:marLeft w:val="0"/>
          <w:marRight w:val="0"/>
          <w:marTop w:val="180"/>
          <w:marBottom w:val="0"/>
          <w:divBdr>
            <w:top w:val="none" w:sz="0" w:space="0" w:color="auto"/>
            <w:left w:val="none" w:sz="0" w:space="0" w:color="auto"/>
            <w:bottom w:val="none" w:sz="0" w:space="0" w:color="auto"/>
            <w:right w:val="none" w:sz="0" w:space="0" w:color="auto"/>
          </w:divBdr>
        </w:div>
      </w:divsChild>
    </w:div>
    <w:div w:id="1781484144">
      <w:marLeft w:val="0"/>
      <w:marRight w:val="0"/>
      <w:marTop w:val="180"/>
      <w:marBottom w:val="120"/>
      <w:divBdr>
        <w:top w:val="none" w:sz="0" w:space="0" w:color="auto"/>
        <w:left w:val="none" w:sz="0" w:space="0" w:color="auto"/>
        <w:bottom w:val="none" w:sz="0" w:space="0" w:color="auto"/>
        <w:right w:val="none" w:sz="0" w:space="0" w:color="auto"/>
      </w:divBdr>
    </w:div>
    <w:div w:id="1784810693">
      <w:marLeft w:val="0"/>
      <w:marRight w:val="0"/>
      <w:marTop w:val="180"/>
      <w:marBottom w:val="0"/>
      <w:divBdr>
        <w:top w:val="none" w:sz="0" w:space="0" w:color="auto"/>
        <w:left w:val="none" w:sz="0" w:space="0" w:color="auto"/>
        <w:bottom w:val="none" w:sz="0" w:space="0" w:color="auto"/>
        <w:right w:val="none" w:sz="0" w:space="0" w:color="auto"/>
      </w:divBdr>
    </w:div>
    <w:div w:id="1789473703">
      <w:marLeft w:val="0"/>
      <w:marRight w:val="0"/>
      <w:marTop w:val="180"/>
      <w:marBottom w:val="0"/>
      <w:divBdr>
        <w:top w:val="none" w:sz="0" w:space="0" w:color="auto"/>
        <w:left w:val="none" w:sz="0" w:space="0" w:color="auto"/>
        <w:bottom w:val="none" w:sz="0" w:space="0" w:color="auto"/>
        <w:right w:val="none" w:sz="0" w:space="0" w:color="auto"/>
      </w:divBdr>
    </w:div>
    <w:div w:id="1789545528">
      <w:marLeft w:val="0"/>
      <w:marRight w:val="0"/>
      <w:marTop w:val="120"/>
      <w:marBottom w:val="120"/>
      <w:divBdr>
        <w:top w:val="none" w:sz="0" w:space="0" w:color="auto"/>
        <w:left w:val="none" w:sz="0" w:space="0" w:color="auto"/>
        <w:bottom w:val="none" w:sz="0" w:space="0" w:color="auto"/>
        <w:right w:val="none" w:sz="0" w:space="0" w:color="auto"/>
      </w:divBdr>
    </w:div>
    <w:div w:id="1790929657">
      <w:marLeft w:val="0"/>
      <w:marRight w:val="0"/>
      <w:marTop w:val="240"/>
      <w:marBottom w:val="0"/>
      <w:divBdr>
        <w:top w:val="none" w:sz="0" w:space="0" w:color="auto"/>
        <w:left w:val="none" w:sz="0" w:space="0" w:color="auto"/>
        <w:bottom w:val="none" w:sz="0" w:space="0" w:color="auto"/>
        <w:right w:val="none" w:sz="0" w:space="0" w:color="auto"/>
      </w:divBdr>
    </w:div>
    <w:div w:id="1791244865">
      <w:marLeft w:val="0"/>
      <w:marRight w:val="0"/>
      <w:marTop w:val="120"/>
      <w:marBottom w:val="0"/>
      <w:divBdr>
        <w:top w:val="none" w:sz="0" w:space="0" w:color="auto"/>
        <w:left w:val="none" w:sz="0" w:space="0" w:color="auto"/>
        <w:bottom w:val="none" w:sz="0" w:space="0" w:color="auto"/>
        <w:right w:val="none" w:sz="0" w:space="0" w:color="auto"/>
      </w:divBdr>
    </w:div>
    <w:div w:id="1793137246">
      <w:marLeft w:val="0"/>
      <w:marRight w:val="0"/>
      <w:marTop w:val="120"/>
      <w:marBottom w:val="120"/>
      <w:divBdr>
        <w:top w:val="none" w:sz="0" w:space="0" w:color="auto"/>
        <w:left w:val="none" w:sz="0" w:space="0" w:color="auto"/>
        <w:bottom w:val="none" w:sz="0" w:space="0" w:color="auto"/>
        <w:right w:val="none" w:sz="0" w:space="0" w:color="auto"/>
      </w:divBdr>
    </w:div>
    <w:div w:id="1797799412">
      <w:marLeft w:val="0"/>
      <w:marRight w:val="0"/>
      <w:marTop w:val="180"/>
      <w:marBottom w:val="0"/>
      <w:divBdr>
        <w:top w:val="none" w:sz="0" w:space="0" w:color="auto"/>
        <w:left w:val="none" w:sz="0" w:space="0" w:color="auto"/>
        <w:bottom w:val="none" w:sz="0" w:space="0" w:color="auto"/>
        <w:right w:val="none" w:sz="0" w:space="0" w:color="auto"/>
      </w:divBdr>
    </w:div>
    <w:div w:id="1800830589">
      <w:marLeft w:val="0"/>
      <w:marRight w:val="0"/>
      <w:marTop w:val="180"/>
      <w:marBottom w:val="0"/>
      <w:divBdr>
        <w:top w:val="none" w:sz="0" w:space="0" w:color="auto"/>
        <w:left w:val="none" w:sz="0" w:space="0" w:color="auto"/>
        <w:bottom w:val="none" w:sz="0" w:space="0" w:color="auto"/>
        <w:right w:val="none" w:sz="0" w:space="0" w:color="auto"/>
      </w:divBdr>
    </w:div>
    <w:div w:id="1805079145">
      <w:marLeft w:val="0"/>
      <w:marRight w:val="0"/>
      <w:marTop w:val="180"/>
      <w:marBottom w:val="0"/>
      <w:divBdr>
        <w:top w:val="none" w:sz="0" w:space="0" w:color="auto"/>
        <w:left w:val="none" w:sz="0" w:space="0" w:color="auto"/>
        <w:bottom w:val="none" w:sz="0" w:space="0" w:color="auto"/>
        <w:right w:val="none" w:sz="0" w:space="0" w:color="auto"/>
      </w:divBdr>
    </w:div>
    <w:div w:id="1805392576">
      <w:marLeft w:val="0"/>
      <w:marRight w:val="0"/>
      <w:marTop w:val="180"/>
      <w:marBottom w:val="0"/>
      <w:divBdr>
        <w:top w:val="none" w:sz="0" w:space="0" w:color="auto"/>
        <w:left w:val="none" w:sz="0" w:space="0" w:color="auto"/>
        <w:bottom w:val="none" w:sz="0" w:space="0" w:color="auto"/>
        <w:right w:val="none" w:sz="0" w:space="0" w:color="auto"/>
      </w:divBdr>
    </w:div>
    <w:div w:id="1807359957">
      <w:marLeft w:val="0"/>
      <w:marRight w:val="0"/>
      <w:marTop w:val="120"/>
      <w:marBottom w:val="0"/>
      <w:divBdr>
        <w:top w:val="none" w:sz="0" w:space="0" w:color="auto"/>
        <w:left w:val="none" w:sz="0" w:space="0" w:color="auto"/>
        <w:bottom w:val="none" w:sz="0" w:space="0" w:color="auto"/>
        <w:right w:val="none" w:sz="0" w:space="0" w:color="auto"/>
      </w:divBdr>
    </w:div>
    <w:div w:id="1810783482">
      <w:marLeft w:val="0"/>
      <w:marRight w:val="0"/>
      <w:marTop w:val="180"/>
      <w:marBottom w:val="120"/>
      <w:divBdr>
        <w:top w:val="none" w:sz="0" w:space="0" w:color="auto"/>
        <w:left w:val="none" w:sz="0" w:space="0" w:color="auto"/>
        <w:bottom w:val="none" w:sz="0" w:space="0" w:color="auto"/>
        <w:right w:val="none" w:sz="0" w:space="0" w:color="auto"/>
      </w:divBdr>
    </w:div>
    <w:div w:id="1813014001">
      <w:marLeft w:val="0"/>
      <w:marRight w:val="0"/>
      <w:marTop w:val="180"/>
      <w:marBottom w:val="120"/>
      <w:divBdr>
        <w:top w:val="none" w:sz="0" w:space="0" w:color="auto"/>
        <w:left w:val="none" w:sz="0" w:space="0" w:color="auto"/>
        <w:bottom w:val="none" w:sz="0" w:space="0" w:color="auto"/>
        <w:right w:val="none" w:sz="0" w:space="0" w:color="auto"/>
      </w:divBdr>
    </w:div>
    <w:div w:id="1824347480">
      <w:marLeft w:val="0"/>
      <w:marRight w:val="0"/>
      <w:marTop w:val="180"/>
      <w:marBottom w:val="0"/>
      <w:divBdr>
        <w:top w:val="none" w:sz="0" w:space="0" w:color="auto"/>
        <w:left w:val="none" w:sz="0" w:space="0" w:color="auto"/>
        <w:bottom w:val="none" w:sz="0" w:space="0" w:color="auto"/>
        <w:right w:val="none" w:sz="0" w:space="0" w:color="auto"/>
      </w:divBdr>
    </w:div>
    <w:div w:id="1824349375">
      <w:marLeft w:val="0"/>
      <w:marRight w:val="0"/>
      <w:marTop w:val="180"/>
      <w:marBottom w:val="0"/>
      <w:divBdr>
        <w:top w:val="none" w:sz="0" w:space="0" w:color="auto"/>
        <w:left w:val="none" w:sz="0" w:space="0" w:color="auto"/>
        <w:bottom w:val="none" w:sz="0" w:space="0" w:color="auto"/>
        <w:right w:val="none" w:sz="0" w:space="0" w:color="auto"/>
      </w:divBdr>
    </w:div>
    <w:div w:id="1835300029">
      <w:marLeft w:val="0"/>
      <w:marRight w:val="0"/>
      <w:marTop w:val="180"/>
      <w:marBottom w:val="60"/>
      <w:divBdr>
        <w:top w:val="none" w:sz="0" w:space="0" w:color="auto"/>
        <w:left w:val="none" w:sz="0" w:space="0" w:color="auto"/>
        <w:bottom w:val="none" w:sz="0" w:space="0" w:color="auto"/>
        <w:right w:val="none" w:sz="0" w:space="0" w:color="auto"/>
      </w:divBdr>
    </w:div>
    <w:div w:id="1835609833">
      <w:marLeft w:val="0"/>
      <w:marRight w:val="0"/>
      <w:marTop w:val="180"/>
      <w:marBottom w:val="0"/>
      <w:divBdr>
        <w:top w:val="none" w:sz="0" w:space="0" w:color="auto"/>
        <w:left w:val="none" w:sz="0" w:space="0" w:color="auto"/>
        <w:bottom w:val="none" w:sz="0" w:space="0" w:color="auto"/>
        <w:right w:val="none" w:sz="0" w:space="0" w:color="auto"/>
      </w:divBdr>
    </w:div>
    <w:div w:id="1836845329">
      <w:marLeft w:val="0"/>
      <w:marRight w:val="0"/>
      <w:marTop w:val="0"/>
      <w:marBottom w:val="0"/>
      <w:divBdr>
        <w:top w:val="none" w:sz="0" w:space="0" w:color="auto"/>
        <w:left w:val="none" w:sz="0" w:space="0" w:color="auto"/>
        <w:bottom w:val="none" w:sz="0" w:space="0" w:color="auto"/>
        <w:right w:val="none" w:sz="0" w:space="0" w:color="auto"/>
      </w:divBdr>
      <w:divsChild>
        <w:div w:id="1419250825">
          <w:marLeft w:val="0"/>
          <w:marRight w:val="0"/>
          <w:marTop w:val="180"/>
          <w:marBottom w:val="180"/>
          <w:divBdr>
            <w:top w:val="none" w:sz="0" w:space="0" w:color="auto"/>
            <w:left w:val="none" w:sz="0" w:space="0" w:color="auto"/>
            <w:bottom w:val="none" w:sz="0" w:space="0" w:color="auto"/>
            <w:right w:val="none" w:sz="0" w:space="0" w:color="auto"/>
          </w:divBdr>
        </w:div>
      </w:divsChild>
    </w:div>
    <w:div w:id="1837837837">
      <w:marLeft w:val="0"/>
      <w:marRight w:val="0"/>
      <w:marTop w:val="0"/>
      <w:marBottom w:val="0"/>
      <w:divBdr>
        <w:top w:val="none" w:sz="0" w:space="0" w:color="auto"/>
        <w:left w:val="none" w:sz="0" w:space="0" w:color="auto"/>
        <w:bottom w:val="none" w:sz="0" w:space="0" w:color="auto"/>
        <w:right w:val="none" w:sz="0" w:space="0" w:color="auto"/>
      </w:divBdr>
      <w:divsChild>
        <w:div w:id="1831674838">
          <w:marLeft w:val="0"/>
          <w:marRight w:val="0"/>
          <w:marTop w:val="180"/>
          <w:marBottom w:val="180"/>
          <w:divBdr>
            <w:top w:val="none" w:sz="0" w:space="0" w:color="auto"/>
            <w:left w:val="none" w:sz="0" w:space="0" w:color="auto"/>
            <w:bottom w:val="none" w:sz="0" w:space="0" w:color="auto"/>
            <w:right w:val="none" w:sz="0" w:space="0" w:color="auto"/>
          </w:divBdr>
        </w:div>
      </w:divsChild>
    </w:div>
    <w:div w:id="1842232696">
      <w:marLeft w:val="0"/>
      <w:marRight w:val="0"/>
      <w:marTop w:val="180"/>
      <w:marBottom w:val="0"/>
      <w:divBdr>
        <w:top w:val="none" w:sz="0" w:space="0" w:color="auto"/>
        <w:left w:val="none" w:sz="0" w:space="0" w:color="auto"/>
        <w:bottom w:val="none" w:sz="0" w:space="0" w:color="auto"/>
        <w:right w:val="none" w:sz="0" w:space="0" w:color="auto"/>
      </w:divBdr>
    </w:div>
    <w:div w:id="1843618059">
      <w:marLeft w:val="0"/>
      <w:marRight w:val="0"/>
      <w:marTop w:val="180"/>
      <w:marBottom w:val="0"/>
      <w:divBdr>
        <w:top w:val="none" w:sz="0" w:space="0" w:color="auto"/>
        <w:left w:val="none" w:sz="0" w:space="0" w:color="auto"/>
        <w:bottom w:val="none" w:sz="0" w:space="0" w:color="auto"/>
        <w:right w:val="none" w:sz="0" w:space="0" w:color="auto"/>
      </w:divBdr>
    </w:div>
    <w:div w:id="1846242947">
      <w:marLeft w:val="0"/>
      <w:marRight w:val="0"/>
      <w:marTop w:val="180"/>
      <w:marBottom w:val="0"/>
      <w:divBdr>
        <w:top w:val="none" w:sz="0" w:space="0" w:color="auto"/>
        <w:left w:val="none" w:sz="0" w:space="0" w:color="auto"/>
        <w:bottom w:val="none" w:sz="0" w:space="0" w:color="auto"/>
        <w:right w:val="none" w:sz="0" w:space="0" w:color="auto"/>
      </w:divBdr>
    </w:div>
    <w:div w:id="1846822369">
      <w:marLeft w:val="0"/>
      <w:marRight w:val="0"/>
      <w:marTop w:val="180"/>
      <w:marBottom w:val="0"/>
      <w:divBdr>
        <w:top w:val="none" w:sz="0" w:space="0" w:color="auto"/>
        <w:left w:val="none" w:sz="0" w:space="0" w:color="auto"/>
        <w:bottom w:val="none" w:sz="0" w:space="0" w:color="auto"/>
        <w:right w:val="none" w:sz="0" w:space="0" w:color="auto"/>
      </w:divBdr>
    </w:div>
    <w:div w:id="1852798275">
      <w:marLeft w:val="0"/>
      <w:marRight w:val="0"/>
      <w:marTop w:val="60"/>
      <w:marBottom w:val="0"/>
      <w:divBdr>
        <w:top w:val="none" w:sz="0" w:space="0" w:color="auto"/>
        <w:left w:val="none" w:sz="0" w:space="0" w:color="auto"/>
        <w:bottom w:val="none" w:sz="0" w:space="0" w:color="auto"/>
        <w:right w:val="none" w:sz="0" w:space="0" w:color="auto"/>
      </w:divBdr>
    </w:div>
    <w:div w:id="1859927567">
      <w:marLeft w:val="0"/>
      <w:marRight w:val="0"/>
      <w:marTop w:val="180"/>
      <w:marBottom w:val="0"/>
      <w:divBdr>
        <w:top w:val="none" w:sz="0" w:space="0" w:color="auto"/>
        <w:left w:val="none" w:sz="0" w:space="0" w:color="auto"/>
        <w:bottom w:val="none" w:sz="0" w:space="0" w:color="auto"/>
        <w:right w:val="none" w:sz="0" w:space="0" w:color="auto"/>
      </w:divBdr>
    </w:div>
    <w:div w:id="1862620655">
      <w:marLeft w:val="0"/>
      <w:marRight w:val="0"/>
      <w:marTop w:val="180"/>
      <w:marBottom w:val="0"/>
      <w:divBdr>
        <w:top w:val="none" w:sz="0" w:space="0" w:color="auto"/>
        <w:left w:val="none" w:sz="0" w:space="0" w:color="auto"/>
        <w:bottom w:val="none" w:sz="0" w:space="0" w:color="auto"/>
        <w:right w:val="none" w:sz="0" w:space="0" w:color="auto"/>
      </w:divBdr>
    </w:div>
    <w:div w:id="1875146944">
      <w:marLeft w:val="0"/>
      <w:marRight w:val="0"/>
      <w:marTop w:val="240"/>
      <w:marBottom w:val="0"/>
      <w:divBdr>
        <w:top w:val="none" w:sz="0" w:space="0" w:color="auto"/>
        <w:left w:val="none" w:sz="0" w:space="0" w:color="auto"/>
        <w:bottom w:val="none" w:sz="0" w:space="0" w:color="auto"/>
        <w:right w:val="none" w:sz="0" w:space="0" w:color="auto"/>
      </w:divBdr>
    </w:div>
    <w:div w:id="1876960434">
      <w:marLeft w:val="0"/>
      <w:marRight w:val="0"/>
      <w:marTop w:val="180"/>
      <w:marBottom w:val="0"/>
      <w:divBdr>
        <w:top w:val="none" w:sz="0" w:space="0" w:color="auto"/>
        <w:left w:val="none" w:sz="0" w:space="0" w:color="auto"/>
        <w:bottom w:val="none" w:sz="0" w:space="0" w:color="auto"/>
        <w:right w:val="none" w:sz="0" w:space="0" w:color="auto"/>
      </w:divBdr>
    </w:div>
    <w:div w:id="1878397188">
      <w:marLeft w:val="0"/>
      <w:marRight w:val="0"/>
      <w:marTop w:val="180"/>
      <w:marBottom w:val="0"/>
      <w:divBdr>
        <w:top w:val="none" w:sz="0" w:space="0" w:color="auto"/>
        <w:left w:val="none" w:sz="0" w:space="0" w:color="auto"/>
        <w:bottom w:val="none" w:sz="0" w:space="0" w:color="auto"/>
        <w:right w:val="none" w:sz="0" w:space="0" w:color="auto"/>
      </w:divBdr>
    </w:div>
    <w:div w:id="1882864148">
      <w:marLeft w:val="0"/>
      <w:marRight w:val="0"/>
      <w:marTop w:val="120"/>
      <w:marBottom w:val="180"/>
      <w:divBdr>
        <w:top w:val="none" w:sz="0" w:space="0" w:color="auto"/>
        <w:left w:val="none" w:sz="0" w:space="0" w:color="auto"/>
        <w:bottom w:val="none" w:sz="0" w:space="0" w:color="auto"/>
        <w:right w:val="none" w:sz="0" w:space="0" w:color="auto"/>
      </w:divBdr>
    </w:div>
    <w:div w:id="1886143063">
      <w:marLeft w:val="0"/>
      <w:marRight w:val="0"/>
      <w:marTop w:val="240"/>
      <w:marBottom w:val="0"/>
      <w:divBdr>
        <w:top w:val="none" w:sz="0" w:space="0" w:color="auto"/>
        <w:left w:val="none" w:sz="0" w:space="0" w:color="auto"/>
        <w:bottom w:val="none" w:sz="0" w:space="0" w:color="auto"/>
        <w:right w:val="none" w:sz="0" w:space="0" w:color="auto"/>
      </w:divBdr>
    </w:div>
    <w:div w:id="1886672844">
      <w:marLeft w:val="0"/>
      <w:marRight w:val="0"/>
      <w:marTop w:val="0"/>
      <w:marBottom w:val="0"/>
      <w:divBdr>
        <w:top w:val="none" w:sz="0" w:space="0" w:color="auto"/>
        <w:left w:val="none" w:sz="0" w:space="0" w:color="auto"/>
        <w:bottom w:val="none" w:sz="0" w:space="0" w:color="auto"/>
        <w:right w:val="none" w:sz="0" w:space="0" w:color="auto"/>
      </w:divBdr>
      <w:divsChild>
        <w:div w:id="1467626626">
          <w:marLeft w:val="0"/>
          <w:marRight w:val="0"/>
          <w:marTop w:val="0"/>
          <w:marBottom w:val="0"/>
          <w:divBdr>
            <w:top w:val="none" w:sz="0" w:space="0" w:color="auto"/>
            <w:left w:val="none" w:sz="0" w:space="0" w:color="auto"/>
            <w:bottom w:val="none" w:sz="0" w:space="0" w:color="auto"/>
            <w:right w:val="none" w:sz="0" w:space="0" w:color="auto"/>
          </w:divBdr>
          <w:divsChild>
            <w:div w:id="18833981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86674685">
      <w:marLeft w:val="0"/>
      <w:marRight w:val="0"/>
      <w:marTop w:val="60"/>
      <w:marBottom w:val="120"/>
      <w:divBdr>
        <w:top w:val="none" w:sz="0" w:space="0" w:color="auto"/>
        <w:left w:val="none" w:sz="0" w:space="0" w:color="auto"/>
        <w:bottom w:val="none" w:sz="0" w:space="0" w:color="auto"/>
        <w:right w:val="none" w:sz="0" w:space="0" w:color="auto"/>
      </w:divBdr>
    </w:div>
    <w:div w:id="1887909371">
      <w:marLeft w:val="0"/>
      <w:marRight w:val="0"/>
      <w:marTop w:val="180"/>
      <w:marBottom w:val="0"/>
      <w:divBdr>
        <w:top w:val="none" w:sz="0" w:space="0" w:color="auto"/>
        <w:left w:val="none" w:sz="0" w:space="0" w:color="auto"/>
        <w:bottom w:val="none" w:sz="0" w:space="0" w:color="auto"/>
        <w:right w:val="none" w:sz="0" w:space="0" w:color="auto"/>
      </w:divBdr>
    </w:div>
    <w:div w:id="1891259030">
      <w:marLeft w:val="0"/>
      <w:marRight w:val="0"/>
      <w:marTop w:val="0"/>
      <w:marBottom w:val="0"/>
      <w:divBdr>
        <w:top w:val="none" w:sz="0" w:space="0" w:color="auto"/>
        <w:left w:val="none" w:sz="0" w:space="0" w:color="auto"/>
        <w:bottom w:val="none" w:sz="0" w:space="0" w:color="auto"/>
        <w:right w:val="none" w:sz="0" w:space="0" w:color="auto"/>
      </w:divBdr>
      <w:divsChild>
        <w:div w:id="1263226461">
          <w:marLeft w:val="0"/>
          <w:marRight w:val="0"/>
          <w:marTop w:val="0"/>
          <w:marBottom w:val="0"/>
          <w:divBdr>
            <w:top w:val="none" w:sz="0" w:space="0" w:color="auto"/>
            <w:left w:val="none" w:sz="0" w:space="0" w:color="auto"/>
            <w:bottom w:val="none" w:sz="0" w:space="0" w:color="auto"/>
            <w:right w:val="none" w:sz="0" w:space="0" w:color="auto"/>
          </w:divBdr>
          <w:divsChild>
            <w:div w:id="14517820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96774585">
      <w:marLeft w:val="0"/>
      <w:marRight w:val="0"/>
      <w:marTop w:val="160"/>
      <w:marBottom w:val="120"/>
      <w:divBdr>
        <w:top w:val="none" w:sz="0" w:space="0" w:color="auto"/>
        <w:left w:val="none" w:sz="0" w:space="0" w:color="auto"/>
        <w:bottom w:val="none" w:sz="0" w:space="0" w:color="auto"/>
        <w:right w:val="none" w:sz="0" w:space="0" w:color="auto"/>
      </w:divBdr>
    </w:div>
    <w:div w:id="1898474790">
      <w:marLeft w:val="0"/>
      <w:marRight w:val="0"/>
      <w:marTop w:val="180"/>
      <w:marBottom w:val="60"/>
      <w:divBdr>
        <w:top w:val="none" w:sz="0" w:space="0" w:color="auto"/>
        <w:left w:val="none" w:sz="0" w:space="0" w:color="auto"/>
        <w:bottom w:val="none" w:sz="0" w:space="0" w:color="auto"/>
        <w:right w:val="none" w:sz="0" w:space="0" w:color="auto"/>
      </w:divBdr>
    </w:div>
    <w:div w:id="1900238403">
      <w:marLeft w:val="0"/>
      <w:marRight w:val="0"/>
      <w:marTop w:val="180"/>
      <w:marBottom w:val="0"/>
      <w:divBdr>
        <w:top w:val="none" w:sz="0" w:space="0" w:color="auto"/>
        <w:left w:val="none" w:sz="0" w:space="0" w:color="auto"/>
        <w:bottom w:val="none" w:sz="0" w:space="0" w:color="auto"/>
        <w:right w:val="none" w:sz="0" w:space="0" w:color="auto"/>
      </w:divBdr>
    </w:div>
    <w:div w:id="1902447169">
      <w:marLeft w:val="0"/>
      <w:marRight w:val="0"/>
      <w:marTop w:val="180"/>
      <w:marBottom w:val="0"/>
      <w:divBdr>
        <w:top w:val="none" w:sz="0" w:space="0" w:color="auto"/>
        <w:left w:val="none" w:sz="0" w:space="0" w:color="auto"/>
        <w:bottom w:val="none" w:sz="0" w:space="0" w:color="auto"/>
        <w:right w:val="none" w:sz="0" w:space="0" w:color="auto"/>
      </w:divBdr>
    </w:div>
    <w:div w:id="1903255314">
      <w:marLeft w:val="0"/>
      <w:marRight w:val="0"/>
      <w:marTop w:val="60"/>
      <w:marBottom w:val="0"/>
      <w:divBdr>
        <w:top w:val="none" w:sz="0" w:space="0" w:color="auto"/>
        <w:left w:val="none" w:sz="0" w:space="0" w:color="auto"/>
        <w:bottom w:val="none" w:sz="0" w:space="0" w:color="auto"/>
        <w:right w:val="none" w:sz="0" w:space="0" w:color="auto"/>
      </w:divBdr>
    </w:div>
    <w:div w:id="1905412465">
      <w:marLeft w:val="0"/>
      <w:marRight w:val="0"/>
      <w:marTop w:val="180"/>
      <w:marBottom w:val="0"/>
      <w:divBdr>
        <w:top w:val="none" w:sz="0" w:space="0" w:color="auto"/>
        <w:left w:val="none" w:sz="0" w:space="0" w:color="auto"/>
        <w:bottom w:val="none" w:sz="0" w:space="0" w:color="auto"/>
        <w:right w:val="none" w:sz="0" w:space="0" w:color="auto"/>
      </w:divBdr>
    </w:div>
    <w:div w:id="1914467004">
      <w:marLeft w:val="0"/>
      <w:marRight w:val="0"/>
      <w:marTop w:val="0"/>
      <w:marBottom w:val="0"/>
      <w:divBdr>
        <w:top w:val="none" w:sz="0" w:space="0" w:color="auto"/>
        <w:left w:val="none" w:sz="0" w:space="0" w:color="auto"/>
        <w:bottom w:val="none" w:sz="0" w:space="0" w:color="auto"/>
        <w:right w:val="none" w:sz="0" w:space="0" w:color="auto"/>
      </w:divBdr>
      <w:divsChild>
        <w:div w:id="306596979">
          <w:marLeft w:val="0"/>
          <w:marRight w:val="0"/>
          <w:marTop w:val="0"/>
          <w:marBottom w:val="0"/>
          <w:divBdr>
            <w:top w:val="none" w:sz="0" w:space="0" w:color="auto"/>
            <w:left w:val="none" w:sz="0" w:space="0" w:color="auto"/>
            <w:bottom w:val="none" w:sz="0" w:space="0" w:color="auto"/>
            <w:right w:val="none" w:sz="0" w:space="0" w:color="auto"/>
          </w:divBdr>
          <w:divsChild>
            <w:div w:id="15414382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24758396">
      <w:marLeft w:val="0"/>
      <w:marRight w:val="0"/>
      <w:marTop w:val="120"/>
      <w:marBottom w:val="0"/>
      <w:divBdr>
        <w:top w:val="none" w:sz="0" w:space="0" w:color="auto"/>
        <w:left w:val="none" w:sz="0" w:space="0" w:color="auto"/>
        <w:bottom w:val="none" w:sz="0" w:space="0" w:color="auto"/>
        <w:right w:val="none" w:sz="0" w:space="0" w:color="auto"/>
      </w:divBdr>
    </w:div>
    <w:div w:id="1928883718">
      <w:marLeft w:val="0"/>
      <w:marRight w:val="0"/>
      <w:marTop w:val="180"/>
      <w:marBottom w:val="0"/>
      <w:divBdr>
        <w:top w:val="none" w:sz="0" w:space="0" w:color="auto"/>
        <w:left w:val="none" w:sz="0" w:space="0" w:color="auto"/>
        <w:bottom w:val="none" w:sz="0" w:space="0" w:color="auto"/>
        <w:right w:val="none" w:sz="0" w:space="0" w:color="auto"/>
      </w:divBdr>
    </w:div>
    <w:div w:id="1929852360">
      <w:marLeft w:val="0"/>
      <w:marRight w:val="0"/>
      <w:marTop w:val="60"/>
      <w:marBottom w:val="0"/>
      <w:divBdr>
        <w:top w:val="none" w:sz="0" w:space="0" w:color="auto"/>
        <w:left w:val="none" w:sz="0" w:space="0" w:color="auto"/>
        <w:bottom w:val="none" w:sz="0" w:space="0" w:color="auto"/>
        <w:right w:val="none" w:sz="0" w:space="0" w:color="auto"/>
      </w:divBdr>
    </w:div>
    <w:div w:id="1933463942">
      <w:marLeft w:val="0"/>
      <w:marRight w:val="0"/>
      <w:marTop w:val="180"/>
      <w:marBottom w:val="0"/>
      <w:divBdr>
        <w:top w:val="none" w:sz="0" w:space="0" w:color="auto"/>
        <w:left w:val="none" w:sz="0" w:space="0" w:color="auto"/>
        <w:bottom w:val="none" w:sz="0" w:space="0" w:color="auto"/>
        <w:right w:val="none" w:sz="0" w:space="0" w:color="auto"/>
      </w:divBdr>
    </w:div>
    <w:div w:id="1934438630">
      <w:marLeft w:val="0"/>
      <w:marRight w:val="0"/>
      <w:marTop w:val="180"/>
      <w:marBottom w:val="0"/>
      <w:divBdr>
        <w:top w:val="none" w:sz="0" w:space="0" w:color="auto"/>
        <w:left w:val="none" w:sz="0" w:space="0" w:color="auto"/>
        <w:bottom w:val="none" w:sz="0" w:space="0" w:color="auto"/>
        <w:right w:val="none" w:sz="0" w:space="0" w:color="auto"/>
      </w:divBdr>
    </w:div>
    <w:div w:id="1937982009">
      <w:marLeft w:val="0"/>
      <w:marRight w:val="0"/>
      <w:marTop w:val="180"/>
      <w:marBottom w:val="0"/>
      <w:divBdr>
        <w:top w:val="none" w:sz="0" w:space="0" w:color="auto"/>
        <w:left w:val="none" w:sz="0" w:space="0" w:color="auto"/>
        <w:bottom w:val="none" w:sz="0" w:space="0" w:color="auto"/>
        <w:right w:val="none" w:sz="0" w:space="0" w:color="auto"/>
      </w:divBdr>
    </w:div>
    <w:div w:id="1938519675">
      <w:marLeft w:val="0"/>
      <w:marRight w:val="0"/>
      <w:marTop w:val="180"/>
      <w:marBottom w:val="0"/>
      <w:divBdr>
        <w:top w:val="none" w:sz="0" w:space="0" w:color="auto"/>
        <w:left w:val="none" w:sz="0" w:space="0" w:color="auto"/>
        <w:bottom w:val="none" w:sz="0" w:space="0" w:color="auto"/>
        <w:right w:val="none" w:sz="0" w:space="0" w:color="auto"/>
      </w:divBdr>
    </w:div>
    <w:div w:id="1941646256">
      <w:marLeft w:val="0"/>
      <w:marRight w:val="0"/>
      <w:marTop w:val="180"/>
      <w:marBottom w:val="0"/>
      <w:divBdr>
        <w:top w:val="none" w:sz="0" w:space="0" w:color="auto"/>
        <w:left w:val="none" w:sz="0" w:space="0" w:color="auto"/>
        <w:bottom w:val="none" w:sz="0" w:space="0" w:color="auto"/>
        <w:right w:val="none" w:sz="0" w:space="0" w:color="auto"/>
      </w:divBdr>
    </w:div>
    <w:div w:id="1942294142">
      <w:marLeft w:val="0"/>
      <w:marRight w:val="0"/>
      <w:marTop w:val="180"/>
      <w:marBottom w:val="0"/>
      <w:divBdr>
        <w:top w:val="none" w:sz="0" w:space="0" w:color="auto"/>
        <w:left w:val="none" w:sz="0" w:space="0" w:color="auto"/>
        <w:bottom w:val="none" w:sz="0" w:space="0" w:color="auto"/>
        <w:right w:val="none" w:sz="0" w:space="0" w:color="auto"/>
      </w:divBdr>
    </w:div>
    <w:div w:id="1943102364">
      <w:marLeft w:val="0"/>
      <w:marRight w:val="0"/>
      <w:marTop w:val="0"/>
      <w:marBottom w:val="0"/>
      <w:divBdr>
        <w:top w:val="none" w:sz="0" w:space="0" w:color="auto"/>
        <w:left w:val="none" w:sz="0" w:space="0" w:color="auto"/>
        <w:bottom w:val="none" w:sz="0" w:space="0" w:color="auto"/>
        <w:right w:val="none" w:sz="0" w:space="0" w:color="auto"/>
      </w:divBdr>
      <w:divsChild>
        <w:div w:id="1074623903">
          <w:marLeft w:val="0"/>
          <w:marRight w:val="0"/>
          <w:marTop w:val="180"/>
          <w:marBottom w:val="180"/>
          <w:divBdr>
            <w:top w:val="none" w:sz="0" w:space="0" w:color="auto"/>
            <w:left w:val="none" w:sz="0" w:space="0" w:color="auto"/>
            <w:bottom w:val="none" w:sz="0" w:space="0" w:color="auto"/>
            <w:right w:val="none" w:sz="0" w:space="0" w:color="auto"/>
          </w:divBdr>
        </w:div>
      </w:divsChild>
    </w:div>
    <w:div w:id="1949893148">
      <w:marLeft w:val="0"/>
      <w:marRight w:val="0"/>
      <w:marTop w:val="130"/>
      <w:marBottom w:val="0"/>
      <w:divBdr>
        <w:top w:val="none" w:sz="0" w:space="0" w:color="auto"/>
        <w:left w:val="none" w:sz="0" w:space="0" w:color="auto"/>
        <w:bottom w:val="none" w:sz="0" w:space="0" w:color="auto"/>
        <w:right w:val="none" w:sz="0" w:space="0" w:color="auto"/>
      </w:divBdr>
    </w:div>
    <w:div w:id="1953438955">
      <w:marLeft w:val="0"/>
      <w:marRight w:val="0"/>
      <w:marTop w:val="120"/>
      <w:marBottom w:val="120"/>
      <w:divBdr>
        <w:top w:val="none" w:sz="0" w:space="0" w:color="auto"/>
        <w:left w:val="none" w:sz="0" w:space="0" w:color="auto"/>
        <w:bottom w:val="none" w:sz="0" w:space="0" w:color="auto"/>
        <w:right w:val="none" w:sz="0" w:space="0" w:color="auto"/>
      </w:divBdr>
      <w:divsChild>
        <w:div w:id="1249074892">
          <w:marLeft w:val="0"/>
          <w:marRight w:val="0"/>
          <w:marTop w:val="0"/>
          <w:marBottom w:val="0"/>
          <w:divBdr>
            <w:top w:val="none" w:sz="0" w:space="0" w:color="auto"/>
            <w:left w:val="none" w:sz="0" w:space="0" w:color="auto"/>
            <w:bottom w:val="none" w:sz="0" w:space="0" w:color="auto"/>
            <w:right w:val="none" w:sz="0" w:space="0" w:color="auto"/>
          </w:divBdr>
        </w:div>
        <w:div w:id="1493524921">
          <w:marLeft w:val="0"/>
          <w:marRight w:val="0"/>
          <w:marTop w:val="0"/>
          <w:marBottom w:val="0"/>
          <w:divBdr>
            <w:top w:val="none" w:sz="0" w:space="0" w:color="auto"/>
            <w:left w:val="none" w:sz="0" w:space="0" w:color="auto"/>
            <w:bottom w:val="none" w:sz="0" w:space="0" w:color="auto"/>
            <w:right w:val="none" w:sz="0" w:space="0" w:color="auto"/>
          </w:divBdr>
        </w:div>
        <w:div w:id="371155067">
          <w:marLeft w:val="0"/>
          <w:marRight w:val="0"/>
          <w:marTop w:val="0"/>
          <w:marBottom w:val="0"/>
          <w:divBdr>
            <w:top w:val="none" w:sz="0" w:space="0" w:color="auto"/>
            <w:left w:val="none" w:sz="0" w:space="0" w:color="auto"/>
            <w:bottom w:val="none" w:sz="0" w:space="0" w:color="auto"/>
            <w:right w:val="none" w:sz="0" w:space="0" w:color="auto"/>
          </w:divBdr>
        </w:div>
      </w:divsChild>
    </w:div>
    <w:div w:id="1954169988">
      <w:marLeft w:val="0"/>
      <w:marRight w:val="0"/>
      <w:marTop w:val="180"/>
      <w:marBottom w:val="0"/>
      <w:divBdr>
        <w:top w:val="none" w:sz="0" w:space="0" w:color="auto"/>
        <w:left w:val="none" w:sz="0" w:space="0" w:color="auto"/>
        <w:bottom w:val="none" w:sz="0" w:space="0" w:color="auto"/>
        <w:right w:val="none" w:sz="0" w:space="0" w:color="auto"/>
      </w:divBdr>
    </w:div>
    <w:div w:id="1957254954">
      <w:marLeft w:val="0"/>
      <w:marRight w:val="0"/>
      <w:marTop w:val="180"/>
      <w:marBottom w:val="0"/>
      <w:divBdr>
        <w:top w:val="none" w:sz="0" w:space="0" w:color="auto"/>
        <w:left w:val="none" w:sz="0" w:space="0" w:color="auto"/>
        <w:bottom w:val="none" w:sz="0" w:space="0" w:color="auto"/>
        <w:right w:val="none" w:sz="0" w:space="0" w:color="auto"/>
      </w:divBdr>
    </w:div>
    <w:div w:id="1975602988">
      <w:marLeft w:val="0"/>
      <w:marRight w:val="0"/>
      <w:marTop w:val="60"/>
      <w:marBottom w:val="0"/>
      <w:divBdr>
        <w:top w:val="none" w:sz="0" w:space="0" w:color="auto"/>
        <w:left w:val="none" w:sz="0" w:space="0" w:color="auto"/>
        <w:bottom w:val="none" w:sz="0" w:space="0" w:color="auto"/>
        <w:right w:val="none" w:sz="0" w:space="0" w:color="auto"/>
      </w:divBdr>
    </w:div>
    <w:div w:id="1978605776">
      <w:marLeft w:val="0"/>
      <w:marRight w:val="0"/>
      <w:marTop w:val="0"/>
      <w:marBottom w:val="0"/>
      <w:divBdr>
        <w:top w:val="none" w:sz="0" w:space="0" w:color="auto"/>
        <w:left w:val="none" w:sz="0" w:space="0" w:color="auto"/>
        <w:bottom w:val="none" w:sz="0" w:space="0" w:color="auto"/>
        <w:right w:val="none" w:sz="0" w:space="0" w:color="auto"/>
      </w:divBdr>
      <w:divsChild>
        <w:div w:id="372577681">
          <w:marLeft w:val="0"/>
          <w:marRight w:val="0"/>
          <w:marTop w:val="0"/>
          <w:marBottom w:val="0"/>
          <w:divBdr>
            <w:top w:val="none" w:sz="0" w:space="0" w:color="auto"/>
            <w:left w:val="none" w:sz="0" w:space="0" w:color="auto"/>
            <w:bottom w:val="none" w:sz="0" w:space="0" w:color="auto"/>
            <w:right w:val="none" w:sz="0" w:space="0" w:color="auto"/>
          </w:divBdr>
          <w:divsChild>
            <w:div w:id="12109176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84848142">
      <w:marLeft w:val="0"/>
      <w:marRight w:val="0"/>
      <w:marTop w:val="180"/>
      <w:marBottom w:val="0"/>
      <w:divBdr>
        <w:top w:val="none" w:sz="0" w:space="0" w:color="auto"/>
        <w:left w:val="none" w:sz="0" w:space="0" w:color="auto"/>
        <w:bottom w:val="none" w:sz="0" w:space="0" w:color="auto"/>
        <w:right w:val="none" w:sz="0" w:space="0" w:color="auto"/>
      </w:divBdr>
    </w:div>
    <w:div w:id="1985111921">
      <w:marLeft w:val="0"/>
      <w:marRight w:val="0"/>
      <w:marTop w:val="0"/>
      <w:marBottom w:val="0"/>
      <w:divBdr>
        <w:top w:val="none" w:sz="0" w:space="0" w:color="auto"/>
        <w:left w:val="none" w:sz="0" w:space="0" w:color="auto"/>
        <w:bottom w:val="none" w:sz="0" w:space="0" w:color="auto"/>
        <w:right w:val="none" w:sz="0" w:space="0" w:color="auto"/>
      </w:divBdr>
      <w:divsChild>
        <w:div w:id="1814830592">
          <w:marLeft w:val="0"/>
          <w:marRight w:val="0"/>
          <w:marTop w:val="180"/>
          <w:marBottom w:val="180"/>
          <w:divBdr>
            <w:top w:val="none" w:sz="0" w:space="0" w:color="auto"/>
            <w:left w:val="none" w:sz="0" w:space="0" w:color="auto"/>
            <w:bottom w:val="none" w:sz="0" w:space="0" w:color="auto"/>
            <w:right w:val="none" w:sz="0" w:space="0" w:color="auto"/>
          </w:divBdr>
        </w:div>
      </w:divsChild>
    </w:div>
    <w:div w:id="1985235876">
      <w:marLeft w:val="0"/>
      <w:marRight w:val="0"/>
      <w:marTop w:val="180"/>
      <w:marBottom w:val="0"/>
      <w:divBdr>
        <w:top w:val="none" w:sz="0" w:space="0" w:color="auto"/>
        <w:left w:val="none" w:sz="0" w:space="0" w:color="auto"/>
        <w:bottom w:val="none" w:sz="0" w:space="0" w:color="auto"/>
        <w:right w:val="none" w:sz="0" w:space="0" w:color="auto"/>
      </w:divBdr>
    </w:div>
    <w:div w:id="1989749232">
      <w:marLeft w:val="0"/>
      <w:marRight w:val="0"/>
      <w:marTop w:val="180"/>
      <w:marBottom w:val="120"/>
      <w:divBdr>
        <w:top w:val="none" w:sz="0" w:space="0" w:color="auto"/>
        <w:left w:val="none" w:sz="0" w:space="0" w:color="auto"/>
        <w:bottom w:val="none" w:sz="0" w:space="0" w:color="auto"/>
        <w:right w:val="none" w:sz="0" w:space="0" w:color="auto"/>
      </w:divBdr>
    </w:div>
    <w:div w:id="1994675616">
      <w:marLeft w:val="0"/>
      <w:marRight w:val="0"/>
      <w:marTop w:val="0"/>
      <w:marBottom w:val="0"/>
      <w:divBdr>
        <w:top w:val="none" w:sz="0" w:space="0" w:color="auto"/>
        <w:left w:val="none" w:sz="0" w:space="0" w:color="auto"/>
        <w:bottom w:val="none" w:sz="0" w:space="0" w:color="auto"/>
        <w:right w:val="none" w:sz="0" w:space="0" w:color="auto"/>
      </w:divBdr>
      <w:divsChild>
        <w:div w:id="1560826498">
          <w:marLeft w:val="0"/>
          <w:marRight w:val="0"/>
          <w:marTop w:val="180"/>
          <w:marBottom w:val="0"/>
          <w:divBdr>
            <w:top w:val="none" w:sz="0" w:space="0" w:color="auto"/>
            <w:left w:val="none" w:sz="0" w:space="0" w:color="auto"/>
            <w:bottom w:val="none" w:sz="0" w:space="0" w:color="auto"/>
            <w:right w:val="none" w:sz="0" w:space="0" w:color="auto"/>
          </w:divBdr>
        </w:div>
      </w:divsChild>
    </w:div>
    <w:div w:id="1999992252">
      <w:marLeft w:val="0"/>
      <w:marRight w:val="0"/>
      <w:marTop w:val="180"/>
      <w:marBottom w:val="0"/>
      <w:divBdr>
        <w:top w:val="none" w:sz="0" w:space="0" w:color="auto"/>
        <w:left w:val="none" w:sz="0" w:space="0" w:color="auto"/>
        <w:bottom w:val="none" w:sz="0" w:space="0" w:color="auto"/>
        <w:right w:val="none" w:sz="0" w:space="0" w:color="auto"/>
      </w:divBdr>
    </w:div>
    <w:div w:id="2006587497">
      <w:marLeft w:val="0"/>
      <w:marRight w:val="0"/>
      <w:marTop w:val="180"/>
      <w:marBottom w:val="0"/>
      <w:divBdr>
        <w:top w:val="none" w:sz="0" w:space="0" w:color="auto"/>
        <w:left w:val="none" w:sz="0" w:space="0" w:color="auto"/>
        <w:bottom w:val="none" w:sz="0" w:space="0" w:color="auto"/>
        <w:right w:val="none" w:sz="0" w:space="0" w:color="auto"/>
      </w:divBdr>
    </w:div>
    <w:div w:id="2008748989">
      <w:marLeft w:val="0"/>
      <w:marRight w:val="0"/>
      <w:marTop w:val="180"/>
      <w:marBottom w:val="0"/>
      <w:divBdr>
        <w:top w:val="none" w:sz="0" w:space="0" w:color="auto"/>
        <w:left w:val="none" w:sz="0" w:space="0" w:color="auto"/>
        <w:bottom w:val="none" w:sz="0" w:space="0" w:color="auto"/>
        <w:right w:val="none" w:sz="0" w:space="0" w:color="auto"/>
      </w:divBdr>
    </w:div>
    <w:div w:id="2013485690">
      <w:marLeft w:val="0"/>
      <w:marRight w:val="0"/>
      <w:marTop w:val="180"/>
      <w:marBottom w:val="120"/>
      <w:divBdr>
        <w:top w:val="none" w:sz="0" w:space="0" w:color="auto"/>
        <w:left w:val="none" w:sz="0" w:space="0" w:color="auto"/>
        <w:bottom w:val="none" w:sz="0" w:space="0" w:color="auto"/>
        <w:right w:val="none" w:sz="0" w:space="0" w:color="auto"/>
      </w:divBdr>
    </w:div>
    <w:div w:id="2014333330">
      <w:marLeft w:val="0"/>
      <w:marRight w:val="0"/>
      <w:marTop w:val="120"/>
      <w:marBottom w:val="120"/>
      <w:divBdr>
        <w:top w:val="none" w:sz="0" w:space="0" w:color="auto"/>
        <w:left w:val="none" w:sz="0" w:space="0" w:color="auto"/>
        <w:bottom w:val="none" w:sz="0" w:space="0" w:color="auto"/>
        <w:right w:val="none" w:sz="0" w:space="0" w:color="auto"/>
      </w:divBdr>
    </w:div>
    <w:div w:id="2022777540">
      <w:marLeft w:val="0"/>
      <w:marRight w:val="0"/>
      <w:marTop w:val="120"/>
      <w:marBottom w:val="120"/>
      <w:divBdr>
        <w:top w:val="none" w:sz="0" w:space="0" w:color="auto"/>
        <w:left w:val="none" w:sz="0" w:space="0" w:color="auto"/>
        <w:bottom w:val="none" w:sz="0" w:space="0" w:color="auto"/>
        <w:right w:val="none" w:sz="0" w:space="0" w:color="auto"/>
      </w:divBdr>
    </w:div>
    <w:div w:id="2023167924">
      <w:marLeft w:val="0"/>
      <w:marRight w:val="0"/>
      <w:marTop w:val="240"/>
      <w:marBottom w:val="0"/>
      <w:divBdr>
        <w:top w:val="none" w:sz="0" w:space="0" w:color="auto"/>
        <w:left w:val="none" w:sz="0" w:space="0" w:color="auto"/>
        <w:bottom w:val="none" w:sz="0" w:space="0" w:color="auto"/>
        <w:right w:val="none" w:sz="0" w:space="0" w:color="auto"/>
      </w:divBdr>
    </w:div>
    <w:div w:id="2023510480">
      <w:marLeft w:val="0"/>
      <w:marRight w:val="0"/>
      <w:marTop w:val="180"/>
      <w:marBottom w:val="60"/>
      <w:divBdr>
        <w:top w:val="none" w:sz="0" w:space="0" w:color="auto"/>
        <w:left w:val="none" w:sz="0" w:space="0" w:color="auto"/>
        <w:bottom w:val="none" w:sz="0" w:space="0" w:color="auto"/>
        <w:right w:val="none" w:sz="0" w:space="0" w:color="auto"/>
      </w:divBdr>
    </w:div>
    <w:div w:id="2025159222">
      <w:marLeft w:val="0"/>
      <w:marRight w:val="0"/>
      <w:marTop w:val="180"/>
      <w:marBottom w:val="0"/>
      <w:divBdr>
        <w:top w:val="none" w:sz="0" w:space="0" w:color="auto"/>
        <w:left w:val="none" w:sz="0" w:space="0" w:color="auto"/>
        <w:bottom w:val="none" w:sz="0" w:space="0" w:color="auto"/>
        <w:right w:val="none" w:sz="0" w:space="0" w:color="auto"/>
      </w:divBdr>
    </w:div>
    <w:div w:id="2031683655">
      <w:marLeft w:val="0"/>
      <w:marRight w:val="0"/>
      <w:marTop w:val="120"/>
      <w:marBottom w:val="0"/>
      <w:divBdr>
        <w:top w:val="none" w:sz="0" w:space="0" w:color="auto"/>
        <w:left w:val="none" w:sz="0" w:space="0" w:color="auto"/>
        <w:bottom w:val="none" w:sz="0" w:space="0" w:color="auto"/>
        <w:right w:val="none" w:sz="0" w:space="0" w:color="auto"/>
      </w:divBdr>
      <w:divsChild>
        <w:div w:id="338433973">
          <w:marLeft w:val="0"/>
          <w:marRight w:val="0"/>
          <w:marTop w:val="0"/>
          <w:marBottom w:val="0"/>
          <w:divBdr>
            <w:top w:val="none" w:sz="0" w:space="0" w:color="auto"/>
            <w:left w:val="none" w:sz="0" w:space="0" w:color="auto"/>
            <w:bottom w:val="none" w:sz="0" w:space="0" w:color="auto"/>
            <w:right w:val="none" w:sz="0" w:space="0" w:color="auto"/>
          </w:divBdr>
        </w:div>
        <w:div w:id="2027826927">
          <w:marLeft w:val="0"/>
          <w:marRight w:val="0"/>
          <w:marTop w:val="60"/>
          <w:marBottom w:val="0"/>
          <w:divBdr>
            <w:top w:val="none" w:sz="0" w:space="0" w:color="auto"/>
            <w:left w:val="none" w:sz="0" w:space="0" w:color="auto"/>
            <w:bottom w:val="none" w:sz="0" w:space="0" w:color="auto"/>
            <w:right w:val="none" w:sz="0" w:space="0" w:color="auto"/>
          </w:divBdr>
        </w:div>
        <w:div w:id="359866870">
          <w:marLeft w:val="0"/>
          <w:marRight w:val="0"/>
          <w:marTop w:val="60"/>
          <w:marBottom w:val="0"/>
          <w:divBdr>
            <w:top w:val="none" w:sz="0" w:space="0" w:color="auto"/>
            <w:left w:val="none" w:sz="0" w:space="0" w:color="auto"/>
            <w:bottom w:val="none" w:sz="0" w:space="0" w:color="auto"/>
            <w:right w:val="none" w:sz="0" w:space="0" w:color="auto"/>
          </w:divBdr>
        </w:div>
      </w:divsChild>
    </w:div>
    <w:div w:id="2033411277">
      <w:marLeft w:val="0"/>
      <w:marRight w:val="0"/>
      <w:marTop w:val="0"/>
      <w:marBottom w:val="0"/>
      <w:divBdr>
        <w:top w:val="none" w:sz="0" w:space="0" w:color="auto"/>
        <w:left w:val="none" w:sz="0" w:space="0" w:color="auto"/>
        <w:bottom w:val="none" w:sz="0" w:space="0" w:color="auto"/>
        <w:right w:val="none" w:sz="0" w:space="0" w:color="auto"/>
      </w:divBdr>
      <w:divsChild>
        <w:div w:id="663049148">
          <w:marLeft w:val="0"/>
          <w:marRight w:val="0"/>
          <w:marTop w:val="180"/>
          <w:marBottom w:val="180"/>
          <w:divBdr>
            <w:top w:val="none" w:sz="0" w:space="0" w:color="auto"/>
            <w:left w:val="none" w:sz="0" w:space="0" w:color="auto"/>
            <w:bottom w:val="none" w:sz="0" w:space="0" w:color="auto"/>
            <w:right w:val="none" w:sz="0" w:space="0" w:color="auto"/>
          </w:divBdr>
        </w:div>
      </w:divsChild>
    </w:div>
    <w:div w:id="2036272650">
      <w:marLeft w:val="0"/>
      <w:marRight w:val="0"/>
      <w:marTop w:val="0"/>
      <w:marBottom w:val="0"/>
      <w:divBdr>
        <w:top w:val="none" w:sz="0" w:space="0" w:color="auto"/>
        <w:left w:val="none" w:sz="0" w:space="0" w:color="auto"/>
        <w:bottom w:val="none" w:sz="0" w:space="0" w:color="auto"/>
        <w:right w:val="none" w:sz="0" w:space="0" w:color="auto"/>
      </w:divBdr>
      <w:divsChild>
        <w:div w:id="1551382482">
          <w:marLeft w:val="0"/>
          <w:marRight w:val="0"/>
          <w:marTop w:val="0"/>
          <w:marBottom w:val="0"/>
          <w:divBdr>
            <w:top w:val="none" w:sz="0" w:space="0" w:color="auto"/>
            <w:left w:val="none" w:sz="0" w:space="0" w:color="auto"/>
            <w:bottom w:val="none" w:sz="0" w:space="0" w:color="auto"/>
            <w:right w:val="none" w:sz="0" w:space="0" w:color="auto"/>
          </w:divBdr>
          <w:divsChild>
            <w:div w:id="209108068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41010898">
      <w:marLeft w:val="0"/>
      <w:marRight w:val="0"/>
      <w:marTop w:val="60"/>
      <w:marBottom w:val="0"/>
      <w:divBdr>
        <w:top w:val="none" w:sz="0" w:space="0" w:color="auto"/>
        <w:left w:val="none" w:sz="0" w:space="0" w:color="auto"/>
        <w:bottom w:val="none" w:sz="0" w:space="0" w:color="auto"/>
        <w:right w:val="none" w:sz="0" w:space="0" w:color="auto"/>
      </w:divBdr>
    </w:div>
    <w:div w:id="2043703290">
      <w:marLeft w:val="0"/>
      <w:marRight w:val="0"/>
      <w:marTop w:val="180"/>
      <w:marBottom w:val="0"/>
      <w:divBdr>
        <w:top w:val="none" w:sz="0" w:space="0" w:color="auto"/>
        <w:left w:val="none" w:sz="0" w:space="0" w:color="auto"/>
        <w:bottom w:val="none" w:sz="0" w:space="0" w:color="auto"/>
        <w:right w:val="none" w:sz="0" w:space="0" w:color="auto"/>
      </w:divBdr>
    </w:div>
    <w:div w:id="2044165347">
      <w:marLeft w:val="0"/>
      <w:marRight w:val="0"/>
      <w:marTop w:val="0"/>
      <w:marBottom w:val="0"/>
      <w:divBdr>
        <w:top w:val="none" w:sz="0" w:space="0" w:color="auto"/>
        <w:left w:val="none" w:sz="0" w:space="0" w:color="auto"/>
        <w:bottom w:val="none" w:sz="0" w:space="0" w:color="auto"/>
        <w:right w:val="none" w:sz="0" w:space="0" w:color="auto"/>
      </w:divBdr>
      <w:divsChild>
        <w:div w:id="813062420">
          <w:marLeft w:val="0"/>
          <w:marRight w:val="0"/>
          <w:marTop w:val="180"/>
          <w:marBottom w:val="180"/>
          <w:divBdr>
            <w:top w:val="none" w:sz="0" w:space="0" w:color="auto"/>
            <w:left w:val="none" w:sz="0" w:space="0" w:color="auto"/>
            <w:bottom w:val="none" w:sz="0" w:space="0" w:color="auto"/>
            <w:right w:val="none" w:sz="0" w:space="0" w:color="auto"/>
          </w:divBdr>
        </w:div>
      </w:divsChild>
    </w:div>
    <w:div w:id="2047438498">
      <w:marLeft w:val="0"/>
      <w:marRight w:val="0"/>
      <w:marTop w:val="180"/>
      <w:marBottom w:val="0"/>
      <w:divBdr>
        <w:top w:val="none" w:sz="0" w:space="0" w:color="auto"/>
        <w:left w:val="none" w:sz="0" w:space="0" w:color="auto"/>
        <w:bottom w:val="none" w:sz="0" w:space="0" w:color="auto"/>
        <w:right w:val="none" w:sz="0" w:space="0" w:color="auto"/>
      </w:divBdr>
    </w:div>
    <w:div w:id="2053652704">
      <w:marLeft w:val="0"/>
      <w:marRight w:val="0"/>
      <w:marTop w:val="240"/>
      <w:marBottom w:val="0"/>
      <w:divBdr>
        <w:top w:val="none" w:sz="0" w:space="0" w:color="auto"/>
        <w:left w:val="none" w:sz="0" w:space="0" w:color="auto"/>
        <w:bottom w:val="none" w:sz="0" w:space="0" w:color="auto"/>
        <w:right w:val="none" w:sz="0" w:space="0" w:color="auto"/>
      </w:divBdr>
    </w:div>
    <w:div w:id="2054189083">
      <w:marLeft w:val="0"/>
      <w:marRight w:val="0"/>
      <w:marTop w:val="180"/>
      <w:marBottom w:val="0"/>
      <w:divBdr>
        <w:top w:val="none" w:sz="0" w:space="0" w:color="auto"/>
        <w:left w:val="none" w:sz="0" w:space="0" w:color="auto"/>
        <w:bottom w:val="none" w:sz="0" w:space="0" w:color="auto"/>
        <w:right w:val="none" w:sz="0" w:space="0" w:color="auto"/>
      </w:divBdr>
    </w:div>
    <w:div w:id="2055617842">
      <w:marLeft w:val="0"/>
      <w:marRight w:val="0"/>
      <w:marTop w:val="180"/>
      <w:marBottom w:val="0"/>
      <w:divBdr>
        <w:top w:val="none" w:sz="0" w:space="0" w:color="auto"/>
        <w:left w:val="none" w:sz="0" w:space="0" w:color="auto"/>
        <w:bottom w:val="none" w:sz="0" w:space="0" w:color="auto"/>
        <w:right w:val="none" w:sz="0" w:space="0" w:color="auto"/>
      </w:divBdr>
    </w:div>
    <w:div w:id="2065327653">
      <w:marLeft w:val="0"/>
      <w:marRight w:val="0"/>
      <w:marTop w:val="60"/>
      <w:marBottom w:val="120"/>
      <w:divBdr>
        <w:top w:val="none" w:sz="0" w:space="0" w:color="auto"/>
        <w:left w:val="none" w:sz="0" w:space="0" w:color="auto"/>
        <w:bottom w:val="none" w:sz="0" w:space="0" w:color="auto"/>
        <w:right w:val="none" w:sz="0" w:space="0" w:color="auto"/>
      </w:divBdr>
    </w:div>
    <w:div w:id="2071147190">
      <w:marLeft w:val="0"/>
      <w:marRight w:val="0"/>
      <w:marTop w:val="180"/>
      <w:marBottom w:val="0"/>
      <w:divBdr>
        <w:top w:val="none" w:sz="0" w:space="0" w:color="auto"/>
        <w:left w:val="none" w:sz="0" w:space="0" w:color="auto"/>
        <w:bottom w:val="none" w:sz="0" w:space="0" w:color="auto"/>
        <w:right w:val="none" w:sz="0" w:space="0" w:color="auto"/>
      </w:divBdr>
    </w:div>
    <w:div w:id="2075005494">
      <w:marLeft w:val="0"/>
      <w:marRight w:val="0"/>
      <w:marTop w:val="0"/>
      <w:marBottom w:val="0"/>
      <w:divBdr>
        <w:top w:val="none" w:sz="0" w:space="0" w:color="auto"/>
        <w:left w:val="none" w:sz="0" w:space="0" w:color="auto"/>
        <w:bottom w:val="none" w:sz="0" w:space="0" w:color="auto"/>
        <w:right w:val="none" w:sz="0" w:space="0" w:color="auto"/>
      </w:divBdr>
      <w:divsChild>
        <w:div w:id="221209977">
          <w:marLeft w:val="0"/>
          <w:marRight w:val="0"/>
          <w:marTop w:val="180"/>
          <w:marBottom w:val="180"/>
          <w:divBdr>
            <w:top w:val="none" w:sz="0" w:space="0" w:color="auto"/>
            <w:left w:val="none" w:sz="0" w:space="0" w:color="auto"/>
            <w:bottom w:val="none" w:sz="0" w:space="0" w:color="auto"/>
            <w:right w:val="none" w:sz="0" w:space="0" w:color="auto"/>
          </w:divBdr>
        </w:div>
      </w:divsChild>
    </w:div>
    <w:div w:id="2080250982">
      <w:marLeft w:val="0"/>
      <w:marRight w:val="0"/>
      <w:marTop w:val="0"/>
      <w:marBottom w:val="0"/>
      <w:divBdr>
        <w:top w:val="none" w:sz="0" w:space="0" w:color="auto"/>
        <w:left w:val="none" w:sz="0" w:space="0" w:color="auto"/>
        <w:bottom w:val="none" w:sz="0" w:space="0" w:color="auto"/>
        <w:right w:val="none" w:sz="0" w:space="0" w:color="auto"/>
      </w:divBdr>
      <w:divsChild>
        <w:div w:id="365526889">
          <w:marLeft w:val="0"/>
          <w:marRight w:val="0"/>
          <w:marTop w:val="0"/>
          <w:marBottom w:val="0"/>
          <w:divBdr>
            <w:top w:val="none" w:sz="0" w:space="0" w:color="auto"/>
            <w:left w:val="none" w:sz="0" w:space="0" w:color="auto"/>
            <w:bottom w:val="none" w:sz="0" w:space="0" w:color="auto"/>
            <w:right w:val="none" w:sz="0" w:space="0" w:color="auto"/>
          </w:divBdr>
          <w:divsChild>
            <w:div w:id="19698982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81825298">
      <w:marLeft w:val="0"/>
      <w:marRight w:val="0"/>
      <w:marTop w:val="0"/>
      <w:marBottom w:val="0"/>
      <w:divBdr>
        <w:top w:val="none" w:sz="0" w:space="0" w:color="auto"/>
        <w:left w:val="none" w:sz="0" w:space="0" w:color="auto"/>
        <w:bottom w:val="none" w:sz="0" w:space="0" w:color="auto"/>
        <w:right w:val="none" w:sz="0" w:space="0" w:color="auto"/>
      </w:divBdr>
      <w:divsChild>
        <w:div w:id="1889756324">
          <w:marLeft w:val="0"/>
          <w:marRight w:val="0"/>
          <w:marTop w:val="0"/>
          <w:marBottom w:val="0"/>
          <w:divBdr>
            <w:top w:val="none" w:sz="0" w:space="0" w:color="auto"/>
            <w:left w:val="none" w:sz="0" w:space="0" w:color="auto"/>
            <w:bottom w:val="none" w:sz="0" w:space="0" w:color="auto"/>
            <w:right w:val="none" w:sz="0" w:space="0" w:color="auto"/>
          </w:divBdr>
          <w:divsChild>
            <w:div w:id="18535650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83671052">
      <w:marLeft w:val="0"/>
      <w:marRight w:val="0"/>
      <w:marTop w:val="180"/>
      <w:marBottom w:val="0"/>
      <w:divBdr>
        <w:top w:val="none" w:sz="0" w:space="0" w:color="auto"/>
        <w:left w:val="none" w:sz="0" w:space="0" w:color="auto"/>
        <w:bottom w:val="none" w:sz="0" w:space="0" w:color="auto"/>
        <w:right w:val="none" w:sz="0" w:space="0" w:color="auto"/>
      </w:divBdr>
    </w:div>
    <w:div w:id="2091151675">
      <w:marLeft w:val="0"/>
      <w:marRight w:val="0"/>
      <w:marTop w:val="180"/>
      <w:marBottom w:val="0"/>
      <w:divBdr>
        <w:top w:val="none" w:sz="0" w:space="0" w:color="auto"/>
        <w:left w:val="none" w:sz="0" w:space="0" w:color="auto"/>
        <w:bottom w:val="none" w:sz="0" w:space="0" w:color="auto"/>
        <w:right w:val="none" w:sz="0" w:space="0" w:color="auto"/>
      </w:divBdr>
    </w:div>
    <w:div w:id="2093431150">
      <w:marLeft w:val="0"/>
      <w:marRight w:val="0"/>
      <w:marTop w:val="120"/>
      <w:marBottom w:val="0"/>
      <w:divBdr>
        <w:top w:val="none" w:sz="0" w:space="0" w:color="auto"/>
        <w:left w:val="none" w:sz="0" w:space="0" w:color="auto"/>
        <w:bottom w:val="none" w:sz="0" w:space="0" w:color="auto"/>
        <w:right w:val="none" w:sz="0" w:space="0" w:color="auto"/>
      </w:divBdr>
    </w:div>
    <w:div w:id="2109500750">
      <w:marLeft w:val="0"/>
      <w:marRight w:val="0"/>
      <w:marTop w:val="180"/>
      <w:marBottom w:val="0"/>
      <w:divBdr>
        <w:top w:val="none" w:sz="0" w:space="0" w:color="auto"/>
        <w:left w:val="none" w:sz="0" w:space="0" w:color="auto"/>
        <w:bottom w:val="none" w:sz="0" w:space="0" w:color="auto"/>
        <w:right w:val="none" w:sz="0" w:space="0" w:color="auto"/>
      </w:divBdr>
    </w:div>
    <w:div w:id="2111116909">
      <w:marLeft w:val="0"/>
      <w:marRight w:val="0"/>
      <w:marTop w:val="60"/>
      <w:marBottom w:val="0"/>
      <w:divBdr>
        <w:top w:val="none" w:sz="0" w:space="0" w:color="auto"/>
        <w:left w:val="none" w:sz="0" w:space="0" w:color="auto"/>
        <w:bottom w:val="none" w:sz="0" w:space="0" w:color="auto"/>
        <w:right w:val="none" w:sz="0" w:space="0" w:color="auto"/>
      </w:divBdr>
    </w:div>
    <w:div w:id="2114084627">
      <w:marLeft w:val="0"/>
      <w:marRight w:val="0"/>
      <w:marTop w:val="300"/>
      <w:marBottom w:val="0"/>
      <w:divBdr>
        <w:top w:val="none" w:sz="0" w:space="0" w:color="auto"/>
        <w:left w:val="none" w:sz="0" w:space="0" w:color="auto"/>
        <w:bottom w:val="none" w:sz="0" w:space="0" w:color="auto"/>
        <w:right w:val="none" w:sz="0" w:space="0" w:color="auto"/>
      </w:divBdr>
    </w:div>
    <w:div w:id="2115585769">
      <w:marLeft w:val="0"/>
      <w:marRight w:val="0"/>
      <w:marTop w:val="180"/>
      <w:marBottom w:val="0"/>
      <w:divBdr>
        <w:top w:val="none" w:sz="0" w:space="0" w:color="auto"/>
        <w:left w:val="none" w:sz="0" w:space="0" w:color="auto"/>
        <w:bottom w:val="none" w:sz="0" w:space="0" w:color="auto"/>
        <w:right w:val="none" w:sz="0" w:space="0" w:color="auto"/>
      </w:divBdr>
    </w:div>
    <w:div w:id="2120173044">
      <w:marLeft w:val="0"/>
      <w:marRight w:val="0"/>
      <w:marTop w:val="130"/>
      <w:marBottom w:val="0"/>
      <w:divBdr>
        <w:top w:val="none" w:sz="0" w:space="0" w:color="auto"/>
        <w:left w:val="none" w:sz="0" w:space="0" w:color="auto"/>
        <w:bottom w:val="none" w:sz="0" w:space="0" w:color="auto"/>
        <w:right w:val="none" w:sz="0" w:space="0" w:color="auto"/>
      </w:divBdr>
    </w:div>
    <w:div w:id="2130317024">
      <w:marLeft w:val="0"/>
      <w:marRight w:val="0"/>
      <w:marTop w:val="240"/>
      <w:marBottom w:val="0"/>
      <w:divBdr>
        <w:top w:val="none" w:sz="0" w:space="0" w:color="auto"/>
        <w:left w:val="none" w:sz="0" w:space="0" w:color="auto"/>
        <w:bottom w:val="none" w:sz="0" w:space="0" w:color="auto"/>
        <w:right w:val="none" w:sz="0" w:space="0" w:color="auto"/>
      </w:divBdr>
    </w:div>
    <w:div w:id="2137480663">
      <w:marLeft w:val="0"/>
      <w:marRight w:val="0"/>
      <w:marTop w:val="180"/>
      <w:marBottom w:val="0"/>
      <w:divBdr>
        <w:top w:val="none" w:sz="0" w:space="0" w:color="auto"/>
        <w:left w:val="none" w:sz="0" w:space="0" w:color="auto"/>
        <w:bottom w:val="none" w:sz="0" w:space="0" w:color="auto"/>
        <w:right w:val="none" w:sz="0" w:space="0" w:color="auto"/>
      </w:divBdr>
    </w:div>
    <w:div w:id="2139756802">
      <w:marLeft w:val="0"/>
      <w:marRight w:val="0"/>
      <w:marTop w:val="180"/>
      <w:marBottom w:val="0"/>
      <w:divBdr>
        <w:top w:val="none" w:sz="0" w:space="0" w:color="auto"/>
        <w:left w:val="none" w:sz="0" w:space="0" w:color="auto"/>
        <w:bottom w:val="none" w:sz="0" w:space="0" w:color="auto"/>
        <w:right w:val="none" w:sz="0" w:space="0" w:color="auto"/>
      </w:divBdr>
    </w:div>
    <w:div w:id="2141722786">
      <w:marLeft w:val="0"/>
      <w:marRight w:val="0"/>
      <w:marTop w:val="18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projects\LLMs\new_data_collection\data_new\htm\ABM%20INDUSTRIES%20INC%20DE\abm-20210131_g5.jpg" TargetMode="External"/><Relationship Id="rId13" Type="http://schemas.openxmlformats.org/officeDocument/2006/relationships/hyperlink" Target="abm1312021ex312.htm" TargetMode="External"/><Relationship Id="rId3" Type="http://schemas.openxmlformats.org/officeDocument/2006/relationships/webSettings" Target="webSettings.xml"/><Relationship Id="rId7" Type="http://schemas.openxmlformats.org/officeDocument/2006/relationships/image" Target="file:///E:\projects\LLMs\new_data_collection\data_new\htm\ABM%20INDUSTRIES%20INC%20DE\abm-20210131_g4.jpg" TargetMode="External"/><Relationship Id="rId12" Type="http://schemas.openxmlformats.org/officeDocument/2006/relationships/hyperlink" Target="abm1312021ex311.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ABM%20INDUSTRIES%20INC%20DE\abm-20210131_g3.jpg" TargetMode="External"/><Relationship Id="rId11" Type="http://schemas.openxmlformats.org/officeDocument/2006/relationships/image" Target="file:///E:\projects\LLMs\new_data_collection\data_new\htm\ABM%20INDUSTRIES%20INC%20DE\abm-20210131_g8.jpg" TargetMode="External"/><Relationship Id="rId5" Type="http://schemas.openxmlformats.org/officeDocument/2006/relationships/image" Target="file:///E:\projects\LLMs\new_data_collection\data_new\htm\ABM%20INDUSTRIES%20INC%20DE\abm-20210131_g2.jpg" TargetMode="External"/><Relationship Id="rId15" Type="http://schemas.openxmlformats.org/officeDocument/2006/relationships/fontTable" Target="fontTable.xml"/><Relationship Id="rId10" Type="http://schemas.openxmlformats.org/officeDocument/2006/relationships/image" Target="file:///E:\projects\LLMs\new_data_collection\data_new\htm\ABM%20INDUSTRIES%20INC%20DE\abm-20210131_g7.jpg" TargetMode="External"/><Relationship Id="rId4" Type="http://schemas.openxmlformats.org/officeDocument/2006/relationships/image" Target="file:///E:\projects\LLMs\new_data_collection\data_new\htm\ABM%20INDUSTRIES%20INC%20DE\abm-20210131_g1.jpg" TargetMode="External"/><Relationship Id="rId9" Type="http://schemas.openxmlformats.org/officeDocument/2006/relationships/image" Target="file:///E:\projects\LLMs\new_data_collection\data_new\htm\ABM%20INDUSTRIES%20INC%20DE\abm-20210131_g6.jpg" TargetMode="External"/><Relationship Id="rId14" Type="http://schemas.openxmlformats.org/officeDocument/2006/relationships/hyperlink" Target="abm1312021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19575</Words>
  <Characters>111582</Characters>
  <Application>Microsoft Office Word</Application>
  <DocSecurity>0</DocSecurity>
  <Lines>929</Lines>
  <Paragraphs>261</Paragraphs>
  <ScaleCrop>false</ScaleCrop>
  <Company/>
  <LinksUpToDate>false</LinksUpToDate>
  <CharactersWithSpaces>130896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abm-20210131</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